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ind w:left="3660" w:right="1880" w:hanging="3652"/>
        <w:spacing w:after="0" w:line="493" w:lineRule="auto"/>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20" w:right="1860" w:hanging="3412"/>
        <w:spacing w:after="0" w:line="500" w:lineRule="auto"/>
        <w:tabs>
          <w:tab w:leader="none" w:pos="21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For the transition period from __________ to </w:t>
      </w:r>
      <w:r>
        <w:rPr>
          <w:rFonts w:ascii="Arial" w:cs="Arial" w:eastAsia="Arial" w:hAnsi="Arial"/>
          <w:sz w:val="18"/>
          <w:szCs w:val="18"/>
          <w:color w:val="auto"/>
        </w:rPr>
        <w:t>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001-36083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719" w:right="339" w:bottom="1440" w:gutter="0" w:footer="0" w:header="0"/>
        </w:sectPr>
      </w:pPr>
    </w:p>
    <w:p>
      <w:pPr>
        <w:spacing w:after="0" w:line="207"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340" w:space="720"/>
            <w:col w:w="4180"/>
          </w:cols>
          <w:pgMar w:left="320" w:top="719"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13139 Jess Pirtle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Sugar Land, TX 77478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ind w:left="5500" w:hanging="438"/>
        <w:spacing w:after="0"/>
        <w:tabs>
          <w:tab w:leader="none" w:pos="5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295-1800</w:t>
      </w:r>
    </w:p>
    <w:p>
      <w:pPr>
        <w:spacing w:after="0" w:line="27" w:lineRule="exact"/>
        <w:rPr>
          <w:rFonts w:ascii="Arial" w:cs="Arial" w:eastAsia="Arial" w:hAnsi="Arial"/>
          <w:sz w:val="18"/>
          <w:szCs w:val="18"/>
          <w:b w:val="1"/>
          <w:bCs w:val="1"/>
          <w:color w:val="auto"/>
        </w:rPr>
      </w:pPr>
    </w:p>
    <w:p>
      <w:pPr>
        <w:ind w:left="4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(Registrant’s telephone number)</w:t>
      </w:r>
    </w:p>
    <w:p>
      <w:pPr>
        <w:spacing w:after="0" w:line="200" w:lineRule="exact"/>
        <w:rPr>
          <w:sz w:val="24"/>
          <w:szCs w:val="24"/>
          <w:color w:val="auto"/>
        </w:rPr>
      </w:pPr>
    </w:p>
    <w:p>
      <w:pPr>
        <w:spacing w:after="0" w:line="22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0"/>
              </w:rPr>
              <w:t>Title of each class</w:t>
            </w:r>
          </w:p>
        </w:tc>
        <w:tc>
          <w:tcPr>
            <w:tcW w:w="230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color w:val="auto"/>
                <w:w w:val="92"/>
              </w:rPr>
              <w:t>Trading Symbol(s)</w:t>
            </w:r>
          </w:p>
        </w:tc>
        <w:tc>
          <w:tcPr>
            <w:tcW w:w="602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color w:val="auto"/>
                <w:w w:val="89"/>
              </w:rPr>
              <w:t>Trading Name of each exchange on which registered</w:t>
            </w:r>
          </w:p>
        </w:tc>
      </w:tr>
      <w:tr>
        <w:trPr>
          <w:trHeight w:val="224"/>
        </w:trPr>
        <w:tc>
          <w:tcPr>
            <w:tcW w:w="2920" w:type="dxa"/>
            <w:vAlign w:val="bottom"/>
          </w:tcPr>
          <w:p>
            <w:pPr>
              <w:jc w:val="center"/>
              <w:ind w:left="10"/>
              <w:spacing w:after="0"/>
              <w:rPr>
                <w:sz w:val="20"/>
                <w:szCs w:val="20"/>
                <w:color w:val="auto"/>
              </w:rPr>
            </w:pPr>
            <w:r>
              <w:rPr>
                <w:rFonts w:ascii="Arial" w:cs="Arial" w:eastAsia="Arial" w:hAnsi="Arial"/>
                <w:sz w:val="18"/>
                <w:szCs w:val="18"/>
                <w:color w:val="auto"/>
                <w:w w:val="89"/>
              </w:rPr>
              <w:t>Common Stock, Par value $0.001</w:t>
            </w:r>
          </w:p>
        </w:tc>
        <w:tc>
          <w:tcPr>
            <w:tcW w:w="2300" w:type="dxa"/>
            <w:vAlign w:val="bottom"/>
          </w:tcPr>
          <w:p>
            <w:pPr>
              <w:jc w:val="center"/>
              <w:ind w:right="490"/>
              <w:spacing w:after="0"/>
              <w:rPr>
                <w:sz w:val="20"/>
                <w:szCs w:val="20"/>
                <w:color w:val="auto"/>
              </w:rPr>
            </w:pPr>
            <w:r>
              <w:rPr>
                <w:rFonts w:ascii="Arial" w:cs="Arial" w:eastAsia="Arial" w:hAnsi="Arial"/>
                <w:sz w:val="18"/>
                <w:szCs w:val="18"/>
                <w:color w:val="auto"/>
              </w:rPr>
              <w:t>AAOI</w:t>
            </w:r>
          </w:p>
        </w:tc>
        <w:tc>
          <w:tcPr>
            <w:tcW w:w="6020" w:type="dxa"/>
            <w:vAlign w:val="bottom"/>
          </w:tcPr>
          <w:p>
            <w:pPr>
              <w:jc w:val="center"/>
              <w:ind w:right="590"/>
              <w:spacing w:after="0"/>
              <w:rPr>
                <w:sz w:val="20"/>
                <w:szCs w:val="20"/>
                <w:color w:val="auto"/>
              </w:rPr>
            </w:pPr>
            <w:r>
              <w:rPr>
                <w:rFonts w:ascii="Arial" w:cs="Arial" w:eastAsia="Arial" w:hAnsi="Arial"/>
                <w:sz w:val="18"/>
                <w:szCs w:val="18"/>
                <w:color w:val="auto"/>
                <w:w w:val="96"/>
              </w:rPr>
              <w:t>NASDAQ Global Market</w:t>
            </w:r>
          </w:p>
        </w:tc>
      </w:tr>
    </w:tbl>
    <w:p>
      <w:pPr>
        <w:spacing w:after="0" w:line="187" w:lineRule="exact"/>
        <w:rPr>
          <w:sz w:val="24"/>
          <w:szCs w:val="24"/>
          <w:color w:val="auto"/>
        </w:rPr>
      </w:pPr>
    </w:p>
    <w:p>
      <w:pPr>
        <w:jc w:val="both"/>
        <w:ind w:left="280" w:right="280"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280" w:right="280"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280" w:right="260" w:firstLine="41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2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Non-accelerated filer</w:t>
            </w:r>
          </w:p>
        </w:tc>
        <w:tc>
          <w:tcPr>
            <w:tcW w:w="18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Emerging growth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680"/>
        <w:spacing w:after="0"/>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w:t>
      </w:r>
    </w:p>
    <w:p>
      <w:pPr>
        <w:spacing w:after="0" w:line="30" w:lineRule="exact"/>
        <w:rPr>
          <w:sz w:val="24"/>
          <w:szCs w:val="24"/>
          <w:color w:val="auto"/>
        </w:rPr>
      </w:pPr>
    </w:p>
    <w:p>
      <w:pPr>
        <w:ind w:left="280"/>
        <w:spacing w:after="0" w:line="207" w:lineRule="exact"/>
        <w:tabs>
          <w:tab w:leader="none" w:pos="9260" w:val="left"/>
        </w:tabs>
        <w:rPr>
          <w:sz w:val="20"/>
          <w:szCs w:val="20"/>
          <w:color w:val="auto"/>
        </w:rPr>
      </w:pPr>
      <w:r>
        <w:rPr>
          <w:rFonts w:ascii="Arial" w:cs="Arial" w:eastAsia="Arial" w:hAnsi="Arial"/>
          <w:sz w:val="18"/>
          <w:szCs w:val="18"/>
          <w:color w:val="auto"/>
        </w:rPr>
        <w:t>with 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16" w:lineRule="exact"/>
        <w:rPr>
          <w:sz w:val="24"/>
          <w:szCs w:val="24"/>
          <w:color w:val="auto"/>
        </w:rPr>
      </w:pPr>
    </w:p>
    <w:p>
      <w:pPr>
        <w:ind w:left="6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2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left="680"/>
        <w:spacing w:after="0"/>
        <w:rPr>
          <w:sz w:val="20"/>
          <w:szCs w:val="20"/>
          <w:color w:val="auto"/>
        </w:rPr>
      </w:pPr>
      <w:r>
        <w:rPr>
          <w:rFonts w:ascii="Arial" w:cs="Arial" w:eastAsia="Arial" w:hAnsi="Arial"/>
          <w:sz w:val="18"/>
          <w:szCs w:val="18"/>
          <w:color w:val="auto"/>
        </w:rPr>
        <w:t>As of November 1, 2022 there were 28,523,719 shares of the registrant’s Common Stock outstanding.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00" w:type="dxa"/>
            <w:vAlign w:val="bottom"/>
            <w:gridSpan w:val="21"/>
          </w:tcPr>
          <w:p>
            <w:pPr>
              <w:spacing w:after="0"/>
              <w:rPr>
                <w:sz w:val="20"/>
                <w:szCs w:val="20"/>
                <w:color w:val="auto"/>
              </w:rPr>
            </w:pPr>
            <w:r>
              <w:rPr>
                <w:rFonts w:ascii="Arial" w:cs="Arial" w:eastAsia="Arial" w:hAnsi="Arial"/>
                <w:sz w:val="18"/>
                <w:szCs w:val="18"/>
                <w:color w:val="0000EE"/>
              </w:rPr>
              <w:t>Table of Contents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9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980" w:type="dxa"/>
            <w:vAlign w:val="bottom"/>
            <w:gridSpan w:val="10"/>
          </w:tcPr>
          <w:p>
            <w:pPr>
              <w:jc w:val="center"/>
              <w:ind w:right="2180"/>
              <w:spacing w:after="0"/>
              <w:rPr>
                <w:sz w:val="20"/>
                <w:szCs w:val="20"/>
                <w:color w:val="auto"/>
              </w:rPr>
            </w:pPr>
            <w:r>
              <w:rPr>
                <w:rFonts w:ascii="Arial" w:cs="Arial" w:eastAsia="Arial" w:hAnsi="Arial"/>
                <w:sz w:val="18"/>
                <w:szCs w:val="18"/>
                <w:b w:val="1"/>
                <w:bCs w:val="1"/>
                <w:color w:val="auto"/>
                <w:w w:val="89"/>
              </w:rPr>
              <w:t>Applied Optoelectronics, Inc.</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980" w:type="dxa"/>
            <w:vAlign w:val="bottom"/>
            <w:gridSpan w:val="10"/>
          </w:tcPr>
          <w:p>
            <w:pPr>
              <w:jc w:val="center"/>
              <w:ind w:right="2180"/>
              <w:spacing w:after="0"/>
              <w:rPr>
                <w:sz w:val="20"/>
                <w:szCs w:val="20"/>
                <w:color w:val="auto"/>
              </w:rPr>
            </w:pPr>
            <w:r>
              <w:rPr>
                <w:rFonts w:ascii="Arial" w:cs="Arial" w:eastAsia="Arial" w:hAnsi="Arial"/>
                <w:sz w:val="18"/>
                <w:szCs w:val="18"/>
                <w:b w:val="1"/>
                <w:bCs w:val="1"/>
                <w:color w:val="auto"/>
                <w:w w:val="89"/>
              </w:rPr>
              <w:t>Table of Contents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60" w:type="dxa"/>
            <w:vAlign w:val="bottom"/>
            <w:gridSpan w:val="9"/>
            <w:vMerge w:val="restart"/>
          </w:tcPr>
          <w:p>
            <w:pPr>
              <w:spacing w:after="0"/>
              <w:rPr>
                <w:sz w:val="20"/>
                <w:szCs w:val="20"/>
                <w:color w:val="auto"/>
              </w:rPr>
            </w:pPr>
            <w:r>
              <w:rPr>
                <w:rFonts w:ascii="Arial" w:cs="Arial" w:eastAsia="Arial" w:hAnsi="Arial"/>
                <w:sz w:val="18"/>
                <w:szCs w:val="18"/>
                <w:b w:val="1"/>
                <w:bCs w:val="1"/>
                <w:color w:val="0000EE"/>
                <w:w w:val="94"/>
              </w:rPr>
              <w:t>Part I. Financial Information</w:t>
            </w:r>
          </w:p>
        </w:tc>
        <w:tc>
          <w:tcPr>
            <w:tcW w:w="8440" w:type="dxa"/>
            <w:vAlign w:val="bottom"/>
            <w:gridSpan w:val="12"/>
            <w:vMerge w:val="restart"/>
          </w:tcPr>
          <w:p>
            <w:pPr>
              <w:spacing w:after="0"/>
              <w:rPr>
                <w:sz w:val="24"/>
                <w:szCs w:val="24"/>
                <w:color w:val="auto"/>
              </w:rPr>
            </w:pPr>
          </w:p>
        </w:tc>
        <w:tc>
          <w:tcPr>
            <w:tcW w:w="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174"/>
        </w:trPr>
        <w:tc>
          <w:tcPr>
            <w:tcW w:w="2260" w:type="dxa"/>
            <w:vAlign w:val="bottom"/>
            <w:tcBorders>
              <w:bottom w:val="single" w:sz="8" w:color="0000EE"/>
            </w:tcBorders>
            <w:gridSpan w:val="9"/>
            <w:vMerge w:val="continue"/>
          </w:tcPr>
          <w:p>
            <w:pPr>
              <w:spacing w:after="0"/>
              <w:rPr>
                <w:sz w:val="14"/>
                <w:szCs w:val="14"/>
                <w:color w:val="auto"/>
              </w:rPr>
            </w:pPr>
          </w:p>
        </w:tc>
        <w:tc>
          <w:tcPr>
            <w:tcW w:w="8440" w:type="dxa"/>
            <w:vAlign w:val="bottom"/>
            <w:gridSpan w:val="12"/>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4260" w:type="dxa"/>
            <w:vAlign w:val="bottom"/>
            <w:gridSpan w:val="11"/>
          </w:tcPr>
          <w:p>
            <w:pPr>
              <w:spacing w:after="0"/>
              <w:rPr>
                <w:sz w:val="20"/>
                <w:szCs w:val="20"/>
                <w:color w:val="auto"/>
              </w:rPr>
            </w:pPr>
            <w:r>
              <w:rPr>
                <w:rFonts w:ascii="Arial" w:cs="Arial" w:eastAsia="Arial" w:hAnsi="Arial"/>
                <w:sz w:val="18"/>
                <w:szCs w:val="18"/>
                <w:color w:val="0000EE"/>
                <w:w w:val="89"/>
              </w:rPr>
              <w:t>Condensed Consolidated Financial Statements (Unaudited)</w:t>
            </w:r>
          </w:p>
        </w:tc>
        <w:tc>
          <w:tcPr>
            <w:tcW w:w="5480" w:type="dxa"/>
            <w:vAlign w:val="bottom"/>
            <w:gridSpan w:val="9"/>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0000EE"/>
              </w:rPr>
              <w:t>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9740" w:type="dxa"/>
            <w:vAlign w:val="bottom"/>
            <w:gridSpan w:val="20"/>
          </w:tcPr>
          <w:p>
            <w:pPr>
              <w:spacing w:after="0"/>
              <w:rPr>
                <w:sz w:val="20"/>
                <w:szCs w:val="20"/>
                <w:color w:val="auto"/>
              </w:rPr>
            </w:pPr>
            <w:r>
              <w:rPr>
                <w:rFonts w:ascii="Arial" w:cs="Arial" w:eastAsia="Arial" w:hAnsi="Arial"/>
                <w:sz w:val="18"/>
                <w:szCs w:val="18"/>
                <w:color w:val="0000EE"/>
              </w:rPr>
              <w:t>Condensed Consolidated Balance Sheets as of September 30, 2022 (Unaudited) and December 31, 2021</w:t>
            </w:r>
          </w:p>
        </w:tc>
        <w:tc>
          <w:tcPr>
            <w:tcW w:w="540" w:type="dxa"/>
            <w:vAlign w:val="bottom"/>
            <w:gridSpan w:val="3"/>
          </w:tcPr>
          <w:p>
            <w:pPr>
              <w:jc w:val="right"/>
              <w:spacing w:after="0"/>
              <w:rPr>
                <w:sz w:val="20"/>
                <w:szCs w:val="20"/>
                <w:color w:val="auto"/>
              </w:rPr>
            </w:pPr>
            <w:r>
              <w:rPr>
                <w:rFonts w:ascii="Arial" w:cs="Arial" w:eastAsia="Arial" w:hAnsi="Arial"/>
                <w:sz w:val="18"/>
                <w:szCs w:val="18"/>
                <w:color w:val="0000EE"/>
              </w:rPr>
              <w:t>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9520" w:type="dxa"/>
            <w:vAlign w:val="bottom"/>
            <w:gridSpan w:val="18"/>
          </w:tcPr>
          <w:p>
            <w:pPr>
              <w:spacing w:after="0"/>
              <w:rPr>
                <w:sz w:val="20"/>
                <w:szCs w:val="20"/>
                <w:color w:val="auto"/>
              </w:rPr>
            </w:pPr>
            <w:r>
              <w:rPr>
                <w:rFonts w:ascii="Arial" w:cs="Arial" w:eastAsia="Arial" w:hAnsi="Arial"/>
                <w:sz w:val="18"/>
                <w:szCs w:val="18"/>
                <w:color w:val="0000EE"/>
                <w:w w:val="89"/>
              </w:rPr>
              <w:t>Condensed Consolidated Statements of Operations for the Three and Nine Months ended September 30, 2022 and 2021 (Unaudited)</w:t>
            </w:r>
          </w:p>
        </w:tc>
        <w:tc>
          <w:tcPr>
            <w:tcW w:w="220" w:type="dxa"/>
            <w:vAlign w:val="bottom"/>
            <w:gridSpan w:val="2"/>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0000EE"/>
              </w:rPr>
              <w:t>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9740" w:type="dxa"/>
            <w:vAlign w:val="bottom"/>
            <w:gridSpan w:val="20"/>
          </w:tcPr>
          <w:p>
            <w:pPr>
              <w:spacing w:after="0"/>
              <w:rPr>
                <w:sz w:val="20"/>
                <w:szCs w:val="20"/>
                <w:color w:val="auto"/>
              </w:rPr>
            </w:pPr>
            <w:r>
              <w:rPr>
                <w:rFonts w:ascii="Arial" w:cs="Arial" w:eastAsia="Arial" w:hAnsi="Arial"/>
                <w:sz w:val="18"/>
                <w:szCs w:val="18"/>
                <w:color w:val="0000EE"/>
                <w:w w:val="90"/>
              </w:rPr>
              <w:t>Condensed Consolidated Statements of Comprehensive Income (Loss) for the Three and Nine Months ended September 30, 2022 and</w:t>
            </w:r>
          </w:p>
        </w:tc>
        <w:tc>
          <w:tcPr>
            <w:tcW w:w="540" w:type="dxa"/>
            <w:vAlign w:val="bottom"/>
            <w:gridSpan w:val="3"/>
          </w:tcPr>
          <w:p>
            <w:pPr>
              <w:jc w:val="right"/>
              <w:spacing w:after="0"/>
              <w:rPr>
                <w:sz w:val="20"/>
                <w:szCs w:val="20"/>
                <w:color w:val="auto"/>
              </w:rPr>
            </w:pPr>
            <w:r>
              <w:rPr>
                <w:rFonts w:ascii="Arial" w:cs="Arial" w:eastAsia="Arial" w:hAnsi="Arial"/>
                <w:sz w:val="18"/>
                <w:szCs w:val="18"/>
                <w:color w:val="0000EE"/>
              </w:rPr>
              <w:t>5</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62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2021 (Unaudited)</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9340" w:type="dxa"/>
            <w:vAlign w:val="bottom"/>
            <w:gridSpan w:val="17"/>
          </w:tcPr>
          <w:p>
            <w:pPr>
              <w:spacing w:after="0"/>
              <w:rPr>
                <w:sz w:val="20"/>
                <w:szCs w:val="20"/>
                <w:color w:val="auto"/>
              </w:rPr>
            </w:pPr>
            <w:r>
              <w:rPr>
                <w:rFonts w:ascii="Arial" w:cs="Arial" w:eastAsia="Arial" w:hAnsi="Arial"/>
                <w:sz w:val="18"/>
                <w:szCs w:val="18"/>
                <w:color w:val="0000EE"/>
                <w:w w:val="89"/>
              </w:rPr>
              <w:t>Condensed Consolidated Statements of Stockholders’ Equity for the Three and Nine Months ended September 30, 2022 and 2021</w:t>
            </w:r>
          </w:p>
        </w:tc>
        <w:tc>
          <w:tcPr>
            <w:tcW w:w="400" w:type="dxa"/>
            <w:vAlign w:val="bottom"/>
            <w:gridSpan w:val="3"/>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0000EE"/>
              </w:rPr>
              <w:t>6</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934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(Unaudited)</w:t>
            </w:r>
          </w:p>
        </w:tc>
        <w:tc>
          <w:tcPr>
            <w:tcW w:w="40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9740" w:type="dxa"/>
            <w:vAlign w:val="bottom"/>
            <w:gridSpan w:val="20"/>
          </w:tcPr>
          <w:p>
            <w:pPr>
              <w:spacing w:after="0"/>
              <w:rPr>
                <w:sz w:val="20"/>
                <w:szCs w:val="20"/>
                <w:color w:val="auto"/>
              </w:rPr>
            </w:pPr>
            <w:r>
              <w:rPr>
                <w:rFonts w:ascii="Arial" w:cs="Arial" w:eastAsia="Arial" w:hAnsi="Arial"/>
                <w:sz w:val="18"/>
                <w:szCs w:val="18"/>
                <w:color w:val="0000EE"/>
                <w:w w:val="99"/>
              </w:rPr>
              <w:t>Condensed Consolidated Statements of Cash Flows for the Nine Months ended September 30, 2022 and 2021 (Unaudited)</w:t>
            </w:r>
          </w:p>
        </w:tc>
        <w:tc>
          <w:tcPr>
            <w:tcW w:w="540" w:type="dxa"/>
            <w:vAlign w:val="bottom"/>
            <w:gridSpan w:val="3"/>
          </w:tcPr>
          <w:p>
            <w:pPr>
              <w:jc w:val="right"/>
              <w:spacing w:after="0"/>
              <w:rPr>
                <w:sz w:val="20"/>
                <w:szCs w:val="20"/>
                <w:color w:val="auto"/>
              </w:rPr>
            </w:pPr>
            <w:r>
              <w:rPr>
                <w:rFonts w:ascii="Arial" w:cs="Arial" w:eastAsia="Arial" w:hAnsi="Arial"/>
                <w:sz w:val="18"/>
                <w:szCs w:val="18"/>
                <w:color w:val="0000EE"/>
              </w:rPr>
              <w:t>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8800" w:type="dxa"/>
            <w:vAlign w:val="bottom"/>
            <w:gridSpan w:val="16"/>
          </w:tcPr>
          <w:p>
            <w:pPr>
              <w:spacing w:after="0"/>
              <w:rPr>
                <w:sz w:val="20"/>
                <w:szCs w:val="20"/>
                <w:color w:val="auto"/>
              </w:rPr>
            </w:pPr>
            <w:r>
              <w:rPr>
                <w:rFonts w:ascii="Arial" w:cs="Arial" w:eastAsia="Arial" w:hAnsi="Arial"/>
                <w:sz w:val="18"/>
                <w:szCs w:val="18"/>
                <w:color w:val="0000EE"/>
              </w:rPr>
              <w:t>Notes To Condensed Consolidated Financial Statements (Unaudited)</w:t>
            </w:r>
          </w:p>
        </w:tc>
        <w:tc>
          <w:tcPr>
            <w:tcW w:w="940" w:type="dxa"/>
            <w:vAlign w:val="bottom"/>
            <w:gridSpan w:val="4"/>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0000EE"/>
              </w:rPr>
              <w:t>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gridSpan w:val="20"/>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540" w:type="dxa"/>
            <w:vAlign w:val="bottom"/>
            <w:gridSpan w:val="3"/>
          </w:tcPr>
          <w:p>
            <w:pPr>
              <w:jc w:val="right"/>
              <w:spacing w:after="0"/>
              <w:rPr>
                <w:sz w:val="20"/>
                <w:szCs w:val="20"/>
                <w:color w:val="auto"/>
              </w:rPr>
            </w:pPr>
            <w:r>
              <w:rPr>
                <w:rFonts w:ascii="Arial" w:cs="Arial" w:eastAsia="Arial" w:hAnsi="Arial"/>
                <w:sz w:val="18"/>
                <w:szCs w:val="18"/>
                <w:color w:val="0000EE"/>
              </w:rPr>
              <w:t>20</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2080" w:type="dxa"/>
            <w:vAlign w:val="bottom"/>
            <w:tcBorders>
              <w:top w:val="single" w:sz="8" w:color="0000EE"/>
            </w:tcBorders>
            <w:gridSpan w:val="2"/>
          </w:tcPr>
          <w:p>
            <w:pPr>
              <w:spacing w:after="0"/>
              <w:rPr>
                <w:sz w:val="24"/>
                <w:szCs w:val="24"/>
                <w:color w:val="auto"/>
              </w:rPr>
            </w:pPr>
          </w:p>
        </w:tc>
        <w:tc>
          <w:tcPr>
            <w:tcW w:w="330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28</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740" w:type="dxa"/>
            <w:vAlign w:val="bottom"/>
            <w:gridSpan w:val="20"/>
          </w:tcPr>
          <w:p>
            <w:pPr>
              <w:spacing w:after="0"/>
              <w:rPr>
                <w:sz w:val="20"/>
                <w:szCs w:val="20"/>
                <w:color w:val="auto"/>
              </w:rPr>
            </w:pPr>
            <w:r>
              <w:rPr>
                <w:rFonts w:ascii="Arial" w:cs="Arial" w:eastAsia="Arial" w:hAnsi="Arial"/>
                <w:sz w:val="18"/>
                <w:szCs w:val="18"/>
                <w:color w:val="0000EE"/>
              </w:rPr>
              <w:t>Controls and Procedures</w:t>
            </w:r>
          </w:p>
        </w:tc>
        <w:tc>
          <w:tcPr>
            <w:tcW w:w="540" w:type="dxa"/>
            <w:vAlign w:val="bottom"/>
            <w:gridSpan w:val="3"/>
          </w:tcPr>
          <w:p>
            <w:pPr>
              <w:jc w:val="right"/>
              <w:spacing w:after="0"/>
              <w:rPr>
                <w:sz w:val="20"/>
                <w:szCs w:val="20"/>
                <w:color w:val="auto"/>
              </w:rPr>
            </w:pPr>
            <w:r>
              <w:rPr>
                <w:rFonts w:ascii="Arial" w:cs="Arial" w:eastAsia="Arial" w:hAnsi="Arial"/>
                <w:sz w:val="18"/>
                <w:szCs w:val="18"/>
                <w:color w:val="0000EE"/>
              </w:rPr>
              <w:t>28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98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00" w:type="dxa"/>
            <w:vAlign w:val="bottom"/>
            <w:gridSpan w:val="21"/>
          </w:tcPr>
          <w:p>
            <w:pPr>
              <w:spacing w:after="0"/>
              <w:rPr>
                <w:sz w:val="20"/>
                <w:szCs w:val="20"/>
                <w:color w:val="auto"/>
              </w:rPr>
            </w:pPr>
            <w:r>
              <w:rPr>
                <w:rFonts w:ascii="Arial" w:cs="Arial" w:eastAsia="Arial" w:hAnsi="Arial"/>
                <w:sz w:val="18"/>
                <w:szCs w:val="18"/>
                <w:b w:val="1"/>
                <w:bCs w:val="1"/>
                <w:color w:val="0000EE"/>
              </w:rPr>
              <w:t>Part II. Other Information</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420" w:type="dxa"/>
            <w:vAlign w:val="bottom"/>
            <w:gridSpan w:val="11"/>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gridSpan w:val="20"/>
          </w:tcPr>
          <w:p>
            <w:pPr>
              <w:spacing w:after="0"/>
              <w:rPr>
                <w:sz w:val="20"/>
                <w:szCs w:val="20"/>
                <w:color w:val="auto"/>
              </w:rPr>
            </w:pPr>
            <w:r>
              <w:rPr>
                <w:rFonts w:ascii="Arial" w:cs="Arial" w:eastAsia="Arial" w:hAnsi="Arial"/>
                <w:sz w:val="18"/>
                <w:szCs w:val="18"/>
                <w:color w:val="0000EE"/>
              </w:rPr>
              <w:t>Legal Proceedings</w:t>
            </w:r>
          </w:p>
        </w:tc>
        <w:tc>
          <w:tcPr>
            <w:tcW w:w="540" w:type="dxa"/>
            <w:vAlign w:val="bottom"/>
            <w:gridSpan w:val="3"/>
          </w:tcPr>
          <w:p>
            <w:pPr>
              <w:jc w:val="right"/>
              <w:spacing w:after="0"/>
              <w:rPr>
                <w:sz w:val="20"/>
                <w:szCs w:val="20"/>
                <w:color w:val="auto"/>
              </w:rPr>
            </w:pPr>
            <w:r>
              <w:rPr>
                <w:rFonts w:ascii="Arial" w:cs="Arial" w:eastAsia="Arial" w:hAnsi="Arial"/>
                <w:sz w:val="18"/>
                <w:szCs w:val="18"/>
                <w:color w:val="0000EE"/>
              </w:rPr>
              <w:t>28</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87"/>
              </w:rPr>
              <w:t>Risk Factors</w:t>
            </w:r>
          </w:p>
        </w:tc>
        <w:tc>
          <w:tcPr>
            <w:tcW w:w="420" w:type="dxa"/>
            <w:vAlign w:val="bottom"/>
            <w:tcBorders>
              <w:top w:val="single" w:sz="8" w:color="0000EE"/>
            </w:tcBorders>
            <w:gridSpan w:val="4"/>
          </w:tcPr>
          <w:p>
            <w:pPr>
              <w:spacing w:after="0"/>
              <w:rPr>
                <w:sz w:val="24"/>
                <w:szCs w:val="24"/>
                <w:color w:val="auto"/>
              </w:rPr>
            </w:pPr>
          </w:p>
        </w:tc>
        <w:tc>
          <w:tcPr>
            <w:tcW w:w="8420" w:type="dxa"/>
            <w:vAlign w:val="bottom"/>
            <w:gridSpan w:val="11"/>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28</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Exhibits</w:t>
            </w:r>
          </w:p>
        </w:tc>
        <w:tc>
          <w:tcPr>
            <w:tcW w:w="9140" w:type="dxa"/>
            <w:vAlign w:val="bottom"/>
            <w:gridSpan w:val="18"/>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28</w:t>
            </w:r>
          </w:p>
        </w:tc>
        <w:tc>
          <w:tcPr>
            <w:tcW w:w="0" w:type="dxa"/>
            <w:vAlign w:val="bottom"/>
          </w:tcPr>
          <w:p>
            <w:pPr>
              <w:spacing w:after="0"/>
              <w:rPr>
                <w:sz w:val="1"/>
                <w:szCs w:val="1"/>
                <w:color w:val="auto"/>
              </w:rPr>
            </w:pPr>
          </w:p>
        </w:tc>
      </w:tr>
      <w:tr>
        <w:trPr>
          <w:trHeight w:val="412"/>
        </w:trPr>
        <w:tc>
          <w:tcPr>
            <w:tcW w:w="96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5"/>
              </w:rPr>
              <w:t>Signatures</w:t>
            </w:r>
          </w:p>
        </w:tc>
        <w:tc>
          <w:tcPr>
            <w:tcW w:w="8980" w:type="dxa"/>
            <w:vAlign w:val="bottom"/>
            <w:gridSpan w:val="17"/>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79"/>
              </w:rPr>
              <w:t>30</w:t>
            </w:r>
          </w:p>
        </w:tc>
        <w:tc>
          <w:tcPr>
            <w:tcW w:w="0" w:type="dxa"/>
            <w:vAlign w:val="bottom"/>
          </w:tcPr>
          <w:p>
            <w:pPr>
              <w:spacing w:after="0"/>
              <w:rPr>
                <w:sz w:val="1"/>
                <w:szCs w:val="1"/>
                <w:color w:val="auto"/>
              </w:rPr>
            </w:pPr>
          </w:p>
        </w:tc>
      </w:tr>
      <w:tr>
        <w:trPr>
          <w:trHeight w:val="466"/>
        </w:trPr>
        <w:tc>
          <w:tcPr>
            <w:tcW w:w="960" w:type="dxa"/>
            <w:vAlign w:val="bottom"/>
          </w:tcPr>
          <w:p>
            <w:pPr>
              <w:spacing w:after="0"/>
              <w:rPr>
                <w:sz w:val="24"/>
                <w:szCs w:val="24"/>
                <w:color w:val="auto"/>
              </w:rPr>
            </w:pPr>
          </w:p>
        </w:tc>
        <w:tc>
          <w:tcPr>
            <w:tcW w:w="4940" w:type="dxa"/>
            <w:vAlign w:val="bottom"/>
            <w:gridSpan w:val="13"/>
          </w:tcPr>
          <w:p>
            <w:pPr>
              <w:jc w:val="center"/>
              <w:ind w:left="4290"/>
              <w:spacing w:after="0"/>
              <w:rPr>
                <w:sz w:val="20"/>
                <w:szCs w:val="20"/>
                <w:color w:val="auto"/>
              </w:rPr>
            </w:pPr>
            <w:r>
              <w:rPr>
                <w:rFonts w:ascii="Arial" w:cs="Arial" w:eastAsia="Arial" w:hAnsi="Arial"/>
                <w:sz w:val="18"/>
                <w:szCs w:val="18"/>
                <w:color w:val="auto"/>
                <w:w w:val="79"/>
              </w:rPr>
              <w:t>2</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4"/>
              </w:rPr>
              <w:t>Part I. Financial Information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(Unaudited, in thousands)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34,656</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6,480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 trade, net of allowance of $23 and $30, respectively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47,944</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Notes receivable</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8,148</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92,516</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Prepaid income tax</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187,800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194,079</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243,035</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Land use rights, net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5,856</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right of use asset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7,078</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Financing right of use asset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3,836</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Other assets, net</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8"/>
                <w:szCs w:val="18"/>
                <w:color w:val="auto"/>
              </w:rPr>
            </w:pPr>
          </w:p>
        </w:tc>
      </w:tr>
      <w:tr>
        <w:trPr>
          <w:trHeight w:val="249"/>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414,343</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454,459</w:t>
            </w:r>
          </w:p>
        </w:tc>
      </w:tr>
      <w:tr>
        <w:trPr>
          <w:trHeight w:val="197"/>
        </w:trPr>
        <w:tc>
          <w:tcPr>
            <w:tcW w:w="800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color w:val="auto"/>
              </w:rPr>
              <w:t>LIABILITIES AND STOCKHOLDERS' EQUITY</w:t>
            </w: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Current portion of notes payable and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51,357</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49,689</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34,402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Bank acceptance payable</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8,198</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lease liability - operating</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Current lease liability - financing</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130,889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108,957</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payable and long-term debt, less current portion</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Convertible senior notes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79,298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78,680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Non-current lease liability - operating</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7,189</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Non-current lease liability - financing</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199,889</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8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Common Stock; 45,000 shares authorized at $0.001 par value; 28,058 and 27,323 shares issued and</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at September 30, 2022 and December 31, 2021, respectively</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388,316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381,143</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16,071</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(188,818)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(142,671)</w:t>
            </w:r>
          </w:p>
        </w:tc>
      </w:tr>
      <w:tr>
        <w:trPr>
          <w:trHeight w:val="209"/>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198,538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254,570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414,343</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454,459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6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4880" w:type="dxa"/>
            <w:vAlign w:val="bottom"/>
            <w:gridSpan w:val="5"/>
          </w:tcPr>
          <w:p>
            <w:pPr>
              <w:jc w:val="center"/>
              <w:ind w:left="91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2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2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89"/>
              </w:rPr>
              <w:t>(Unaudited, in thousands, except share and per share data)</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89"/>
              </w:rPr>
              <w:t>Three months ended September</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34"/>
        </w:trPr>
        <w:tc>
          <w:tcPr>
            <w:tcW w:w="1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3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56,693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53,267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161,233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157,157</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46,944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45,143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133,832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127,537</w:t>
            </w:r>
          </w:p>
        </w:tc>
      </w:tr>
      <w:tr>
        <w:trPr>
          <w:trHeight w:val="20"/>
        </w:trPr>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9,749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27,401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29,620</w:t>
            </w:r>
          </w:p>
        </w:tc>
      </w:tr>
      <w:tr>
        <w:trPr>
          <w:trHeight w:val="209"/>
        </w:trPr>
        <w:tc>
          <w:tcPr>
            <w:tcW w:w="2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Operating expenses</w:t>
            </w:r>
          </w:p>
        </w:tc>
        <w:tc>
          <w:tcPr>
            <w:tcW w:w="33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9,206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27,021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31,990</w:t>
            </w:r>
          </w:p>
        </w:tc>
      </w:tr>
      <w:tr>
        <w:trPr>
          <w:trHeight w:val="216"/>
        </w:trPr>
        <w:tc>
          <w:tcPr>
            <w:tcW w:w="268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2,385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2,783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7,107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8,576</w:t>
            </w:r>
          </w:p>
        </w:tc>
      </w:tr>
      <w:tr>
        <w:trPr>
          <w:trHeight w:val="216"/>
        </w:trPr>
        <w:tc>
          <w:tcPr>
            <w:tcW w:w="2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11,654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10,645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33,908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32,195</w:t>
            </w:r>
          </w:p>
        </w:tc>
      </w:tr>
      <w:tr>
        <w:trPr>
          <w:trHeight w:val="20"/>
        </w:trPr>
        <w:tc>
          <w:tcPr>
            <w:tcW w:w="1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6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23,245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23,577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68,036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72,761</w:t>
            </w:r>
          </w:p>
        </w:tc>
      </w:tr>
      <w:tr>
        <w:trPr>
          <w:trHeight w:val="20"/>
        </w:trPr>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(13,496)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(15,453)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(40,635)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(43,141)</w:t>
            </w:r>
          </w:p>
        </w:tc>
      </w:tr>
      <w:tr>
        <w:trPr>
          <w:trHeight w:val="210"/>
        </w:trPr>
        <w:tc>
          <w:tcPr>
            <w:tcW w:w="26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Other income (expense)</w:t>
            </w:r>
          </w:p>
        </w:tc>
        <w:tc>
          <w:tcPr>
            <w:tcW w:w="33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26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(1,621)</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(1,359)</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(4,431)</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(4,158)</w:t>
            </w:r>
          </w:p>
        </w:tc>
      </w:tr>
      <w:tr>
        <w:trPr>
          <w:trHeight w:val="216"/>
        </w:trPr>
        <w:tc>
          <w:tcPr>
            <w:tcW w:w="2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7,628</w:t>
            </w:r>
          </w:p>
        </w:tc>
      </w:tr>
      <w:tr>
        <w:trPr>
          <w:trHeight w:val="20"/>
        </w:trPr>
        <w:tc>
          <w:tcPr>
            <w:tcW w:w="1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680" w:type="dxa"/>
            <w:vAlign w:val="bottom"/>
            <w:gridSpan w:val="2"/>
          </w:tcPr>
          <w:p>
            <w:pPr>
              <w:spacing w:after="0"/>
              <w:rPr>
                <w:sz w:val="20"/>
                <w:szCs w:val="20"/>
                <w:color w:val="auto"/>
              </w:rPr>
            </w:pPr>
            <w:r>
              <w:rPr>
                <w:rFonts w:ascii="Arial" w:cs="Arial" w:eastAsia="Arial" w:hAnsi="Arial"/>
                <w:sz w:val="18"/>
                <w:szCs w:val="18"/>
                <w:color w:val="auto"/>
                <w:w w:val="98"/>
              </w:rPr>
              <w:t>Total other income (expense), net</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(2,131)</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(5,512)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3,519</w:t>
            </w: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(15,627)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(15,797)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(46,147)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(39,622)</w:t>
            </w:r>
          </w:p>
        </w:tc>
      </w:tr>
      <w:tr>
        <w:trPr>
          <w:trHeight w:val="20"/>
        </w:trPr>
        <w:tc>
          <w:tcPr>
            <w:tcW w:w="12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6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(15,627)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(15,797)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(46,147)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(39,622)</w:t>
            </w:r>
          </w:p>
        </w:tc>
      </w:tr>
      <w:tr>
        <w:trPr>
          <w:trHeight w:val="20"/>
        </w:trPr>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loss per share</w:t>
            </w:r>
          </w:p>
        </w:tc>
        <w:tc>
          <w:tcPr>
            <w:tcW w:w="3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Basic</w:t>
            </w:r>
          </w:p>
        </w:tc>
        <w:tc>
          <w:tcPr>
            <w:tcW w:w="3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(0.56)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(0.58)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3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r>
      <w:tr>
        <w:trPr>
          <w:trHeight w:val="216"/>
        </w:trPr>
        <w:tc>
          <w:tcPr>
            <w:tcW w:w="1280" w:type="dxa"/>
            <w:vAlign w:val="bottom"/>
          </w:tcPr>
          <w:p>
            <w:pPr>
              <w:spacing w:after="0"/>
              <w:rPr>
                <w:sz w:val="18"/>
                <w:szCs w:val="18"/>
                <w:color w:val="auto"/>
              </w:rPr>
            </w:pPr>
          </w:p>
        </w:tc>
        <w:tc>
          <w:tcPr>
            <w:tcW w:w="47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 average shares used to compute net loss per share:</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Basic</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27,839,245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27,097,372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27,639,671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26,791,415</w:t>
            </w: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27,839,245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27,097,372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27,639,671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26,791,415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3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320" w:type="dxa"/>
            <w:vAlign w:val="bottom"/>
            <w:gridSpan w:val="6"/>
          </w:tcPr>
          <w:p>
            <w:pPr>
              <w:jc w:val="center"/>
              <w:ind w:left="227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740" w:type="dxa"/>
            <w:vAlign w:val="bottom"/>
            <w:gridSpan w:val="11"/>
          </w:tcPr>
          <w:p>
            <w:pPr>
              <w:jc w:val="center"/>
              <w:ind w:right="60"/>
              <w:spacing w:after="0"/>
              <w:rPr>
                <w:sz w:val="20"/>
                <w:szCs w:val="20"/>
                <w:color w:val="auto"/>
              </w:rPr>
            </w:pPr>
            <w:r>
              <w:rPr>
                <w:rFonts w:ascii="Arial" w:cs="Arial" w:eastAsia="Arial" w:hAnsi="Arial"/>
                <w:sz w:val="18"/>
                <w:szCs w:val="18"/>
                <w:b w:val="1"/>
                <w:bCs w:val="1"/>
                <w:color w:val="auto"/>
                <w:w w:val="99"/>
              </w:rPr>
              <w:t>CONDENSED CONSOLIDATED STATEMENTS OF COMPREHENSIVE INCOME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0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0"/>
              </w:rPr>
              <w:t>(Unaudited,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89"/>
              </w:rPr>
              <w:t>Three months ended September</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34"/>
        </w:trPr>
        <w:tc>
          <w:tcPr>
            <w:tcW w:w="12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(15,627)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(15,797)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(39,622)</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w w:val="98"/>
              </w:rPr>
              <w:t>Gain (Loss) on foreign currency translation adjustment</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(8,214)</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(421)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(17,059)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2,175</w:t>
            </w:r>
          </w:p>
        </w:tc>
      </w:tr>
      <w:tr>
        <w:trPr>
          <w:trHeight w:val="20"/>
        </w:trPr>
        <w:tc>
          <w:tcPr>
            <w:tcW w:w="1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(23,841)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(37,447)</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Applied Optoelectronics, Inc. and Subsidiaries CONDENSED CONSOLIDATED STATEMENTS OF STOCKHOLDERS’ EQUITY Three and Nine Months ended September 30, 2022 and 2021 (Unaudited,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5"/>
            <w:vMerge w:val="restart"/>
          </w:tcPr>
          <w:p>
            <w:pPr>
              <w:ind w:left="220"/>
              <w:spacing w:after="0"/>
              <w:rPr>
                <w:sz w:val="20"/>
                <w:szCs w:val="20"/>
                <w:color w:val="auto"/>
              </w:rPr>
            </w:pPr>
            <w:r>
              <w:rPr>
                <w:rFonts w:ascii="Arial" w:cs="Arial" w:eastAsia="Arial" w:hAnsi="Arial"/>
                <w:sz w:val="16"/>
                <w:szCs w:val="16"/>
                <w:b w:val="1"/>
                <w:bCs w:val="1"/>
                <w:color w:val="auto"/>
              </w:rPr>
              <w:t>Preferred Stock</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vMerge w:val="restart"/>
          </w:tcPr>
          <w:p>
            <w:pPr>
              <w:jc w:val="right"/>
              <w:ind w:right="60"/>
              <w:spacing w:after="0"/>
              <w:rPr>
                <w:sz w:val="20"/>
                <w:szCs w:val="20"/>
                <w:color w:val="auto"/>
              </w:rPr>
            </w:pPr>
            <w:r>
              <w:rPr>
                <w:rFonts w:ascii="Arial" w:cs="Arial" w:eastAsia="Arial" w:hAnsi="Arial"/>
                <w:sz w:val="16"/>
                <w:szCs w:val="16"/>
                <w:b w:val="1"/>
                <w:bCs w:val="1"/>
                <w:color w:val="auto"/>
              </w:rPr>
              <w:t>Common Stock</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9"/>
              </w:rPr>
              <w:t>Accumulated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5"/>
          </w:tcPr>
          <w:p>
            <w:pPr>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940" w:type="dxa"/>
            <w:vAlign w:val="bottom"/>
          </w:tcPr>
          <w:p>
            <w:pPr>
              <w:spacing w:after="0"/>
              <w:rPr>
                <w:sz w:val="15"/>
                <w:szCs w:val="15"/>
                <w:color w:val="auto"/>
              </w:rPr>
            </w:pPr>
          </w:p>
        </w:tc>
        <w:tc>
          <w:tcPr>
            <w:tcW w:w="860" w:type="dxa"/>
            <w:vAlign w:val="bottom"/>
            <w:gridSpan w:val="3"/>
          </w:tcPr>
          <w:p>
            <w:pPr>
              <w:ind w:left="80"/>
              <w:spacing w:after="0" w:line="182" w:lineRule="exact"/>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ind w:left="100"/>
              <w:spacing w:after="0" w:line="182" w:lineRule="exact"/>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4"/>
          </w:tcPr>
          <w:p>
            <w:pPr>
              <w:spacing w:after="0" w:line="182" w:lineRule="exact"/>
              <w:rPr>
                <w:sz w:val="20"/>
                <w:szCs w:val="20"/>
                <w:color w:val="auto"/>
              </w:rPr>
            </w:pPr>
            <w:r>
              <w:rPr>
                <w:rFonts w:ascii="Arial" w:cs="Arial" w:eastAsia="Arial" w:hAnsi="Arial"/>
                <w:sz w:val="16"/>
                <w:szCs w:val="16"/>
                <w:b w:val="1"/>
                <w:bCs w:val="1"/>
                <w:color w:val="auto"/>
              </w:rPr>
              <w:t>paid-in</w:t>
            </w:r>
          </w:p>
        </w:tc>
        <w:tc>
          <w:tcPr>
            <w:tcW w:w="1240" w:type="dxa"/>
            <w:vAlign w:val="bottom"/>
            <w:gridSpan w:val="4"/>
          </w:tcPr>
          <w:p>
            <w:pPr>
              <w:jc w:val="center"/>
              <w:ind w:right="220"/>
              <w:spacing w:after="0" w:line="182" w:lineRule="exact"/>
              <w:rPr>
                <w:sz w:val="20"/>
                <w:szCs w:val="20"/>
                <w:color w:val="auto"/>
              </w:rPr>
            </w:pPr>
            <w:r>
              <w:rPr>
                <w:rFonts w:ascii="Arial" w:cs="Arial" w:eastAsia="Arial" w:hAnsi="Arial"/>
                <w:sz w:val="16"/>
                <w:szCs w:val="16"/>
                <w:b w:val="1"/>
                <w:bCs w:val="1"/>
                <w:color w:val="auto"/>
                <w:w w:val="86"/>
              </w:rPr>
              <w:t>comprehensive</w:t>
            </w:r>
          </w:p>
        </w:tc>
        <w:tc>
          <w:tcPr>
            <w:tcW w:w="1120" w:type="dxa"/>
            <w:vAlign w:val="bottom"/>
            <w:gridSpan w:val="4"/>
          </w:tcPr>
          <w:p>
            <w:pPr>
              <w:spacing w:after="0" w:line="182" w:lineRule="exact"/>
              <w:rPr>
                <w:sz w:val="20"/>
                <w:szCs w:val="20"/>
                <w:color w:val="auto"/>
              </w:rPr>
            </w:pPr>
            <w:r>
              <w:rPr>
                <w:rFonts w:ascii="Arial" w:cs="Arial" w:eastAsia="Arial" w:hAnsi="Arial"/>
                <w:sz w:val="16"/>
                <w:szCs w:val="16"/>
                <w:b w:val="1"/>
                <w:bCs w:val="1"/>
                <w:color w:val="auto"/>
              </w:rPr>
              <w:t>Accumulated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2940" w:type="dxa"/>
            <w:vAlign w:val="bottom"/>
          </w:tcPr>
          <w:p>
            <w:pPr>
              <w:spacing w:after="0"/>
              <w:rPr>
                <w:sz w:val="18"/>
                <w:szCs w:val="18"/>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5"/>
              </w:rPr>
              <w:t>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220" w:type="dxa"/>
            <w:vAlign w:val="bottom"/>
            <w:gridSpan w:val="2"/>
          </w:tcPr>
          <w:p>
            <w:pPr>
              <w:spacing w:after="0"/>
              <w:rPr>
                <w:sz w:val="18"/>
                <w:szCs w:val="18"/>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2"/>
              </w:rPr>
              <w:t>of shares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5"/>
              </w:rPr>
              <w:t>Amount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capital</w:t>
            </w:r>
          </w:p>
        </w:tc>
        <w:tc>
          <w:tcPr>
            <w:tcW w:w="22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59"/>
              <w:spacing w:after="0"/>
              <w:rPr>
                <w:sz w:val="20"/>
                <w:szCs w:val="20"/>
                <w:color w:val="auto"/>
              </w:rPr>
            </w:pPr>
            <w:r>
              <w:rPr>
                <w:rFonts w:ascii="Arial" w:cs="Arial" w:eastAsia="Arial" w:hAnsi="Arial"/>
                <w:sz w:val="16"/>
                <w:szCs w:val="16"/>
                <w:b w:val="1"/>
                <w:bCs w:val="1"/>
                <w:color w:val="auto"/>
                <w:w w:val="87"/>
              </w:rPr>
              <w:t>gain (loss)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3"/>
              </w:rPr>
              <w:t>deficit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June 30, 2022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27,658</w:t>
            </w: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28</w:t>
            </w:r>
          </w:p>
        </w:tc>
        <w:tc>
          <w:tcPr>
            <w:tcW w:w="140" w:type="dxa"/>
            <w:vAlign w:val="bottom"/>
            <w:tcBorders>
              <w:left w:val="single" w:sz="8" w:color="CCEEFF"/>
            </w:tcBorders>
            <w:shd w:val="clear" w:color="auto" w:fill="CCEEFF"/>
          </w:tcPr>
          <w:p>
            <w:pPr>
              <w:spacing w:after="0"/>
              <w:rPr>
                <w:sz w:val="17"/>
                <w:szCs w:val="17"/>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385,531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7,226</w:t>
            </w: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(173,191)</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219,594</w:t>
            </w:r>
          </w:p>
        </w:tc>
        <w:tc>
          <w:tcPr>
            <w:tcW w:w="0" w:type="dxa"/>
            <w:vAlign w:val="bottom"/>
          </w:tcPr>
          <w:p>
            <w:pPr>
              <w:spacing w:after="0"/>
              <w:rPr>
                <w:sz w:val="1"/>
                <w:szCs w:val="1"/>
                <w:color w:val="auto"/>
              </w:rPr>
            </w:pPr>
          </w:p>
        </w:tc>
      </w:tr>
      <w:tr>
        <w:trPr>
          <w:trHeight w:val="193"/>
        </w:trPr>
        <w:tc>
          <w:tcPr>
            <w:tcW w:w="2940" w:type="dxa"/>
            <w:vAlign w:val="bottom"/>
          </w:tcPr>
          <w:p>
            <w:pPr>
              <w:spacing w:after="0"/>
              <w:rPr>
                <w:sz w:val="20"/>
                <w:szCs w:val="20"/>
                <w:color w:val="auto"/>
              </w:rPr>
            </w:pPr>
            <w:r>
              <w:rPr>
                <w:rFonts w:ascii="Arial" w:cs="Arial" w:eastAsia="Arial" w:hAnsi="Arial"/>
                <w:sz w:val="16"/>
                <w:szCs w:val="16"/>
                <w:color w:val="auto"/>
                <w:w w:val="98"/>
              </w:rPr>
              <w:t>Issuance of restricted stock, net of shares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6"/>
                <w:szCs w:val="16"/>
                <w:color w:val="auto"/>
              </w:rPr>
              <w:t>withheld for employee tax</w:t>
            </w:r>
          </w:p>
        </w:tc>
        <w:tc>
          <w:tcPr>
            <w:tcW w:w="100" w:type="dxa"/>
            <w:vAlign w:val="bottom"/>
          </w:tcPr>
          <w:p>
            <w:pPr>
              <w:spacing w:after="0"/>
              <w:rPr>
                <w:sz w:val="18"/>
                <w:szCs w:val="18"/>
                <w:color w:val="auto"/>
              </w:rPr>
            </w:pPr>
          </w:p>
        </w:tc>
        <w:tc>
          <w:tcPr>
            <w:tcW w:w="7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6"/>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2,627</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Public offering of common stock, net</w:t>
            </w:r>
          </w:p>
        </w:tc>
        <w:tc>
          <w:tcPr>
            <w:tcW w:w="100" w:type="dxa"/>
            <w:vAlign w:val="bottom"/>
          </w:tcPr>
          <w:p>
            <w:pPr>
              <w:spacing w:after="0"/>
              <w:rPr>
                <w:sz w:val="17"/>
                <w:szCs w:val="17"/>
                <w:color w:val="auto"/>
              </w:rPr>
            </w:pPr>
          </w:p>
        </w:tc>
        <w:tc>
          <w:tcPr>
            <w:tcW w:w="7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94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(8,214)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(8,214)</w:t>
            </w:r>
          </w:p>
        </w:tc>
        <w:tc>
          <w:tcPr>
            <w:tcW w:w="0" w:type="dxa"/>
            <w:vAlign w:val="bottom"/>
          </w:tcPr>
          <w:p>
            <w:pPr>
              <w:spacing w:after="0"/>
              <w:rPr>
                <w:sz w:val="1"/>
                <w:szCs w:val="1"/>
                <w:color w:val="auto"/>
              </w:rPr>
            </w:pPr>
          </w:p>
        </w:tc>
      </w:tr>
      <w:tr>
        <w:trPr>
          <w:trHeight w:val="202"/>
        </w:trPr>
        <w:tc>
          <w:tcPr>
            <w:tcW w:w="294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7"/>
                <w:szCs w:val="17"/>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(15,627)</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(15,627)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September 30, 2022</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spacing w:after="0"/>
              <w:rPr>
                <w:sz w:val="20"/>
                <w:szCs w:val="20"/>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28,058</w:t>
            </w:r>
          </w:p>
        </w:tc>
        <w:tc>
          <w:tcPr>
            <w:tcW w:w="22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28</w:t>
            </w:r>
          </w:p>
        </w:tc>
        <w:tc>
          <w:tcPr>
            <w:tcW w:w="140" w:type="dxa"/>
            <w:vAlign w:val="bottom"/>
            <w:tcBorders>
              <w:left w:val="single" w:sz="8" w:color="CCEEFF"/>
            </w:tcBorders>
            <w:shd w:val="clear" w:color="auto" w:fill="CCEEFF"/>
          </w:tcPr>
          <w:p>
            <w:pPr>
              <w:spacing w:after="0"/>
              <w:rPr>
                <w:sz w:val="20"/>
                <w:szCs w:val="20"/>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388,316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(988)</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(188,818)</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198,538</w:t>
            </w:r>
          </w:p>
        </w:tc>
        <w:tc>
          <w:tcPr>
            <w:tcW w:w="0" w:type="dxa"/>
            <w:vAlign w:val="bottom"/>
          </w:tcPr>
          <w:p>
            <w:pPr>
              <w:spacing w:after="0"/>
              <w:rPr>
                <w:sz w:val="1"/>
                <w:szCs w:val="1"/>
                <w:color w:val="auto"/>
              </w:rPr>
            </w:pPr>
          </w:p>
        </w:tc>
      </w:tr>
      <w:tr>
        <w:trPr>
          <w:trHeight w:val="385"/>
        </w:trPr>
        <w:tc>
          <w:tcPr>
            <w:tcW w:w="29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gridSpan w:val="2"/>
          </w:tcPr>
          <w:p>
            <w:pPr>
              <w:spacing w:after="0"/>
              <w:rPr>
                <w:sz w:val="24"/>
                <w:szCs w:val="24"/>
                <w:color w:val="auto"/>
              </w:rPr>
            </w:pPr>
          </w:p>
        </w:tc>
        <w:tc>
          <w:tcPr>
            <w:tcW w:w="104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ind w:left="220"/>
              <w:spacing w:after="0"/>
              <w:rPr>
                <w:sz w:val="20"/>
                <w:szCs w:val="20"/>
                <w:color w:val="auto"/>
              </w:rPr>
            </w:pPr>
            <w:r>
              <w:rPr>
                <w:rFonts w:ascii="Arial" w:cs="Arial" w:eastAsia="Arial" w:hAnsi="Arial"/>
                <w:sz w:val="16"/>
                <w:szCs w:val="16"/>
                <w:b w:val="1"/>
                <w:bCs w:val="1"/>
                <w:color w:val="auto"/>
              </w:rPr>
              <w:t>Preferred Stock</w:t>
            </w: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rPr>
              <w:t>Common Stock</w:t>
            </w: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5"/>
          </w:tcPr>
          <w:p>
            <w:pPr>
              <w:ind w:left="20"/>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940" w:type="dxa"/>
            <w:vAlign w:val="bottom"/>
          </w:tcPr>
          <w:p>
            <w:pPr>
              <w:spacing w:after="0"/>
              <w:rPr>
                <w:sz w:val="15"/>
                <w:szCs w:val="15"/>
                <w:color w:val="auto"/>
              </w:rPr>
            </w:pPr>
          </w:p>
        </w:tc>
        <w:tc>
          <w:tcPr>
            <w:tcW w:w="860" w:type="dxa"/>
            <w:vAlign w:val="bottom"/>
            <w:gridSpan w:val="3"/>
          </w:tcPr>
          <w:p>
            <w:pPr>
              <w:ind w:left="80"/>
              <w:spacing w:after="0" w:line="182" w:lineRule="exact"/>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ind w:left="100"/>
              <w:spacing w:after="0" w:line="182" w:lineRule="exact"/>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5"/>
                <w:szCs w:val="15"/>
                <w:color w:val="auto"/>
              </w:rPr>
            </w:pPr>
          </w:p>
        </w:tc>
        <w:tc>
          <w:tcPr>
            <w:tcW w:w="440" w:type="dxa"/>
            <w:vAlign w:val="bottom"/>
          </w:tcPr>
          <w:p>
            <w:pPr>
              <w:jc w:val="right"/>
              <w:ind w:right="60"/>
              <w:spacing w:after="0" w:line="182" w:lineRule="exact"/>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4"/>
          </w:tcPr>
          <w:p>
            <w:pPr>
              <w:ind w:left="20"/>
              <w:spacing w:after="0" w:line="182" w:lineRule="exact"/>
              <w:rPr>
                <w:sz w:val="20"/>
                <w:szCs w:val="20"/>
                <w:color w:val="auto"/>
              </w:rPr>
            </w:pPr>
            <w:r>
              <w:rPr>
                <w:rFonts w:ascii="Arial" w:cs="Arial" w:eastAsia="Arial" w:hAnsi="Arial"/>
                <w:sz w:val="16"/>
                <w:szCs w:val="16"/>
                <w:b w:val="1"/>
                <w:bCs w:val="1"/>
                <w:color w:val="auto"/>
              </w:rPr>
              <w:t>paid-in</w:t>
            </w:r>
          </w:p>
        </w:tc>
        <w:tc>
          <w:tcPr>
            <w:tcW w:w="1240" w:type="dxa"/>
            <w:vAlign w:val="bottom"/>
            <w:gridSpan w:val="4"/>
          </w:tcPr>
          <w:p>
            <w:pPr>
              <w:jc w:val="center"/>
              <w:ind w:right="200"/>
              <w:spacing w:after="0" w:line="182" w:lineRule="exact"/>
              <w:rPr>
                <w:sz w:val="20"/>
                <w:szCs w:val="20"/>
                <w:color w:val="auto"/>
              </w:rPr>
            </w:pPr>
            <w:r>
              <w:rPr>
                <w:rFonts w:ascii="Arial" w:cs="Arial" w:eastAsia="Arial" w:hAnsi="Arial"/>
                <w:sz w:val="16"/>
                <w:szCs w:val="16"/>
                <w:b w:val="1"/>
                <w:bCs w:val="1"/>
                <w:color w:val="auto"/>
                <w:w w:val="88"/>
              </w:rPr>
              <w:t>comprehensive</w:t>
            </w:r>
          </w:p>
        </w:tc>
        <w:tc>
          <w:tcPr>
            <w:tcW w:w="1120" w:type="dxa"/>
            <w:vAlign w:val="bottom"/>
            <w:gridSpan w:val="4"/>
          </w:tcPr>
          <w:p>
            <w:pPr>
              <w:spacing w:after="0" w:line="182" w:lineRule="exact"/>
              <w:rPr>
                <w:sz w:val="20"/>
                <w:szCs w:val="20"/>
                <w:color w:val="auto"/>
              </w:rPr>
            </w:pPr>
            <w:r>
              <w:rPr>
                <w:rFonts w:ascii="Arial" w:cs="Arial" w:eastAsia="Arial" w:hAnsi="Arial"/>
                <w:sz w:val="16"/>
                <w:szCs w:val="16"/>
                <w:b w:val="1"/>
                <w:bCs w:val="1"/>
                <w:color w:val="auto"/>
              </w:rPr>
              <w:t>Accumulated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2940" w:type="dxa"/>
            <w:vAlign w:val="bottom"/>
          </w:tcPr>
          <w:p>
            <w:pPr>
              <w:spacing w:after="0"/>
              <w:rPr>
                <w:sz w:val="18"/>
                <w:szCs w:val="18"/>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5"/>
              </w:rPr>
              <w:t>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220" w:type="dxa"/>
            <w:vAlign w:val="bottom"/>
            <w:gridSpan w:val="2"/>
          </w:tcPr>
          <w:p>
            <w:pPr>
              <w:spacing w:after="0"/>
              <w:rPr>
                <w:sz w:val="18"/>
                <w:szCs w:val="18"/>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2"/>
              </w:rPr>
              <w:t>of shares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5"/>
              </w:rPr>
              <w:t>Amount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94"/>
              </w:rPr>
              <w:t>capital</w:t>
            </w:r>
          </w:p>
        </w:tc>
        <w:tc>
          <w:tcPr>
            <w:tcW w:w="22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59"/>
              <w:spacing w:after="0"/>
              <w:rPr>
                <w:sz w:val="20"/>
                <w:szCs w:val="20"/>
                <w:color w:val="auto"/>
              </w:rPr>
            </w:pPr>
            <w:r>
              <w:rPr>
                <w:rFonts w:ascii="Arial" w:cs="Arial" w:eastAsia="Arial" w:hAnsi="Arial"/>
                <w:sz w:val="16"/>
                <w:szCs w:val="16"/>
                <w:b w:val="1"/>
                <w:bCs w:val="1"/>
                <w:color w:val="auto"/>
                <w:w w:val="87"/>
              </w:rPr>
              <w:t>gain (loss)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3"/>
              </w:rPr>
              <w:t>deficit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June 30, 2021</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26,919</w:t>
            </w: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375,312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14,286</w:t>
            </w: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(112,334)</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277,291</w:t>
            </w:r>
          </w:p>
        </w:tc>
        <w:tc>
          <w:tcPr>
            <w:tcW w:w="0" w:type="dxa"/>
            <w:vAlign w:val="bottom"/>
          </w:tcPr>
          <w:p>
            <w:pPr>
              <w:spacing w:after="0"/>
              <w:rPr>
                <w:sz w:val="1"/>
                <w:szCs w:val="1"/>
                <w:color w:val="auto"/>
              </w:rPr>
            </w:pPr>
          </w:p>
        </w:tc>
      </w:tr>
      <w:tr>
        <w:trPr>
          <w:trHeight w:val="193"/>
        </w:trPr>
        <w:tc>
          <w:tcPr>
            <w:tcW w:w="2940" w:type="dxa"/>
            <w:vAlign w:val="bottom"/>
          </w:tcPr>
          <w:p>
            <w:pPr>
              <w:spacing w:after="0"/>
              <w:rPr>
                <w:sz w:val="20"/>
                <w:szCs w:val="20"/>
                <w:color w:val="auto"/>
              </w:rPr>
            </w:pPr>
            <w:r>
              <w:rPr>
                <w:rFonts w:ascii="Arial" w:cs="Arial" w:eastAsia="Arial" w:hAnsi="Arial"/>
                <w:sz w:val="16"/>
                <w:szCs w:val="16"/>
                <w:color w:val="auto"/>
                <w:w w:val="98"/>
              </w:rPr>
              <w:t>Issuance of restricted stock, net of shares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6"/>
                <w:szCs w:val="16"/>
                <w:color w:val="auto"/>
              </w:rPr>
              <w:t>withheld for employee tax</w:t>
            </w:r>
          </w:p>
        </w:tc>
        <w:tc>
          <w:tcPr>
            <w:tcW w:w="100" w:type="dxa"/>
            <w:vAlign w:val="bottom"/>
          </w:tcPr>
          <w:p>
            <w:pPr>
              <w:spacing w:after="0"/>
              <w:rPr>
                <w:sz w:val="18"/>
                <w:szCs w:val="18"/>
                <w:color w:val="auto"/>
              </w:rPr>
            </w:pPr>
          </w:p>
        </w:tc>
        <w:tc>
          <w:tcPr>
            <w:tcW w:w="7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06"/>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3,130</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Public offering of common stock, net</w:t>
            </w:r>
          </w:p>
        </w:tc>
        <w:tc>
          <w:tcPr>
            <w:tcW w:w="100" w:type="dxa"/>
            <w:vAlign w:val="bottom"/>
          </w:tcPr>
          <w:p>
            <w:pPr>
              <w:spacing w:after="0"/>
              <w:rPr>
                <w:sz w:val="17"/>
                <w:szCs w:val="17"/>
                <w:color w:val="auto"/>
              </w:rPr>
            </w:pPr>
          </w:p>
        </w:tc>
        <w:tc>
          <w:tcPr>
            <w:tcW w:w="7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2"/>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7"/>
                <w:szCs w:val="17"/>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(15,797)</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(15,797)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September 30, 2021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27,175</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378,207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13,865</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(128,131)</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263,968</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5"/>
            <w:vMerge w:val="restart"/>
          </w:tcPr>
          <w:p>
            <w:pPr>
              <w:ind w:left="220"/>
              <w:spacing w:after="0"/>
              <w:rPr>
                <w:sz w:val="20"/>
                <w:szCs w:val="20"/>
                <w:color w:val="auto"/>
              </w:rPr>
            </w:pPr>
            <w:r>
              <w:rPr>
                <w:rFonts w:ascii="Arial" w:cs="Arial" w:eastAsia="Arial" w:hAnsi="Arial"/>
                <w:sz w:val="16"/>
                <w:szCs w:val="16"/>
                <w:b w:val="1"/>
                <w:bCs w:val="1"/>
                <w:color w:val="auto"/>
              </w:rPr>
              <w:t>Preferred Stock</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vMerge w:val="restart"/>
          </w:tcPr>
          <w:p>
            <w:pPr>
              <w:jc w:val="right"/>
              <w:ind w:right="60"/>
              <w:spacing w:after="0"/>
              <w:rPr>
                <w:sz w:val="20"/>
                <w:szCs w:val="20"/>
                <w:color w:val="auto"/>
              </w:rPr>
            </w:pPr>
            <w:r>
              <w:rPr>
                <w:rFonts w:ascii="Arial" w:cs="Arial" w:eastAsia="Arial" w:hAnsi="Arial"/>
                <w:sz w:val="16"/>
                <w:szCs w:val="16"/>
                <w:b w:val="1"/>
                <w:bCs w:val="1"/>
                <w:color w:val="auto"/>
              </w:rPr>
              <w:t>Common Stock</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9"/>
              </w:rPr>
              <w:t>Accumulated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5"/>
          </w:tcPr>
          <w:p>
            <w:pPr>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940" w:type="dxa"/>
            <w:vAlign w:val="bottom"/>
          </w:tcPr>
          <w:p>
            <w:pPr>
              <w:spacing w:after="0"/>
              <w:rPr>
                <w:sz w:val="15"/>
                <w:szCs w:val="15"/>
                <w:color w:val="auto"/>
              </w:rPr>
            </w:pPr>
          </w:p>
        </w:tc>
        <w:tc>
          <w:tcPr>
            <w:tcW w:w="860" w:type="dxa"/>
            <w:vAlign w:val="bottom"/>
            <w:gridSpan w:val="3"/>
          </w:tcPr>
          <w:p>
            <w:pPr>
              <w:ind w:left="80"/>
              <w:spacing w:after="0" w:line="182" w:lineRule="exact"/>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ind w:left="100"/>
              <w:spacing w:after="0" w:line="182" w:lineRule="exact"/>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4"/>
          </w:tcPr>
          <w:p>
            <w:pPr>
              <w:spacing w:after="0" w:line="182" w:lineRule="exact"/>
              <w:rPr>
                <w:sz w:val="20"/>
                <w:szCs w:val="20"/>
                <w:color w:val="auto"/>
              </w:rPr>
            </w:pPr>
            <w:r>
              <w:rPr>
                <w:rFonts w:ascii="Arial" w:cs="Arial" w:eastAsia="Arial" w:hAnsi="Arial"/>
                <w:sz w:val="16"/>
                <w:szCs w:val="16"/>
                <w:b w:val="1"/>
                <w:bCs w:val="1"/>
                <w:color w:val="auto"/>
              </w:rPr>
              <w:t>paid-in</w:t>
            </w:r>
          </w:p>
        </w:tc>
        <w:tc>
          <w:tcPr>
            <w:tcW w:w="1240" w:type="dxa"/>
            <w:vAlign w:val="bottom"/>
            <w:gridSpan w:val="4"/>
          </w:tcPr>
          <w:p>
            <w:pPr>
              <w:jc w:val="center"/>
              <w:ind w:right="220"/>
              <w:spacing w:after="0" w:line="182" w:lineRule="exact"/>
              <w:rPr>
                <w:sz w:val="20"/>
                <w:szCs w:val="20"/>
                <w:color w:val="auto"/>
              </w:rPr>
            </w:pPr>
            <w:r>
              <w:rPr>
                <w:rFonts w:ascii="Arial" w:cs="Arial" w:eastAsia="Arial" w:hAnsi="Arial"/>
                <w:sz w:val="16"/>
                <w:szCs w:val="16"/>
                <w:b w:val="1"/>
                <w:bCs w:val="1"/>
                <w:color w:val="auto"/>
                <w:w w:val="86"/>
              </w:rPr>
              <w:t>comprehensive</w:t>
            </w:r>
          </w:p>
        </w:tc>
        <w:tc>
          <w:tcPr>
            <w:tcW w:w="1120" w:type="dxa"/>
            <w:vAlign w:val="bottom"/>
            <w:gridSpan w:val="4"/>
          </w:tcPr>
          <w:p>
            <w:pPr>
              <w:spacing w:after="0" w:line="182" w:lineRule="exact"/>
              <w:rPr>
                <w:sz w:val="20"/>
                <w:szCs w:val="20"/>
                <w:color w:val="auto"/>
              </w:rPr>
            </w:pPr>
            <w:r>
              <w:rPr>
                <w:rFonts w:ascii="Arial" w:cs="Arial" w:eastAsia="Arial" w:hAnsi="Arial"/>
                <w:sz w:val="16"/>
                <w:szCs w:val="16"/>
                <w:b w:val="1"/>
                <w:bCs w:val="1"/>
                <w:color w:val="auto"/>
              </w:rPr>
              <w:t>Accumulated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2940" w:type="dxa"/>
            <w:vAlign w:val="bottom"/>
          </w:tcPr>
          <w:p>
            <w:pPr>
              <w:spacing w:after="0"/>
              <w:rPr>
                <w:sz w:val="18"/>
                <w:szCs w:val="18"/>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5"/>
              </w:rPr>
              <w:t>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220" w:type="dxa"/>
            <w:vAlign w:val="bottom"/>
            <w:gridSpan w:val="2"/>
          </w:tcPr>
          <w:p>
            <w:pPr>
              <w:spacing w:after="0"/>
              <w:rPr>
                <w:sz w:val="18"/>
                <w:szCs w:val="18"/>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2"/>
              </w:rPr>
              <w:t>of shares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5"/>
              </w:rPr>
              <w:t>Amount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capital</w:t>
            </w:r>
          </w:p>
        </w:tc>
        <w:tc>
          <w:tcPr>
            <w:tcW w:w="22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59"/>
              <w:spacing w:after="0"/>
              <w:rPr>
                <w:sz w:val="20"/>
                <w:szCs w:val="20"/>
                <w:color w:val="auto"/>
              </w:rPr>
            </w:pPr>
            <w:r>
              <w:rPr>
                <w:rFonts w:ascii="Arial" w:cs="Arial" w:eastAsia="Arial" w:hAnsi="Arial"/>
                <w:sz w:val="16"/>
                <w:szCs w:val="16"/>
                <w:b w:val="1"/>
                <w:bCs w:val="1"/>
                <w:color w:val="auto"/>
                <w:w w:val="87"/>
              </w:rPr>
              <w:t>gain (loss)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3"/>
              </w:rPr>
              <w:t>deficit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January 1, 2022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27,323</w:t>
            </w: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27</w:t>
            </w:r>
          </w:p>
        </w:tc>
        <w:tc>
          <w:tcPr>
            <w:tcW w:w="140" w:type="dxa"/>
            <w:vAlign w:val="bottom"/>
            <w:tcBorders>
              <w:left w:val="single" w:sz="8" w:color="CCEEFF"/>
            </w:tcBorders>
            <w:shd w:val="clear" w:color="auto" w:fill="CCEEFF"/>
          </w:tcPr>
          <w:p>
            <w:pPr>
              <w:spacing w:after="0"/>
              <w:rPr>
                <w:sz w:val="17"/>
                <w:szCs w:val="17"/>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381,143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16,071</w:t>
            </w: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(142,671)</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254,570</w:t>
            </w:r>
          </w:p>
        </w:tc>
        <w:tc>
          <w:tcPr>
            <w:tcW w:w="0" w:type="dxa"/>
            <w:vAlign w:val="bottom"/>
          </w:tcPr>
          <w:p>
            <w:pPr>
              <w:spacing w:after="0"/>
              <w:rPr>
                <w:sz w:val="1"/>
                <w:szCs w:val="1"/>
                <w:color w:val="auto"/>
              </w:rPr>
            </w:pPr>
          </w:p>
        </w:tc>
      </w:tr>
      <w:tr>
        <w:trPr>
          <w:trHeight w:val="193"/>
        </w:trPr>
        <w:tc>
          <w:tcPr>
            <w:tcW w:w="2940" w:type="dxa"/>
            <w:vAlign w:val="bottom"/>
          </w:tcPr>
          <w:p>
            <w:pPr>
              <w:spacing w:after="0"/>
              <w:rPr>
                <w:sz w:val="20"/>
                <w:szCs w:val="20"/>
                <w:color w:val="auto"/>
              </w:rPr>
            </w:pPr>
            <w:r>
              <w:rPr>
                <w:rFonts w:ascii="Arial" w:cs="Arial" w:eastAsia="Arial" w:hAnsi="Arial"/>
                <w:sz w:val="16"/>
                <w:szCs w:val="16"/>
                <w:color w:val="auto"/>
                <w:w w:val="98"/>
              </w:rPr>
              <w:t>Issuance of restricted stock, net of shares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6"/>
                <w:szCs w:val="16"/>
                <w:color w:val="auto"/>
              </w:rPr>
              <w:t>withheld for employee tax</w:t>
            </w:r>
          </w:p>
        </w:tc>
        <w:tc>
          <w:tcPr>
            <w:tcW w:w="100" w:type="dxa"/>
            <w:vAlign w:val="bottom"/>
          </w:tcPr>
          <w:p>
            <w:pPr>
              <w:spacing w:after="0"/>
              <w:rPr>
                <w:sz w:val="18"/>
                <w:szCs w:val="18"/>
                <w:color w:val="auto"/>
              </w:rPr>
            </w:pPr>
          </w:p>
        </w:tc>
        <w:tc>
          <w:tcPr>
            <w:tcW w:w="7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641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06"/>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7,243</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Public offering of common stock, net</w:t>
            </w:r>
          </w:p>
        </w:tc>
        <w:tc>
          <w:tcPr>
            <w:tcW w:w="100" w:type="dxa"/>
            <w:vAlign w:val="bottom"/>
          </w:tcPr>
          <w:p>
            <w:pPr>
              <w:spacing w:after="0"/>
              <w:rPr>
                <w:sz w:val="17"/>
                <w:szCs w:val="17"/>
                <w:color w:val="auto"/>
              </w:rPr>
            </w:pPr>
          </w:p>
        </w:tc>
        <w:tc>
          <w:tcPr>
            <w:tcW w:w="7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94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(17,059)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(17,059)</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7"/>
                <w:szCs w:val="17"/>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(46,147)</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(46,147)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September 30, 2022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28,058</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28</w:t>
            </w:r>
          </w:p>
        </w:tc>
        <w:tc>
          <w:tcPr>
            <w:tcW w:w="14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388,316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(988)</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(188,818)</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198,538</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5"/>
            <w:vMerge w:val="restart"/>
          </w:tcPr>
          <w:p>
            <w:pPr>
              <w:ind w:left="320"/>
              <w:spacing w:after="0"/>
              <w:rPr>
                <w:sz w:val="20"/>
                <w:szCs w:val="20"/>
                <w:color w:val="auto"/>
              </w:rPr>
            </w:pPr>
            <w:r>
              <w:rPr>
                <w:rFonts w:ascii="Arial" w:cs="Arial" w:eastAsia="Arial" w:hAnsi="Arial"/>
                <w:sz w:val="16"/>
                <w:szCs w:val="16"/>
                <w:b w:val="1"/>
                <w:bCs w:val="1"/>
                <w:color w:val="auto"/>
                <w:w w:val="92"/>
              </w:rPr>
              <w:t>Preferred Stock</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Common Stock</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gridSpan w:val="4"/>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ind w:left="20"/>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100"/>
              <w:spacing w:after="0" w:line="182" w:lineRule="exact"/>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200"/>
              <w:spacing w:after="0" w:line="182" w:lineRule="exact"/>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3"/>
          </w:tcPr>
          <w:p>
            <w:pPr>
              <w:jc w:val="right"/>
              <w:ind w:right="220"/>
              <w:spacing w:after="0" w:line="182" w:lineRule="exact"/>
              <w:rPr>
                <w:sz w:val="20"/>
                <w:szCs w:val="20"/>
                <w:color w:val="auto"/>
              </w:rPr>
            </w:pPr>
            <w:r>
              <w:rPr>
                <w:rFonts w:ascii="Arial" w:cs="Arial" w:eastAsia="Arial" w:hAnsi="Arial"/>
                <w:sz w:val="16"/>
                <w:szCs w:val="16"/>
                <w:b w:val="1"/>
                <w:bCs w:val="1"/>
                <w:color w:val="auto"/>
                <w:w w:val="99"/>
              </w:rPr>
              <w:t>paid-in</w:t>
            </w:r>
          </w:p>
        </w:tc>
        <w:tc>
          <w:tcPr>
            <w:tcW w:w="120" w:type="dxa"/>
            <w:vAlign w:val="bottom"/>
          </w:tcPr>
          <w:p>
            <w:pPr>
              <w:spacing w:after="0"/>
              <w:rPr>
                <w:sz w:val="15"/>
                <w:szCs w:val="15"/>
                <w:color w:val="auto"/>
              </w:rPr>
            </w:pPr>
          </w:p>
        </w:tc>
        <w:tc>
          <w:tcPr>
            <w:tcW w:w="1120" w:type="dxa"/>
            <w:vAlign w:val="bottom"/>
            <w:gridSpan w:val="3"/>
          </w:tcPr>
          <w:p>
            <w:pPr>
              <w:jc w:val="center"/>
              <w:ind w:right="80"/>
              <w:spacing w:after="0" w:line="182" w:lineRule="exact"/>
              <w:rPr>
                <w:sz w:val="20"/>
                <w:szCs w:val="20"/>
                <w:color w:val="auto"/>
              </w:rPr>
            </w:pPr>
            <w:r>
              <w:rPr>
                <w:rFonts w:ascii="Arial" w:cs="Arial" w:eastAsia="Arial" w:hAnsi="Arial"/>
                <w:sz w:val="16"/>
                <w:szCs w:val="16"/>
                <w:b w:val="1"/>
                <w:bCs w:val="1"/>
                <w:color w:val="auto"/>
                <w:w w:val="88"/>
              </w:rPr>
              <w:t>comprehensive</w:t>
            </w:r>
          </w:p>
        </w:tc>
        <w:tc>
          <w:tcPr>
            <w:tcW w:w="140" w:type="dxa"/>
            <w:vAlign w:val="bottom"/>
          </w:tcPr>
          <w:p>
            <w:pPr>
              <w:spacing w:after="0"/>
              <w:rPr>
                <w:sz w:val="15"/>
                <w:szCs w:val="15"/>
                <w:color w:val="auto"/>
              </w:rPr>
            </w:pPr>
          </w:p>
        </w:tc>
        <w:tc>
          <w:tcPr>
            <w:tcW w:w="980" w:type="dxa"/>
            <w:vAlign w:val="bottom"/>
            <w:gridSpan w:val="3"/>
          </w:tcPr>
          <w:p>
            <w:pPr>
              <w:jc w:val="right"/>
              <w:ind w:right="280"/>
              <w:spacing w:after="0" w:line="182" w:lineRule="exact"/>
              <w:rPr>
                <w:sz w:val="20"/>
                <w:szCs w:val="20"/>
                <w:color w:val="auto"/>
              </w:rPr>
            </w:pPr>
            <w:r>
              <w:rPr>
                <w:rFonts w:ascii="Arial" w:cs="Arial" w:eastAsia="Arial" w:hAnsi="Arial"/>
                <w:sz w:val="16"/>
                <w:szCs w:val="16"/>
                <w:b w:val="1"/>
                <w:bCs w:val="1"/>
                <w:color w:val="auto"/>
              </w:rPr>
              <w:t>Retained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2"/>
              </w:rPr>
              <w:t>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w w:val="95"/>
              </w:rPr>
              <w:t>of shares</w:t>
            </w:r>
          </w:p>
        </w:tc>
        <w:tc>
          <w:tcPr>
            <w:tcW w:w="120" w:type="dxa"/>
            <w:vAlign w:val="bottom"/>
          </w:tcPr>
          <w:p>
            <w:pPr>
              <w:spacing w:after="0"/>
              <w:rPr>
                <w:sz w:val="18"/>
                <w:szCs w:val="18"/>
                <w:color w:val="auto"/>
              </w:rPr>
            </w:pPr>
          </w:p>
        </w:tc>
        <w:tc>
          <w:tcPr>
            <w:tcW w:w="7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w w:val="98"/>
              </w:rPr>
              <w:t>capital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7"/>
              </w:rPr>
              <w:t>gain (loss)</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6"/>
              </w:rPr>
              <w:t>earnings</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January 1, 2021</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25,110</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jc w:val="right"/>
              <w:ind w:right="280"/>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89"/>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354,685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11,690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(88,509)</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277,891</w:t>
            </w:r>
          </w:p>
        </w:tc>
        <w:tc>
          <w:tcPr>
            <w:tcW w:w="0" w:type="dxa"/>
            <w:vAlign w:val="bottom"/>
          </w:tcPr>
          <w:p>
            <w:pPr>
              <w:spacing w:after="0"/>
              <w:rPr>
                <w:sz w:val="1"/>
                <w:szCs w:val="1"/>
                <w:color w:val="auto"/>
              </w:rPr>
            </w:pPr>
          </w:p>
        </w:tc>
      </w:tr>
      <w:tr>
        <w:trPr>
          <w:trHeight w:val="193"/>
        </w:trPr>
        <w:tc>
          <w:tcPr>
            <w:tcW w:w="2940" w:type="dxa"/>
            <w:vAlign w:val="bottom"/>
          </w:tcPr>
          <w:p>
            <w:pPr>
              <w:spacing w:after="0"/>
              <w:rPr>
                <w:sz w:val="20"/>
                <w:szCs w:val="20"/>
                <w:color w:val="auto"/>
              </w:rPr>
            </w:pPr>
            <w:r>
              <w:rPr>
                <w:rFonts w:ascii="Arial" w:cs="Arial" w:eastAsia="Arial" w:hAnsi="Arial"/>
                <w:sz w:val="16"/>
                <w:szCs w:val="16"/>
                <w:color w:val="auto"/>
              </w:rPr>
              <w:t>Stock options exercised, net of shares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6"/>
                <w:szCs w:val="16"/>
                <w:color w:val="auto"/>
              </w:rPr>
              <w:t>withheld for employee tax</w:t>
            </w:r>
          </w:p>
        </w:tc>
        <w:tc>
          <w:tcPr>
            <w:tcW w:w="100" w:type="dxa"/>
            <w:vAlign w:val="bottom"/>
          </w:tcPr>
          <w:p>
            <w:pPr>
              <w:spacing w:after="0"/>
              <w:rPr>
                <w:sz w:val="18"/>
                <w:szCs w:val="18"/>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6"/>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w w:val="98"/>
              </w:rPr>
              <w:t>Issuance of restricted stock, net of shares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withheld for employee tax</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510</w:t>
            </w:r>
          </w:p>
        </w:tc>
        <w:tc>
          <w:tcPr>
            <w:tcW w:w="1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00" w:type="dxa"/>
            <w:vAlign w:val="bottom"/>
          </w:tcPr>
          <w:p>
            <w:pPr>
              <w:spacing w:after="0"/>
              <w:rPr>
                <w:sz w:val="17"/>
                <w:szCs w:val="17"/>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8,922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8,922</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Public offering of common stock, net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1,553</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15,229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15,231</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100" w:type="dxa"/>
            <w:vAlign w:val="bottom"/>
          </w:tcPr>
          <w:p>
            <w:pPr>
              <w:spacing w:after="0"/>
              <w:rPr>
                <w:sz w:val="17"/>
                <w:szCs w:val="17"/>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2,175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2,175</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(39,622)</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(39,622)</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Pr>
          <w:p>
            <w:pPr>
              <w:spacing w:after="0"/>
              <w:rPr>
                <w:sz w:val="20"/>
                <w:szCs w:val="20"/>
                <w:color w:val="auto"/>
              </w:rPr>
            </w:pPr>
            <w:r>
              <w:rPr>
                <w:rFonts w:ascii="Arial" w:cs="Arial" w:eastAsia="Arial" w:hAnsi="Arial"/>
                <w:sz w:val="16"/>
                <w:szCs w:val="16"/>
                <w:color w:val="auto"/>
              </w:rPr>
              <w:t>September 30, 2021</w:t>
            </w:r>
          </w:p>
        </w:tc>
        <w:tc>
          <w:tcPr>
            <w:tcW w:w="100" w:type="dxa"/>
            <w:vAlign w:val="bottom"/>
          </w:tcPr>
          <w:p>
            <w:pPr>
              <w:spacing w:after="0"/>
              <w:rPr>
                <w:sz w:val="17"/>
                <w:szCs w:val="17"/>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6"/>
                <w:szCs w:val="16"/>
                <w:color w:val="auto"/>
              </w:rPr>
              <w:t>$</w:t>
            </w:r>
          </w:p>
        </w:tc>
        <w:tc>
          <w:tcPr>
            <w:tcW w:w="4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6"/>
                <w:szCs w:val="16"/>
                <w:color w:val="auto"/>
              </w:rPr>
              <w:t>27,175</w:t>
            </w:r>
          </w:p>
        </w:tc>
        <w:tc>
          <w:tcPr>
            <w:tcW w:w="120" w:type="dxa"/>
            <w:vAlign w:val="bottom"/>
          </w:tcPr>
          <w:p>
            <w:pPr>
              <w:spacing w:after="0"/>
              <w:rPr>
                <w:sz w:val="17"/>
                <w:szCs w:val="17"/>
                <w:color w:val="auto"/>
              </w:rPr>
            </w:pPr>
          </w:p>
        </w:tc>
        <w:tc>
          <w:tcPr>
            <w:tcW w:w="440" w:type="dxa"/>
            <w:vAlign w:val="bottom"/>
          </w:tcPr>
          <w:p>
            <w:pPr>
              <w:jc w:val="right"/>
              <w:ind w:right="280"/>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320" w:type="dxa"/>
            <w:vAlign w:val="bottom"/>
            <w:gridSpan w:val="3"/>
          </w:tcPr>
          <w:p>
            <w:pPr>
              <w:ind w:left="220"/>
              <w:spacing w:after="0"/>
              <w:rPr>
                <w:sz w:val="20"/>
                <w:szCs w:val="20"/>
                <w:color w:val="auto"/>
              </w:rPr>
            </w:pPr>
            <w:r>
              <w:rPr>
                <w:rFonts w:ascii="Arial" w:cs="Arial" w:eastAsia="Arial" w:hAnsi="Arial"/>
                <w:sz w:val="16"/>
                <w:szCs w:val="16"/>
                <w:color w:val="auto"/>
                <w:w w:val="89"/>
              </w:rPr>
              <w:t>$</w:t>
            </w: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378,207</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13,865</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(128,131)</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263,968</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2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(Unaudited, in thousands)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(46,147)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(39,622)</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Provision for losses on accounts receivable</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Lower of cost or market reserve adjustment to inventory</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3,335</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17,698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19,188</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Loss on disposal of assets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8,922</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Interest for extinguishment of debt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Extinguishment of debt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(6,229)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Unrealized foreign exchange gain</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2,443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1,021</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Accounts receivable, trade</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2,258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(900)</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Notes receivable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(8,102)</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Prepaid income tax</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13,551</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(2,251)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right of use asset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10,781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(1,149)</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(2,372)</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Lease liability</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(724)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(666)</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(11,383)</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(5,555)</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from disposal of equipment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Deposits for equipment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(2,141)</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Purchase of intangible assets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(7,909)</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 payments of long-term debt and notes payable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(3,276)</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from line of credit borrowings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103,505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103,925</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Repayments of line of credit borrowings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(97,298)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(86,922)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from bank acceptance payable</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33,891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16,702</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Repayments of bank acceptance payable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(26,150)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Principal payments of financing lease</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Payments of tax withholding on behalf of employees related to share-based compensation</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(696)</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common stock offering, net</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18,975</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(6,561)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(1,217)</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34,575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48,897</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paid for:</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net of amounts capitalized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4,691</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Extinguishment of Debt and interest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(6,299)</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accounts payable related to property and equipment additions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(4,147)</w:t>
            </w: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Net change in deposits and prepaid for equipment related to property and equipment additions</w:t>
            </w:r>
          </w:p>
        </w:tc>
        <w:tc>
          <w:tcPr>
            <w:tcW w:w="18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340" w:right="2660"/>
        <w:spacing w:after="0" w:line="266" w:lineRule="auto"/>
        <w:rPr>
          <w:sz w:val="20"/>
          <w:szCs w:val="20"/>
          <w:color w:val="auto"/>
        </w:rPr>
      </w:pPr>
      <w:r>
        <w:rPr>
          <w:rFonts w:ascii="Arial" w:cs="Arial" w:eastAsia="Arial" w:hAnsi="Arial"/>
          <w:sz w:val="18"/>
          <w:szCs w:val="18"/>
          <w:b w:val="1"/>
          <w:bCs w:val="1"/>
          <w:color w:val="auto"/>
        </w:rPr>
        <w:t>Applied Optoelectronics, Inc. and Subsidiaries NOTES TO CONDENSED CONSOLIDATED FINANCIAL STATEMENTS (Unaudited)</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Business Overview</w:t>
      </w:r>
    </w:p>
    <w:p>
      <w:pPr>
        <w:spacing w:after="0" w:line="225" w:lineRule="exact"/>
        <w:rPr>
          <w:sz w:val="20"/>
          <w:szCs w:val="20"/>
          <w:color w:val="auto"/>
        </w:rPr>
      </w:pPr>
    </w:p>
    <w:p>
      <w:pPr>
        <w:ind w:left="20" w:right="140" w:firstLine="648"/>
        <w:spacing w:after="0" w:line="259" w:lineRule="auto"/>
        <w:rPr>
          <w:sz w:val="20"/>
          <w:szCs w:val="20"/>
          <w:color w:val="auto"/>
        </w:rPr>
      </w:pPr>
      <w:r>
        <w:rPr>
          <w:rFonts w:ascii="Arial" w:cs="Arial" w:eastAsia="Arial" w:hAnsi="Arial"/>
          <w:sz w:val="18"/>
          <w:szCs w:val="18"/>
          <w:color w:val="auto"/>
        </w:rPr>
        <w:t>Applied Optoelectronics, Inc. (“AOI” or the “Company”) is a Delaware corporation. The Company is a leading, vertically integrated provider of fiber-optic networking products, primarily for four networking end-markets: cable television ("CATV"), internet data center, telecommunications ("telecom") and fiber-to-the-home ("FTTH"). The Company designs and manufactures a wide range of optical communications products at varying levels of integration, from components, subassemblies and modules to complete turn-key equipment.</w:t>
      </w:r>
    </w:p>
    <w:p>
      <w:pPr>
        <w:spacing w:after="0" w:line="187" w:lineRule="exact"/>
        <w:rPr>
          <w:sz w:val="20"/>
          <w:szCs w:val="20"/>
          <w:color w:val="auto"/>
        </w:rPr>
      </w:pPr>
    </w:p>
    <w:p>
      <w:pPr>
        <w:ind w:left="20" w:right="180" w:firstLine="648"/>
        <w:spacing w:after="0" w:line="290" w:lineRule="auto"/>
        <w:rPr>
          <w:sz w:val="20"/>
          <w:szCs w:val="20"/>
          <w:color w:val="auto"/>
        </w:rPr>
      </w:pPr>
      <w:r>
        <w:rPr>
          <w:rFonts w:ascii="Arial" w:cs="Arial" w:eastAsia="Arial" w:hAnsi="Arial"/>
          <w:sz w:val="16"/>
          <w:szCs w:val="16"/>
          <w:color w:val="auto"/>
        </w:rPr>
        <w:t>The Company has manufacturing and research and development facilities located in the U.S., Taiwan and China. In the U.S., at its corporate headquarters and manufacturing facilities in Sugar Land, Texas, the Company primarily manufactures lasers and laser components and performs research and development activities for laser component and optical module products. In addition, the Company also has a research and development facility in Duluth, Georgia. The Company operates in Taipei, Taiwan and Ningbo, China through its wholly-owned subsidiary Prime World International Holdings, Ltd. (“Prime World”, incorporated in the British Virgin Islands). Prime World operates a branch in Taipei, Taiwan, which primarily manufactures transceivers and performs research and development activities for the transceiver products. Prime World is also the parent of Global Technology, Inc. (“Global”, incorporated in the People’s Republic of China). Through Global, the Company primarily manufactures certain of its data center transceiver products, including subassemblies, as well as CATV systems and equipment, and performs research and development activities for the CATV products.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Interim Financial Statements</w:t>
      </w:r>
    </w:p>
    <w:p>
      <w:pPr>
        <w:spacing w:after="0" w:line="225" w:lineRule="exact"/>
        <w:rPr>
          <w:sz w:val="20"/>
          <w:szCs w:val="20"/>
          <w:color w:val="auto"/>
        </w:rPr>
      </w:pPr>
    </w:p>
    <w:p>
      <w:pPr>
        <w:ind w:left="20" w:right="60" w:firstLine="648"/>
        <w:spacing w:after="0" w:line="269" w:lineRule="auto"/>
        <w:rPr>
          <w:sz w:val="20"/>
          <w:szCs w:val="20"/>
          <w:color w:val="auto"/>
        </w:rPr>
      </w:pPr>
      <w:r>
        <w:rPr>
          <w:rFonts w:ascii="Arial" w:cs="Arial" w:eastAsia="Arial" w:hAnsi="Arial"/>
          <w:sz w:val="17"/>
          <w:szCs w:val="17"/>
          <w:color w:val="auto"/>
        </w:rPr>
        <w:t>The unaudited condensed consolidated financial statements of the Company as of September 30, 2022 and December 31, 2021 and for the three and nine months ended September 30, 2022 and September 30, 2021, have been prepared in accordance with accounting principles generally accepted in the United States of America (“GAAP”) for interim information and with the instructions on Form 10-Q and Rule 10-01 of Regulation S-X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10-K (“Annual Report”) for the fiscal year ended December 31, 2021. The results of operations for the three and nine months ended September 30, 2022 are not necessarily indicative of the results expected for the entire fiscal year. All significant inter-company accounts and transactions have been eliminated.</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left="20" w:right="20"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revenue recognition, allowance for credit losses, inventory reserve, impairment of long-lived assets, service and product warranty costs, share-based compensation expense, estimated useful lives of property and equipment, and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 Agreement with Yuhan Optoelectronic Technology (Shanghai) Co., Ltd</w:t>
      </w:r>
    </w:p>
    <w:p>
      <w:pPr>
        <w:spacing w:after="0" w:line="225" w:lineRule="exact"/>
        <w:rPr>
          <w:sz w:val="20"/>
          <w:szCs w:val="20"/>
          <w:color w:val="auto"/>
        </w:rPr>
      </w:pPr>
    </w:p>
    <w:p>
      <w:pPr>
        <w:ind w:left="20" w:right="120" w:firstLine="648"/>
        <w:spacing w:after="0" w:line="301" w:lineRule="auto"/>
        <w:rPr>
          <w:sz w:val="20"/>
          <w:szCs w:val="20"/>
          <w:color w:val="auto"/>
        </w:rPr>
      </w:pPr>
      <w:r>
        <w:rPr>
          <w:rFonts w:ascii="Arial" w:cs="Arial" w:eastAsia="Arial" w:hAnsi="Arial"/>
          <w:sz w:val="16"/>
          <w:szCs w:val="16"/>
          <w:color w:val="auto"/>
        </w:rPr>
        <w:t>On September 15, 2022, the Company entered into a definitive purchase agreement with Yuhan Optoelectronic Technology (Shanghai) Co., Ltd ("Purchaser"), which is a company incorporated in the People's Republic of China ("PRC"), to divest the Company's manufacturing facilities in PRC and certain assets related to its transceiver business and multi-channel optical sub-assembly products. The closing of the transactions subject to the satisfaction of certain closing conditions, including the approval from the Committee on Foreign Investment in the United States ("CFIUS").</w:t>
      </w:r>
    </w:p>
    <w:p>
      <w:pPr>
        <w:spacing w:after="0" w:line="157" w:lineRule="exact"/>
        <w:rPr>
          <w:sz w:val="20"/>
          <w:szCs w:val="20"/>
          <w:color w:val="auto"/>
        </w:rPr>
      </w:pPr>
    </w:p>
    <w:p>
      <w:pPr>
        <w:jc w:val="both"/>
        <w:ind w:left="20" w:right="180" w:firstLine="648"/>
        <w:spacing w:after="0" w:line="263" w:lineRule="auto"/>
        <w:rPr>
          <w:sz w:val="20"/>
          <w:szCs w:val="20"/>
          <w:color w:val="auto"/>
        </w:rPr>
      </w:pPr>
      <w:r>
        <w:rPr>
          <w:rFonts w:ascii="Arial" w:cs="Arial" w:eastAsia="Arial" w:hAnsi="Arial"/>
          <w:sz w:val="18"/>
          <w:szCs w:val="18"/>
          <w:color w:val="auto"/>
        </w:rPr>
        <w:t>The purchase price will be an amount equal to the $150 million USD equivalent of Renminbi, less a holdback amount. Prior to the closing of the transaction the Company anticipates investing an amount equal to between 4% and 10% of the estimated proceeds from the transaction in exchange for a 10% equity interest in the Purchaser.</w:t>
      </w:r>
    </w:p>
    <w:p>
      <w:pPr>
        <w:spacing w:after="0" w:line="184" w:lineRule="exact"/>
        <w:rPr>
          <w:sz w:val="20"/>
          <w:szCs w:val="20"/>
          <w:color w:val="auto"/>
        </w:rPr>
      </w:pPr>
    </w:p>
    <w:p>
      <w:pPr>
        <w:ind w:left="20" w:firstLine="648"/>
        <w:spacing w:after="0" w:line="254" w:lineRule="auto"/>
        <w:rPr>
          <w:sz w:val="20"/>
          <w:szCs w:val="20"/>
          <w:color w:val="auto"/>
        </w:rPr>
      </w:pPr>
      <w:r>
        <w:rPr>
          <w:rFonts w:ascii="Arial" w:cs="Arial" w:eastAsia="Arial" w:hAnsi="Arial"/>
          <w:sz w:val="18"/>
          <w:szCs w:val="18"/>
          <w:color w:val="auto"/>
        </w:rPr>
        <w:t xml:space="preserve">Our management has performed an evaluation as required by </w:t>
      </w:r>
      <w:r>
        <w:rPr>
          <w:rFonts w:ascii="Arial" w:cs="Arial" w:eastAsia="Arial" w:hAnsi="Arial"/>
          <w:sz w:val="18"/>
          <w:szCs w:val="18"/>
          <w:i w:val="1"/>
          <w:iCs w:val="1"/>
          <w:color w:val="auto"/>
        </w:rPr>
        <w:t>ASC-360-10-45-9</w:t>
      </w:r>
      <w:r>
        <w:rPr>
          <w:rFonts w:ascii="Arial" w:cs="Arial" w:eastAsia="Arial" w:hAnsi="Arial"/>
          <w:sz w:val="18"/>
          <w:szCs w:val="18"/>
          <w:color w:val="auto"/>
        </w:rPr>
        <w:t xml:space="preserve"> to determine whether to classify certain our assets and liabilities as held for sale as of September 30, 2022. </w:t>
      </w:r>
      <w:r>
        <w:rPr>
          <w:rFonts w:ascii="Arial" w:cs="Arial" w:eastAsia="Arial" w:hAnsi="Arial"/>
          <w:sz w:val="18"/>
          <w:szCs w:val="18"/>
          <w:i w:val="1"/>
          <w:iCs w:val="1"/>
          <w:color w:val="auto"/>
        </w:rPr>
        <w:t>ASC 360</w:t>
      </w:r>
      <w:r>
        <w:rPr>
          <w:rFonts w:ascii="Arial" w:cs="Arial" w:eastAsia="Arial" w:hAnsi="Arial"/>
          <w:sz w:val="18"/>
          <w:szCs w:val="18"/>
          <w:color w:val="auto"/>
        </w:rPr>
        <w:t xml:space="preserve"> requires that a company classifies a business as held for sale in the period in which management commits to a plan to sell the business, the business is available for immediate sale in its present condition, an active program to complete the plan to sell the business is initiated, the sale of the business within one year is probable and the business is being marketed at a reasonable price in relation to its fair value. The proposed sale is subject to CFIUS' approval and the probability is less likely to be deemed "probable" as of September 30, 2022. Additionally, there is no financial disincentive for the buyer not to request additional changes. As a result, our management concludes that none of our assets or liabilities are required to be classified as held for sale.</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left="20" w:right="600" w:firstLine="648"/>
        <w:spacing w:after="0" w:line="308" w:lineRule="auto"/>
        <w:rPr>
          <w:sz w:val="20"/>
          <w:szCs w:val="20"/>
          <w:color w:val="auto"/>
        </w:rPr>
      </w:pPr>
      <w:r>
        <w:rPr>
          <w:rFonts w:ascii="Arial" w:cs="Arial" w:eastAsia="Arial" w:hAnsi="Arial"/>
          <w:sz w:val="17"/>
          <w:szCs w:val="17"/>
          <w:color w:val="auto"/>
        </w:rPr>
        <w:t>There have been no changes in the Company’s significant accounting policies for the three and nine months ended September 30, 2022, as compared to the significant accounting policies described in its 2021 Annual Report, except as described below.</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Recent Accounting Pronouncements Yet to be Adopted</w:t>
      </w:r>
    </w:p>
    <w:p>
      <w:pPr>
        <w:spacing w:after="0" w:line="225" w:lineRule="exact"/>
        <w:rPr>
          <w:sz w:val="20"/>
          <w:szCs w:val="20"/>
          <w:color w:val="auto"/>
        </w:rPr>
      </w:pPr>
    </w:p>
    <w:p>
      <w:pPr>
        <w:ind w:left="20" w:right="940" w:firstLine="648"/>
        <w:spacing w:after="0" w:line="277" w:lineRule="auto"/>
        <w:rPr>
          <w:sz w:val="20"/>
          <w:szCs w:val="20"/>
          <w:color w:val="auto"/>
        </w:rPr>
      </w:pPr>
      <w:r>
        <w:rPr>
          <w:rFonts w:ascii="Arial" w:cs="Arial" w:eastAsia="Arial" w:hAnsi="Arial"/>
          <w:sz w:val="18"/>
          <w:szCs w:val="18"/>
          <w:color w:val="auto"/>
        </w:rPr>
        <w:t>To date, there have been no recent accounting pronouncement not yet effective that have significance, or potential significance, to our Consolidated Financial Statements.</w:t>
      </w:r>
    </w:p>
    <w:p>
      <w:pPr>
        <w:sectPr>
          <w:pgSz w:w="11900" w:h="16841" w:orient="portrait"/>
          <w:cols w:equalWidth="0" w:num="1">
            <w:col w:w="11240"/>
          </w:cols>
          <w:pgMar w:left="300" w:top="125" w:right="359" w:bottom="0" w:gutter="0" w:footer="0" w:header="0"/>
        </w:sectPr>
      </w:pPr>
    </w:p>
    <w:bookmarkStart w:id="8" w:name="page9"/>
    <w:bookmarkEnd w:id="8"/>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Revenue is classified based on the location where the product is manufactured. For additional information on the disaggregated revenues by geographical region, see Note 17, "Geographic Information.”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also classified by major product category and is presented below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38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w w:val="88"/>
              </w:rPr>
              <w:t>Three months ended September 30,</w:t>
            </w: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4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CATV</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31,260</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23,101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Data Center</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17,697</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23,929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Telecom</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5,148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FTTH</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56,693</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53,267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38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8"/>
                <w:szCs w:val="18"/>
                <w:b w:val="1"/>
                <w:bCs w:val="1"/>
                <w:color w:val="auto"/>
                <w:w w:val="90"/>
              </w:rPr>
              <w:t>Nine months ended September 30,</w:t>
            </w: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4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CATV</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79,953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69,339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Data Center</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60,608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72,259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Telecom</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18,362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12,959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FTTH</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784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161,233</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157,157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leases space under non-cancellable operating leases for manufacturing facilities, research and development offices and certain storage facilities and apartments. These leases do not contain contingent rent provisions. The Company also leases certain machinery, office equipment and a vehicle.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one or more options to renew which have been assessed and either included or excluded from the calculation of the lease liability of the right of use ("ROU") asset based on management’s intentions and individual fact patterns. Several warehouses and apartments have non-cancellable lease terms of less than one-year and therefore, the Company has elected the practical expedient to exclude these short-term leases from its ROU asset and lease liabilities.</w:t>
      </w:r>
    </w:p>
    <w:p>
      <w:pPr>
        <w:spacing w:after="0" w:line="178"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As most of the Company’s leases do not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Three months ended September</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6"/>
          </w:tcPr>
          <w:p>
            <w:pPr>
              <w:ind w:left="2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09"/>
        </w:trPr>
        <w:tc>
          <w:tcPr>
            <w:tcW w:w="394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922</w:t>
            </w: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rPr>
              <w:t>Financing lease expense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lease expense</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r>
      <w:tr>
        <w:trPr>
          <w:trHeight w:val="20"/>
        </w:trPr>
        <w:tc>
          <w:tcPr>
            <w:tcW w:w="39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940" w:type="dxa"/>
            <w:vAlign w:val="bottom"/>
          </w:tcPr>
          <w:p>
            <w:pPr>
              <w:ind w:left="180"/>
              <w:spacing w:after="0"/>
              <w:rPr>
                <w:sz w:val="20"/>
                <w:szCs w:val="20"/>
                <w:color w:val="auto"/>
              </w:rPr>
            </w:pPr>
            <w:r>
              <w:rPr>
                <w:rFonts w:ascii="Arial" w:cs="Arial" w:eastAsia="Arial" w:hAnsi="Arial"/>
                <w:sz w:val="18"/>
                <w:szCs w:val="18"/>
                <w:color w:val="auto"/>
              </w:rPr>
              <w:t>Total lease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323</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961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963</w:t>
            </w:r>
          </w:p>
        </w:tc>
      </w:tr>
      <w:tr>
        <w:trPr>
          <w:trHeight w:val="20"/>
        </w:trPr>
        <w:tc>
          <w:tcPr>
            <w:tcW w:w="3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lease liabilities are as follows for the future one-year periods ending September 30, 2022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15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Operating</w:t>
            </w:r>
          </w:p>
        </w:tc>
        <w:tc>
          <w:tcPr>
            <w:tcW w:w="180" w:type="dxa"/>
            <w:vAlign w:val="bottom"/>
          </w:tcPr>
          <w:p>
            <w:pPr>
              <w:spacing w:after="0"/>
              <w:rPr>
                <w:sz w:val="20"/>
                <w:szCs w:val="20"/>
                <w:color w:val="auto"/>
              </w:rPr>
            </w:pPr>
          </w:p>
        </w:tc>
        <w:tc>
          <w:tcPr>
            <w:tcW w:w="15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Financing</w:t>
            </w:r>
          </w:p>
        </w:tc>
        <w:tc>
          <w:tcPr>
            <w:tcW w:w="80" w:type="dxa"/>
            <w:vAlign w:val="bottom"/>
          </w:tcPr>
          <w:p>
            <w:pPr>
              <w:spacing w:after="0"/>
              <w:rPr>
                <w:sz w:val="20"/>
                <w:szCs w:val="20"/>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1,194</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2024</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1,118</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1,101</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2026</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1,064</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1,038</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2028 and thereafter</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1,757</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0"/>
        </w:trPr>
        <w:tc>
          <w:tcPr>
            <w:tcW w:w="6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7,272</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(704)</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0"/>
        </w:trPr>
        <w:tc>
          <w:tcPr>
            <w:tcW w:w="6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6,568</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231"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231"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remaining lease term and discount rate for the leases were as follows for the periods indicated:</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3440" w:type="dxa"/>
            <w:vAlign w:val="bottom"/>
            <w:gridSpan w:val="4"/>
          </w:tcPr>
          <w:p>
            <w:pPr>
              <w:ind w:left="340"/>
              <w:spacing w:after="0"/>
              <w:rPr>
                <w:sz w:val="20"/>
                <w:szCs w:val="20"/>
                <w:color w:val="auto"/>
              </w:rPr>
            </w:pPr>
            <w:r>
              <w:rPr>
                <w:rFonts w:ascii="Arial" w:cs="Arial" w:eastAsia="Arial" w:hAnsi="Arial"/>
                <w:sz w:val="18"/>
                <w:szCs w:val="18"/>
                <w:b w:val="1"/>
                <w:bCs w:val="1"/>
                <w:color w:val="auto"/>
              </w:rPr>
              <w:t>Nine months ended September 30,</w:t>
            </w:r>
          </w:p>
        </w:tc>
      </w:tr>
      <w:tr>
        <w:trPr>
          <w:trHeight w:val="209"/>
        </w:trPr>
        <w:tc>
          <w:tcPr>
            <w:tcW w:w="6100" w:type="dxa"/>
            <w:vAlign w:val="bottom"/>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r>
      <w:tr>
        <w:trPr>
          <w:trHeight w:val="20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 - operating leases</w:t>
            </w:r>
          </w:p>
        </w:tc>
        <w:tc>
          <w:tcPr>
            <w:tcW w:w="17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6.41</w:t>
            </w:r>
          </w:p>
        </w:tc>
        <w:tc>
          <w:tcPr>
            <w:tcW w:w="16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7.38</w:t>
            </w:r>
          </w:p>
        </w:tc>
      </w:tr>
      <w:tr>
        <w:trPr>
          <w:trHeight w:val="216"/>
        </w:trPr>
        <w:tc>
          <w:tcPr>
            <w:tcW w:w="6100" w:type="dxa"/>
            <w:vAlign w:val="bottom"/>
          </w:tcPr>
          <w:p>
            <w:pPr>
              <w:ind w:left="20"/>
              <w:spacing w:after="0"/>
              <w:rPr>
                <w:sz w:val="20"/>
                <w:szCs w:val="20"/>
                <w:color w:val="auto"/>
              </w:rPr>
            </w:pPr>
            <w:r>
              <w:rPr>
                <w:rFonts w:ascii="Arial" w:cs="Arial" w:eastAsia="Arial" w:hAnsi="Arial"/>
                <w:sz w:val="18"/>
                <w:szCs w:val="18"/>
                <w:color w:val="auto"/>
              </w:rPr>
              <w:t>Weighted Average Remaining Lease Term (Years) - financing leases</w:t>
            </w:r>
          </w:p>
        </w:tc>
        <w:tc>
          <w:tcPr>
            <w:tcW w:w="1780" w:type="dxa"/>
            <w:vAlign w:val="bottom"/>
            <w:gridSpan w:val="2"/>
          </w:tcPr>
          <w:p>
            <w:pPr>
              <w:ind w:left="1200"/>
              <w:spacing w:after="0"/>
              <w:rPr>
                <w:sz w:val="20"/>
                <w:szCs w:val="20"/>
                <w:color w:val="auto"/>
              </w:rPr>
            </w:pPr>
            <w:r>
              <w:rPr>
                <w:rFonts w:ascii="Arial" w:cs="Arial" w:eastAsia="Arial" w:hAnsi="Arial"/>
                <w:sz w:val="18"/>
                <w:szCs w:val="18"/>
                <w:color w:val="auto"/>
              </w:rPr>
              <w:t>1.08</w:t>
            </w:r>
          </w:p>
        </w:tc>
        <w:tc>
          <w:tcPr>
            <w:tcW w:w="1660" w:type="dxa"/>
            <w:vAlign w:val="bottom"/>
            <w:gridSpan w:val="2"/>
          </w:tcPr>
          <w:p>
            <w:pPr>
              <w:ind w:left="1200"/>
              <w:spacing w:after="0"/>
              <w:rPr>
                <w:sz w:val="20"/>
                <w:szCs w:val="20"/>
                <w:color w:val="auto"/>
              </w:rPr>
            </w:pPr>
            <w:r>
              <w:rPr>
                <w:rFonts w:ascii="Arial" w:cs="Arial" w:eastAsia="Arial" w:hAnsi="Arial"/>
                <w:sz w:val="18"/>
                <w:szCs w:val="18"/>
                <w:color w:val="auto"/>
              </w:rPr>
              <w:t>2.33</w:t>
            </w: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17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3.22%</w:t>
            </w:r>
          </w:p>
        </w:tc>
        <w:tc>
          <w:tcPr>
            <w:tcW w:w="16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86"/>
              </w:rPr>
              <w:t>3.23%</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Weighted Average Discount Rate - financing leases</w:t>
            </w:r>
          </w:p>
        </w:tc>
        <w:tc>
          <w:tcPr>
            <w:tcW w:w="1780" w:type="dxa"/>
            <w:vAlign w:val="bottom"/>
            <w:gridSpan w:val="2"/>
          </w:tcPr>
          <w:p>
            <w:pPr>
              <w:ind w:left="1200"/>
              <w:spacing w:after="0"/>
              <w:rPr>
                <w:sz w:val="20"/>
                <w:szCs w:val="20"/>
                <w:color w:val="auto"/>
              </w:rPr>
            </w:pPr>
            <w:r>
              <w:rPr>
                <w:rFonts w:ascii="Arial" w:cs="Arial" w:eastAsia="Arial" w:hAnsi="Arial"/>
                <w:sz w:val="18"/>
                <w:szCs w:val="18"/>
                <w:color w:val="auto"/>
              </w:rPr>
              <w:t>5.00%</w:t>
            </w:r>
          </w:p>
        </w:tc>
        <w:tc>
          <w:tcPr>
            <w:tcW w:w="1660" w:type="dxa"/>
            <w:vAlign w:val="bottom"/>
            <w:gridSpan w:val="2"/>
          </w:tcPr>
          <w:p>
            <w:pPr>
              <w:ind w:left="1200"/>
              <w:spacing w:after="0"/>
              <w:rPr>
                <w:sz w:val="20"/>
                <w:szCs w:val="20"/>
                <w:color w:val="auto"/>
              </w:rPr>
            </w:pPr>
            <w:r>
              <w:rPr>
                <w:rFonts w:ascii="Arial" w:cs="Arial" w:eastAsia="Arial" w:hAnsi="Arial"/>
                <w:sz w:val="18"/>
                <w:szCs w:val="18"/>
                <w:color w:val="auto"/>
                <w:w w:val="86"/>
              </w:rPr>
              <w:t>5.00%</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the leases was as follows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09"/>
        </w:trPr>
        <w:tc>
          <w:tcPr>
            <w:tcW w:w="622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56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903</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980</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flows from financing lease</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Financing cash flows from financing lease</w:t>
            </w: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Cash, Cash Equivalents and Restricted Cash</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in the statement of cash flows (in thousands):</w:t>
      </w:r>
    </w:p>
    <w:p>
      <w:pPr>
        <w:spacing w:after="0" w:line="166"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22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34,656</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8,307</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6,480</w:t>
            </w:r>
          </w:p>
        </w:tc>
      </w:tr>
      <w:tr>
        <w:trPr>
          <w:trHeight w:val="20"/>
        </w:trPr>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Total cash, cash equivalents and restricted cash shown in the statement of cash flows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41,136</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Restricted cash includes guarantee deposits for customs duties, China government subsidy fund, and compensating balances required for certain credit facilities. As of September 30, 2022 and December 31, 2021, there was $6.4 million and $3.0 million of restricted cash required for bank acceptance notes issued to vendors, respectively. In addition, there was $0.8 million and $2.4 million certificate of deposit associated with credit facilities with a bank in China as of September 30, 2022 and December 31, 2021, respectively. There was $11.2 million and $1.0 million guarantee deposits for customs duties as of September 30, 2022 and December 31, 2021, respectively.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(Loss) Per Share</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stock options, restricted stock units and senior convertible notes outstanding during the period. In periods with net losses, normally dilutive shares become anti-dilutive. Therefore, basic and diluted loss per share are the same.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the basic and diluted net loss per share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89"/>
              </w:rPr>
              <w:t>Three months ended September</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(15,627)</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(15,797)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(46,147)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(39,622)</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shares used to compute net loss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27,839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27,097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26,791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27,839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27,097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27,640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26,791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(0.56)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potentially dilutive securities were excluded from the diluted net loss per share as their effect would have been antidilutive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Three months ended September</w:t>
            </w:r>
          </w:p>
        </w:tc>
        <w:tc>
          <w:tcPr>
            <w:tcW w:w="25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34"/>
        </w:trPr>
        <w:tc>
          <w:tcPr>
            <w:tcW w:w="59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30,</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40" w:type="dxa"/>
            <w:vAlign w:val="bottom"/>
          </w:tcPr>
          <w:p>
            <w:pPr>
              <w:jc w:val="right"/>
              <w:spacing w:after="0"/>
              <w:rPr>
                <w:sz w:val="20"/>
                <w:szCs w:val="20"/>
                <w:color w:val="auto"/>
              </w:rPr>
            </w:pPr>
            <w:r>
              <w:rPr>
                <w:rFonts w:ascii="Arial" w:cs="Arial" w:eastAsia="Arial" w:hAnsi="Arial"/>
                <w:sz w:val="18"/>
                <w:szCs w:val="18"/>
                <w:color w:val="auto"/>
              </w:rPr>
              <w:t>322</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Shares for convertible senior notes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4,587</w:t>
            </w:r>
          </w:p>
        </w:tc>
      </w:tr>
      <w:tr>
        <w:trPr>
          <w:trHeight w:val="20"/>
        </w:trPr>
        <w:tc>
          <w:tcPr>
            <w:tcW w:w="5980" w:type="dxa"/>
            <w:vAlign w:val="bottom"/>
            <w:shd w:val="clear" w:color="auto" w:fill="CCEEFF"/>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 antidilutive shares</w:t>
            </w:r>
          </w:p>
        </w:tc>
        <w:tc>
          <w:tcPr>
            <w:tcW w:w="1140" w:type="dxa"/>
            <w:vAlign w:val="bottom"/>
          </w:tcPr>
          <w:p>
            <w:pPr>
              <w:jc w:val="right"/>
              <w:spacing w:after="0"/>
              <w:rPr>
                <w:sz w:val="20"/>
                <w:szCs w:val="20"/>
                <w:color w:val="auto"/>
              </w:rPr>
            </w:pPr>
            <w:r>
              <w:rPr>
                <w:rFonts w:ascii="Arial" w:cs="Arial" w:eastAsia="Arial" w:hAnsi="Arial"/>
                <w:sz w:val="18"/>
                <w:szCs w:val="18"/>
                <w:color w:val="auto"/>
              </w:rPr>
              <w:t>4,909</w:t>
            </w: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4,590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4,587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4,596</w:t>
            </w:r>
          </w:p>
        </w:tc>
      </w:tr>
      <w:tr>
        <w:trPr>
          <w:trHeight w:val="20"/>
        </w:trPr>
        <w:tc>
          <w:tcPr>
            <w:tcW w:w="5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net of inventory write-downs, consist of the following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September 30, 2022</w:t>
            </w:r>
          </w:p>
        </w:tc>
        <w:tc>
          <w:tcPr>
            <w:tcW w:w="180" w:type="dxa"/>
            <w:vAlign w:val="bottom"/>
          </w:tcPr>
          <w:p>
            <w:pPr>
              <w:spacing w:after="0"/>
              <w:rPr>
                <w:sz w:val="20"/>
                <w:szCs w:val="20"/>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0"/>
              </w:rPr>
              <w:t>December 31, 2021</w:t>
            </w:r>
          </w:p>
        </w:tc>
        <w:tc>
          <w:tcPr>
            <w:tcW w:w="80" w:type="dxa"/>
            <w:vAlign w:val="bottom"/>
          </w:tcPr>
          <w:p>
            <w:pPr>
              <w:spacing w:after="0"/>
              <w:rPr>
                <w:sz w:val="20"/>
                <w:szCs w:val="20"/>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34,372</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29,469</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Work in process and sub-assemblies</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48,961</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41,528</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21,519</w:t>
            </w:r>
          </w:p>
        </w:tc>
      </w:tr>
      <w:tr>
        <w:trPr>
          <w:trHeight w:val="20"/>
        </w:trPr>
        <w:tc>
          <w:tcPr>
            <w:tcW w:w="6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94,261</w:t>
            </w:r>
          </w:p>
        </w:tc>
        <w:tc>
          <w:tcPr>
            <w:tcW w:w="18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92,516</w:t>
            </w:r>
          </w:p>
        </w:tc>
      </w:tr>
      <w:tr>
        <w:trPr>
          <w:trHeight w:val="20"/>
        </w:trPr>
        <w:tc>
          <w:tcPr>
            <w:tcW w:w="6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The lower of cost or market adjustment expensed for inventory for the three months ended September 30, 2022 and 2021 was $1.4 million and $1.1 million, respectively. The lower of cost or market adjustment expensed for inventory for the nine months ended September 30, 2022 and 2021 was $3.9 million and $3.3 million, respectively.</w:t>
      </w:r>
    </w:p>
    <w:p>
      <w:pPr>
        <w:spacing w:after="0" w:line="184"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For the three months ended September 30, 2022 and 2021, the direct inventory write-offs related to scrap, discontinued products, and damaged inventories were $1.1 million and $4.2 million, respectively. For the nine months ended September 30, 2022 and 2021, the direct inventory write-offs related to scrap, discontinued products, and damaged inventories were $3.8 million and $15 million, respectively.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Plant &amp;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September 30, 2022</w:t>
            </w:r>
          </w:p>
        </w:tc>
        <w:tc>
          <w:tcPr>
            <w:tcW w:w="180" w:type="dxa"/>
            <w:vAlign w:val="bottom"/>
          </w:tcPr>
          <w:p>
            <w:pPr>
              <w:spacing w:after="0"/>
              <w:rPr>
                <w:sz w:val="20"/>
                <w:szCs w:val="20"/>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0"/>
              </w:rPr>
              <w:t>December 31, 2021</w:t>
            </w:r>
          </w:p>
        </w:tc>
        <w:tc>
          <w:tcPr>
            <w:tcW w:w="80" w:type="dxa"/>
            <w:vAlign w:val="bottom"/>
          </w:tcPr>
          <w:p>
            <w:pPr>
              <w:spacing w:after="0"/>
              <w:rPr>
                <w:sz w:val="20"/>
                <w:szCs w:val="20"/>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improvements</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806</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85,078</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89,698</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246,605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266,386</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5,303</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5,658</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12,727</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Transportation equipment</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726</w:t>
            </w:r>
          </w:p>
        </w:tc>
      </w:tr>
      <w:tr>
        <w:trPr>
          <w:trHeight w:val="20"/>
        </w:trPr>
        <w:tc>
          <w:tcPr>
            <w:tcW w:w="6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349,883</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376,001</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4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(169,898)</w:t>
            </w:r>
          </w:p>
        </w:tc>
        <w:tc>
          <w:tcPr>
            <w:tcW w:w="5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(167,772)</w:t>
            </w:r>
          </w:p>
        </w:tc>
      </w:tr>
      <w:tr>
        <w:trPr>
          <w:trHeight w:val="20"/>
        </w:trPr>
        <w:tc>
          <w:tcPr>
            <w:tcW w:w="6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179,985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208,229</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30,500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33,705</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1,101</w:t>
            </w:r>
          </w:p>
        </w:tc>
      </w:tr>
      <w:tr>
        <w:trPr>
          <w:trHeight w:val="20"/>
        </w:trPr>
        <w:tc>
          <w:tcPr>
            <w:tcW w:w="6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211,586</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243,035</w:t>
            </w:r>
          </w:p>
        </w:tc>
      </w:tr>
      <w:tr>
        <w:trPr>
          <w:trHeight w:val="20"/>
        </w:trPr>
        <w:tc>
          <w:tcPr>
            <w:tcW w:w="6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648"/>
        <w:spacing w:after="0" w:line="287" w:lineRule="auto"/>
        <w:rPr>
          <w:sz w:val="20"/>
          <w:szCs w:val="20"/>
          <w:color w:val="auto"/>
        </w:rPr>
      </w:pPr>
      <w:r>
        <w:rPr>
          <w:rFonts w:ascii="Arial" w:cs="Arial" w:eastAsia="Arial" w:hAnsi="Arial"/>
          <w:sz w:val="16"/>
          <w:szCs w:val="16"/>
          <w:color w:val="auto"/>
        </w:rPr>
        <w:t>For the three months ended September 30, 2022 and 2021, the depreciation expense of property, plant and equipment was $5.5 million and $6.2 million, respectively. For the nine months ended September 30, 2022 and 2021, the depreciation expense of property, plant and equipment was $17.2 million and $18.7 million, respectively. For the three months ended September 30, 2022 and 2021, the capitalized interest was $0.1 million 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$0.3 million, respectively. For the nine months ended September 30, 2022 and 2021, the capitalized interest was $0.2 million and $0.6 million, respectively.</w:t>
      </w:r>
    </w:p>
    <w:p>
      <w:pPr>
        <w:spacing w:after="0" w:line="234"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As of September 30, 2022</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concluded that its continued loss history constitutes a triggering event as described in ASC </w:t>
      </w:r>
      <w:r>
        <w:rPr>
          <w:rFonts w:ascii="Arial" w:cs="Arial" w:eastAsia="Arial" w:hAnsi="Arial"/>
          <w:sz w:val="18"/>
          <w:szCs w:val="18"/>
          <w:i w:val="1"/>
          <w:iCs w:val="1"/>
          <w:color w:val="auto"/>
        </w:rPr>
        <w:t>360</w:t>
      </w:r>
      <w:r>
        <w:rPr>
          <w:rFonts w:ascii="Arial" w:cs="Arial" w:eastAsia="Arial" w:hAnsi="Arial"/>
          <w:sz w:val="18"/>
          <w:szCs w:val="18"/>
          <w:color w:val="auto"/>
        </w:rPr>
        <w:t>-</w:t>
      </w:r>
      <w:r>
        <w:rPr>
          <w:rFonts w:ascii="Arial" w:cs="Arial" w:eastAsia="Arial" w:hAnsi="Arial"/>
          <w:sz w:val="18"/>
          <w:szCs w:val="18"/>
          <w:i w:val="1"/>
          <w:iCs w:val="1"/>
          <w:color w:val="auto"/>
        </w:rPr>
        <w:t>10</w:t>
      </w:r>
      <w:r>
        <w:rPr>
          <w:rFonts w:ascii="Arial" w:cs="Arial" w:eastAsia="Arial" w:hAnsi="Arial"/>
          <w:sz w:val="18"/>
          <w:szCs w:val="18"/>
          <w:color w:val="auto"/>
        </w:rPr>
        <w:t>-</w:t>
      </w:r>
      <w:r>
        <w:rPr>
          <w:rFonts w:ascii="Arial" w:cs="Arial" w:eastAsia="Arial" w:hAnsi="Arial"/>
          <w:sz w:val="18"/>
          <w:szCs w:val="18"/>
          <w:i w:val="1"/>
          <w:iCs w:val="1"/>
          <w:color w:val="auto"/>
        </w:rPr>
        <w:t>35</w:t>
      </w:r>
      <w:r>
        <w:rPr>
          <w:rFonts w:ascii="Arial" w:cs="Arial" w:eastAsia="Arial" w:hAnsi="Arial"/>
          <w:sz w:val="18"/>
          <w:szCs w:val="18"/>
          <w:color w:val="auto"/>
        </w:rPr>
        <w:t>-</w:t>
      </w:r>
      <w:r>
        <w:rPr>
          <w:rFonts w:ascii="Arial" w:cs="Arial" w:eastAsia="Arial" w:hAnsi="Arial"/>
          <w:sz w:val="18"/>
          <w:szCs w:val="18"/>
          <w:i w:val="1"/>
          <w:iCs w:val="1"/>
          <w:color w:val="auto"/>
        </w:rPr>
        <w:t>21,Property, Plant, and Equipment</w:t>
      </w:r>
      <w:r>
        <w:rPr>
          <w:rFonts w:ascii="Arial" w:cs="Arial" w:eastAsia="Arial" w:hAnsi="Arial"/>
          <w:sz w:val="18"/>
          <w:szCs w:val="18"/>
          <w:color w:val="auto"/>
        </w:rPr>
        <w:t>. The Company performed a recoverability test and concluded that future undiscounted cash flows exceed the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Company’s long-lived assets and therefore no impairment charge was recorded.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Intangible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8"/>
              </w:rPr>
              <w:t>September 30, 2022</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6"/>
                <w:szCs w:val="16"/>
                <w:color w:val="auto"/>
              </w:rPr>
            </w:pPr>
          </w:p>
        </w:tc>
        <w:tc>
          <w:tcPr>
            <w:tcW w:w="152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6"/>
                <w:szCs w:val="16"/>
                <w:color w:val="auto"/>
              </w:rPr>
            </w:pPr>
          </w:p>
        </w:tc>
        <w:tc>
          <w:tcPr>
            <w:tcW w:w="130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Intangible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assets, net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8,865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2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8,915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90"/>
              </w:rPr>
              <w:t>December 31, 2021</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6"/>
                <w:szCs w:val="16"/>
                <w:color w:val="auto"/>
              </w:rPr>
            </w:pPr>
          </w:p>
        </w:tc>
        <w:tc>
          <w:tcPr>
            <w:tcW w:w="15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6"/>
                <w:szCs w:val="16"/>
                <w:color w:val="auto"/>
              </w:rPr>
            </w:pPr>
          </w:p>
        </w:tc>
        <w:tc>
          <w:tcPr>
            <w:tcW w:w="130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Intangible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amortization</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assets, net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2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3,836</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For the three months ended September 30, 2022 and 2021, amortization expense for intangible assets, included in general and administrative expenses on the statement of operations, was $0.2 million and $0.1 million, respectively. For the nine months ended September 30, 2022 and 2021, included in general and administrative expenses on the statement of operations, the amortization expense for intangible assets, was each $0.5 million. The remaining weighted average amortization period for intangible assets is approximately 6 years.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September 30, 2022, future amortization expense for intangible assets for future one year periods is estimated to be (in thousands):</w:t>
      </w:r>
    </w:p>
    <w:p>
      <w:pPr>
        <w:spacing w:after="0" w:line="25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2024</w:t>
            </w:r>
          </w:p>
        </w:tc>
        <w:tc>
          <w:tcPr>
            <w:tcW w:w="1540" w:type="dxa"/>
            <w:vAlign w:val="bottom"/>
          </w:tcPr>
          <w:p>
            <w:pPr>
              <w:jc w:val="right"/>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2026</w:t>
            </w:r>
          </w:p>
        </w:tc>
        <w:tc>
          <w:tcPr>
            <w:tcW w:w="1540" w:type="dxa"/>
            <w:vAlign w:val="bottom"/>
          </w:tcPr>
          <w:p>
            <w:pPr>
              <w:jc w:val="right"/>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18"/>
                <w:szCs w:val="18"/>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2028</w:t>
            </w:r>
          </w:p>
        </w:tc>
        <w:tc>
          <w:tcPr>
            <w:tcW w:w="1540" w:type="dxa"/>
            <w:vAlign w:val="bottom"/>
          </w:tcPr>
          <w:p>
            <w:pPr>
              <w:jc w:val="right"/>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18"/>
                <w:szCs w:val="18"/>
                <w:color w:val="auto"/>
              </w:rPr>
            </w:pPr>
          </w:p>
        </w:tc>
      </w:tr>
      <w:tr>
        <w:trPr>
          <w:trHeight w:val="21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9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w:t>
            </w:r>
          </w:p>
        </w:tc>
        <w:tc>
          <w:tcPr>
            <w:tcW w:w="8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Financial Instruments​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represents a summary of the Company’s financial instruments measured at fair value on a recurring basis for the periods indicated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As of September 30, 2022</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As of December 31, 2021</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(Level 2)</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26,268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26,268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34,656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34,656</w:t>
            </w:r>
          </w:p>
        </w:tc>
      </w:tr>
      <w:tr>
        <w:trPr>
          <w:trHeight w:val="216"/>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8,307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6,480</w:t>
            </w: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Note receivable</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8,148</w:t>
            </w:r>
          </w:p>
        </w:tc>
        <w:tc>
          <w:tcPr>
            <w:tcW w:w="100" w:type="dxa"/>
            <w:vAlign w:val="bottom"/>
          </w:tcPr>
          <w:p>
            <w:pPr>
              <w:spacing w:after="0"/>
              <w:rPr>
                <w:sz w:val="18"/>
                <w:szCs w:val="18"/>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8,148</w:t>
            </w:r>
          </w:p>
        </w:tc>
      </w:tr>
      <w:tr>
        <w:trPr>
          <w:trHeight w:val="20"/>
        </w:trPr>
        <w:tc>
          <w:tcPr>
            <w:tcW w:w="2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49,284</w:t>
            </w:r>
          </w:p>
        </w:tc>
      </w:tr>
      <w:tr>
        <w:trPr>
          <w:trHeight w:val="196"/>
        </w:trPr>
        <w:tc>
          <w:tcPr>
            <w:tcW w:w="23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acceptance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8,198</w:t>
            </w: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Convertible senior notes</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56,524</w:t>
            </w:r>
          </w:p>
        </w:tc>
        <w:tc>
          <w:tcPr>
            <w:tcW w:w="10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56,524</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67,588</w:t>
            </w:r>
          </w:p>
        </w:tc>
        <w:tc>
          <w:tcPr>
            <w:tcW w:w="100" w:type="dxa"/>
            <w:vAlign w:val="bottom"/>
          </w:tcPr>
          <w:p>
            <w:pPr>
              <w:spacing w:after="0"/>
              <w:rPr>
                <w:sz w:val="18"/>
                <w:szCs w:val="18"/>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67,588</w:t>
            </w:r>
          </w:p>
        </w:tc>
      </w:tr>
      <w:tr>
        <w:trPr>
          <w:trHeight w:val="20"/>
        </w:trPr>
        <w:tc>
          <w:tcPr>
            <w:tcW w:w="2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70,284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75,786</w:t>
            </w: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carrying value amounts of accounts receivable, prepaid expenses and other current assets, accounts payable, accrued expenses and other current liabilities approximate fair value because of the short-term maturity of these instruments. The carrying value amounts of bank acceptances approximate fair value due to the short-term nature of the debt since it renews frequently at current interest rates. The Company believes that the interest rates in effect at each period end represent the current market rates for similar borrowings.</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fair value of its convertible senior debt is measured for disclosure purpose. The fair value is based on observable market prices for this debt, which is traded in less active markets and are therefore classified as a Level 2 fair value measurement.​</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Notes Payable and 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payable and long-term debt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Revolving line of credit with a U.S. bank up to $20,000 with interest at 4.063% , maturing April 15, 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14,373</w:t>
            </w:r>
          </w:p>
        </w:tc>
      </w:tr>
      <w:tr>
        <w:trPr>
          <w:trHeight w:val="202"/>
        </w:trPr>
        <w:tc>
          <w:tcPr>
            <w:tcW w:w="8000" w:type="dxa"/>
            <w:vAlign w:val="bottom"/>
            <w:gridSpan w:val="2"/>
          </w:tcPr>
          <w:p>
            <w:pPr>
              <w:spacing w:after="0" w:line="201" w:lineRule="exact"/>
              <w:rPr>
                <w:sz w:val="20"/>
                <w:szCs w:val="20"/>
                <w:color w:val="auto"/>
              </w:rPr>
            </w:pPr>
            <w:r>
              <w:rPr>
                <w:rFonts w:ascii="Arial" w:cs="Arial" w:eastAsia="Arial" w:hAnsi="Arial"/>
                <w:sz w:val="18"/>
                <w:szCs w:val="18"/>
                <w:color w:val="auto"/>
                <w:w w:val="95"/>
              </w:rPr>
              <w:t>Notes payable to a finance company due in monthly installments with 3.1% interest, matured January 21,</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r>
      <w:tr>
        <w:trPr>
          <w:trHeight w:val="202"/>
        </w:trPr>
        <w:tc>
          <w:tcPr>
            <w:tcW w:w="8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Revolving line of credit with a China bank up to $20,185 with interest from 2.95% to 4.57%, maturing June</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28, 2023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17,166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19,595</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w w:val="97"/>
              </w:rPr>
              <w:t>Credit facility with a China bank up to $23,722 with interest of 3.44%~5.43%, maturing March 14, 2023</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16,361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13,044</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facility with a China bank up to $7,167 with interest of 5.7%, matured June 27, 2022</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51,358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54,711</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debt issuance costs,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Grand total</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51,357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54,689</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(49,689)</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Non-current portion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CEEFF"/>
            </w:tcBorders>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auto"/>
            </w:tcBorders>
            <w:shd w:val="clear" w:color="auto" w:fill="CCEEFF"/>
          </w:tcPr>
          <w:p>
            <w:pPr>
              <w:ind w:left="2720"/>
              <w:spacing w:after="0"/>
              <w:rPr>
                <w:sz w:val="20"/>
                <w:szCs w:val="20"/>
                <w:color w:val="auto"/>
              </w:rPr>
            </w:pPr>
            <w:r>
              <w:rPr>
                <w:rFonts w:ascii="Arial" w:cs="Arial" w:eastAsia="Arial" w:hAnsi="Arial"/>
                <w:sz w:val="18"/>
                <w:szCs w:val="18"/>
                <w:b w:val="1"/>
                <w:bCs w:val="1"/>
                <w:color w:val="auto"/>
              </w:rPr>
              <w:t>Bank Acceptance Notes Payable</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8000" w:type="dxa"/>
            <w:vAlign w:val="bottom"/>
            <w:gridSpan w:val="2"/>
          </w:tcPr>
          <w:p>
            <w:pPr>
              <w:spacing w:after="0"/>
              <w:rPr>
                <w:sz w:val="20"/>
                <w:szCs w:val="20"/>
                <w:color w:val="auto"/>
              </w:rPr>
            </w:pPr>
            <w:r>
              <w:rPr>
                <w:rFonts w:ascii="Arial" w:cs="Arial" w:eastAsia="Arial" w:hAnsi="Arial"/>
                <w:sz w:val="18"/>
                <w:szCs w:val="18"/>
                <w:color w:val="auto"/>
              </w:rPr>
              <w:t>Bank acceptance notes issued to vendors with a zero percent interest rate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13,760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8,198</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current portion of long-term debt is the amount payable within one year of the balance sheet date of September 30,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long-term debt are as follows for the future one-year periods ending September 30, (in thousands):</w:t>
      </w:r>
    </w:p>
    <w:p>
      <w:pPr>
        <w:spacing w:after="0" w:line="239"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Within one year</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51,357</w:t>
            </w: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Beyond one year</w:t>
            </w: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7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outstanding</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51,357</w:t>
            </w:r>
          </w:p>
        </w:tc>
      </w:tr>
      <w:tr>
        <w:trPr>
          <w:trHeight w:val="20"/>
        </w:trPr>
        <w:tc>
          <w:tcPr>
            <w:tcW w:w="79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September 28, 2017, the Company entered into a Loan Agreement (“Loan Agreement”), a Promissory Note, an Addendum to the Promissory Note, a Truist Bank Security Agreement, a Trademark Security Agreement, and a Patent Security Agreement (together the “Credit Facility”) with Truist Bank. The Company’s obligations under the Credit Facility are secured by the Company’s accounts receivable, inventory, intellectual property, and all business assets with the exception of real estate and equipment.</w:t>
      </w:r>
    </w:p>
    <w:p>
      <w:pPr>
        <w:spacing w:after="0" w:line="187"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On December 29, 2021</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executed a Sixth Amendment to the Loan Agreement (the "Sixth Amendment") and a Fifth Amendment to Security Agreement, a Note Modification Agreement, and an Addendum to Promissory Note (together the "Sixth Amended Credit Facility") with Truist Bank. The Sixth Amended Credit Facility extends the $20 million line of credit, originally entered into on September 28, 2017, until April 15,</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2023. Borrowings will bear interest at a rate equal to the Secured Overnight Financing Rate (SOFR) plus 1.56%, with a SOFR floor of 0.75%. As of September 30, 2022, the Company had $17.8 million of outstanding borrowings and was in compliance with all covenants under the Sixth Amended Credit Facility.</w:t>
      </w:r>
    </w:p>
    <w:p>
      <w:pPr>
        <w:spacing w:after="0" w:line="19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On September 15, 2020, Prime World entered into an Amendment to the Finance Lease Agreements dated November 29, 2018 and January 21, 2019 (the “Amendment”) with Chailease Finance Co., Ltd. (“Chailease”). The Amendment amends the Finance Lease Agreements, dated November 29, 2018 and January 21, 2019 (hereafter collectively referred to as the “Original Finance Agreements”). Pursuant to the Amendment, Prime World agrees to pay Chailease NT$22,311,381, or approximately $0.8 million for certain leased equipment listed in the Amendment (the “Leased Equipment”). This payment includes all outstanding lease payments, costs and expenses; simultaneously, Chailease agrees to transfer title of such Leased Equipment back to Prime World. Regarding all other equipment contemplated in the Original Finance Agreements but not listed in the Amendment, pursuant to the terms and conditions made under the Original Finance Agreements, Prime World is obligated to pay Chailease monthly lease payments which total NT$159,027,448, or approximately $5.5 million (the “Lease Payments”). The Lease Payments began on September 21, 2020 with the last Lease Payment due on January 21, 2022, title of all other equipment contemplated under the Original Finance Agreements but not listed in the Amendment transferred to Prime World upon completion of the Lease Payments and expiration of the Original Finance Agreements. As of September 30, 2022, the Company has fully repaid the Original Finance Agreements and Amendment.</w:t>
      </w:r>
    </w:p>
    <w:p>
      <w:pPr>
        <w:sectPr>
          <w:pgSz w:w="11900" w:h="16838" w:orient="portrait"/>
          <w:cols w:equalWidth="0" w:num="1">
            <w:col w:w="11240"/>
          </w:cols>
          <w:pgMar w:left="320" w:top="125"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On May 24, 2019, the Company’s China subsidiary, Global, entered into a five-year revolving credit line agreement, totaling 180,000,000 RMB (the “SPD Credit Line”), or approximately $25.4 million, and a mortgage security agreement (the “Security Agreement”), with Shanghai Pudong Development Bank Co., Ltd ("SPD"). Borrowing under the SPD Credit Line will be used for general corporate and capital investment purposes, including the issuance of bank acceptance notes to Global’s vendors. The total SPD Credit Line of 180 million RMB is inclusive of all credit facilities previously entered into with SPD including: a 30 million RMB credit facility entered into on May 7, 2019; and a 9.9 million RMB credit facility entered into on April 30, 2019 and $2 million credit facility entered into on May 8, 2019. Global may draw upon the SPD Credit Line on an as-needed basis at any time during the 5-year term; however, draws under the SPD Credit Line may become due and repayable to SPD at SPD’s discretion due to changes in Chinese government regulations and/or changes in Global’s financial and operational condition. Each draw will bear interest equal to SPD’s commercial banking interest rate effective on the day of the applicable draw. Global’s obligations under the SPD Credit Line will be secured by real property owned by Global and mortgaged to the Bank under the terms of the Security Agreement. As of September 30, 2022, $17.1 million was outstanding under the SPD Credit Line and the outstanding balance of bank acceptance notes issued to vendors was $4.9 million.</w:t>
      </w:r>
    </w:p>
    <w:p>
      <w:pPr>
        <w:spacing w:after="0" w:line="18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June 21, 2019, the Company’s China subsidiary, Global, entered into an 18 month credit facility totaling 100,000,000 RMB (the “¥100M Credit Facility”), or approximately $14.1 million, with China Zheshang Bank Co., Ltd., in Ningbo City, China (“CZB”). Borrowing under the ¥100M Credit Facility will be used by Global for general corporate purposes. On January 6, 2021, the ¥100M Credit Facility with CZB was extended for three (3) years until January 5, 2024. The Company replaced this loan agreement on June 7, 2022.</w:t>
      </w:r>
    </w:p>
    <w:p>
      <w:pPr>
        <w:spacing w:after="0" w:line="18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On June 7, 2022, the Company's China Subsidiary, Global, entered a security agreement with China Zheshang Bank in Ningbo City, China ("CZB") for a five-year credit line agreement, totaling 200,000,000 RMB (the "¥200M Credit Facility"), or approximately $29.9 million. Global may draw upon the ¥200M Credit Facility between June 7, 2022 and June 6, 2027 (" ¥200M Credit Period"). During the ¥200M Credit Period, Global may request to draw upon the ¥200M Credit Facility on an as-needed basis; however, draws under the ¥200M Credit Facility may become due and repayable to CZB at CZB’s discretion due to changes in Chinese government regulations and/or changes in Global’s financial and operational condition. Each draw will be facilitated by a separate credit agreement specifying the terms of each draw and will bear interest equal to CZB's commercial banking interest rate effective on the day of the applicable draw. Global’s obligations under the ¥200M Credit Facility will be secured by real property owned by Global and mortgaged to CZB under the terms of the Real Estate Security Agreement. As of September 30, 2022, $16.4 million was outstanding under the ¥200M Credit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Facility and the outstanding balance of bank acceptance notes issued to vendors was $8.9 million.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June 21, 2019, the Company’s China subsidiary, Global, entered into a three-year credit facility totaling 50,000,000 RMB (the “¥50M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Facility”), or approximately $7.1 million, with CZB. Borrowing under the ¥50M Credit Facility will be used by Global for general corporate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purposes. Global may draw upon the ¥50M Credit Facility from June 21, 2019 until June 20, 2022 (the “¥50M Credit Period”). During the ¥50M Credit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Period, Global may request to draw upon the ¥50M Credit Facility on an as-needed basis; however, draws under the ¥50M Credit Facility may become due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repayable to CZB at CZB’s discretion due to changes in Chinese government regulations and/or changes in Global’s financial and operational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condition. Each draw will bear interest equal to CZB’s commercial banking interest rate effective on the day of the applicable draw. Global’s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¥50M Credit Facility will be secured by machinery and equipment owned by Global and mortgaged to CZB under the terms of the Machinery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Equipment Security Agreement. As of September 30, 2022, the Company has fully repaid the ¥50M Credit Facility.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2022 and December 31, 2021, the Company had $12.5 million and $7.4 million of unused borrowing capacity, respectively.</w:t>
      </w:r>
    </w:p>
    <w:p>
      <w:pPr>
        <w:spacing w:after="0" w:line="24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of September 30, 2022 and December 31, 2021, there was $7.2 million and $5.4 million of restricted cash, investments or security deposits associated with the loan facilities,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Convertible Senior Notes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March 5, 2019, the Company issued $80.5 million of 5% convertible senior notes due 2024 (the “Notes”). The Notes were issued pursuant to an indenture, dated as of March 5, 2019 (the “Indenture”), between the Company and Wells Fargo Bank, National Association, as trustee, paying agent, and conversion agent (the “Trustee”). The Notes bear interest at a rate of 5.00% per year, payable in cash semi-annually in arrears on March 15 and September 15 of each year, beginning on September 15, 2019. The Notes will mature on March 15, 2024, unless earlier repurchased, redeemed or converted in accordance with their terms.</w:t>
      </w:r>
    </w:p>
    <w:p>
      <w:pPr>
        <w:spacing w:after="0" w:line="188"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sale of the Notes generated net proceeds of $76.4 million, after deducting the Initial Purchasers’ discounts and offering expenses payable by the Company. The Company used approximately $37.8 million of the net proceeds from the offering to fully repay the CapEx Loan and Term Loan with Truist Bank and the remainder will be used for general corporate purposes.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value of the Notes for the periods indicated (in thousands):</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tbl>
      <w:tblPr>
        <w:tblLayout w:type="fixed"/>
        <w:tblInd w:w="840" w:type="dxa"/>
        <w:tblCellMar>
          <w:top w:w="0" w:type="dxa"/>
          <w:left w:w="0" w:type="dxa"/>
          <w:bottom w:w="0" w:type="dxa"/>
          <w:right w:w="0" w:type="dxa"/>
        </w:tblCellMar>
      </w:tblPr>
      <w:tr>
        <w:trPr>
          <w:trHeight w:val="207"/>
        </w:trPr>
        <w:tc>
          <w:tcPr>
            <w:tcW w:w="6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22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80,500</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Unamortized debt issuance costs</w:t>
            </w:r>
          </w:p>
        </w:tc>
        <w:tc>
          <w:tcPr>
            <w:tcW w:w="1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(1,202)</w:t>
            </w:r>
          </w:p>
        </w:tc>
        <w:tc>
          <w:tcPr>
            <w:tcW w:w="1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(1,820)</w:t>
            </w:r>
          </w:p>
        </w:tc>
      </w:tr>
      <w:tr>
        <w:trPr>
          <w:trHeight w:val="20"/>
        </w:trPr>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79,298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78,680</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Notes are convertible at the option of holders of the Notes at any time until the close of business on the scheduled trading day immediately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preceding the maturity date. Upon conversion, holders of the Notes will receive shares of the Company’s common stock, together, if applicable, with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lieu of any fractional share, at the then-applicable conversion rate. The initial conversion rate is 56.9801 shares of the Company’s common stock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principal amount of Notes (representing an initial conversion price of approximately $17.55 per share of common stock, which represents an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conversion premium of approximately 30% above the closing price of $13.50 per share of the Company’s common stock on February 28, 2019),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customary adjustments. If a make-whole fundamental change (as defined in the Indenture) occurs, and in connection with certain other conversions before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15, 2022, the Company will in certain circumstances increase the conversion rate for a specified period of time.</w:t>
      </w:r>
    </w:p>
    <w:p>
      <w:pPr>
        <w:spacing w:after="0" w:line="21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Initially there are no guarantors of the Notes, but the Notes will be fully and unconditionally guaranteed, on a senior, unsecured basis by certain of the Company’s future domestic subsidiaries. The Notes are the Company’s senior, unsecured obligations and are equal in right of payment with existing and future senior, unsecured indebtedness, senior in right of payment to the Company’s existing and future indebtedness that is expressly subordinated to the Notes and effectively subordinated to the Company’s existing and future secured indebtedness, to the extent of the value of the collateral securing that indebtedness. The Note Guarantee (as defined in the Indenture) of each future guarantor, if any, will be such guarantor’s senior, unsecured obligations and are equal in right of payment with existing and future senior, unsecured indebtedness, senior in right of payment to such future guarantor’s existing and future indebtedness that is expressly subordinated to the Notes and effectively subordinated to such future guarantor’s existing and future secured indebtedness, to the extent of the value of the collateral securing that indebtedness.</w:t>
      </w:r>
    </w:p>
    <w:p>
      <w:pPr>
        <w:spacing w:after="0" w:line="1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Holders may require the Company to repurchase their Notes upon the occurrence of a fundamental change (as defined in the Indenture) at a cash purchase price equal to the principal amount thereof plus accrued and unpaid interest, if any.</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After March 15, 2022, the Company may redeem for cash all or part of the Notes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redemption notice. The redemption price is equal to 100% of the principal amount of the notes to be redeemed, plus accrued and unpaid interest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7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Indenture contains covenants that limit the Company’s ability and the ability of our subsidiaries to, among other things: (i) incur or guarantee additional indebtedness or issue disqualified stock; and (ii) create or incur liens.</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Pursuant to the guidance in ASC 815-40, Contracts in Entity’s Own Equity, the Company evaluated whether the conversion feature of the note needed to be bifurcated from the host instrument as a freestanding financial instrument. Under ASC 815-40, to qualify for equity classification (or non-bifurcation, if embedded) the instrument (or embedded feature) must be both (1) indexed to the issuer’s own stock and (2) meet the requirements of the equity classification guidance. Based upon the Company’s analysis, it was determined the conversion option is indexed to its own stock and also met all the criteria for equity classification contained in ASC 815-40-25-7 and 815-40-25-10. Accordingly, the conversion option is not required to be bifurcated from the host instrument as a freestanding financial instrument. Since the conversion feature meets the equity scope exception from derivative accounting, the Company then evaluated whether the conversion feature needed to be separately accounted for as an equity component under ASC 470-20, Debt with Conversion and Other Options. The Company determined that notes should be accounted for in their entirety as a liability.</w:t>
      </w:r>
    </w:p>
    <w:p>
      <w:pPr>
        <w:sectPr>
          <w:pgSz w:w="11900" w:h="16838" w:orient="portrait"/>
          <w:cols w:equalWidth="0" w:num="1">
            <w:col w:w="11220"/>
          </w:cols>
          <w:pgMar w:left="320" w:top="125" w:right="359" w:bottom="1440" w:gutter="0" w:footer="0" w:header="0"/>
        </w:sectPr>
      </w:pP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Company incurred approximately $4.1 million in transaction costs in connection with the issuance of the Notes. These costs were recognized as a reduction of the carrying amount of the Notes utilizing the effective interest method and are being amortized over the term of the Notes.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gridSpan w:val="9"/>
          </w:tcPr>
          <w:p>
            <w:pPr>
              <w:ind w:left="660"/>
              <w:spacing w:after="0"/>
              <w:rPr>
                <w:sz w:val="20"/>
                <w:szCs w:val="20"/>
                <w:color w:val="auto"/>
              </w:rPr>
            </w:pPr>
            <w:r>
              <w:rPr>
                <w:rFonts w:ascii="Arial" w:cs="Arial" w:eastAsia="Arial" w:hAnsi="Arial"/>
                <w:sz w:val="18"/>
                <w:szCs w:val="18"/>
                <w:color w:val="auto"/>
                <w:w w:val="91"/>
              </w:rPr>
              <w:t>The following table sets forth interest expense information related to the Notes (in thousands):</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88"/>
              </w:rPr>
              <w:t>Three months ended September</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8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8"/>
          </w:tcPr>
          <w:p>
            <w:pPr>
              <w:jc w:val="right"/>
              <w:ind w:right="18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09"/>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3,018</w:t>
            </w: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618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8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1,214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3,636</w:t>
            </w:r>
          </w:p>
        </w:tc>
        <w:tc>
          <w:tcPr>
            <w:tcW w:w="80" w:type="dxa"/>
            <w:vAlign w:val="bottom"/>
            <w:shd w:val="clear" w:color="auto" w:fill="CCEEFF"/>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Effective interest rate</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1220" w:type="dxa"/>
            <w:vAlign w:val="bottom"/>
            <w:gridSpan w:val="3"/>
          </w:tcPr>
          <w:p>
            <w:pPr>
              <w:jc w:val="right"/>
              <w:ind w:right="1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5.1%</w:t>
            </w:r>
          </w:p>
        </w:tc>
      </w:tr>
      <w:tr>
        <w:trPr>
          <w:trHeight w:val="66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Note 13. Accrued Liabilities​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7540" w:type="dxa"/>
            <w:vAlign w:val="bottom"/>
            <w:gridSpan w:val="9"/>
          </w:tcPr>
          <w:p>
            <w:pPr>
              <w:ind w:left="660"/>
              <w:spacing w:after="0"/>
              <w:rPr>
                <w:sz w:val="20"/>
                <w:szCs w:val="20"/>
                <w:color w:val="auto"/>
              </w:rPr>
            </w:pPr>
            <w:r>
              <w:rPr>
                <w:rFonts w:ascii="Arial" w:cs="Arial" w:eastAsia="Arial" w:hAnsi="Arial"/>
                <w:sz w:val="18"/>
                <w:szCs w:val="18"/>
                <w:color w:val="auto"/>
              </w:rPr>
              <w:t>Accrued liabilities consisted of the following for the periods indicated (in thousands):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88"/>
              </w:rPr>
              <w:t>September 30, 2022</w:t>
            </w:r>
          </w:p>
        </w:tc>
        <w:tc>
          <w:tcPr>
            <w:tcW w:w="180" w:type="dxa"/>
            <w:vAlign w:val="bottom"/>
          </w:tcPr>
          <w:p>
            <w:pPr>
              <w:spacing w:after="0"/>
              <w:rPr>
                <w:sz w:val="24"/>
                <w:szCs w:val="24"/>
                <w:color w:val="auto"/>
              </w:rPr>
            </w:pPr>
          </w:p>
        </w:tc>
        <w:tc>
          <w:tcPr>
            <w:tcW w:w="15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1"/>
              </w:rPr>
              <w:t>December 31, 2021</w:t>
            </w:r>
          </w:p>
        </w:tc>
        <w:tc>
          <w:tcPr>
            <w:tcW w:w="80" w:type="dxa"/>
            <w:vAlign w:val="bottom"/>
          </w:tcPr>
          <w:p>
            <w:pPr>
              <w:spacing w:after="0"/>
              <w:rPr>
                <w:sz w:val="24"/>
                <w:szCs w:val="24"/>
                <w:color w:val="auto"/>
              </w:rPr>
            </w:pPr>
          </w:p>
        </w:tc>
      </w:tr>
      <w:tr>
        <w:trPr>
          <w:trHeight w:val="210"/>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5,263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6,516</w:t>
            </w:r>
          </w:p>
        </w:tc>
      </w:tr>
      <w:tr>
        <w:trPr>
          <w:trHeight w:val="216"/>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Accrued employee benefits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2,535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3,471</w:t>
            </w:r>
          </w:p>
        </w:tc>
      </w:tr>
      <w:tr>
        <w:trPr>
          <w:trHeight w:val="216"/>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state and local taxes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1,897</w:t>
            </w:r>
          </w:p>
        </w:tc>
      </w:tr>
      <w:tr>
        <w:trPr>
          <w:trHeight w:val="216"/>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432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1,475</w:t>
            </w:r>
          </w:p>
        </w:tc>
      </w:tr>
      <w:tr>
        <w:trPr>
          <w:trHeight w:val="216"/>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shipping and tariff expenses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r>
      <w:tr>
        <w:trPr>
          <w:trHeight w:val="216"/>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Advanced payments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517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195</w:t>
            </w:r>
          </w:p>
        </w:tc>
      </w:tr>
      <w:tr>
        <w:trPr>
          <w:trHeight w:val="216"/>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commission expenses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1,003</w:t>
            </w:r>
          </w:p>
        </w:tc>
      </w:tr>
      <w:tr>
        <w:trPr>
          <w:trHeight w:val="216"/>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652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346</w:t>
            </w:r>
          </w:p>
        </w:tc>
      </w:tr>
      <w:tr>
        <w:trPr>
          <w:trHeight w:val="216"/>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product warranty</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263</w:t>
            </w:r>
          </w:p>
        </w:tc>
      </w:tr>
      <w:tr>
        <w:trPr>
          <w:trHeight w:val="216"/>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Accrued other</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472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388</w:t>
            </w:r>
          </w:p>
        </w:tc>
      </w:tr>
      <w:tr>
        <w:trPr>
          <w:trHeight w:val="20"/>
        </w:trPr>
        <w:tc>
          <w:tcPr>
            <w:tcW w:w="8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8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12,444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15,587</w:t>
            </w:r>
          </w:p>
        </w:tc>
      </w:tr>
      <w:tr>
        <w:trPr>
          <w:trHeight w:val="20"/>
        </w:trPr>
        <w:tc>
          <w:tcPr>
            <w:tcW w:w="840" w:type="dxa"/>
            <w:vAlign w:val="bottom"/>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Income and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and (expense)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88"/>
              </w:rPr>
              <w:t>Three months ended September</w:t>
            </w:r>
          </w:p>
        </w:tc>
        <w:tc>
          <w:tcPr>
            <w:tcW w:w="100" w:type="dxa"/>
            <w:vAlign w:val="bottom"/>
          </w:tcPr>
          <w:p>
            <w:pPr>
              <w:spacing w:after="0"/>
              <w:rPr>
                <w:sz w:val="18"/>
                <w:szCs w:val="18"/>
                <w:color w:val="auto"/>
              </w:rPr>
            </w:pPr>
          </w:p>
        </w:tc>
        <w:tc>
          <w:tcPr>
            <w:tcW w:w="260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9"/>
              </w:rPr>
              <w:t>Nine months ended September</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43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transaction gain (loss)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(598)</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Government subsidy income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gain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Loan forgiveness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4320" w:type="dxa"/>
            <w:vAlign w:val="bottom"/>
            <w:gridSpan w:val="2"/>
          </w:tcPr>
          <w:p>
            <w:pPr>
              <w:ind w:left="560"/>
              <w:spacing w:after="0"/>
              <w:rPr>
                <w:sz w:val="20"/>
                <w:szCs w:val="20"/>
                <w:color w:val="auto"/>
              </w:rPr>
            </w:pPr>
            <w:r>
              <w:rPr>
                <w:rFonts w:ascii="Arial" w:cs="Arial" w:eastAsia="Arial" w:hAnsi="Arial"/>
                <w:sz w:val="18"/>
                <w:szCs w:val="18"/>
                <w:color w:val="auto"/>
              </w:rPr>
              <w:t>Total other income (expenses) , net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(541)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998</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(1,171)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7,628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ind w:right="55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board of directors and stockholders approved the following equity plans:</w:t>
      </w:r>
    </w:p>
    <w:p>
      <w:pPr>
        <w:spacing w:after="0" w:line="22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2006 Share Incentive Plan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2013 Equity Incentive Plan (“2013 Plan”)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2021 Equity Incentive Plan (“2021 Plan”)</w:t>
      </w:r>
    </w:p>
    <w:p>
      <w:pPr>
        <w:spacing w:after="0" w:line="21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Company issued stock options, restricted stock awards (“RSAs”) and restricted stock units (“RSUs”) to employees, consultants and non-employee directors. Stock option awards generally vest over a four-year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in September 2013, the fair market value of the Company’s stock had been historically determined by the board of directors and from time to time with the assistance of third-party valuation specialists.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Options have been granted to the Company’s employees under the two incentive plans and generally become exercisable as to 25% of the shares on the first anniversary date following the date of grant and 12.5% on a semi-annual basis thereafter. All options expire ten years after the date of grant.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option activity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16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6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Share Price</w:t>
            </w: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306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6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on Date of</w:t>
            </w: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3060" w:type="dxa"/>
            <w:vAlign w:val="bottom"/>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26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Exercise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0"/>
        </w:trPr>
        <w:tc>
          <w:tcPr>
            <w:tcW w:w="3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88"/>
              </w:rPr>
              <w:t>(in thousands, except price data)</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10.32</w:t>
            </w: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6.13</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5.04</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2022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10.40</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0.9655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Exercisable, September 30, 2022</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10.40</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0.9655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10.40</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0.9655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2022, there was no unrecognized stock option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Based Incentive Plan</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 approved to grant restricted performance stock units (“PSUs”) to senior executives as a part of our long-term equity compensation program starting from June 2021. The number of shares of common stock that will ultimately be issued to settle PSUs granted ranges from 0% to 200% of the number granted and is determined based on certain performance criteria over a three-year measurement period. The performance criteria for the PSUs are based on a combination of the performance of our stock price and the Total Shareholder Return (“TSR”) for the performance period compared with the TSR of certain peer companies or index for the performance period. PSUs granted vest 100% on the third anniversary of their grant, assuming achievement of the applicable performance criteria. We estimated the fair value of the PSUs using a Monte Carlo simulation model on the date of grant. Compensation expense is recognized ratably over the explicit service period. The Company recognized PSU expenses for the three months ended September 30, 2022 and 2021 was $0.2 million and $0.4 million, respectively. The PSU expenses for the nine months ended on September 30, 2022 and 2021 was $1.2 million and $0.4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summary of RSU/RSA activity, inclusive of performance based incentive plan (in thousands, except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Average Share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Price on Date</w:t>
            </w:r>
          </w:p>
        </w:tc>
        <w:tc>
          <w:tcPr>
            <w:tcW w:w="22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Average Fair</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of Release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w w:val="89"/>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84"/>
              </w:rPr>
              <w:t>except price data)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1,874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3,399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Cancelled/Forfeited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10.85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September 30,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8,607</w:t>
            </w:r>
          </w:p>
        </w:tc>
      </w:tr>
      <w:tr>
        <w:trPr>
          <w:trHeight w:val="196"/>
        </w:trPr>
        <w:tc>
          <w:tcPr>
            <w:tcW w:w="5980" w:type="dxa"/>
            <w:vAlign w:val="bottom"/>
          </w:tcPr>
          <w:p>
            <w:pPr>
              <w:spacing w:after="0" w:line="196" w:lineRule="exact"/>
              <w:rPr>
                <w:sz w:val="20"/>
                <w:szCs w:val="20"/>
                <w:color w:val="auto"/>
              </w:rPr>
            </w:pPr>
            <w:r>
              <w:rPr>
                <w:rFonts w:ascii="Arial" w:cs="Arial" w:eastAsia="Arial" w:hAnsi="Arial"/>
                <w:sz w:val="18"/>
                <w:szCs w:val="18"/>
                <w:color w:val="auto"/>
              </w:rPr>
              <w:t>Vested and expected to vest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3,164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6.14</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8,607</w:t>
            </w: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As of September 30, 2022, there was $16.1 million of unrecognized compensation expense related to these RSUs and RSAs. This expense is expected to be recognized over 2.1 years.</w:t>
      </w:r>
    </w:p>
    <w:p>
      <w:pPr>
        <w:sectPr>
          <w:pgSz w:w="11900" w:h="16838" w:orient="portrait"/>
          <w:cols w:equalWidth="0" w:num="1">
            <w:col w:w="11240"/>
          </w:cols>
          <w:pgMar w:left="320" w:top="125" w:right="339" w:bottom="183"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83"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share-based compensation expenses recognized for the periods indicated (in thousands):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9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458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 by expense type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121</w:t>
            </w: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222</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371</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2,146</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580" w:type="dxa"/>
            <w:vAlign w:val="bottom"/>
            <w:gridSpan w:val="2"/>
          </w:tcPr>
          <w:p>
            <w:pPr>
              <w:spacing w:after="0"/>
              <w:rPr>
                <w:sz w:val="20"/>
                <w:szCs w:val="20"/>
                <w:color w:val="auto"/>
              </w:rPr>
            </w:pPr>
            <w:r>
              <w:rPr>
                <w:rFonts w:ascii="Arial" w:cs="Arial" w:eastAsia="Arial" w:hAnsi="Arial"/>
                <w:sz w:val="18"/>
                <w:szCs w:val="18"/>
                <w:color w:val="auto"/>
              </w:rPr>
              <w:t>Total share-based compensation expense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2,627</w:t>
            </w: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3,129</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7,243</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8,922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29" w:lineRule="exact"/>
        <w:rPr>
          <w:sz w:val="20"/>
          <w:szCs w:val="20"/>
          <w:color w:val="auto"/>
        </w:rPr>
      </w:pPr>
    </w:p>
    <w:p>
      <w:pPr>
        <w:ind w:left="160" w:firstLine="648"/>
        <w:spacing w:after="0" w:line="263" w:lineRule="auto"/>
        <w:rPr>
          <w:sz w:val="20"/>
          <w:szCs w:val="20"/>
          <w:color w:val="auto"/>
        </w:rPr>
      </w:pPr>
      <w:r>
        <w:rPr>
          <w:rFonts w:ascii="Arial" w:cs="Arial" w:eastAsia="Arial" w:hAnsi="Arial"/>
          <w:sz w:val="18"/>
          <w:szCs w:val="18"/>
          <w:color w:val="auto"/>
        </w:rPr>
        <w:t>The Company’s effective tax rate for the three months ended September 30, 2022 and 2021 was 0%. For the three months ended September 30, 2022 and 2021, the effective tax rate varied from the federal statutory rate of 21% primarily due to the change of the valuation allowance on federal, state, Taiwan, and China deferred tax assets ("DTA").</w:t>
      </w:r>
    </w:p>
    <w:p>
      <w:pPr>
        <w:spacing w:after="0" w:line="184" w:lineRule="exact"/>
        <w:rPr>
          <w:sz w:val="20"/>
          <w:szCs w:val="20"/>
          <w:color w:val="auto"/>
        </w:rPr>
      </w:pPr>
    </w:p>
    <w:p>
      <w:pPr>
        <w:jc w:val="both"/>
        <w:ind w:right="20" w:firstLine="810"/>
        <w:spacing w:after="0" w:line="263" w:lineRule="auto"/>
        <w:rPr>
          <w:sz w:val="20"/>
          <w:szCs w:val="20"/>
          <w:color w:val="auto"/>
        </w:rPr>
      </w:pPr>
      <w:r>
        <w:rPr>
          <w:rFonts w:ascii="Arial" w:cs="Arial" w:eastAsia="Arial" w:hAnsi="Arial"/>
          <w:sz w:val="18"/>
          <w:szCs w:val="18"/>
          <w:color w:val="auto"/>
        </w:rPr>
        <w:t>The Company's effective tax rate for the nine months ended September 30, 2022 and 2021 was 0%. For the nine months ended September 30, 2022 and 2021, the effective tax rate varied from the federal statutory rate of 21% primarily due to the change of the valuation allowance on federal, state, Taiwan and China DTA.</w:t>
      </w:r>
    </w:p>
    <w:p>
      <w:pPr>
        <w:spacing w:after="0" w:line="184"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The Company continually monitors and performs an assessment of the realizability of its DTAs, including an analysis of factors such as future taxable income, reversal of existing taxable temporary differences, and tax planning strategies. In assessing the need for a valuation allowance, the Company considered both positive and negative evidence related to the likelihood of realization of deferred tax assets using a “more likely than not” standard. In making such assessment, more weight was given to evidence that could be objectively verified, including recent cumulative losses. Based on the Company’s review of this evidence, management determined that a full valuation allowance against all of the Company’s net deferred tax assets at September 30, 2022 was appropriate.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Geographic Information</w:t>
      </w:r>
    </w:p>
    <w:p>
      <w:pPr>
        <w:spacing w:after="0" w:line="229"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4" w:lineRule="exact"/>
        <w:rPr>
          <w:sz w:val="20"/>
          <w:szCs w:val="20"/>
          <w:color w:val="auto"/>
        </w:rPr>
      </w:pPr>
    </w:p>
    <w:p>
      <w:pPr>
        <w:jc w:val="both"/>
        <w:ind w:right="60" w:firstLine="648"/>
        <w:spacing w:after="0" w:line="342" w:lineRule="auto"/>
        <w:rPr>
          <w:sz w:val="20"/>
          <w:szCs w:val="20"/>
          <w:color w:val="auto"/>
        </w:rPr>
      </w:pPr>
      <w:r>
        <w:rPr>
          <w:rFonts w:ascii="Arial" w:cs="Arial" w:eastAsia="Arial" w:hAnsi="Arial"/>
          <w:sz w:val="16"/>
          <w:szCs w:val="16"/>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20"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8"/>
              </w:rPr>
              <w:t>Three months ended September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40" w:type="dxa"/>
            <w:vAlign w:val="bottom"/>
            <w:gridSpan w:val="8"/>
          </w:tcPr>
          <w:p>
            <w:pPr>
              <w:ind w:left="2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10"/>
        </w:trPr>
        <w:tc>
          <w:tcPr>
            <w:tcW w:w="394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2,027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4,547</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5,732</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11,451</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46,716</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19,562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111,700</w:t>
            </w: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75,282</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China</w:t>
            </w: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7,950</w:t>
            </w:r>
          </w:p>
        </w:tc>
        <w:tc>
          <w:tcPr>
            <w:tcW w:w="2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29,158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43,801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70,424</w:t>
            </w:r>
          </w:p>
        </w:tc>
      </w:tr>
      <w:tr>
        <w:trPr>
          <w:trHeight w:val="20"/>
        </w:trPr>
        <w:tc>
          <w:tcPr>
            <w:tcW w:w="3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56,693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53,267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161,233</w:t>
            </w:r>
          </w:p>
        </w:tc>
        <w:tc>
          <w:tcPr>
            <w:tcW w:w="380" w:type="dxa"/>
            <w:vAlign w:val="bottom"/>
            <w:tcBorders>
              <w:lef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157,157</w:t>
            </w: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12"/>
        </w:trPr>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7"/>
          </w:tcPr>
          <w:p>
            <w:pPr>
              <w:jc w:val="right"/>
              <w:ind w:right="840"/>
              <w:spacing w:after="0"/>
              <w:rPr>
                <w:sz w:val="20"/>
                <w:szCs w:val="20"/>
                <w:color w:val="auto"/>
              </w:rPr>
            </w:pPr>
            <w:r>
              <w:rPr>
                <w:rFonts w:ascii="Arial" w:cs="Arial" w:eastAsia="Arial" w:hAnsi="Arial"/>
                <w:sz w:val="18"/>
                <w:szCs w:val="18"/>
                <w:b w:val="1"/>
                <w:bCs w:val="1"/>
                <w:color w:val="auto"/>
                <w:w w:val="89"/>
              </w:rPr>
              <w:t>As of the period ended</w:t>
            </w:r>
          </w:p>
        </w:tc>
      </w:tr>
      <w:tr>
        <w:trPr>
          <w:trHeight w:val="210"/>
        </w:trPr>
        <w:tc>
          <w:tcPr>
            <w:tcW w:w="394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Borders>
              <w:top w:val="single" w:sz="8" w:color="auto"/>
            </w:tcBorders>
            <w:gridSpan w:val="6"/>
          </w:tcPr>
          <w:p>
            <w:pPr>
              <w:jc w:val="right"/>
              <w:ind w:right="38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w w:val="99"/>
              </w:rPr>
              <w:t>December 31,</w:t>
            </w:r>
          </w:p>
        </w:tc>
        <w:tc>
          <w:tcPr>
            <w:tcW w:w="80" w:type="dxa"/>
            <w:vAlign w:val="bottom"/>
          </w:tcPr>
          <w:p>
            <w:pPr>
              <w:spacing w:after="0"/>
              <w:rPr>
                <w:sz w:val="18"/>
                <w:szCs w:val="18"/>
                <w:color w:val="auto"/>
              </w:rPr>
            </w:pPr>
          </w:p>
        </w:tc>
      </w:tr>
      <w:tr>
        <w:trPr>
          <w:trHeight w:val="209"/>
        </w:trPr>
        <w:tc>
          <w:tcPr>
            <w:tcW w:w="394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81,834</w:t>
            </w:r>
          </w:p>
        </w:tc>
        <w:tc>
          <w:tcPr>
            <w:tcW w:w="12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87,709</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50,847</w:t>
            </w:r>
          </w:p>
        </w:tc>
        <w:tc>
          <w:tcPr>
            <w:tcW w:w="1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63,644</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China</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93,447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108,509</w:t>
            </w: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226,128</w:t>
            </w: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8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259,862</w:t>
            </w: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20" w:top="125" w:right="459" w:bottom="1440" w:gutter="0" w:footer="0" w:header="0"/>
        </w:sectPr>
      </w:pP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From time to time, the Company may be subject to legal proceedings and litigation arising in the ordinary course of business, including, but not limited to, inquiries, investigations, audits and other regulatory proceedings, such as described below. The Company records a loss provision when it believes it is both probable that a liability has been incurred and the amount can be reasonably estimated. Unless otherwise disclosed, the Company is unable to estimate the possible loss or range of loss for the legal proceeding described below.</w:t>
      </w:r>
    </w:p>
    <w:p>
      <w:pPr>
        <w:spacing w:after="0" w:line="17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believes that there are no claims or actions pending or threatened against it, the ultimate disposition of which would have a material adverse effect on 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August 9, 2021, the Company has received a Taxes Notification of Audit Result (“Notice”) from the Texas Comptroller’s Office (the “Comptroller”), for fiscal years between 2016 and 2019, informing the Company that the Comptroller believes the Company did not qualify for certain sales and use tax exemptions on various Research and Development purchases and accordingly the Company is liable for Sale and Use Tax in the amount of approximately $1.0 million including interest charges. The Company paid $0.4 million for the tax notice on May 2021, but challenged the remaining tax assessments and vigorously defended its position. The Comptroller’s office exhausted its redetermination period and therefore moved AOI’s case to hearing process. AOI has not received its amended determination or hearing notice. The management estimated that the additional tax assessment will be in the range of $0.2 million to $0.4 million including interest charges.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repaid its revolving bank line of credit with Truist Bank in the amount of $16.3 million on October 6, 2022.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our consolidated financial statements and the accompanying notes appearing elsewhere in this Quarterly Report on Form 10-Q for the period ended September 30, 2022 and the audited consolidated financial statements and notes thereto and management’s discussion and analysis of financial condition and results of operations for the fiscal year ended December 31, 2021 included in our Annual Report. References to “Applied Optoelectronics,” “we,” “our” and “us” are to Applied Optoelectronics, Inc. and its subsidiaries unless otherwise specified or the context otherwise requires.</w:t>
      </w:r>
    </w:p>
    <w:p>
      <w:pPr>
        <w:spacing w:after="0" w:line="16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spacing w:after="0" w:line="17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including our Report on Form 10-K for the year ended December 31, 2021 and subsequent Quarterly Reports on Form 10-Q.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We are a leading, vertically integrated provider of fiber-optic networking products. We target four networking end-markets: CATV, internet data centers, telecom and FTTH. We design and manufacture a range of optical communications products at varying levels of integration, from components, subassemblies and modules to complete turn-key equipment. 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CATV, internet data center, telecom and FTTH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copper cables, particularly as speeds reach 100 Gbps and above, as well as the movement to open internet data center architectures and the increasing use of in-house equipment design among leading internet companies. Within the CATV market, we benefit from a number of ongoing trends including the build-out of CATV infrastructure in the US and other countries, the move to higher bandwidth networks among CATV service providers and the outsourcing of system design among CATV networking equipment companies. In the FTTH market, we benefit from continuing PON deployments and system upgrades among telecom service providers. In the telecom market, we benefit from deployment of new high-speed fiber-optic networks by telecom network operators, including 5G networks.</w:t>
      </w:r>
    </w:p>
    <w:p>
      <w:pPr>
        <w:spacing w:after="0" w:line="178"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a proprietary Molecular Beam Epitaxy, or MBE, and Metal Organic Chemical Vapor Deposition (MOCVD) fabrication process, which we believe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telecom markets where networking equipment is often installed outdoors.</w:t>
      </w:r>
    </w:p>
    <w:p>
      <w:pPr>
        <w:spacing w:after="0" w:line="16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Additionally,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CATV transmitters (at the headend), CATV outdoor equipment (at the node) and internet data center market, . Each manufacturing facility conducts testing on the components, modules or subsystems it manufactures and each facility is certified to ISO 9001:2015. Our facilities in Ningbo, China, Taipei, Taiwan, and Sugar Land, Texas are all certified to ISO 14001:2015.</w:t>
      </w:r>
    </w:p>
    <w:p>
      <w:pPr>
        <w:spacing w:after="0" w:line="18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principal executive offices are located at 13139 Jess Pirtle Blvd., Sugar Land, TX 77478, and our telephone number is (281) 295-1800.</w:t>
      </w:r>
    </w:p>
    <w:p>
      <w:pPr>
        <w:sectPr>
          <w:pgSz w:w="11900" w:h="16838" w:orient="portrait"/>
          <w:cols w:equalWidth="0" w:num="1">
            <w:col w:w="11220"/>
          </w:cols>
          <w:pgMar w:left="320" w:top="125" w:right="359" w:bottom="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2" w:name="page23"/>
    <w:bookmarkEnd w:id="22"/>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 Agreement with Yuhan Optoelectronic Technology (Shanghai) Co., Ltd</w:t>
      </w:r>
    </w:p>
    <w:p>
      <w:pPr>
        <w:spacing w:after="0" w:line="229" w:lineRule="exact"/>
        <w:rPr>
          <w:sz w:val="20"/>
          <w:szCs w:val="20"/>
          <w:color w:val="auto"/>
        </w:rPr>
      </w:pPr>
    </w:p>
    <w:p>
      <w:pPr>
        <w:ind w:left="20" w:firstLine="648"/>
        <w:spacing w:after="0" w:line="275" w:lineRule="auto"/>
        <w:rPr>
          <w:sz w:val="20"/>
          <w:szCs w:val="20"/>
          <w:color w:val="auto"/>
        </w:rPr>
      </w:pPr>
      <w:r>
        <w:rPr>
          <w:rFonts w:ascii="Arial" w:cs="Arial" w:eastAsia="Arial" w:hAnsi="Arial"/>
          <w:sz w:val="17"/>
          <w:szCs w:val="17"/>
          <w:color w:val="auto"/>
        </w:rPr>
        <w:t>On September 15, 2022, we entered into a definitive agreement and announced the planned divesture to sell the manufacturing facilities in People’s Republic of China ("PRC") and certain assets related to our transceiver business and multi-channel optical sub-assembly products to Yuhan Optoelectronic Technology (Shanghai) Co., Ltd. ("Purchaser"), which is a company incorporated in the PRC. The transaction is expected to close within 2023 subject to the satisfaction of certain closing conditions, including the CFIUS approval. Additional information regarding this transaction is provided in our Current Report on Form 8-K filed with the Securities and Exchange Commission on September 15, 2022.</w:t>
      </w:r>
    </w:p>
    <w:p>
      <w:pPr>
        <w:spacing w:after="0" w:line="176" w:lineRule="exact"/>
        <w:rPr>
          <w:sz w:val="20"/>
          <w:szCs w:val="20"/>
          <w:color w:val="auto"/>
        </w:rPr>
      </w:pPr>
    </w:p>
    <w:p>
      <w:pPr>
        <w:jc w:val="both"/>
        <w:ind w:left="20" w:right="100" w:firstLine="648"/>
        <w:spacing w:after="0" w:line="275" w:lineRule="auto"/>
        <w:rPr>
          <w:sz w:val="20"/>
          <w:szCs w:val="20"/>
          <w:color w:val="auto"/>
        </w:rPr>
      </w:pPr>
      <w:r>
        <w:rPr>
          <w:rFonts w:ascii="Arial" w:cs="Arial" w:eastAsia="Arial" w:hAnsi="Arial"/>
          <w:sz w:val="17"/>
          <w:szCs w:val="17"/>
          <w:color w:val="auto"/>
        </w:rPr>
        <w:t>The purchase price for this transaction will be an amount equal to the $150 million USD equivalent of Renminbi less a holdback amount. Prior to the closing of this transaction, the Company anticipates investing an amount equal to between 4% and 10% of the estimated proceeds from the transaction in exchange for a 10% equity interest in the Purchaser. The proceeds from the transaction will enable the Company to make strategic investments in higher margin and higher growth opportunities. By exiting the transceiver market, the Company will focus its resources on its CATV business and manufacturing lasers and laser components for the datacenter, CATV, telecom and FTTH markets.</w:t>
      </w:r>
    </w:p>
    <w:p>
      <w:pPr>
        <w:spacing w:after="0" w:line="176" w:lineRule="exact"/>
        <w:rPr>
          <w:sz w:val="20"/>
          <w:szCs w:val="20"/>
          <w:color w:val="auto"/>
        </w:rPr>
      </w:pPr>
    </w:p>
    <w:p>
      <w:pPr>
        <w:ind w:left="20" w:right="20" w:firstLine="648"/>
        <w:spacing w:after="0" w:line="254" w:lineRule="auto"/>
        <w:rPr>
          <w:sz w:val="20"/>
          <w:szCs w:val="20"/>
          <w:color w:val="auto"/>
        </w:rPr>
      </w:pPr>
      <w:r>
        <w:rPr>
          <w:rFonts w:ascii="Arial" w:cs="Arial" w:eastAsia="Arial" w:hAnsi="Arial"/>
          <w:sz w:val="18"/>
          <w:szCs w:val="18"/>
          <w:color w:val="auto"/>
        </w:rPr>
        <w:t xml:space="preserve">Our management has performed an evaluation as required by </w:t>
      </w:r>
      <w:r>
        <w:rPr>
          <w:rFonts w:ascii="Arial" w:cs="Arial" w:eastAsia="Arial" w:hAnsi="Arial"/>
          <w:sz w:val="18"/>
          <w:szCs w:val="18"/>
          <w:i w:val="1"/>
          <w:iCs w:val="1"/>
          <w:color w:val="auto"/>
        </w:rPr>
        <w:t>ASC-360-10-45-9</w:t>
      </w:r>
      <w:r>
        <w:rPr>
          <w:rFonts w:ascii="Arial" w:cs="Arial" w:eastAsia="Arial" w:hAnsi="Arial"/>
          <w:sz w:val="18"/>
          <w:szCs w:val="18"/>
          <w:color w:val="auto"/>
        </w:rPr>
        <w:t xml:space="preserve"> to determine whether to classify certain our assets and liabilities as held for sale as of September 30, 2022. </w:t>
      </w:r>
      <w:r>
        <w:rPr>
          <w:rFonts w:ascii="Arial" w:cs="Arial" w:eastAsia="Arial" w:hAnsi="Arial"/>
          <w:sz w:val="18"/>
          <w:szCs w:val="18"/>
          <w:i w:val="1"/>
          <w:iCs w:val="1"/>
          <w:color w:val="auto"/>
        </w:rPr>
        <w:t>ASC 360</w:t>
      </w:r>
      <w:r>
        <w:rPr>
          <w:rFonts w:ascii="Arial" w:cs="Arial" w:eastAsia="Arial" w:hAnsi="Arial"/>
          <w:sz w:val="18"/>
          <w:szCs w:val="18"/>
          <w:color w:val="auto"/>
        </w:rPr>
        <w:t xml:space="preserve"> requires that a company classifies a business as held for sale in the period in which management commits to a plan to sell the business, the business is available for immediate sale in its present condition, an active program to complete the plan to sell the business is initiated, the sale of the business within one year is probable and the business is being marketed at a reasonable price in relation to its fair value. The proposed sale is subject to CFIUS' approval and the probability is less likely to be deemed "probable" as of September 30, 2022. Additionally, there is no financial disincentive for the buyer not to request additional changes. As a result, our management concludes that none of our assets or liabilities are required to be classified as held for sale.</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ind w:left="20" w:firstLine="648"/>
        <w:spacing w:after="0" w:line="275" w:lineRule="auto"/>
        <w:rPr>
          <w:sz w:val="20"/>
          <w:szCs w:val="20"/>
          <w:color w:val="auto"/>
        </w:rPr>
      </w:pPr>
      <w:r>
        <w:rPr>
          <w:rFonts w:ascii="Arial" w:cs="Arial" w:eastAsia="Arial" w:hAnsi="Arial"/>
          <w:sz w:val="17"/>
          <w:szCs w:val="17"/>
          <w:color w:val="auto"/>
        </w:rPr>
        <w:t>We are subject to risks and uncertainties as a result of the COVID-19 pandemic. The extent of the impact of the COVID-19 pandemic on our business is highly uncertain and difficult to predict as coronavirus continues to spread around the world. In March 2020, we instituted travel restrictions and implemented sanitation and disinfection procedures to safeguard the health and safety of our employees which continue today. Recently, we began allowing certain employee travel, but continue strict sanitation procedures in our facilities. With increased vaccinations and the potential significant reduction of infections, we have implemented procedures for a safe return to the office environment for all of our employees.</w:t>
      </w:r>
    </w:p>
    <w:p>
      <w:pPr>
        <w:spacing w:after="0" w:line="176" w:lineRule="exact"/>
        <w:rPr>
          <w:sz w:val="20"/>
          <w:szCs w:val="20"/>
          <w:color w:val="auto"/>
        </w:rPr>
      </w:pPr>
    </w:p>
    <w:p>
      <w:pPr>
        <w:ind w:left="20" w:right="40" w:firstLine="648"/>
        <w:spacing w:after="0" w:line="286" w:lineRule="auto"/>
        <w:rPr>
          <w:sz w:val="20"/>
          <w:szCs w:val="20"/>
          <w:color w:val="auto"/>
        </w:rPr>
      </w:pPr>
      <w:r>
        <w:rPr>
          <w:rFonts w:ascii="Arial" w:cs="Arial" w:eastAsia="Arial" w:hAnsi="Arial"/>
          <w:sz w:val="16"/>
          <w:szCs w:val="16"/>
          <w:color w:val="auto"/>
        </w:rPr>
        <w:t>The spread of COVID-19 has impacted our supply chain operations through restrictions, reduced capacity and shutdown of business activities by suppliers whom we rely on for sourcing components and materials and third-party partners whom we rely on for manufacturing, warehousing and logistics services. Currently, the suppliers who were responsible for most of our supply-chain constraints in 2021 have begun returning to normal operations and have expressed optimism that their deliveries in 2022 will return to normal. However, late in the first quarter of 2022, certain areas of China began to experience severe restrictions due to COVID-19 outbreaks. Also, certain of our suppliers for semiconductor components have recently notified us of lengthy delays in shipments of certain integrated circuits used in some of our products. Currently, it is not possible to estimate the impact (if any) of these restrictions because it is not clear how long the restrictions will be in place or the extent to which the restrictions will curtail production by our suppliers in the affected areas. In order to minimize the impact of these and any similar disruptions, we have added additional suppliers for many key components, where it is practical to do so. Also, where it is possible, we have in many cases begun to utilize alternative components in place of the originally-specified components when the original components have experienced supply disruption. We believe that these additional suppliers and alternative parts will be able to augment our supply of needed components, although in some cases these alternative materials are more expensive than the original ones so a switch to these alternate materials has had a negative impact on gross margins and profitability. Due to a mix of old and new parts used in production, it is difficult to estimate the amount of margin reduction associated with these alternatives. As a result of the changing supply environment, it is also difficult to estimate the future impact, if any, of these additional supply-chain related costs.</w:t>
      </w:r>
    </w:p>
    <w:p>
      <w:pPr>
        <w:spacing w:after="0" w:line="171" w:lineRule="exact"/>
        <w:rPr>
          <w:sz w:val="20"/>
          <w:szCs w:val="20"/>
          <w:color w:val="auto"/>
        </w:rPr>
      </w:pPr>
    </w:p>
    <w:p>
      <w:pPr>
        <w:ind w:left="20" w:right="480" w:firstLine="648"/>
        <w:spacing w:after="0" w:line="259" w:lineRule="auto"/>
        <w:rPr>
          <w:sz w:val="20"/>
          <w:szCs w:val="20"/>
          <w:color w:val="auto"/>
        </w:rPr>
      </w:pPr>
      <w:r>
        <w:rPr>
          <w:rFonts w:ascii="Arial" w:cs="Arial" w:eastAsia="Arial" w:hAnsi="Arial"/>
          <w:sz w:val="18"/>
          <w:szCs w:val="18"/>
          <w:color w:val="auto"/>
        </w:rPr>
        <w:t>Although demand for many of our products has been strong in the short-term as subscribers seek more bandwidth, customers’ purchasing decisions over the long-term may be impacted by the pandemic and its impact on the economy, which could in turn impact our revenue and results of operations. The extent to which the COVID-19 pandemic may materially impact our financial condition, liquidity or results of operations is therefore uncertain.</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0" w:right="160" w:firstLine="648"/>
        <w:spacing w:after="0" w:line="277" w:lineRule="auto"/>
        <w:rPr>
          <w:sz w:val="20"/>
          <w:szCs w:val="20"/>
          <w:color w:val="auto"/>
        </w:rPr>
      </w:pPr>
      <w:r>
        <w:rPr>
          <w:rFonts w:ascii="Arial" w:cs="Arial" w:eastAsia="Arial" w:hAnsi="Arial"/>
          <w:sz w:val="18"/>
          <w:szCs w:val="18"/>
          <w:color w:val="auto"/>
        </w:rPr>
        <w:t>The following table set forth our consolidated results of operations for the periods presented and as a percentage of our revenue for those periods (in thousands, except percentages):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tcPr>
          <w:p>
            <w:pPr>
              <w:spacing w:after="0"/>
              <w:rPr>
                <w:sz w:val="18"/>
                <w:szCs w:val="18"/>
                <w:color w:val="auto"/>
              </w:rPr>
            </w:pPr>
          </w:p>
        </w:tc>
        <w:tc>
          <w:tcPr>
            <w:tcW w:w="21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tcPr>
          <w:p>
            <w:pPr>
              <w:spacing w:after="0"/>
              <w:rPr>
                <w:sz w:val="18"/>
                <w:szCs w:val="18"/>
                <w:color w:val="auto"/>
              </w:rPr>
            </w:pPr>
          </w:p>
        </w:tc>
        <w:tc>
          <w:tcPr>
            <w:tcW w:w="212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8"/>
              </w:rPr>
              <w:t>Nine months ended</w:t>
            </w:r>
          </w:p>
        </w:tc>
        <w:tc>
          <w:tcPr>
            <w:tcW w:w="160" w:type="dxa"/>
            <w:vAlign w:val="bottom"/>
          </w:tcPr>
          <w:p>
            <w:pPr>
              <w:spacing w:after="0"/>
              <w:rPr>
                <w:sz w:val="18"/>
                <w:szCs w:val="18"/>
                <w:color w:val="auto"/>
              </w:rPr>
            </w:pPr>
          </w:p>
        </w:tc>
        <w:tc>
          <w:tcPr>
            <w:tcW w:w="20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gridSpan w:val="3"/>
          </w:tcPr>
          <w:p>
            <w:pPr>
              <w:jc w:val="center"/>
              <w:ind w:left="330"/>
              <w:spacing w:after="0"/>
              <w:rPr>
                <w:sz w:val="20"/>
                <w:szCs w:val="20"/>
                <w:color w:val="auto"/>
              </w:rPr>
            </w:pPr>
            <w:r>
              <w:rPr>
                <w:rFonts w:ascii="Arial" w:cs="Arial" w:eastAsia="Arial" w:hAnsi="Arial"/>
                <w:sz w:val="18"/>
                <w:szCs w:val="18"/>
                <w:b w:val="1"/>
                <w:bCs w:val="1"/>
                <w:color w:val="auto"/>
                <w:w w:val="89"/>
              </w:rPr>
              <w:t>2022</w:t>
            </w:r>
          </w:p>
        </w:tc>
        <w:tc>
          <w:tcPr>
            <w:tcW w:w="4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9"/>
              </w:rPr>
              <w:t>2021</w:t>
            </w:r>
          </w:p>
        </w:tc>
        <w:tc>
          <w:tcPr>
            <w:tcW w:w="4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b w:val="1"/>
                <w:bCs w:val="1"/>
                <w:color w:val="auto"/>
                <w:w w:val="89"/>
              </w:rPr>
              <w:t>2022</w:t>
            </w:r>
          </w:p>
        </w:tc>
        <w:tc>
          <w:tcPr>
            <w:tcW w:w="4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b w:val="1"/>
                <w:bCs w:val="1"/>
                <w:color w:val="auto"/>
                <w:w w:val="89"/>
              </w:rPr>
              <w:t>2021</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56,693</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53,267</w:t>
            </w:r>
          </w:p>
        </w:tc>
        <w:tc>
          <w:tcPr>
            <w:tcW w:w="4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161,233</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157,157</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100.0%</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46,944</w:t>
            </w:r>
          </w:p>
        </w:tc>
        <w:tc>
          <w:tcPr>
            <w:tcW w:w="4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82.8%</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45,143</w:t>
            </w:r>
          </w:p>
        </w:tc>
        <w:tc>
          <w:tcPr>
            <w:tcW w:w="4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84.7%</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133,832</w:t>
            </w:r>
          </w:p>
        </w:tc>
        <w:tc>
          <w:tcPr>
            <w:tcW w:w="4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83.0%</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127,537</w:t>
            </w:r>
          </w:p>
        </w:tc>
        <w:tc>
          <w:tcPr>
            <w:tcW w:w="4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81.2%</w:t>
            </w: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9,749</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8,124</w:t>
            </w:r>
          </w:p>
        </w:tc>
        <w:tc>
          <w:tcPr>
            <w:tcW w:w="4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27,401</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29,620</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r>
      <w:tr>
        <w:trPr>
          <w:trHeight w:val="209"/>
        </w:trPr>
        <w:tc>
          <w:tcPr>
            <w:tcW w:w="20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w w:val="93"/>
              </w:rPr>
              <w:t>Research and development</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9,206</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10,149</w:t>
            </w:r>
          </w:p>
        </w:tc>
        <w:tc>
          <w:tcPr>
            <w:tcW w:w="4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27,021</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31,990</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Sales and marketing</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2,385</w:t>
            </w:r>
          </w:p>
        </w:tc>
        <w:tc>
          <w:tcPr>
            <w:tcW w:w="4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2,783</w:t>
            </w:r>
          </w:p>
        </w:tc>
        <w:tc>
          <w:tcPr>
            <w:tcW w:w="4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7,107</w:t>
            </w:r>
          </w:p>
        </w:tc>
        <w:tc>
          <w:tcPr>
            <w:tcW w:w="4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8,576</w:t>
            </w:r>
          </w:p>
        </w:tc>
        <w:tc>
          <w:tcPr>
            <w:tcW w:w="4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w w:val="95"/>
              </w:rPr>
              <w:t>General and administrative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11,654</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10,645</w:t>
            </w:r>
          </w:p>
        </w:tc>
        <w:tc>
          <w:tcPr>
            <w:tcW w:w="4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33,908</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32,195</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r>
      <w:tr>
        <w:trPr>
          <w:trHeight w:val="20"/>
        </w:trPr>
        <w:tc>
          <w:tcPr>
            <w:tcW w:w="2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20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23,245</w:t>
            </w:r>
          </w:p>
        </w:tc>
        <w:tc>
          <w:tcPr>
            <w:tcW w:w="4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23,577</w:t>
            </w:r>
          </w:p>
        </w:tc>
        <w:tc>
          <w:tcPr>
            <w:tcW w:w="4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68,036</w:t>
            </w:r>
          </w:p>
        </w:tc>
        <w:tc>
          <w:tcPr>
            <w:tcW w:w="4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72,761</w:t>
            </w:r>
          </w:p>
        </w:tc>
        <w:tc>
          <w:tcPr>
            <w:tcW w:w="4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46.4%</w:t>
            </w: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(13,496)</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(15,453)</w:t>
            </w:r>
          </w:p>
        </w:tc>
        <w:tc>
          <w:tcPr>
            <w:tcW w:w="4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(29.0)%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(40,635)</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(25.2)%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(43,141)</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(27.5)%</w:t>
            </w:r>
          </w:p>
        </w:tc>
      </w:tr>
      <w:tr>
        <w:trPr>
          <w:trHeight w:val="209"/>
        </w:trPr>
        <w:tc>
          <w:tcPr>
            <w:tcW w:w="20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Interest expense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(1,621)</w:t>
            </w:r>
          </w:p>
        </w:tc>
        <w:tc>
          <w:tcPr>
            <w:tcW w:w="4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(1,359)</w:t>
            </w:r>
          </w:p>
        </w:tc>
        <w:tc>
          <w:tcPr>
            <w:tcW w:w="4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(4,431)</w:t>
            </w:r>
          </w:p>
        </w:tc>
        <w:tc>
          <w:tcPr>
            <w:tcW w:w="4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(4,158)</w:t>
            </w:r>
          </w:p>
        </w:tc>
        <w:tc>
          <w:tcPr>
            <w:tcW w:w="4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(541)</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w:t>
            </w:r>
          </w:p>
        </w:tc>
        <w:tc>
          <w:tcPr>
            <w:tcW w:w="4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(1,171)</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7,628</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r>
      <w:tr>
        <w:trPr>
          <w:trHeight w:val="195"/>
        </w:trPr>
        <w:tc>
          <w:tcPr>
            <w:tcW w:w="20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Total other income</w:t>
            </w:r>
          </w:p>
        </w:tc>
        <w:tc>
          <w:tcPr>
            <w:tcW w:w="12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(expense), net</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(2,131)</w:t>
            </w:r>
          </w:p>
        </w:tc>
        <w:tc>
          <w:tcPr>
            <w:tcW w:w="4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c>
          <w:tcPr>
            <w:tcW w:w="4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(5,512)</w:t>
            </w:r>
          </w:p>
        </w:tc>
        <w:tc>
          <w:tcPr>
            <w:tcW w:w="4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3,519</w:t>
            </w:r>
          </w:p>
        </w:tc>
        <w:tc>
          <w:tcPr>
            <w:tcW w:w="46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(15,627)</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(15,797)</w:t>
            </w:r>
          </w:p>
        </w:tc>
        <w:tc>
          <w:tcPr>
            <w:tcW w:w="4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(29.7)%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(46,147)</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(28.6)%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(39,622)</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(25.2)%</w:t>
            </w:r>
          </w:p>
        </w:tc>
      </w:tr>
    </w:tbl>
    <w:p>
      <w:pPr>
        <w:sectPr>
          <w:pgSz w:w="11900" w:h="16864" w:orient="portrait"/>
          <w:cols w:equalWidth="0" w:num="1">
            <w:col w:w="11260"/>
          </w:cols>
          <w:pgMar w:left="300" w:top="125" w:right="339" w:bottom="0" w:gutter="0" w:footer="0" w:header="0"/>
        </w:sectPr>
      </w:pPr>
    </w:p>
    <w:bookmarkStart w:id="23" w:name="page24"/>
    <w:bookmarkEnd w:id="23"/>
    <w:p>
      <w:pPr>
        <w:spacing w:after="0"/>
        <w:tabs>
          <w:tab w:leader="none" w:pos="2180" w:val="left"/>
          <w:tab w:leader="none" w:pos="2520" w:val="left"/>
          <w:tab w:leader="none" w:pos="3780" w:val="left"/>
          <w:tab w:leader="none" w:pos="4800" w:val="left"/>
          <w:tab w:leader="none" w:pos="6060" w:val="left"/>
          <w:tab w:leader="none" w:pos="7080" w:val="left"/>
          <w:tab w:leader="none" w:pos="8340" w:val="left"/>
          <w:tab w:leader="none" w:pos="9360" w:val="left"/>
          <w:tab w:leader="none" w:pos="10620" w:val="left"/>
        </w:tabs>
        <w:rPr>
          <w:sz w:val="20"/>
          <w:szCs w:val="20"/>
          <w:color w:val="auto"/>
        </w:rPr>
      </w:pPr>
      <w:r>
        <w:rPr>
          <w:rFonts w:ascii="Arial" w:cs="Arial" w:eastAsia="Arial" w:hAnsi="Arial"/>
          <w:sz w:val="18"/>
          <w:szCs w:val="18"/>
          <w:color w:val="auto"/>
        </w:rPr>
        <w:t>Net loss</w:t>
      </w:r>
      <w:r>
        <w:rPr>
          <w:sz w:val="20"/>
          <w:szCs w:val="20"/>
          <w:color w:val="auto"/>
        </w:rPr>
        <w:tab/>
      </w:r>
      <w:r>
        <w:rPr>
          <w:rFonts w:ascii="Arial" w:cs="Arial" w:eastAsia="Arial" w:hAnsi="Arial"/>
          <w:sz w:val="18"/>
          <w:szCs w:val="18"/>
          <w:u w:val="single" w:color="auto"/>
          <w:color w:val="auto"/>
        </w:rPr>
        <w:t>$</w:t>
        <w:tab/>
        <w:t>(15,627</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(27.6)%  </w:t>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(15,797</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(29.7)%  </w:t>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(46,147</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(28.6)%  </w:t>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(39,622</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14605</wp:posOffset>
            </wp:positionV>
            <wp:extent cx="559752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97525" cy="2603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CATV, internet data center, telecom and FTTH markets. We derive a significant portion of our revenue from our top ten customers, and we anticipate that we will continue to do so for the foreseeable future. The following charts provide the revenue contribution from each of the markets we served for the three and nine months ended September 30, 2022 and 2021 (in thousands, except percentages):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b w:val="1"/>
                <w:bCs w:val="1"/>
                <w:color w:val="auto"/>
                <w:w w:val="91"/>
              </w:rPr>
              <w:t>Three months ended September 30,</w:t>
            </w:r>
          </w:p>
        </w:tc>
        <w:tc>
          <w:tcPr>
            <w:tcW w:w="11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4"/>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09"/>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CATV</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31,260</w:t>
            </w:r>
          </w:p>
        </w:tc>
        <w:tc>
          <w:tcPr>
            <w:tcW w:w="1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23,101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Data Center</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17,697</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23,929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44.9%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(6,232)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1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FTTH</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3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32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56,693</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53,267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3,426</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r>
      <w:tr>
        <w:trPr>
          <w:trHeight w:val="20"/>
        </w:trPr>
        <w:tc>
          <w:tcPr>
            <w:tcW w:w="3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b w:val="1"/>
                <w:bCs w:val="1"/>
                <w:color w:val="auto"/>
                <w:w w:val="90"/>
              </w:rPr>
              <w:t>Nine months ended September 30,</w:t>
            </w:r>
          </w:p>
        </w:tc>
        <w:tc>
          <w:tcPr>
            <w:tcW w:w="11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4"/>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09"/>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CATV</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79,953</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69,339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10,614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Data Center</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60,608</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72,259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(11,651)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18,362</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12,959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FTTH</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784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(660)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(84.2)%</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r>
      <w:tr>
        <w:trPr>
          <w:trHeight w:val="20"/>
        </w:trPr>
        <w:tc>
          <w:tcPr>
            <w:tcW w:w="3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32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161,233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157,157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4,076</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0"/>
        </w:trPr>
        <w:tc>
          <w:tcPr>
            <w:tcW w:w="3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increase in revenue during the three and nine months ended September 30, 2022 was driven primarily by strong demand in CATV product sales arising from products with architecture improvements to enable delivery of additional bandwidth to consumers. The increase in bandwidth demand was particularly acute in the upstream direction, and sales of products associated with increased return-path bandwidth were notably strong in the quarter. The increase was offset by the decrease of data center sales. Based on customer forecasts and order backlog we believe that this elevated CATV demand will likely continue into 2023.</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begun to see increased orders for our 400G data center products from several large customers. Based on forecasts from our customers, we expect increased demand for these products through the end of 2022.</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the three months ended September 30, 2022 and 2021, our top ten customers represented 85.8% and 86.0%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 We continue to prioritize new customer acquisition and growth of diverse revenue streams.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200" w:type="dxa"/>
            <w:vAlign w:val="bottom"/>
            <w:gridSpan w:val="2"/>
          </w:tcPr>
          <w:p>
            <w:pPr>
              <w:spacing w:after="0"/>
              <w:rPr>
                <w:sz w:val="20"/>
                <w:szCs w:val="20"/>
                <w:color w:val="auto"/>
              </w:rPr>
            </w:pPr>
            <w:r>
              <w:rPr>
                <w:rFonts w:ascii="Arial" w:cs="Arial" w:eastAsia="Arial" w:hAnsi="Arial"/>
                <w:sz w:val="18"/>
                <w:szCs w:val="18"/>
                <w:i w:val="1"/>
                <w:iCs w:val="1"/>
                <w:color w:val="auto"/>
              </w:rPr>
              <w:t>Cost of goods sold and gross margin</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4"/>
          </w:tcPr>
          <w:p>
            <w:pPr>
              <w:ind w:left="100"/>
              <w:spacing w:after="0"/>
              <w:rPr>
                <w:sz w:val="20"/>
                <w:szCs w:val="20"/>
                <w:color w:val="auto"/>
              </w:rPr>
            </w:pPr>
            <w:r>
              <w:rPr>
                <w:rFonts w:ascii="Arial" w:cs="Arial" w:eastAsia="Arial" w:hAnsi="Arial"/>
                <w:sz w:val="18"/>
                <w:szCs w:val="18"/>
                <w:b w:val="1"/>
                <w:bCs w:val="1"/>
                <w:color w:val="auto"/>
                <w:w w:val="95"/>
              </w:rPr>
              <w:t>Three months ended September 30,</w:t>
            </w: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5"/>
            <w:vMerge w:val="restart"/>
          </w:tcPr>
          <w:p>
            <w:pPr>
              <w:ind w:left="78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2022</w:t>
            </w:r>
          </w:p>
        </w:tc>
        <w:tc>
          <w:tcPr>
            <w:tcW w:w="9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w w:val="99"/>
              </w:rPr>
              <w:t>2021</w:t>
            </w:r>
          </w:p>
        </w:tc>
        <w:tc>
          <w:tcPr>
            <w:tcW w:w="9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5"/>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22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7"/>
              </w:rPr>
              <w:t>Revenue</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220" w:type="dxa"/>
            <w:vAlign w:val="bottom"/>
            <w:gridSpan w:val="2"/>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87"/>
              </w:rPr>
              <w:t>(in thousands,</w:t>
            </w:r>
          </w:p>
        </w:tc>
        <w:tc>
          <w:tcPr>
            <w:tcW w:w="1320" w:type="dxa"/>
            <w:vAlign w:val="bottom"/>
            <w:gridSpan w:val="5"/>
          </w:tcPr>
          <w:p>
            <w:pPr>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46,944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45,143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84.7%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1,801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8"/>
                <w:szCs w:val="18"/>
                <w:color w:val="auto"/>
              </w:rPr>
              <w:t>9,749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8"/>
                <w:szCs w:val="18"/>
                <w:color w:val="auto"/>
              </w:rPr>
              <w:t>8,124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15.3%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1,625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4"/>
          </w:tcPr>
          <w:p>
            <w:pPr>
              <w:ind w:left="80"/>
              <w:spacing w:after="0"/>
              <w:rPr>
                <w:sz w:val="20"/>
                <w:szCs w:val="20"/>
                <w:color w:val="auto"/>
              </w:rPr>
            </w:pPr>
            <w:r>
              <w:rPr>
                <w:rFonts w:ascii="Arial" w:cs="Arial" w:eastAsia="Arial" w:hAnsi="Arial"/>
                <w:sz w:val="18"/>
                <w:szCs w:val="18"/>
                <w:b w:val="1"/>
                <w:bCs w:val="1"/>
                <w:color w:val="auto"/>
                <w:w w:val="99"/>
              </w:rPr>
              <w:t>Nine months ended September 30,</w:t>
            </w: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5"/>
            <w:vMerge w:val="restart"/>
          </w:tcPr>
          <w:p>
            <w:pPr>
              <w:ind w:left="74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9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b w:val="1"/>
                <w:bCs w:val="1"/>
                <w:color w:val="auto"/>
              </w:rPr>
              <w:t>2021</w:t>
            </w:r>
          </w:p>
        </w:tc>
        <w:tc>
          <w:tcPr>
            <w:tcW w:w="9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5"/>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9"/>
              </w:rPr>
              <w:t>% of</w:t>
            </w:r>
          </w:p>
        </w:tc>
        <w:tc>
          <w:tcPr>
            <w:tcW w:w="22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9"/>
              </w:rPr>
              <w:t>% of</w:t>
            </w:r>
          </w:p>
        </w:tc>
        <w:tc>
          <w:tcPr>
            <w:tcW w:w="2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gridSpan w:val="2"/>
          </w:tcPr>
          <w:p>
            <w:pPr>
              <w:spacing w:after="0"/>
              <w:rPr>
                <w:sz w:val="20"/>
                <w:szCs w:val="20"/>
                <w:color w:val="auto"/>
              </w:rPr>
            </w:pPr>
          </w:p>
        </w:tc>
        <w:tc>
          <w:tcPr>
            <w:tcW w:w="180" w:type="dxa"/>
            <w:vAlign w:val="bottom"/>
            <w:tcBorders>
              <w:bottom w:val="single" w:sz="8" w:color="auto"/>
            </w:tcBorders>
            <w:gridSpan w:val="2"/>
          </w:tcPr>
          <w:p>
            <w:pPr>
              <w:spacing w:after="0"/>
              <w:rPr>
                <w:sz w:val="20"/>
                <w:szCs w:val="20"/>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Revenue</w:t>
            </w:r>
          </w:p>
        </w:tc>
        <w:tc>
          <w:tcPr>
            <w:tcW w:w="22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gridSpan w:val="2"/>
          </w:tcPr>
          <w:p>
            <w:pPr>
              <w:spacing w:after="0"/>
              <w:rPr>
                <w:sz w:val="20"/>
                <w:szCs w:val="20"/>
                <w:color w:val="auto"/>
              </w:rPr>
            </w:pPr>
          </w:p>
        </w:tc>
        <w:tc>
          <w:tcPr>
            <w:tcW w:w="180" w:type="dxa"/>
            <w:vAlign w:val="bottom"/>
            <w:tcBorders>
              <w:bottom w:val="single" w:sz="8" w:color="auto"/>
            </w:tcBorders>
            <w:gridSpan w:val="2"/>
          </w:tcPr>
          <w:p>
            <w:pPr>
              <w:spacing w:after="0"/>
              <w:rPr>
                <w:sz w:val="20"/>
                <w:szCs w:val="20"/>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Revenue</w:t>
            </w:r>
          </w:p>
        </w:tc>
        <w:tc>
          <w:tcPr>
            <w:tcW w:w="280" w:type="dxa"/>
            <w:vAlign w:val="bottom"/>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7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w w:val="95"/>
              </w:rPr>
              <w:t>(in thousands,</w:t>
            </w:r>
          </w:p>
        </w:tc>
        <w:tc>
          <w:tcPr>
            <w:tcW w:w="1320" w:type="dxa"/>
            <w:vAlign w:val="bottom"/>
            <w:gridSpan w:val="5"/>
          </w:tcPr>
          <w:p>
            <w:pPr>
              <w:spacing w:after="0"/>
              <w:rPr>
                <w:sz w:val="20"/>
                <w:szCs w:val="20"/>
                <w:color w:val="auto"/>
              </w:rPr>
            </w:pPr>
            <w:r>
              <w:rPr>
                <w:rFonts w:ascii="Arial" w:cs="Arial" w:eastAsia="Arial" w:hAnsi="Arial"/>
                <w:sz w:val="18"/>
                <w:szCs w:val="18"/>
                <w:b w:val="1"/>
                <w:bCs w:val="1"/>
                <w:color w:val="auto"/>
                <w:w w:val="74"/>
              </w:rPr>
              <w:t>except percentages)</w:t>
            </w:r>
          </w:p>
        </w:tc>
        <w:tc>
          <w:tcPr>
            <w:tcW w:w="2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133,832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127,537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81.2%</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27,401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29,620</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18.8%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(2,219)</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Cost of goods sold increased by $1.8 million, or 4% and $6.3 million, or 4.9%, respectively, for the three and nine months ended September 30, 2022 as compared to the three and nine months ended September 30, 2021, primarily due to the 6.4% and 2.6% sales increase, respectively, and higher cost of certain raw materials due to global supply chain disruption.</w:t>
      </w:r>
    </w:p>
    <w:p>
      <w:pPr>
        <w:spacing w:after="0" w:line="18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Gross margin increased $1.6 million, or 20.0% for the three months ended September 30, 2022 as compared to the three months ended September 30, 2021, primarily as a result of changes in the mix of our CATV and data center products. Gross margin decreased $2.2 million, or 7.5% for the nine months ended September 30, 2022 as compared to the nine months ended September 30, 2021, mainly due to the lower gross margin from the first two quarters of 2022 due to product mix and unfavorable cost variance from higher costs of certain raw materials.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8"/>
                <w:szCs w:val="18"/>
                <w:b w:val="1"/>
                <w:bCs w:val="1"/>
                <w:color w:val="auto"/>
                <w:w w:val="91"/>
              </w:rPr>
              <w:t>Three months ended September 30,</w:t>
            </w:r>
          </w:p>
        </w:tc>
        <w:tc>
          <w:tcPr>
            <w:tcW w:w="9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2022</w:t>
            </w: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revenue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4"/>
              </w:rPr>
              <w:t>except percentages)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10,149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2,783</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(398)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10,645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23,245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23,577</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44.3%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(332)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8"/>
                <w:szCs w:val="18"/>
                <w:b w:val="1"/>
                <w:bCs w:val="1"/>
                <w:color w:val="auto"/>
                <w:w w:val="93"/>
              </w:rPr>
              <w:t>Nine months ended September 30,</w:t>
            </w:r>
          </w:p>
        </w:tc>
        <w:tc>
          <w:tcPr>
            <w:tcW w:w="9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2022</w:t>
            </w: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revenue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4"/>
              </w:rPr>
              <w:t>except percentages)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31,990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8,576</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(1,469)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32,195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68,036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72,761</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46.4%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(4,725)</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Research and development expense decreased by $0.9 million, or 9.3% for the three months ended September 30, 2022 as compared to the three months ended September 30, 2021. Research and development expense decreased by $5.0 million, or 15.5%, for the nine months ended September 30, 2022 as compared to the nine months ended September 30, 2021. Research and development costs consist of R&amp;D work orders, R&amp;D material usage and other project related costs related to 100 Gbps, 200/400 Gbps data center products, DOCSIS 3.1 capable CATV products and other new product development, and depreciation expense resulting from R&amp;D equipment investments. The decreases were primarily due to a decrease in personnel-related costs, share-based compensation expense, and less materials and supplies used in R&amp;D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Sales and marketing expense decreased by $0.4 million, or 14.3% for the three months ended September 30, 2022 as compared to the three months ended September 30, 2021. Sales and marketing expense decreased by $1.5 million, or 17.1%, for the nine months ended September 30, 2022 as compared to the nine months ended September 30, 2021. The decreases were primarily due to a decrease in personnel-related costs, duties and freight and partially offset by an increase in trade show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General and administrative expense increased by $1.0 million, or 9.5% for the three months ended September 30, 2022 compared to the three months ended September 30, 2021. General and administrative expense increase by $1.7 million, or 5.3%, for the nine months ended September 30, 2022 compared to the nine months ended September 30, 2021. These increases were primarily due to an increase in depreciation expense, taxes and fees. These increases were partially offset by a decrease in share based compensation, personnel-related costs and professional service fees.</w:t>
      </w:r>
    </w:p>
    <w:p>
      <w:pPr>
        <w:sectPr>
          <w:pgSz w:w="11900" w:h="16838" w:orient="portrait"/>
          <w:cols w:equalWidth="0" w:num="1">
            <w:col w:w="11240"/>
          </w:cols>
          <w:pgMar w:left="320" w:top="108" w:right="339" w:bottom="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08" w:right="339" w:bottom="0" w:gutter="0" w:footer="0" w:header="0"/>
          <w:type w:val="continuous"/>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31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160" w:type="dxa"/>
            <w:vAlign w:val="bottom"/>
            <w:gridSpan w:val="2"/>
          </w:tcPr>
          <w:p>
            <w:pPr>
              <w:spacing w:after="0"/>
              <w:rPr>
                <w:sz w:val="20"/>
                <w:szCs w:val="20"/>
                <w:color w:val="auto"/>
              </w:rPr>
            </w:pPr>
            <w:r>
              <w:rPr>
                <w:rFonts w:ascii="Arial" w:cs="Arial" w:eastAsia="Arial" w:hAnsi="Arial"/>
                <w:sz w:val="18"/>
                <w:szCs w:val="18"/>
                <w:i w:val="1"/>
                <w:iCs w:val="1"/>
                <w:color w:val="auto"/>
              </w:rPr>
              <w:t>Other income (expense), net</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8"/>
                <w:szCs w:val="18"/>
                <w:b w:val="1"/>
                <w:bCs w:val="1"/>
                <w:color w:val="auto"/>
                <w:w w:val="92"/>
              </w:rPr>
              <w:t>Three months ended September 30,</w:t>
            </w:r>
          </w:p>
        </w:tc>
        <w:tc>
          <w:tcPr>
            <w:tcW w:w="9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vMerge w:val="restart"/>
          </w:tcPr>
          <w:p>
            <w:pPr>
              <w:ind w:left="740"/>
              <w:spacing w:after="0"/>
              <w:rPr>
                <w:sz w:val="20"/>
                <w:szCs w:val="20"/>
                <w:color w:val="auto"/>
              </w:rPr>
            </w:pPr>
            <w:r>
              <w:rPr>
                <w:rFonts w:ascii="Arial" w:cs="Arial" w:eastAsia="Arial" w:hAnsi="Arial"/>
                <w:sz w:val="18"/>
                <w:szCs w:val="18"/>
                <w:b w:val="1"/>
                <w:bCs w:val="1"/>
                <w:color w:val="auto"/>
              </w:rPr>
              <w:t>Change</w:t>
            </w:r>
          </w:p>
        </w:tc>
        <w:tc>
          <w:tcPr>
            <w:tcW w:w="10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2022</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revenue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6"/>
              </w:rPr>
              <w:t>(in thousands,</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73"/>
              </w:rPr>
              <w:t>except percentages)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(1,621)</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(1,359)</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(541)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998</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(1,539)</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gridSpan w:val="2"/>
          </w:tcPr>
          <w:p>
            <w:pPr>
              <w:ind w:left="18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(2,131)</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(1,787)</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8"/>
                <w:szCs w:val="18"/>
                <w:b w:val="1"/>
                <w:bCs w:val="1"/>
                <w:color w:val="auto"/>
                <w:w w:val="94"/>
              </w:rPr>
              <w:t>Nine months ended September 30,</w:t>
            </w:r>
          </w:p>
        </w:tc>
        <w:tc>
          <w:tcPr>
            <w:tcW w:w="9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vMerge w:val="restart"/>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2022</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revenue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6"/>
              </w:rPr>
              <w:t>(in thousands,</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73"/>
              </w:rPr>
              <w:t>except percentages)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(4,431)</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(4,158)</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(273)</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(1,171)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7,628</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(8,799)</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gridSpan w:val="2"/>
          </w:tcPr>
          <w:p>
            <w:pPr>
              <w:ind w:left="18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(5,512)</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3,519</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(9,031)</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Interest income increased slightly for the three and nine months ended September 30, 2022 compared to the three and nine months ended September 30, 2021. The changes are similar to expected rates of fluctuation with the interest rates and cash balances.</w:t>
      </w:r>
    </w:p>
    <w:p>
      <w:pPr>
        <w:spacing w:after="0" w:line="146" w:lineRule="exact"/>
        <w:rPr>
          <w:sz w:val="20"/>
          <w:szCs w:val="20"/>
          <w:color w:val="auto"/>
        </w:rPr>
      </w:pPr>
    </w:p>
    <w:p>
      <w:pPr>
        <w:ind w:right="460" w:firstLine="648"/>
        <w:spacing w:after="0" w:line="286" w:lineRule="auto"/>
        <w:rPr>
          <w:sz w:val="20"/>
          <w:szCs w:val="20"/>
          <w:color w:val="auto"/>
        </w:rPr>
      </w:pPr>
      <w:r>
        <w:rPr>
          <w:rFonts w:ascii="Arial" w:cs="Arial" w:eastAsia="Arial" w:hAnsi="Arial"/>
          <w:sz w:val="17"/>
          <w:szCs w:val="17"/>
          <w:color w:val="auto"/>
        </w:rPr>
        <w:t>Interest expense increased by $0.3 million, or 19.3% for the three months ended September 30, 2022 compared to the three months ended September 30, 2021. Interest expense increased by $0.3 million, or 6.6% for the nine months ended September 30, 2022 compared to the nine months ended September 30, 2021This increase was due to higher average debt interest rate during the period.</w:t>
      </w:r>
    </w:p>
    <w:p>
      <w:pPr>
        <w:spacing w:after="0" w:line="16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Other income, net decreased by $1.5 million, or 154.2%, for the three months ended September 30, 2022 as compared to the three months ended September 30, 2021. Other income, net decreased by $8.8 million, or 115.3%, for the nine months ended September 30, 2022 as compared to the</w:t>
      </w:r>
    </w:p>
    <w:p>
      <w:pPr>
        <w:ind w:right="40"/>
        <w:spacing w:after="0" w:line="255" w:lineRule="auto"/>
        <w:rPr>
          <w:sz w:val="20"/>
          <w:szCs w:val="20"/>
          <w:color w:val="auto"/>
        </w:rPr>
      </w:pPr>
      <w:r>
        <w:rPr>
          <w:rFonts w:ascii="Arial" w:cs="Arial" w:eastAsia="Arial" w:hAnsi="Arial"/>
          <w:sz w:val="18"/>
          <w:szCs w:val="18"/>
          <w:color w:val="auto"/>
        </w:rPr>
        <w:t>nine months ended September 30, 2021. This decrease was mainly due to the other income received in the third quarter of 2021 from the forgiveness by the SBA of the Company's PPP Loan forgiveness application for the entire PPP Loan balance of $6.23 million and foreign currency loss arising from unfavorable exchange rate change.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r>
              <w:rPr>
                <w:rFonts w:ascii="Arial" w:cs="Arial" w:eastAsia="Arial" w:hAnsi="Arial"/>
                <w:sz w:val="18"/>
                <w:szCs w:val="18"/>
                <w:i w:val="1"/>
                <w:iCs w:val="1"/>
                <w:color w:val="auto"/>
              </w:rPr>
              <w:t>Benefit (provision) for income taxes</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32"/>
        </w:trPr>
        <w:tc>
          <w:tcPr>
            <w:tcW w:w="506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Three months ended September 30,</w:t>
            </w:r>
          </w:p>
        </w:tc>
        <w:tc>
          <w:tcPr>
            <w:tcW w:w="1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210"/>
        </w:trPr>
        <w:tc>
          <w:tcPr>
            <w:tcW w:w="5060" w:type="dxa"/>
            <w:vAlign w:val="bottom"/>
          </w:tcPr>
          <w:p>
            <w:pPr>
              <w:spacing w:after="0"/>
              <w:rPr>
                <w:sz w:val="18"/>
                <w:szCs w:val="18"/>
                <w:color w:val="auto"/>
              </w:rPr>
            </w:pPr>
          </w:p>
        </w:tc>
        <w:tc>
          <w:tcPr>
            <w:tcW w:w="116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90"/>
              </w:rPr>
              <w:t>Change</w:t>
            </w:r>
          </w:p>
        </w:tc>
        <w:tc>
          <w:tcPr>
            <w:tcW w:w="580" w:type="dxa"/>
            <w:vAlign w:val="bottom"/>
            <w:tcBorders>
              <w:bottom w:val="single" w:sz="8" w:color="auto"/>
            </w:tcBorders>
          </w:tcPr>
          <w:p>
            <w:pPr>
              <w:spacing w:after="0"/>
              <w:rPr>
                <w:sz w:val="18"/>
                <w:szCs w:val="18"/>
                <w:color w:val="auto"/>
              </w:rPr>
            </w:pPr>
          </w:p>
        </w:tc>
      </w:tr>
      <w:tr>
        <w:trPr>
          <w:trHeight w:val="209"/>
        </w:trPr>
        <w:tc>
          <w:tcPr>
            <w:tcW w:w="5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6"/>
              </w:rPr>
              <w:t>(in thousands, except percentages)</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160" w:type="dxa"/>
            <w:vAlign w:val="bottom"/>
            <w:shd w:val="clear" w:color="auto" w:fill="CCEEFF"/>
          </w:tcPr>
          <w:p>
            <w:pPr>
              <w:jc w:val="right"/>
              <w:ind w:right="998"/>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center"/>
              <w:ind w:right="3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506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Nine months ended September 30,</w:t>
            </w:r>
          </w:p>
        </w:tc>
        <w:tc>
          <w:tcPr>
            <w:tcW w:w="1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210"/>
        </w:trPr>
        <w:tc>
          <w:tcPr>
            <w:tcW w:w="5060" w:type="dxa"/>
            <w:vAlign w:val="bottom"/>
          </w:tcPr>
          <w:p>
            <w:pPr>
              <w:spacing w:after="0"/>
              <w:rPr>
                <w:sz w:val="18"/>
                <w:szCs w:val="18"/>
                <w:color w:val="auto"/>
              </w:rPr>
            </w:pPr>
          </w:p>
        </w:tc>
        <w:tc>
          <w:tcPr>
            <w:tcW w:w="116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90"/>
              </w:rPr>
              <w:t>Change</w:t>
            </w:r>
          </w:p>
        </w:tc>
        <w:tc>
          <w:tcPr>
            <w:tcW w:w="580" w:type="dxa"/>
            <w:vAlign w:val="bottom"/>
            <w:tcBorders>
              <w:bottom w:val="single" w:sz="8" w:color="auto"/>
            </w:tcBorders>
          </w:tcPr>
          <w:p>
            <w:pPr>
              <w:spacing w:after="0"/>
              <w:rPr>
                <w:sz w:val="18"/>
                <w:szCs w:val="18"/>
                <w:color w:val="auto"/>
              </w:rPr>
            </w:pPr>
          </w:p>
        </w:tc>
      </w:tr>
      <w:tr>
        <w:trPr>
          <w:trHeight w:val="210"/>
        </w:trPr>
        <w:tc>
          <w:tcPr>
            <w:tcW w:w="5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6"/>
              </w:rPr>
              <w:t>(in thousands, except percentages)</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160" w:type="dxa"/>
            <w:vAlign w:val="bottom"/>
            <w:shd w:val="clear" w:color="auto" w:fill="CCEEFF"/>
          </w:tcPr>
          <w:p>
            <w:pPr>
              <w:jc w:val="right"/>
              <w:ind w:right="998"/>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center"/>
              <w:ind w:right="3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The Company’s effective tax rate for the three months and nine months ended September 30, 2022 and 2021 was 0%. For the three months and nine months ended September 30, 2022 and 2021, the effective tax rate varied from the federal statutory rate of 21% primarily due to the change of the valuation allowance on federal, state, Taiwan, and China deferred tax assets ("DTA").</w:t>
      </w:r>
    </w:p>
    <w:p>
      <w:pPr>
        <w:spacing w:after="0" w:line="184"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On August 9, 2022, the Creating Helpful Incentives to Produce Semiconductors Act ("CHIPS Act") was enacted. Among its provisions, the bill provides various federal grants, tax credits, and incentives for investment in the United States. On August 16, 2022, the Inflation Reduction Act (“IRA”) was also signed into law. Among other provisions, the IRA imposes a 15% corporate alternative minimum tax (“Corporate AMT”) for tax years beginning after December 31, 2022, imposes a 1% excise tax on corporate stock repurchases after December 31, 2022, and provides tax incentives to promote various energy efficient initiatives. We are evaluating these laws and their potential impact on our current income tax expense and cash taxes. However, we currently do not believe this will have an impact on our cash taxes for the 2023 tax year.</w:t>
      </w:r>
    </w:p>
    <w:p>
      <w:pPr>
        <w:sectPr>
          <w:pgSz w:w="11900" w:h="16838" w:orient="portrait"/>
          <w:cols w:equalWidth="0" w:num="1">
            <w:col w:w="11240"/>
          </w:cols>
          <w:pgMar w:left="320" w:top="108"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31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160" w:type="dxa"/>
            <w:vAlign w:val="bottom"/>
            <w:gridSpan w:val="2"/>
          </w:tcPr>
          <w:p>
            <w:pPr>
              <w:spacing w:after="0"/>
              <w:rPr>
                <w:sz w:val="20"/>
                <w:szCs w:val="20"/>
                <w:color w:val="auto"/>
              </w:rPr>
            </w:pPr>
            <w:r>
              <w:rPr>
                <w:rFonts w:ascii="Arial" w:cs="Arial" w:eastAsia="Arial" w:hAnsi="Arial"/>
                <w:sz w:val="18"/>
                <w:szCs w:val="18"/>
                <w:i w:val="1"/>
                <w:iCs w:val="1"/>
                <w:color w:val="auto"/>
              </w:rPr>
              <w:t>Comprehensive Loss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8"/>
                <w:szCs w:val="18"/>
                <w:b w:val="1"/>
                <w:bCs w:val="1"/>
                <w:color w:val="auto"/>
                <w:w w:val="92"/>
              </w:rPr>
              <w:t>Three months ended September 30,</w:t>
            </w:r>
          </w:p>
        </w:tc>
        <w:tc>
          <w:tcPr>
            <w:tcW w:w="9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vMerge w:val="restart"/>
          </w:tcPr>
          <w:p>
            <w:pPr>
              <w:ind w:left="74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2022</w:t>
            </w: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52"/>
              <w:spacing w:after="0" w:line="191"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2"/>
              <w:spacing w:after="0" w:line="191" w:lineRule="exact"/>
              <w:rPr>
                <w:sz w:val="20"/>
                <w:szCs w:val="20"/>
                <w:color w:val="auto"/>
              </w:rPr>
            </w:pPr>
            <w:r>
              <w:rPr>
                <w:rFonts w:ascii="Arial" w:cs="Arial" w:eastAsia="Arial" w:hAnsi="Arial"/>
                <w:sz w:val="18"/>
                <w:szCs w:val="18"/>
                <w:b w:val="1"/>
                <w:bCs w:val="1"/>
                <w:color w:val="auto"/>
                <w:w w:val="99"/>
              </w:rPr>
              <w:t>% of</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6"/>
              </w:rPr>
              <w:t>revenue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revenue</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4"/>
              </w:rPr>
              <w:t>except percentages)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(15,627)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(15,797)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Loss on foreign currency translation</w:t>
            </w:r>
          </w:p>
        </w:tc>
        <w:tc>
          <w:tcPr>
            <w:tcW w:w="160" w:type="dxa"/>
            <w:vAlign w:val="bottom"/>
          </w:tcPr>
          <w:p>
            <w:pPr>
              <w:spacing w:after="0"/>
              <w:rPr>
                <w:sz w:val="17"/>
                <w:szCs w:val="17"/>
                <w:color w:val="auto"/>
              </w:rPr>
            </w:pPr>
          </w:p>
        </w:tc>
        <w:tc>
          <w:tcPr>
            <w:tcW w:w="11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(8,214)</w:t>
            </w:r>
          </w:p>
        </w:tc>
        <w:tc>
          <w:tcPr>
            <w:tcW w:w="160" w:type="dxa"/>
            <w:vAlign w:val="bottom"/>
          </w:tcPr>
          <w:p>
            <w:pPr>
              <w:spacing w:after="0"/>
              <w:rPr>
                <w:sz w:val="17"/>
                <w:szCs w:val="17"/>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17"/>
                <w:szCs w:val="17"/>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7"/>
                <w:szCs w:val="17"/>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(7,793)</w:t>
            </w:r>
          </w:p>
        </w:tc>
        <w:tc>
          <w:tcPr>
            <w:tcW w:w="320" w:type="dxa"/>
            <w:vAlign w:val="bottom"/>
          </w:tcPr>
          <w:p>
            <w:pPr>
              <w:spacing w:after="0"/>
              <w:rPr>
                <w:sz w:val="17"/>
                <w:szCs w:val="17"/>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1851.1%</w:t>
            </w:r>
          </w:p>
        </w:tc>
        <w:tc>
          <w:tcPr>
            <w:tcW w:w="0" w:type="dxa"/>
            <w:vAlign w:val="bottom"/>
          </w:tcPr>
          <w:p>
            <w:pPr>
              <w:spacing w:after="0"/>
              <w:rPr>
                <w:sz w:val="1"/>
                <w:szCs w:val="1"/>
                <w:color w:val="auto"/>
              </w:rPr>
            </w:pPr>
          </w:p>
        </w:tc>
      </w:tr>
      <w:tr>
        <w:trPr>
          <w:trHeight w:val="217"/>
        </w:trPr>
        <w:tc>
          <w:tcPr>
            <w:tcW w:w="3160" w:type="dxa"/>
            <w:vAlign w:val="bottom"/>
            <w:gridSpan w:val="2"/>
          </w:tcPr>
          <w:p>
            <w:pPr>
              <w:spacing w:after="0"/>
              <w:rPr>
                <w:sz w:val="20"/>
                <w:szCs w:val="20"/>
                <w:color w:val="auto"/>
              </w:rPr>
            </w:pPr>
            <w:r>
              <w:rPr>
                <w:rFonts w:ascii="Arial" w:cs="Arial" w:eastAsia="Arial" w:hAnsi="Arial"/>
                <w:sz w:val="18"/>
                <w:szCs w:val="18"/>
                <w:color w:val="auto"/>
              </w:rPr>
              <w:t>adjustment</w:t>
            </w: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70"/>
              <w:spacing w:after="0" w:line="210" w:lineRule="exact"/>
              <w:rPr>
                <w:sz w:val="20"/>
                <w:szCs w:val="20"/>
                <w:color w:val="auto"/>
              </w:rPr>
            </w:pPr>
            <w:r>
              <w:rPr>
                <w:rFonts w:ascii="Arial" w:cs="Arial" w:eastAsia="Arial" w:hAnsi="Arial"/>
                <w:sz w:val="14"/>
                <w:szCs w:val="14"/>
                <w:color w:val="auto"/>
              </w:rPr>
              <w:t>(23,841</w:t>
            </w:r>
            <w:r>
              <w:rPr>
                <w:rFonts w:ascii="Arial" w:cs="Arial" w:eastAsia="Arial" w:hAnsi="Arial"/>
                <w:sz w:val="24"/>
                <w:szCs w:val="24"/>
                <w:color w:val="auto"/>
                <w:vertAlign w:val="subscript"/>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line="210" w:lineRule="exact"/>
              <w:rPr>
                <w:sz w:val="20"/>
                <w:szCs w:val="20"/>
                <w:color w:val="auto"/>
              </w:rPr>
            </w:pPr>
            <w:r>
              <w:rPr>
                <w:rFonts w:ascii="Arial" w:cs="Arial" w:eastAsia="Arial" w:hAnsi="Arial"/>
                <w:sz w:val="14"/>
                <w:szCs w:val="14"/>
                <w:color w:val="auto"/>
              </w:rPr>
              <w:t>(42.1</w:t>
            </w:r>
            <w:r>
              <w:rPr>
                <w:rFonts w:ascii="Arial" w:cs="Arial" w:eastAsia="Arial" w:hAnsi="Arial"/>
                <w:sz w:val="24"/>
                <w:szCs w:val="24"/>
                <w:color w:val="auto"/>
                <w:vertAlign w:val="subscript"/>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0"/>
              <w:spacing w:after="0" w:line="210" w:lineRule="exact"/>
              <w:rPr>
                <w:sz w:val="20"/>
                <w:szCs w:val="20"/>
                <w:color w:val="auto"/>
              </w:rPr>
            </w:pPr>
            <w:r>
              <w:rPr>
                <w:rFonts w:ascii="Arial" w:cs="Arial" w:eastAsia="Arial" w:hAnsi="Arial"/>
                <w:sz w:val="14"/>
                <w:szCs w:val="14"/>
                <w:color w:val="auto"/>
              </w:rPr>
              <w:t>(16,218</w:t>
            </w:r>
            <w:r>
              <w:rPr>
                <w:rFonts w:ascii="Arial" w:cs="Arial" w:eastAsia="Arial" w:hAnsi="Arial"/>
                <w:sz w:val="24"/>
                <w:szCs w:val="24"/>
                <w:color w:val="auto"/>
                <w:vertAlign w:val="subscript"/>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line="210" w:lineRule="exact"/>
              <w:rPr>
                <w:sz w:val="20"/>
                <w:szCs w:val="20"/>
                <w:color w:val="auto"/>
              </w:rPr>
            </w:pPr>
            <w:r>
              <w:rPr>
                <w:rFonts w:ascii="Arial" w:cs="Arial" w:eastAsia="Arial" w:hAnsi="Arial"/>
                <w:sz w:val="14"/>
                <w:szCs w:val="14"/>
                <w:color w:val="auto"/>
              </w:rPr>
              <w:t>(30.5</w:t>
            </w:r>
            <w:r>
              <w:rPr>
                <w:rFonts w:ascii="Arial" w:cs="Arial" w:eastAsia="Arial" w:hAnsi="Arial"/>
                <w:sz w:val="24"/>
                <w:szCs w:val="24"/>
                <w:color w:val="auto"/>
                <w:vertAlign w:val="subscript"/>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line="210" w:lineRule="exact"/>
              <w:rPr>
                <w:sz w:val="20"/>
                <w:szCs w:val="20"/>
                <w:color w:val="auto"/>
              </w:rPr>
            </w:pPr>
            <w:r>
              <w:rPr>
                <w:rFonts w:ascii="Arial" w:cs="Arial" w:eastAsia="Arial" w:hAnsi="Arial"/>
                <w:sz w:val="14"/>
                <w:szCs w:val="14"/>
                <w:color w:val="auto"/>
              </w:rPr>
              <w:t>(7,623</w:t>
            </w:r>
            <w:r>
              <w:rPr>
                <w:rFonts w:ascii="Arial" w:cs="Arial" w:eastAsia="Arial" w:hAnsi="Arial"/>
                <w:sz w:val="24"/>
                <w:szCs w:val="24"/>
                <w:color w:val="auto"/>
                <w:vertAlign w:val="subscript"/>
              </w:rPr>
              <w:t>)</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line="210" w:lineRule="exact"/>
              <w:rPr>
                <w:sz w:val="20"/>
                <w:szCs w:val="20"/>
                <w:color w:val="auto"/>
              </w:rPr>
            </w:pPr>
            <w:r>
              <w:rPr>
                <w:rFonts w:ascii="Arial" w:cs="Arial" w:eastAsia="Arial" w:hAnsi="Arial"/>
                <w:sz w:val="14"/>
                <w:szCs w:val="14"/>
                <w:color w:val="auto"/>
              </w:rPr>
              <w:t>47.0</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9"/>
          </w:tcPr>
          <w:p>
            <w:pPr>
              <w:jc w:val="right"/>
              <w:ind w:right="320"/>
              <w:spacing w:after="0"/>
              <w:rPr>
                <w:sz w:val="20"/>
                <w:szCs w:val="20"/>
                <w:color w:val="auto"/>
              </w:rPr>
            </w:pPr>
            <w:r>
              <w:rPr>
                <w:rFonts w:ascii="Arial" w:cs="Arial" w:eastAsia="Arial" w:hAnsi="Arial"/>
                <w:sz w:val="18"/>
                <w:szCs w:val="18"/>
                <w:b w:val="1"/>
                <w:bCs w:val="1"/>
                <w:color w:val="auto"/>
                <w:w w:val="93"/>
              </w:rPr>
              <w:t>Nine months ended September 30,</w:t>
            </w:r>
          </w:p>
        </w:tc>
        <w:tc>
          <w:tcPr>
            <w:tcW w:w="9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vMerge w:val="restart"/>
          </w:tcPr>
          <w:p>
            <w:pPr>
              <w:ind w:left="74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2022</w:t>
            </w: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52"/>
              <w:spacing w:after="0" w:line="191"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2"/>
              <w:spacing w:after="0" w:line="191" w:lineRule="exact"/>
              <w:rPr>
                <w:sz w:val="20"/>
                <w:szCs w:val="20"/>
                <w:color w:val="auto"/>
              </w:rPr>
            </w:pPr>
            <w:r>
              <w:rPr>
                <w:rFonts w:ascii="Arial" w:cs="Arial" w:eastAsia="Arial" w:hAnsi="Arial"/>
                <w:sz w:val="18"/>
                <w:szCs w:val="18"/>
                <w:b w:val="1"/>
                <w:bCs w:val="1"/>
                <w:color w:val="auto"/>
                <w:w w:val="99"/>
              </w:rPr>
              <w:t>% of</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6"/>
              </w:rPr>
              <w:t>revenue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revenue</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4"/>
              </w:rPr>
              <w:t>except percentages)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(46,147)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(39,622)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(6,525)</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Gain (Loss) on foreign currency</w:t>
            </w:r>
          </w:p>
        </w:tc>
        <w:tc>
          <w:tcPr>
            <w:tcW w:w="160" w:type="dxa"/>
            <w:vAlign w:val="bottom"/>
          </w:tcPr>
          <w:p>
            <w:pPr>
              <w:spacing w:after="0"/>
              <w:rPr>
                <w:sz w:val="17"/>
                <w:szCs w:val="17"/>
                <w:color w:val="auto"/>
              </w:rPr>
            </w:pPr>
          </w:p>
        </w:tc>
        <w:tc>
          <w:tcPr>
            <w:tcW w:w="11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(17,059)</w:t>
            </w:r>
          </w:p>
        </w:tc>
        <w:tc>
          <w:tcPr>
            <w:tcW w:w="160" w:type="dxa"/>
            <w:vAlign w:val="bottom"/>
          </w:tcPr>
          <w:p>
            <w:pPr>
              <w:spacing w:after="0"/>
              <w:rPr>
                <w:sz w:val="17"/>
                <w:szCs w:val="17"/>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2,175</w:t>
            </w:r>
          </w:p>
        </w:tc>
        <w:tc>
          <w:tcPr>
            <w:tcW w:w="160" w:type="dxa"/>
            <w:vAlign w:val="bottom"/>
          </w:tcPr>
          <w:p>
            <w:pPr>
              <w:spacing w:after="0"/>
              <w:rPr>
                <w:sz w:val="17"/>
                <w:szCs w:val="17"/>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7"/>
                <w:szCs w:val="17"/>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(19,234)</w:t>
            </w:r>
          </w:p>
        </w:tc>
        <w:tc>
          <w:tcPr>
            <w:tcW w:w="320" w:type="dxa"/>
            <w:vAlign w:val="bottom"/>
          </w:tcPr>
          <w:p>
            <w:pPr>
              <w:spacing w:after="0"/>
              <w:rPr>
                <w:sz w:val="17"/>
                <w:szCs w:val="17"/>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(884.3)%</w:t>
            </w:r>
          </w:p>
        </w:tc>
        <w:tc>
          <w:tcPr>
            <w:tcW w:w="0" w:type="dxa"/>
            <w:vAlign w:val="bottom"/>
          </w:tcPr>
          <w:p>
            <w:pPr>
              <w:spacing w:after="0"/>
              <w:rPr>
                <w:sz w:val="1"/>
                <w:szCs w:val="1"/>
                <w:color w:val="auto"/>
              </w:rPr>
            </w:pPr>
          </w:p>
        </w:tc>
      </w:tr>
      <w:tr>
        <w:trPr>
          <w:trHeight w:val="217"/>
        </w:trPr>
        <w:tc>
          <w:tcPr>
            <w:tcW w:w="3160" w:type="dxa"/>
            <w:vAlign w:val="bottom"/>
            <w:gridSpan w:val="2"/>
          </w:tcPr>
          <w:p>
            <w:pPr>
              <w:spacing w:after="0"/>
              <w:rPr>
                <w:sz w:val="20"/>
                <w:szCs w:val="20"/>
                <w:color w:val="auto"/>
              </w:rPr>
            </w:pPr>
            <w:r>
              <w:rPr>
                <w:rFonts w:ascii="Arial" w:cs="Arial" w:eastAsia="Arial" w:hAnsi="Arial"/>
                <w:sz w:val="18"/>
                <w:szCs w:val="18"/>
                <w:color w:val="auto"/>
              </w:rPr>
              <w:t>translation adjustment</w:t>
            </w: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(63,206)</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(37,447)</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(25,759)</w:t>
            </w:r>
          </w:p>
        </w:tc>
        <w:tc>
          <w:tcPr>
            <w:tcW w:w="3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Comprehensive loss increased by $7.6 million, or 47%, for the three months ended September 30, 2022 as compared to the three months ended September 30, 2021, primarily due to increase of $7.8 million loss of foreign currency translation adjustments for non-U.S. dollar functional currency operations. Comprehensive loss increased by $25.8 million, or 68.8%, for the nine months ended September 30, 2022, as compared to the nine months ended September 30, 2021, primarily due to $6.5 million net loss increase and $19.2 million loss increase of foreign currency translation adjustments for non-U.S. dollar functional currency operations.</w:t>
      </w:r>
    </w:p>
    <w:p>
      <w:pPr>
        <w:spacing w:after="0" w:line="188" w:lineRule="exact"/>
        <w:rPr>
          <w:sz w:val="20"/>
          <w:szCs w:val="20"/>
          <w:color w:val="auto"/>
        </w:rPr>
      </w:pPr>
    </w:p>
    <w:p>
      <w:pPr>
        <w:ind w:right="580" w:firstLine="648"/>
        <w:spacing w:after="0" w:line="301" w:lineRule="auto"/>
        <w:rPr>
          <w:sz w:val="20"/>
          <w:szCs w:val="20"/>
          <w:color w:val="auto"/>
        </w:rPr>
      </w:pPr>
      <w:r>
        <w:rPr>
          <w:rFonts w:ascii="Arial" w:cs="Arial" w:eastAsia="Arial" w:hAnsi="Arial"/>
          <w:sz w:val="16"/>
          <w:szCs w:val="16"/>
          <w:color w:val="auto"/>
        </w:rPr>
        <w:t>The functional currency for the Company’s operations is generally the applicable local currency. Accordingly, the assets and liabilities of companies whose functional currency is other than the U.S. dollar are included in the consolidated financial statements by translating the assets and liabilities into the U.S. dollar at the exchange rates applicable at the end of the reporting period. Translation gains or losses are accumulated in other comprehensive income (loss) in the consolidated statements of shareholders’ equity and are also included in comprehensive loss.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 of September 30, 2022, we had $12.5 million of unused borrowing capacity from all of our loan agreements. As of September 30, 2022, our cash, cash equivalents and restricted cash totaled $34.6 million. Cash and cash equivalents are held for working capital purposes and are invested primarily in money market or time deposit funds. We do not enter into investments for trading or speculative purposes.</w:t>
      </w:r>
    </w:p>
    <w:p>
      <w:pPr>
        <w:spacing w:after="0" w:line="184" w:lineRule="exact"/>
        <w:rPr>
          <w:sz w:val="20"/>
          <w:szCs w:val="20"/>
          <w:color w:val="auto"/>
        </w:rPr>
      </w:pPr>
    </w:p>
    <w:p>
      <w:pPr>
        <w:ind w:right="480" w:firstLine="693"/>
        <w:spacing w:after="0" w:line="263" w:lineRule="auto"/>
        <w:rPr>
          <w:sz w:val="20"/>
          <w:szCs w:val="20"/>
          <w:color w:val="auto"/>
        </w:rPr>
      </w:pPr>
      <w:r>
        <w:rPr>
          <w:rFonts w:ascii="Arial" w:cs="Arial" w:eastAsia="Arial" w:hAnsi="Arial"/>
          <w:sz w:val="18"/>
          <w:szCs w:val="18"/>
          <w:color w:val="auto"/>
        </w:rPr>
        <w:t>On October 24, 2019, we filed a Registration Statement on Form S-3 with the Securities and Exchange Commission, which was declared effective on January 9, 2020, providing for the public offer and sale of certain securities of the Company from time to time, at our discretion, up to an aggregate amount of $250 million.</w:t>
      </w:r>
    </w:p>
    <w:p>
      <w:pPr>
        <w:spacing w:after="0" w:line="184"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On February 28, 2020, we entered into an Equity Distribution Agreement with Raymond James &amp; Associates, Inc. (the “Sales Agent”) pursuant to which the Company may issue and sell shares of the Company’s common stock having an aggregate offering price of up to $55 million (the “Initial ATM Offering”), from time to time through the Sales Agent. In January 2021, the Company completed its Initial ATM Offering and sold 5.9 million shares at a weighted average price of $9.12 per share, providing proceeds of $53.9 million, net of expenses and underwriting discounts and commissions.</w:t>
      </w:r>
    </w:p>
    <w:p>
      <w:pPr>
        <w:spacing w:after="0" w:line="15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On February 26, 2021, we entered into another Equity Distribution Agreement (the “Agreement”) with the Sales Agent pursuant to which the Company may issue and sell shares of the Company’s common stock, par value $0.001 per share (the “Shares”) having an aggregate offering price of up to $35 million (the “Second ATM Offering”), from time to time through the Sales Agent. Upon delivery of a placement notice and subject to the terms and conditions of the Agreement, sales, if any, of the Shares will be made through the Sales Agent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 In the placement notice, the Company will designate the maximum number of Shares to be sold through the Sales Agent, the time period during which sales are requested to be made, the minimum price for the Shares to be sold, and any limitation on the number of Shares that may be sold in any one day. Subject to the terms and conditions of the Agreement, the Sales Agent will use its commercially reasonable efforts to sell Shares on the Company’s behalf up to the designated amount specified in the placement notice. The Company has no obligation to sell any Shares under the Agreement and may at any time suspend offers and sales of the Shares under the Agreement.</w:t>
      </w:r>
    </w:p>
    <w:p>
      <w:pPr>
        <w:sectPr>
          <w:pgSz w:w="11900" w:h="16838" w:orient="portrait"/>
          <w:cols w:equalWidth="0" w:num="1">
            <w:col w:w="11240"/>
          </w:cols>
          <w:pgMar w:left="320" w:top="108" w:right="339"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Agreement provides that the Sales Agent will be entitled to compensation of up to 2% of the gross sales price of the Shares sold through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Sales Agent from time to time. The Company has also agreed to reimburse the Sales Agent for certain specified expenses in connection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registration of Shares under state blue sky laws and any filing with, and clearance of the offering by, the Financial Industry Regulatory Authority Inc.,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exceed $10,000 in the aggregate, and any associated application fees incurred. Additionally, if the Agreement is terminated under certain circumstances,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Company fails to sell a minimum amount of the Shares as set forth in the Agreement, then the Company has agreed to reimburse the Sales Agent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reasonable out-of-pocket expenses, including the reasonable fees and disbursements of counsel incurred by the Sales Agent, up to a maximum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$30,000 in the aggregate. The Company agreed to indemnify the Sales Agent against certain liabilities, including liabilities under the Securities Act, or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contribute to payments that the Sales Agent may be required to make because of any of those liabilities.</w:t>
      </w:r>
    </w:p>
    <w:p>
      <w:pPr>
        <w:spacing w:after="0" w:line="211"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In March 2021, we commenced sales of common stock through the Second ATM Offering. The details of the shares of common stock sold through the Second ATM Offering are as follows (in thousands, except shares and weighted average per share price):</w:t>
      </w:r>
    </w:p>
    <w:p>
      <w:pPr>
        <w:spacing w:after="0" w:line="14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gridSpan w:val="4"/>
          </w:tcPr>
          <w:p>
            <w:pPr>
              <w:ind w:left="180"/>
              <w:spacing w:after="0"/>
              <w:rPr>
                <w:sz w:val="20"/>
                <w:szCs w:val="20"/>
                <w:color w:val="auto"/>
              </w:rPr>
            </w:pPr>
            <w:r>
              <w:rPr>
                <w:rFonts w:ascii="Arial" w:cs="Arial" w:eastAsia="Arial" w:hAnsi="Arial"/>
                <w:sz w:val="18"/>
                <w:szCs w:val="18"/>
                <w:b w:val="1"/>
                <w:bCs w:val="1"/>
                <w:color w:val="auto"/>
                <w:w w:val="95"/>
              </w:rPr>
              <w:t>Compensation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Average Per</w:t>
            </w: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Distribution</w:t>
            </w: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Distribution Agent</w:t>
            </w:r>
          </w:p>
        </w:tc>
        <w:tc>
          <w:tcPr>
            <w:tcW w:w="10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Month</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Share Price</w:t>
            </w:r>
          </w:p>
        </w:tc>
        <w:tc>
          <w:tcPr>
            <w:tcW w:w="2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Shares Sold</w:t>
            </w:r>
          </w:p>
        </w:tc>
        <w:tc>
          <w:tcPr>
            <w:tcW w:w="1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Net Proceeds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Agent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2021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9.0809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107,174</w:t>
            </w:r>
          </w:p>
        </w:tc>
        <w:tc>
          <w:tcPr>
            <w:tcW w:w="5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Raymond James &amp; Associates, Inc.</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Sep 2022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2.9045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94,491</w:t>
            </w:r>
          </w:p>
        </w:tc>
        <w:tc>
          <w:tcPr>
            <w:tcW w:w="5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269</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201,665</w:t>
            </w:r>
          </w:p>
        </w:tc>
        <w:tc>
          <w:tcPr>
            <w:tcW w:w="5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September 30, 2022, the total gross sales were $1.2 million and thus remaining amount of common stock we have available to sell under the ATM Offering is $33.8 million.</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March 5, 2019, the Company issued $80.5 million of 5% convertible senior notes due 2024 (the "Notes"), bearing interest at a rate of 5% per year maturing on March 15, 2024, unless earlier repurchased, redeemed or converted in accordance with their terms. The sale of the Notes generated net proceeds of $76.4 million, after expenses. Also, refer to Note 12 “Convertible Senior Notes” to the consolidated financial statements for further discussion of the Notes.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 (in thousands):</w:t>
      </w:r>
    </w:p>
    <w:p>
      <w:pPr>
        <w:sectPr>
          <w:pgSz w:w="11900" w:h="16838" w:orient="portrait"/>
          <w:cols w:equalWidth="0" w:num="1">
            <w:col w:w="11220"/>
          </w:cols>
          <w:pgMar w:left="320" w:top="125" w:right="359" w:bottom="966" w:gutter="0" w:footer="0" w:header="0"/>
        </w:sectPr>
      </w:pPr>
    </w:p>
    <w:p>
      <w:pPr>
        <w:spacing w:after="0" w:line="200" w:lineRule="exact"/>
        <w:rPr>
          <w:sz w:val="20"/>
          <w:szCs w:val="20"/>
          <w:color w:val="auto"/>
        </w:rPr>
      </w:pPr>
    </w:p>
    <w:p>
      <w:pPr>
        <w:spacing w:after="0" w:line="26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606044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spacing w:after="0" w:line="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Net cash used in operating activities</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606044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ind w:left="860"/>
        <w:spacing w:after="0"/>
        <w:rPr>
          <w:sz w:val="20"/>
          <w:szCs w:val="20"/>
          <w:color w:val="auto"/>
        </w:rPr>
      </w:pPr>
      <w:r>
        <w:rPr>
          <w:rFonts w:ascii="Arial" w:cs="Arial" w:eastAsia="Arial" w:hAnsi="Arial"/>
          <w:sz w:val="18"/>
          <w:szCs w:val="18"/>
          <w:color w:val="auto"/>
        </w:rPr>
        <w:t>Net cash provided by financing activities</w:t>
      </w:r>
    </w:p>
    <w:p>
      <w:pPr>
        <w:spacing w:after="0" w:line="9" w:lineRule="exact"/>
        <w:rPr>
          <w:sz w:val="20"/>
          <w:szCs w:val="20"/>
          <w:color w:val="auto"/>
        </w:rPr>
      </w:pPr>
    </w:p>
    <w:p>
      <w:pPr>
        <w:ind w:left="860" w:right="1500"/>
        <w:spacing w:after="0" w:line="436" w:lineRule="auto"/>
        <w:rPr>
          <w:sz w:val="20"/>
          <w:szCs w:val="20"/>
          <w:color w:val="auto"/>
        </w:rPr>
      </w:pPr>
      <w:r>
        <w:rPr>
          <w:rFonts w:ascii="Arial" w:cs="Arial" w:eastAsia="Arial" w:hAnsi="Arial"/>
          <w:sz w:val="15"/>
          <w:szCs w:val="15"/>
          <w:color w:val="auto"/>
        </w:rPr>
        <w:t>Effect of exchange rates on cash and cash equivalents 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-251460</wp:posOffset>
            </wp:positionV>
            <wp:extent cx="606044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Nine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r>
      <w:tr>
        <w:trPr>
          <w:trHeight w:val="195"/>
        </w:trPr>
        <w:tc>
          <w:tcPr>
            <w:tcW w:w="400" w:type="dxa"/>
            <w:vAlign w:val="bottom"/>
          </w:tcPr>
          <w:p>
            <w:pPr>
              <w:jc w:val="right"/>
              <w:ind w:right="210"/>
              <w:spacing w:after="0" w:line="195"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5" w:lineRule="exact"/>
              <w:rPr>
                <w:sz w:val="20"/>
                <w:szCs w:val="20"/>
                <w:color w:val="auto"/>
              </w:rPr>
            </w:pPr>
            <w:r>
              <w:rPr>
                <w:rFonts w:ascii="Arial" w:cs="Arial" w:eastAsia="Arial" w:hAnsi="Arial"/>
                <w:sz w:val="18"/>
                <w:szCs w:val="18"/>
                <w:color w:val="auto"/>
              </w:rPr>
              <w:t>(10,539)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ind w:right="170"/>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(11,383)</w:t>
            </w:r>
          </w:p>
        </w:tc>
        <w:tc>
          <w:tcPr>
            <w:tcW w:w="60" w:type="dxa"/>
            <w:vAlign w:val="bottom"/>
          </w:tcPr>
          <w:p>
            <w:pPr>
              <w:spacing w:after="0"/>
              <w:rPr>
                <w:sz w:val="16"/>
                <w:szCs w:val="16"/>
                <w:color w:val="auto"/>
              </w:rPr>
            </w:pPr>
          </w:p>
        </w:tc>
      </w:tr>
      <w:tr>
        <w:trPr>
          <w:trHeight w:val="216"/>
        </w:trPr>
        <w:tc>
          <w:tcPr>
            <w:tcW w:w="40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(3,210)</w:t>
            </w:r>
          </w:p>
        </w:tc>
        <w:tc>
          <w:tcPr>
            <w:tcW w:w="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(7,909)</w:t>
            </w:r>
          </w:p>
        </w:tc>
      </w:tr>
      <w:tr>
        <w:trPr>
          <w:trHeight w:val="216"/>
        </w:trPr>
        <w:tc>
          <w:tcPr>
            <w:tcW w:w="4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5,587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18,975</w:t>
            </w:r>
          </w:p>
        </w:tc>
      </w:tr>
      <w:tr>
        <w:trPr>
          <w:trHeight w:val="230"/>
        </w:trPr>
        <w:tc>
          <w:tcPr>
            <w:tcW w:w="4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(900)</w:t>
            </w:r>
          </w:p>
        </w:tc>
      </w:tr>
      <w:tr>
        <w:trPr>
          <w:trHeight w:val="210"/>
        </w:trPr>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(6,561)</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60" w:type="dxa"/>
            <w:vAlign w:val="bottom"/>
          </w:tcPr>
          <w:p>
            <w:pPr>
              <w:spacing w:after="0"/>
              <w:rPr>
                <w:sz w:val="18"/>
                <w:szCs w:val="18"/>
                <w:color w:val="auto"/>
              </w:rPr>
            </w:pP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6220" w:space="720"/>
            <w:col w:w="4280"/>
          </w:cols>
          <w:pgMar w:left="320" w:top="125" w:right="359" w:bottom="966" w:gutter="0" w:footer="0" w:header="0"/>
          <w:type w:val="continuous"/>
        </w:sectPr>
      </w:pPr>
    </w:p>
    <w:p>
      <w:pPr>
        <w:spacing w:after="0" w:line="25"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For the nine months ended September 30, 2022, net cash used in operating activities was $10.5 million. Net cash used in operating activities consisted of our net loss of $46.1 million after exclusion of non-cash items of $31.8 million. Cash decreased due to an increase in inventory and other receivable of $12.7 million and $2.3 million, respectively, a decrease in accrued liabilities of $2.3 million, offset with an increase in accounts payable of $10.8 million and a decrease in accounts receivable and trade receivables from our customers of $2.3 million and $8.1 million, respectively.</w:t>
      </w:r>
    </w:p>
    <w:p>
      <w:pPr>
        <w:spacing w:after="0" w:line="15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For the nine months ended September 30, 2021, net cash used in operating activities was $11.4 million. Net cash used in operating activities consisted of our net loss of $39.6 million after exclusion of non-cash items of $33.0 million. Cash decreased due to an increase in accounts receivable and note receivables from our customers of $0.9 million and $8.1 million, respectively, a decrease in accrued liabilities of $2.4 million, a decrease in accounts payable to our vendors of $1.1 million, offset by a decrease in inventory of $13.6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For the nine months ended September 30, 2022, net cash used in investing activities was $3.2 million, mainly from the purchase of additional plant, machinery and equipment.</w:t>
      </w:r>
    </w:p>
    <w:p>
      <w:pPr>
        <w:spacing w:after="0" w:line="170" w:lineRule="exact"/>
        <w:rPr>
          <w:sz w:val="20"/>
          <w:szCs w:val="20"/>
          <w:color w:val="auto"/>
        </w:rPr>
      </w:pPr>
    </w:p>
    <w:p>
      <w:pPr>
        <w:ind w:left="160" w:right="360" w:firstLine="486"/>
        <w:spacing w:after="0" w:line="277" w:lineRule="auto"/>
        <w:rPr>
          <w:sz w:val="20"/>
          <w:szCs w:val="20"/>
          <w:color w:val="auto"/>
        </w:rPr>
      </w:pPr>
      <w:r>
        <w:rPr>
          <w:rFonts w:ascii="Arial" w:cs="Arial" w:eastAsia="Arial" w:hAnsi="Arial"/>
          <w:sz w:val="18"/>
          <w:szCs w:val="18"/>
          <w:color w:val="auto"/>
        </w:rPr>
        <w:t>For the Nine months ended September 30, 2021, net cash used in investing activities was $7.9 million, mainly from the purchase of additional plant, machinery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For the nine months ended September 30, 2022, our financing activities provided $5.6 million in cash. This increase in cash was due to $6.2 million of net proceeds from lines of credit and $6.8 million net proceeds from bank acceptances, offset by repayment of loan of $7.3 million.</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the Nine months ended September 30, 2021, our financing activities provided $19.0 million in cash. This increase in cash was due to</w:t>
      </w:r>
    </w:p>
    <w:p>
      <w:pPr>
        <w:spacing w:after="0" w:line="35" w:lineRule="exact"/>
        <w:rPr>
          <w:sz w:val="20"/>
          <w:szCs w:val="20"/>
          <w:color w:val="auto"/>
        </w:rPr>
      </w:pPr>
    </w:p>
    <w:p>
      <w:pPr>
        <w:ind w:left="160"/>
        <w:spacing w:after="0" w:line="260" w:lineRule="auto"/>
        <w:rPr>
          <w:sz w:val="20"/>
          <w:szCs w:val="20"/>
          <w:color w:val="auto"/>
        </w:rPr>
      </w:pPr>
      <w:r>
        <w:rPr>
          <w:rFonts w:ascii="Arial" w:cs="Arial" w:eastAsia="Arial" w:hAnsi="Arial"/>
          <w:sz w:val="18"/>
          <w:szCs w:val="18"/>
          <w:color w:val="auto"/>
        </w:rPr>
        <w:t>$15.4 million of net proceeds from our At The Market (ATM) Offerings, $17.0 million proceeds from line of credit, offset by repayment of loan and bank acceptance of $3.3 million and $9.4 million, respectively.</w:t>
      </w:r>
    </w:p>
    <w:p>
      <w:pPr>
        <w:sectPr>
          <w:pgSz w:w="11900" w:h="16838" w:orient="portrait"/>
          <w:cols w:equalWidth="0" w:num="1">
            <w:col w:w="11220"/>
          </w:cols>
          <w:pgMar w:left="320" w:top="125" w:right="359" w:bottom="966" w:gutter="0" w:footer="0" w:header="0"/>
          <w:type w:val="continuous"/>
        </w:sectPr>
      </w:pP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966"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have lending arrangements with several financial institutions. In the US, we have a revolving line of credit with Truist Bank. The line of credit contains financial covenants that may limit the amount and types of debt that we may incur. As of September 30, 2022, we were in compliance with these covenants.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2022, we had $12.5 million of unused borrowing capacity.</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On March 5, 2019, we issued $80.5 million of 5% convertible senior notes due 2024. The Notes will mature on March 15, 2024, unless earlier repurchased, redeemed or converted in accordance with their terms.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See Note 11 “Notes Payable and Long-term Debt” and Note 12 “Convertible Senior Notes” of our Condensed Consolidated Financial Statements for a description of our notes payable and long-term debt and convertible senior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factory construction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February 8, 2018, we entered into a construction contract with Zhejiang Xinyu Construction Group Co., Ltd. for the construction of a new</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factory and other facilities at our Ningbo, China location. Construction costs for these facilities under this contract are estimated to total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$27.5 million. As of September 30, 2020, construction of the building is complete, and approximately $27.4 million of this total cost has been paid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remaining portion will be paid in yearly installments for three years after final inspection. We anticipate additional expenses for building improvements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factory and we are in the process of evaluating the timing of these expenditures and obtaining bids for any such work. Based on forecasts, we believe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 factory will be placed in service in early 2023, and at this time the factory property will be transferred from construction in progress to building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improvements.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believe that our existing cash and cash equivalents, cash flows from our operating activities, and available credit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building improvement of a new factory and other facilities at our Ningbo, China location, changes in our manufacturing capacity and the continuing market acceptance of our products. 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Please refer to Item 7 "Management's Discussion and Analysis of Financial Condition and Results of Operations" in the Company's Annual Report on Form 10-K for the fiscal year ended December 31, 2021 for a complete discussion of its contractual obligations and commitments.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annual inflation rate in the US and Taiwan accelerated more than 7% in 2021 and in the US increased to 8.38% in 2022. Cost inflation included increases in shipping costs, labor rates, and in costs of some raw materials. We currently believe these increases are related to the COVID-19 pandemic (see the section above on the COVID-19 pandemic for more details of these challenges), however we cannot be sure when or if prices will return to pre-pandemic levels. There is no guarantee that we can increase selling prices or reduce costs to fully mitigate the effect of inflation on our costs, which may adversely impact our sales margins and profitability. Compared to other major economies in the world, China has a stable level of inflation, which has not had a significant impact on our sales or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our Annual Report for the year ended December 31, 2021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credit losses, inventory reserves, impairment of long-lived assets, service and product warranties, share based compensation expense, estimated useful lives of property and equipment,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ectPr>
          <w:pgSz w:w="11900" w:h="16838" w:orient="portrait"/>
          <w:cols w:equalWidth="0" w:num="1">
            <w:col w:w="11240"/>
          </w:cols>
          <w:pgMar w:left="320" w:top="125"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440" w:firstLine="648"/>
        <w:spacing w:after="0" w:line="263" w:lineRule="auto"/>
        <w:rPr>
          <w:sz w:val="20"/>
          <w:szCs w:val="20"/>
          <w:color w:val="auto"/>
        </w:rPr>
      </w:pPr>
      <w:r>
        <w:rPr>
          <w:rFonts w:ascii="Arial" w:cs="Arial" w:eastAsia="Arial" w:hAnsi="Arial"/>
          <w:sz w:val="18"/>
          <w:szCs w:val="18"/>
          <w:color w:val="auto"/>
        </w:rPr>
        <w:t>For quantitative and qualitative disclosures about market risk affecting the Company, see Item 7A – Quantitative and Qualitative Disclosures about Market Risk in our Annual Report for the fiscal year ended December 31, 2021. We do not believe the Company’s exposure to market risk has changed materially since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78"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September 30, 2022. Based upon that evaluation, our Chief Executive Officer and Chief Financial Officer concluded that, as of the end of the period covered by this report, our disclosure controls and procedures were effective.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14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Information with respect to legal proceedings can be found in Note 18 to the Condensed Consolidated Financial Statements contained in Part 1, Item 1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Investing in our common stock involves a high degree of risk. See Part I, Item 1A, Risk Factors, of our Annual Report on Form 10-K for the year ended December 31, 2021 for a detailed discussion of the risk factors affecting our Company. As of September 30, 2022, there have been no material changes to those risk factors, except as described below.</w:t>
      </w:r>
    </w:p>
    <w:p>
      <w:pPr>
        <w:spacing w:after="0" w:line="180"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b w:val="1"/>
          <w:bCs w:val="1"/>
          <w:color w:val="auto"/>
        </w:rPr>
        <w:t>The announcement and pendency of our proposed sale of our China manufacturing facilities could materially adversely affect our business, financial condition, and results of operations.</w:t>
      </w:r>
    </w:p>
    <w:p>
      <w:pPr>
        <w:spacing w:after="0" w:line="166"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On September 15, 2022, AOI and Prime World International Holdings Ltd. (the "Seller"), which is a company incorporated in the British Virgin Islands and wholly owned subsidiary of AOI, entered into a definitive agreement (the "Purchase Agreement") with Yuhan Optoelectronic Technology (Shanghai) Co., Ltd. (the "Purchaser"), which is a company incorporated in the PRC, under which AOI would divest its manufacturing facilities located in the PRC and certain assets related to its transceiver business and multichannel optical sub-assembly products for the internet data center, FTTH and telecom markets. The purchase price payable by the Purchaser to the Seller will be an amount equal to the $150 million USD equivalent of Renminbi, less a holdback amount. Prior to the closing of this transaction, AOI anticipates investing an amount equal to between 4% and 10% of the estimated proceeds from the transaction in exchange for a 10% equity interest in the Purchaser. This transaction is expected to close in 2023, subject to customary closing conditions and regulatory approval.</w:t>
      </w:r>
    </w:p>
    <w:p>
      <w:pPr>
        <w:spacing w:after="0" w:line="17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announcement and pendency of our proposed divestiture could disrupt our business and create uncertainty about our future, which could have a material and negative impact on our business, financial condition, and results of operations, regardless of whether the divestiture is completed. These risks to our business, all of which could be exacerbated by any delay in the closing of the divestiture, include:</w:t>
      </w:r>
    </w:p>
    <w:p>
      <w:pPr>
        <w:spacing w:after="0" w:line="165" w:lineRule="exact"/>
        <w:rPr>
          <w:sz w:val="20"/>
          <w:szCs w:val="20"/>
          <w:color w:val="auto"/>
        </w:rPr>
      </w:pPr>
    </w:p>
    <w:p>
      <w:pPr>
        <w:ind w:left="1120" w:right="120" w:hanging="320"/>
        <w:spacing w:after="0" w:line="291" w:lineRule="auto"/>
        <w:tabs>
          <w:tab w:leader="none" w:pos="904"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restrictions in the Purchase Agreement on the conduct of our business prior to the closing of the divestiture, which prevent us from taking specified actions without the prior consent of Purchaser, which actions we might otherwise take in the absence of the Purchase Agreement;</w:t>
      </w:r>
    </w:p>
    <w:p>
      <w:pPr>
        <w:ind w:left="980" w:right="200" w:hanging="162"/>
        <w:spacing w:after="0" w:line="250" w:lineRule="auto"/>
        <w:tabs>
          <w:tab w:leader="none" w:pos="926"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attention of our management may be directed towards the closing of the divestiture and may be diverted from our day-to-day business operations, and matters related to the divestiture may require commitments of time and resources that could otherwise have been devoted to other opportunities that might have been beneficial to us;</w:t>
      </w:r>
    </w:p>
    <w:p>
      <w:pPr>
        <w:spacing w:after="0" w:line="1" w:lineRule="exact"/>
        <w:rPr>
          <w:rFonts w:ascii="Arial" w:cs="Arial" w:eastAsia="Arial" w:hAnsi="Arial"/>
          <w:sz w:val="18"/>
          <w:szCs w:val="18"/>
          <w:color w:val="auto"/>
        </w:rPr>
      </w:pPr>
    </w:p>
    <w:p>
      <w:pPr>
        <w:ind w:left="1120" w:right="80" w:hanging="320"/>
        <w:spacing w:after="0" w:line="250" w:lineRule="auto"/>
        <w:tabs>
          <w:tab w:leader="none" w:pos="90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customers, suppliers and other third parties may decide not to renew or seek to terminate, change or renegotiate their relationships with us, whether pursuant to the terms of their existing agreements with us or otherwise;</w:t>
      </w:r>
    </w:p>
    <w:p>
      <w:pPr>
        <w:ind w:left="1120" w:right="120" w:hanging="320"/>
        <w:spacing w:after="0" w:line="250" w:lineRule="auto"/>
        <w:tabs>
          <w:tab w:leader="none" w:pos="90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employees may experience uncertainty regarding their future roles, which might adversely affect our ability to retain, recruit and motivate key personnel; and</w:t>
      </w:r>
    </w:p>
    <w:p>
      <w:pPr>
        <w:ind w:left="900" w:hanging="100"/>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litigation relating to the divestiture and the related costs.</w:t>
      </w:r>
    </w:p>
    <w:p>
      <w:pPr>
        <w:spacing w:after="0" w:line="211" w:lineRule="exact"/>
        <w:rPr>
          <w:sz w:val="20"/>
          <w:szCs w:val="20"/>
          <w:color w:val="auto"/>
        </w:rPr>
      </w:pPr>
    </w:p>
    <w:p>
      <w:pPr>
        <w:ind w:right="80" w:firstLine="810"/>
        <w:spacing w:after="0" w:line="273" w:lineRule="auto"/>
        <w:rPr>
          <w:sz w:val="20"/>
          <w:szCs w:val="20"/>
          <w:color w:val="auto"/>
        </w:rPr>
      </w:pPr>
      <w:r>
        <w:rPr>
          <w:rFonts w:ascii="Arial" w:cs="Arial" w:eastAsia="Arial" w:hAnsi="Arial"/>
          <w:sz w:val="17"/>
          <w:szCs w:val="17"/>
          <w:color w:val="auto"/>
        </w:rPr>
        <w:t>Any of these matters could adversely affect our stock price, business, financial condition, results of operations, or business prospects. In addition, divestiture of our manufacturing facilities in the PRC also contain inherent risks that may impact our ability to fully realize the benefits of such divestiture, including possible delays in closing and potential post-closing claims for indemnification. The divestiture may also have a dilutive impact on our future earnings if we are unable to offset the dilutive impact from the loss of revenue associated with the divestiture, as well as significant write-offs, including those related to goodwill and other intangible assets. If any of these risks materialize, the benefits of such divestiture may not be fully realized, if at all, and our business, financial condition, and results of operations could be negatively impacted.</w:t>
      </w:r>
    </w:p>
    <w:p>
      <w:pPr>
        <w:spacing w:after="0" w:line="174" w:lineRule="exact"/>
        <w:rPr>
          <w:sz w:val="20"/>
          <w:szCs w:val="20"/>
          <w:color w:val="auto"/>
        </w:rPr>
      </w:pPr>
    </w:p>
    <w:p>
      <w:pPr>
        <w:ind w:left="160" w:right="200" w:firstLine="648"/>
        <w:spacing w:after="0" w:line="312" w:lineRule="auto"/>
        <w:rPr>
          <w:sz w:val="20"/>
          <w:szCs w:val="20"/>
          <w:color w:val="auto"/>
        </w:rPr>
      </w:pPr>
      <w:r>
        <w:rPr>
          <w:rFonts w:ascii="Arial" w:cs="Arial" w:eastAsia="Arial" w:hAnsi="Arial"/>
          <w:sz w:val="17"/>
          <w:szCs w:val="17"/>
          <w:b w:val="1"/>
          <w:bCs w:val="1"/>
          <w:color w:val="auto"/>
        </w:rPr>
        <w:t>The parties may be unable to satisfy the conditions to the closing of our divestiture and the transaction may not be consummated, and the failure of the divestiture to be completed may adversely affect our business and our common stock price.</w:t>
      </w:r>
    </w:p>
    <w:p>
      <w:pPr>
        <w:sectPr>
          <w:pgSz w:w="11900" w:h="16838" w:orient="portrait"/>
          <w:cols w:equalWidth="0" w:num="1">
            <w:col w:w="11240"/>
          </w:cols>
          <w:pgMar w:left="320" w:top="125" w:right="339" w:bottom="0" w:gutter="0" w:footer="0" w:header="0"/>
        </w:sectPr>
      </w:pPr>
    </w:p>
    <w:bookmarkStart w:id="32" w:name="page33"/>
    <w:bookmarkEnd w:id="32"/>
    <w:p>
      <w:pPr>
        <w:jc w:val="both"/>
        <w:ind w:left="160" w:right="200" w:firstLine="648"/>
        <w:spacing w:after="0" w:line="287" w:lineRule="auto"/>
        <w:rPr>
          <w:sz w:val="20"/>
          <w:szCs w:val="20"/>
          <w:color w:val="auto"/>
        </w:rPr>
      </w:pPr>
      <w:r>
        <w:rPr>
          <w:rFonts w:ascii="Arial" w:cs="Arial" w:eastAsia="Arial" w:hAnsi="Arial"/>
          <w:sz w:val="16"/>
          <w:szCs w:val="16"/>
          <w:color w:val="auto"/>
        </w:rPr>
        <w:t>Consummation of our divestiture of our China manufacturing facilities is subject to various closing conditions, including, among other things, approval from the Committee on Foreign Investment in the United States (CFIUS) and other regulatory approvals. CFIUS has been increasingly relied upon in recent years as a tool to prevent foreign investment that poses a national security risk, often focused on either Chinese or Russian buyers.</w:t>
      </w:r>
    </w:p>
    <w:p>
      <w:pPr>
        <w:spacing w:after="0" w:line="2"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Although we do not believe the proposed divestiture presents a national security risk, CFIUS has been directed to focus on transactions that could give foreign parties access to U.S. technologies, data, or critical supply chains. Closing conditions related to regulatory approval and other conditions to the consummation of the proposed divestiture may fail to be satisfied. In addition, satisfying the conditions to the divestiture may take longer than we and the Purchaser currently expect. The satisfaction of all of the required conditions could delay the completion of the divestiture for a significant period of time or prevent it from occurring. Thus, there can be no assurance that the conditions to the divestiture will be satisfied or waived or that the divestiture will be consummated.</w:t>
      </w:r>
    </w:p>
    <w:p>
      <w:pPr>
        <w:spacing w:after="0" w:line="194" w:lineRule="exact"/>
        <w:rPr>
          <w:sz w:val="20"/>
          <w:szCs w:val="20"/>
          <w:color w:val="auto"/>
        </w:rPr>
      </w:pPr>
    </w:p>
    <w:p>
      <w:pPr>
        <w:ind w:left="160" w:firstLine="648"/>
        <w:spacing w:after="0" w:line="258" w:lineRule="auto"/>
        <w:rPr>
          <w:sz w:val="20"/>
          <w:szCs w:val="20"/>
          <w:color w:val="auto"/>
        </w:rPr>
      </w:pPr>
      <w:r>
        <w:rPr>
          <w:rFonts w:ascii="Arial" w:cs="Arial" w:eastAsia="Arial" w:hAnsi="Arial"/>
          <w:sz w:val="18"/>
          <w:szCs w:val="18"/>
          <w:color w:val="auto"/>
        </w:rPr>
        <w:t>In addition, the Purchase Agreement may be terminated under specified circumstances. Failure to complete the divestiture could adversely affect our business and the market price of our common stock in a number of ways, including:</w:t>
      </w:r>
    </w:p>
    <w:p>
      <w:pPr>
        <w:spacing w:after="0" w:line="1" w:lineRule="exact"/>
        <w:rPr>
          <w:sz w:val="20"/>
          <w:szCs w:val="20"/>
          <w:color w:val="auto"/>
        </w:rPr>
      </w:pPr>
    </w:p>
    <w:p>
      <w:pPr>
        <w:ind w:left="1120" w:right="600" w:hanging="320"/>
        <w:spacing w:after="0" w:line="250" w:lineRule="auto"/>
        <w:tabs>
          <w:tab w:leader="none" w:pos="904"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current stock price may reflect a market assumption that the proposed acquisition will occur, meaning that a failure to complete the proposed transaction could result in a decline in the price of our common stock;</w:t>
      </w:r>
    </w:p>
    <w:p>
      <w:pPr>
        <w:ind w:left="900" w:hanging="100"/>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subject to legal proceedings related to the divestiture;</w:t>
      </w:r>
    </w:p>
    <w:p>
      <w:pPr>
        <w:spacing w:after="0" w:line="9" w:lineRule="exact"/>
        <w:rPr>
          <w:rFonts w:ascii="Arial" w:cs="Arial" w:eastAsia="Arial" w:hAnsi="Arial"/>
          <w:sz w:val="18"/>
          <w:szCs w:val="18"/>
          <w:color w:val="auto"/>
        </w:rPr>
      </w:pPr>
    </w:p>
    <w:p>
      <w:pPr>
        <w:ind w:left="900" w:hanging="100"/>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failure of the divestiture to be consummated may result in negative publicity and a negative impression of us in the investment community;</w:t>
      </w:r>
    </w:p>
    <w:p>
      <w:pPr>
        <w:spacing w:after="0" w:line="32" w:lineRule="exact"/>
        <w:rPr>
          <w:rFonts w:ascii="Arial" w:cs="Arial" w:eastAsia="Arial" w:hAnsi="Arial"/>
          <w:sz w:val="16"/>
          <w:szCs w:val="16"/>
          <w:color w:val="auto"/>
        </w:rPr>
      </w:pPr>
    </w:p>
    <w:p>
      <w:pPr>
        <w:jc w:val="right"/>
        <w:ind w:left="1120" w:right="560" w:hanging="320"/>
        <w:spacing w:after="0" w:line="281" w:lineRule="auto"/>
        <w:tabs>
          <w:tab w:leader="none" w:pos="904"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disruptions to our business resulting from the announcement and pendency of the divestiture, including any adverse changes in our relationships with our customers, vendors and employees, may continue or intensify in the event the divestiture is not consummated;</w:t>
      </w:r>
    </w:p>
    <w:p>
      <w:pPr>
        <w:spacing w:after="0" w:line="1" w:lineRule="exact"/>
        <w:rPr>
          <w:rFonts w:ascii="Arial" w:cs="Arial" w:eastAsia="Arial" w:hAnsi="Arial"/>
          <w:sz w:val="16"/>
          <w:szCs w:val="16"/>
          <w:color w:val="auto"/>
        </w:rPr>
      </w:pPr>
    </w:p>
    <w:p>
      <w:pPr>
        <w:ind w:left="900" w:hanging="100"/>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take advantage of alternative business opportunities or effectively respond to competitive pressures;</w:t>
      </w:r>
    </w:p>
    <w:p>
      <w:pPr>
        <w:spacing w:after="0" w:line="9" w:lineRule="exact"/>
        <w:rPr>
          <w:rFonts w:ascii="Arial" w:cs="Arial" w:eastAsia="Arial" w:hAnsi="Arial"/>
          <w:sz w:val="18"/>
          <w:szCs w:val="18"/>
          <w:color w:val="auto"/>
        </w:rPr>
      </w:pPr>
    </w:p>
    <w:p>
      <w:pPr>
        <w:ind w:left="900" w:hanging="100"/>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be required to pay a termination fee of approximately $3 million if the Purchase Agreement is terminated under certain circumstances;</w:t>
      </w:r>
    </w:p>
    <w:p>
      <w:pPr>
        <w:spacing w:after="0" w:line="32" w:lineRule="exact"/>
        <w:rPr>
          <w:rFonts w:ascii="Arial" w:cs="Arial" w:eastAsia="Arial" w:hAnsi="Arial"/>
          <w:sz w:val="16"/>
          <w:szCs w:val="16"/>
          <w:color w:val="auto"/>
        </w:rPr>
      </w:pPr>
    </w:p>
    <w:p>
      <w:pPr>
        <w:ind w:left="900" w:hanging="100"/>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expect to incur substantial transaction costs in connection with the proposed transaction, whether or not it is completed; and</w:t>
      </w:r>
    </w:p>
    <w:p>
      <w:pPr>
        <w:spacing w:after="0" w:line="9" w:lineRule="exact"/>
        <w:rPr>
          <w:rFonts w:ascii="Arial" w:cs="Arial" w:eastAsia="Arial" w:hAnsi="Arial"/>
          <w:sz w:val="18"/>
          <w:szCs w:val="18"/>
          <w:color w:val="auto"/>
        </w:rPr>
      </w:pPr>
    </w:p>
    <w:p>
      <w:pPr>
        <w:ind w:left="1120" w:right="60" w:hanging="320"/>
        <w:spacing w:after="0" w:line="290" w:lineRule="auto"/>
        <w:tabs>
          <w:tab w:leader="none" w:pos="904"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not be entitled to receive a termination payment from Purchaser in all circumstances where the Purchase Agreement is terminated due to Purchaser’s breach of its obligations under the Purchase Agreement or where we fail to obtain CFIUS approval.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66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80" w:type="dxa"/>
            <w:vAlign w:val="bottom"/>
            <w:gridSpan w:val="23"/>
          </w:tcPr>
          <w:p>
            <w:pPr>
              <w:ind w:left="1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9580" w:type="dxa"/>
            <w:vAlign w:val="bottom"/>
            <w:gridSpan w:val="30"/>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2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2.1*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280" w:type="dxa"/>
            <w:vAlign w:val="bottom"/>
            <w:tcBorders>
              <w:top w:val="single" w:sz="8" w:color="auto"/>
              <w:bottom w:val="single" w:sz="8" w:color="0000EE"/>
            </w:tcBorders>
            <w:gridSpan w:val="17"/>
          </w:tcPr>
          <w:p>
            <w:pPr>
              <w:spacing w:after="0" w:line="169" w:lineRule="exact"/>
              <w:rPr>
                <w:rFonts w:ascii="Arial" w:cs="Arial" w:eastAsia="Arial" w:hAnsi="Arial"/>
                <w:sz w:val="18"/>
                <w:szCs w:val="18"/>
                <w:color w:val="0000EE"/>
                <w:w w:val="90"/>
              </w:rPr>
            </w:pPr>
            <w:hyperlink r:id="rId40">
              <w:r>
                <w:rPr>
                  <w:rFonts w:ascii="Arial" w:cs="Arial" w:eastAsia="Arial" w:hAnsi="Arial"/>
                  <w:sz w:val="18"/>
                  <w:szCs w:val="18"/>
                  <w:color w:val="0000EE"/>
                  <w:w w:val="90"/>
                </w:rPr>
                <w:t>Agreement for the Sale and Purchase of a New Company to Be Established in Hong Kong Special Administrative Region of The</w:t>
              </w:r>
            </w:hyperlink>
          </w:p>
        </w:tc>
        <w:tc>
          <w:tcPr>
            <w:tcW w:w="280" w:type="dxa"/>
            <w:vAlign w:val="bottom"/>
            <w:tcBorders>
              <w:top w:val="single" w:sz="8" w:color="auto"/>
            </w:tcBorders>
            <w:gridSpan w:val="12"/>
          </w:tcPr>
          <w:p>
            <w:pPr>
              <w:spacing w:after="0"/>
              <w:rPr>
                <w:sz w:val="14"/>
                <w:szCs w:val="14"/>
                <w:color w:val="auto"/>
              </w:rPr>
            </w:pPr>
          </w:p>
        </w:tc>
      </w:tr>
      <w:tr>
        <w:trPr>
          <w:trHeight w:val="196"/>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People’s Republic of China, dated as of September 15, 2022, by and between Prime World International Holdings Ltd., Applied</w:t>
              </w:r>
            </w:hyperlink>
          </w:p>
        </w:tc>
        <w:tc>
          <w:tcPr>
            <w:tcW w:w="360" w:type="dxa"/>
            <w:vAlign w:val="bottom"/>
            <w:gridSpan w:val="14"/>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Optoelectronics, Inc. and Yuhan Optoelectronic Technology (Shanghai) Co., Ltd. (filed as Exhibit 2.1 to the Registrant’s Current</w:t>
              </w:r>
            </w:hyperlink>
          </w:p>
        </w:tc>
        <w:tc>
          <w:tcPr>
            <w:tcW w:w="300" w:type="dxa"/>
            <w:vAlign w:val="bottom"/>
            <w:gridSpan w:val="13"/>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40">
              <w:r>
                <w:rPr>
                  <w:rFonts w:ascii="Arial" w:cs="Arial" w:eastAsia="Arial" w:hAnsi="Arial"/>
                  <w:sz w:val="18"/>
                  <w:szCs w:val="18"/>
                  <w:color w:val="0000EE"/>
                  <w:w w:val="90"/>
                </w:rPr>
                <w:t>Report on Form 8-K filed with the Securities and Exchange Commission on September 15, 2022).</w:t>
              </w:r>
            </w:hyperlink>
          </w:p>
        </w:tc>
        <w:tc>
          <w:tcPr>
            <w:tcW w:w="2500" w:type="dxa"/>
            <w:vAlign w:val="bottom"/>
            <w:gridSpan w:val="18"/>
          </w:tcPr>
          <w:p>
            <w:pPr>
              <w:spacing w:after="0"/>
              <w:rPr>
                <w:sz w:val="17"/>
                <w:szCs w:val="17"/>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80" w:type="dxa"/>
            <w:vAlign w:val="bottom"/>
            <w:gridSpan w:val="30"/>
          </w:tcPr>
          <w:p>
            <w:pPr>
              <w:spacing w:after="0"/>
              <w:rPr>
                <w:rFonts w:ascii="Arial" w:cs="Arial" w:eastAsia="Arial" w:hAnsi="Arial"/>
                <w:sz w:val="18"/>
                <w:szCs w:val="18"/>
                <w:color w:val="0000EE"/>
                <w:w w:val="93"/>
              </w:rPr>
            </w:pPr>
            <w:hyperlink r:id="rId41">
              <w:r>
                <w:rPr>
                  <w:rFonts w:ascii="Arial" w:cs="Arial" w:eastAsia="Arial" w:hAnsi="Arial"/>
                  <w:sz w:val="18"/>
                  <w:szCs w:val="18"/>
                  <w:color w:val="0000EE"/>
                  <w:w w:val="93"/>
                </w:rPr>
                <w:t>Amended and Restated Certificate of Incorporation, as currently in effect (filed as Exhibit 3.1 to the Registrant’s Quarterly Report</w:t>
              </w:r>
            </w:hyperlink>
          </w:p>
        </w:tc>
      </w:tr>
      <w:tr>
        <w:trPr>
          <w:trHeight w:val="196"/>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41">
              <w:r>
                <w:rPr>
                  <w:rFonts w:ascii="Arial" w:cs="Arial" w:eastAsia="Arial" w:hAnsi="Arial"/>
                  <w:sz w:val="18"/>
                  <w:szCs w:val="18"/>
                  <w:color w:val="0000EE"/>
                  <w:w w:val="91"/>
                </w:rPr>
                <w:t>on Form 10-Q filed with the Securities and Exchange Commission on November 14, 2013).</w:t>
              </w:r>
            </w:hyperlink>
          </w:p>
        </w:tc>
        <w:tc>
          <w:tcPr>
            <w:tcW w:w="2740" w:type="dxa"/>
            <w:vAlign w:val="bottom"/>
            <w:tcBorders>
              <w:top w:val="single" w:sz="8" w:color="0000EE"/>
            </w:tcBorders>
            <w:gridSpan w:val="10"/>
          </w:tcPr>
          <w:p>
            <w:pPr>
              <w:spacing w:after="0"/>
              <w:rPr>
                <w:sz w:val="17"/>
                <w:szCs w:val="17"/>
                <w:color w:val="auto"/>
              </w:rPr>
            </w:pPr>
          </w:p>
        </w:tc>
        <w:tc>
          <w:tcPr>
            <w:tcW w:w="220" w:type="dxa"/>
            <w:vAlign w:val="bottom"/>
            <w:gridSpan w:val="9"/>
          </w:tcPr>
          <w:p>
            <w:pPr>
              <w:spacing w:after="0"/>
              <w:rPr>
                <w:sz w:val="17"/>
                <w:szCs w:val="17"/>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0" w:type="dxa"/>
            <w:vAlign w:val="bottom"/>
            <w:tcBorders>
              <w:bottom w:val="single" w:sz="8" w:color="0000EE"/>
            </w:tcBorders>
            <w:gridSpan w:val="23"/>
          </w:tcPr>
          <w:p>
            <w:pPr>
              <w:spacing w:after="0"/>
              <w:rPr>
                <w:rFonts w:ascii="Arial" w:cs="Arial" w:eastAsia="Arial" w:hAnsi="Arial"/>
                <w:sz w:val="18"/>
                <w:szCs w:val="18"/>
                <w:color w:val="0000EE"/>
                <w:w w:val="91"/>
              </w:rPr>
            </w:pPr>
            <w:hyperlink r:id="rId42">
              <w:r>
                <w:rPr>
                  <w:rFonts w:ascii="Arial" w:cs="Arial" w:eastAsia="Arial" w:hAnsi="Arial"/>
                  <w:sz w:val="18"/>
                  <w:szCs w:val="18"/>
                  <w:color w:val="0000EE"/>
                  <w:w w:val="91"/>
                </w:rPr>
                <w:t>Amended and Restated Bylaws, as currently in effect (filed as Exhibit 3.2 to the Registrant’s Quarterly Report on Form 10-Q filed</w:t>
              </w:r>
            </w:hyperlink>
          </w:p>
        </w:tc>
        <w:tc>
          <w:tcPr>
            <w:tcW w:w="180" w:type="dxa"/>
            <w:vAlign w:val="bottom"/>
            <w:gridSpan w:val="7"/>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1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with the Securities and Exchange Commission on November 14, 2013).</w:t>
              </w:r>
            </w:hyperlink>
          </w:p>
        </w:tc>
        <w:tc>
          <w:tcPr>
            <w:tcW w:w="4400" w:type="dxa"/>
            <w:vAlign w:val="bottom"/>
            <w:gridSpan w:val="20"/>
          </w:tcPr>
          <w:p>
            <w:pPr>
              <w:spacing w:after="0"/>
              <w:rPr>
                <w:sz w:val="17"/>
                <w:szCs w:val="17"/>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900" w:type="dxa"/>
            <w:vAlign w:val="bottom"/>
            <w:tcBorders>
              <w:bottom w:val="single" w:sz="8" w:color="0000EE"/>
            </w:tcBorders>
            <w:gridSpan w:val="14"/>
          </w:tcPr>
          <w:p>
            <w:pPr>
              <w:spacing w:after="0"/>
              <w:rPr>
                <w:rFonts w:ascii="Arial" w:cs="Arial" w:eastAsia="Arial" w:hAnsi="Arial"/>
                <w:sz w:val="18"/>
                <w:szCs w:val="18"/>
                <w:color w:val="0000EE"/>
                <w:w w:val="91"/>
              </w:rPr>
            </w:pPr>
            <w:hyperlink r:id="rId43">
              <w:r>
                <w:rPr>
                  <w:rFonts w:ascii="Arial" w:cs="Arial" w:eastAsia="Arial" w:hAnsi="Arial"/>
                  <w:sz w:val="18"/>
                  <w:szCs w:val="18"/>
                  <w:color w:val="0000EE"/>
                  <w:w w:val="91"/>
                </w:rPr>
                <w:t>Common Stock Specimen (filed as Exhibit 4.1 to the Registrant’s Current Report on Form 8-K filed with the Securities and</w:t>
              </w:r>
            </w:hyperlink>
          </w:p>
        </w:tc>
        <w:tc>
          <w:tcPr>
            <w:tcW w:w="680" w:type="dxa"/>
            <w:vAlign w:val="bottom"/>
            <w:gridSpan w:val="16"/>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80" w:type="dxa"/>
            <w:vAlign w:val="bottom"/>
            <w:gridSpan w:val="30"/>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Exchange Commission on July 15, 2015).</w:t>
              </w:r>
            </w:hyperlink>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40" w:type="dxa"/>
            <w:vAlign w:val="bottom"/>
            <w:tcBorders>
              <w:bottom w:val="single" w:sz="8" w:color="0000EE"/>
            </w:tcBorders>
            <w:gridSpan w:val="28"/>
          </w:tcPr>
          <w:p>
            <w:pPr>
              <w:spacing w:after="0"/>
              <w:rPr>
                <w:rFonts w:ascii="Arial" w:cs="Arial" w:eastAsia="Arial" w:hAnsi="Arial"/>
                <w:sz w:val="18"/>
                <w:szCs w:val="18"/>
                <w:color w:val="0000EE"/>
                <w:w w:val="90"/>
              </w:rPr>
            </w:pPr>
            <w:hyperlink r:id="rId44">
              <w:r>
                <w:rPr>
                  <w:rFonts w:ascii="Arial" w:cs="Arial" w:eastAsia="Arial" w:hAnsi="Arial"/>
                  <w:sz w:val="18"/>
                  <w:szCs w:val="18"/>
                  <w:color w:val="0000EE"/>
                  <w:w w:val="90"/>
                </w:rPr>
                <w:t>Indenture, dated as of March 5, 2019 between Applied Optoelectronics, Inc. and Wells Fargo Bank, National Association, as trustee,</w:t>
              </w:r>
            </w:hyperlink>
          </w:p>
        </w:tc>
        <w:tc>
          <w:tcPr>
            <w:tcW w:w="40" w:type="dxa"/>
            <w:vAlign w:val="bottom"/>
            <w:gridSpan w:val="2"/>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6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44">
              <w:r>
                <w:rPr>
                  <w:rFonts w:ascii="Arial" w:cs="Arial" w:eastAsia="Arial" w:hAnsi="Arial"/>
                  <w:sz w:val="18"/>
                  <w:szCs w:val="18"/>
                  <w:color w:val="0000EE"/>
                  <w:w w:val="91"/>
                </w:rPr>
                <w:t>paying agent, and conversion agent (filed as Exhibit 4.1 to the Registrant’s Current Report on Form 8-K filed with the Securities and</w:t>
              </w:r>
            </w:hyperlink>
          </w:p>
        </w:tc>
        <w:tc>
          <w:tcPr>
            <w:tcW w:w="2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80" w:type="dxa"/>
            <w:vAlign w:val="bottom"/>
            <w:gridSpan w:val="30"/>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Exchange Commission on March 5, 2019).</w:t>
              </w:r>
            </w:hyperlink>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80" w:type="dxa"/>
            <w:vAlign w:val="bottom"/>
            <w:gridSpan w:val="30"/>
          </w:tcPr>
          <w:p>
            <w:pPr>
              <w:spacing w:after="0"/>
              <w:rPr>
                <w:rFonts w:ascii="Arial" w:cs="Arial" w:eastAsia="Arial" w:hAnsi="Arial"/>
                <w:sz w:val="18"/>
                <w:szCs w:val="18"/>
                <w:color w:val="0000EE"/>
                <w:w w:val="91"/>
              </w:rPr>
            </w:pPr>
            <w:hyperlink r:id="rId44">
              <w:r>
                <w:rPr>
                  <w:rFonts w:ascii="Arial" w:cs="Arial" w:eastAsia="Arial" w:hAnsi="Arial"/>
                  <w:sz w:val="18"/>
                  <w:szCs w:val="18"/>
                  <w:color w:val="0000EE"/>
                  <w:w w:val="91"/>
                </w:rPr>
                <w:t>Form of Note representing the Company’s 5.00% Convertible Senior Notes due 2024 (included as Exhibit A to the Indenture filed as</w:t>
              </w:r>
            </w:hyperlink>
          </w:p>
        </w:tc>
      </w:tr>
      <w:tr>
        <w:trPr>
          <w:trHeight w:val="196"/>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8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91"/>
              </w:rPr>
            </w:pPr>
            <w:hyperlink r:id="rId44">
              <w:r>
                <w:rPr>
                  <w:rFonts w:ascii="Arial" w:cs="Arial" w:eastAsia="Arial" w:hAnsi="Arial"/>
                  <w:sz w:val="18"/>
                  <w:szCs w:val="18"/>
                  <w:color w:val="0000EE"/>
                  <w:w w:val="91"/>
                </w:rPr>
                <w:t>Exhibit 4.1 to the Registrant’s Current Report on Form 8-K filed with the Securities and Exchange Commission on March 5, 2019).</w:t>
              </w:r>
            </w:hyperlink>
          </w:p>
        </w:tc>
        <w:tc>
          <w:tcPr>
            <w:tcW w:w="8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20" w:type="dxa"/>
            <w:vAlign w:val="bottom"/>
            <w:tcBorders>
              <w:bottom w:val="single" w:sz="8" w:color="0000EE"/>
            </w:tcBorders>
            <w:gridSpan w:val="24"/>
          </w:tcPr>
          <w:p>
            <w:pPr>
              <w:spacing w:after="0"/>
              <w:rPr>
                <w:rFonts w:ascii="Arial" w:cs="Arial" w:eastAsia="Arial" w:hAnsi="Arial"/>
                <w:sz w:val="18"/>
                <w:szCs w:val="18"/>
                <w:color w:val="0000EE"/>
                <w:w w:val="91"/>
              </w:rPr>
            </w:pPr>
            <w:hyperlink r:id="rId45">
              <w:r>
                <w:rPr>
                  <w:rFonts w:ascii="Arial" w:cs="Arial" w:eastAsia="Arial" w:hAnsi="Arial"/>
                  <w:sz w:val="18"/>
                  <w:szCs w:val="18"/>
                  <w:color w:val="0000EE"/>
                  <w:w w:val="91"/>
                </w:rPr>
                <w:t>Form of the Trademark License Agreement, by and among Applied Optoelectronics, Inc. Global Technology Co., Ltd., and Yuhan</w:t>
              </w:r>
            </w:hyperlink>
          </w:p>
        </w:tc>
        <w:tc>
          <w:tcPr>
            <w:tcW w:w="160" w:type="dxa"/>
            <w:vAlign w:val="bottom"/>
            <w:gridSpan w:val="6"/>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80" w:type="dxa"/>
            <w:vAlign w:val="bottom"/>
            <w:gridSpan w:val="30"/>
          </w:tcPr>
          <w:p>
            <w:pPr>
              <w:spacing w:after="0" w:line="196"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Optoelectronic Technology (Shanghai) Co., Ltd. (filed as Exhibit 10.1 to the Registrant's Current Report on Form 8-K filed with the</w:t>
              </w:r>
            </w:hyperlink>
          </w:p>
        </w:tc>
      </w:tr>
      <w:tr>
        <w:trPr>
          <w:trHeight w:val="196"/>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45">
              <w:r>
                <w:rPr>
                  <w:rFonts w:ascii="Arial" w:cs="Arial" w:eastAsia="Arial" w:hAnsi="Arial"/>
                  <w:sz w:val="18"/>
                  <w:szCs w:val="18"/>
                  <w:color w:val="0000EE"/>
                  <w:w w:val="89"/>
                </w:rPr>
                <w:t>Securities and Exchange Commission on September 15, 2022)..</w:t>
              </w:r>
            </w:hyperlink>
          </w:p>
        </w:tc>
        <w:tc>
          <w:tcPr>
            <w:tcW w:w="4900" w:type="dxa"/>
            <w:vAlign w:val="bottom"/>
            <w:tcBorders>
              <w:top w:val="single" w:sz="8" w:color="0000EE"/>
            </w:tcBorders>
            <w:gridSpan w:val="18"/>
          </w:tcPr>
          <w:p>
            <w:pPr>
              <w:spacing w:after="0"/>
              <w:rPr>
                <w:sz w:val="17"/>
                <w:szCs w:val="17"/>
                <w:color w:val="auto"/>
              </w:rPr>
            </w:pPr>
          </w:p>
        </w:tc>
        <w:tc>
          <w:tcPr>
            <w:tcW w:w="80" w:type="dxa"/>
            <w:vAlign w:val="bottom"/>
            <w:gridSpan w:val="3"/>
          </w:tcPr>
          <w:p>
            <w:pPr>
              <w:spacing w:after="0"/>
              <w:rPr>
                <w:sz w:val="17"/>
                <w:szCs w:val="17"/>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80" w:type="dxa"/>
            <w:vAlign w:val="bottom"/>
            <w:gridSpan w:val="30"/>
          </w:tcPr>
          <w:p>
            <w:pPr>
              <w:spacing w:after="0"/>
              <w:rPr>
                <w:rFonts w:ascii="Arial" w:cs="Arial" w:eastAsia="Arial" w:hAnsi="Arial"/>
                <w:sz w:val="18"/>
                <w:szCs w:val="18"/>
                <w:color w:val="0000EE"/>
                <w:w w:val="95"/>
              </w:rPr>
            </w:pPr>
            <w:hyperlink r:id="rId46">
              <w:r>
                <w:rPr>
                  <w:rFonts w:ascii="Arial" w:cs="Arial" w:eastAsia="Arial" w:hAnsi="Arial"/>
                  <w:sz w:val="18"/>
                  <w:szCs w:val="18"/>
                  <w:color w:val="0000EE"/>
                  <w:w w:val="95"/>
                </w:rPr>
                <w:t>Form of Technology Cross-License Agreement, by and among Applied Optoelectronics, Inc. Global Technology Co., Ltd., and</w:t>
              </w:r>
            </w:hyperlink>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Yuhan Optoelectronic Technology (Shanghai) Co., Ltd. (filed as Exhibit 10.2 to the Registrant's Current Report on Form 8-K filed</w:t>
              </w:r>
            </w:hyperlink>
          </w:p>
        </w:tc>
        <w:tc>
          <w:tcPr>
            <w:tcW w:w="180" w:type="dxa"/>
            <w:vAlign w:val="bottom"/>
            <w:gridSpan w:val="7"/>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80" w:type="dxa"/>
            <w:vAlign w:val="bottom"/>
            <w:gridSpan w:val="30"/>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with the Securities and Exchange Commission on September 15, 2022).</w:t>
              </w:r>
            </w:hyperlink>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80" w:type="dxa"/>
            <w:vAlign w:val="bottom"/>
            <w:gridSpan w:val="30"/>
          </w:tcPr>
          <w:p>
            <w:pPr>
              <w:spacing w:after="0"/>
              <w:rPr>
                <w:rFonts w:ascii="Arial" w:cs="Arial" w:eastAsia="Arial" w:hAnsi="Arial"/>
                <w:sz w:val="18"/>
                <w:szCs w:val="18"/>
                <w:color w:val="0000EE"/>
                <w:w w:val="99"/>
              </w:rPr>
            </w:pPr>
            <w:hyperlink r:id="rId47">
              <w:r>
                <w:rPr>
                  <w:rFonts w:ascii="Arial" w:cs="Arial" w:eastAsia="Arial" w:hAnsi="Arial"/>
                  <w:sz w:val="18"/>
                  <w:szCs w:val="18"/>
                  <w:color w:val="0000EE"/>
                  <w:w w:val="99"/>
                </w:rPr>
                <w:t>Form of Product Supply Agreement, by and between Applied Optoelectronics, Inc. and Yuhan Optoelectronic Technology</w:t>
              </w:r>
            </w:hyperlink>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4240" w:type="dxa"/>
            <w:vAlign w:val="bottom"/>
            <w:gridSpan w:val="5"/>
            <w:shd w:val="clear" w:color="auto" w:fill="0000EE"/>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(Shanghai) Co., Ltd. (filed as Exhibit 10.3 to the Registrant's Current Report on Form 8-K filed with the Securities and Exchange</w:t>
              </w:r>
            </w:hyperlink>
          </w:p>
        </w:tc>
        <w:tc>
          <w:tcPr>
            <w:tcW w:w="240" w:type="dxa"/>
            <w:vAlign w:val="bottom"/>
            <w:gridSpan w:val="10"/>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7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47">
              <w:r>
                <w:rPr>
                  <w:rFonts w:ascii="Arial" w:cs="Arial" w:eastAsia="Arial" w:hAnsi="Arial"/>
                  <w:sz w:val="18"/>
                  <w:szCs w:val="18"/>
                  <w:color w:val="0000EE"/>
                  <w:w w:val="89"/>
                </w:rPr>
                <w:t>Commission on September 15, 2022).</w:t>
              </w:r>
            </w:hyperlink>
          </w:p>
        </w:tc>
        <w:tc>
          <w:tcPr>
            <w:tcW w:w="6840" w:type="dxa"/>
            <w:vAlign w:val="bottom"/>
            <w:gridSpan w:val="26"/>
          </w:tcPr>
          <w:p>
            <w:pPr>
              <w:spacing w:after="0"/>
              <w:rPr>
                <w:sz w:val="17"/>
                <w:szCs w:val="17"/>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80" w:type="dxa"/>
            <w:vAlign w:val="bottom"/>
            <w:gridSpan w:val="30"/>
          </w:tcPr>
          <w:p>
            <w:pPr>
              <w:spacing w:after="0"/>
              <w:rPr>
                <w:rFonts w:ascii="Arial" w:cs="Arial" w:eastAsia="Arial" w:hAnsi="Arial"/>
                <w:sz w:val="18"/>
                <w:szCs w:val="18"/>
                <w:color w:val="0000EE"/>
                <w:w w:val="92"/>
              </w:rPr>
            </w:pPr>
            <w:hyperlink r:id="rId48">
              <w:r>
                <w:rPr>
                  <w:rFonts w:ascii="Arial" w:cs="Arial" w:eastAsia="Arial" w:hAnsi="Arial"/>
                  <w:sz w:val="18"/>
                  <w:szCs w:val="18"/>
                  <w:color w:val="0000EE"/>
                  <w:w w:val="92"/>
                </w:rPr>
                <w:t>Form of Contract Manufacturing Agreement, by and among Applied Optoelectronics, Inc. Global Technology Co., Ltd., and Yuhan</w:t>
              </w:r>
            </w:hyperlink>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4760" w:type="dxa"/>
            <w:vAlign w:val="bottom"/>
            <w:gridSpan w:val="11"/>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80" w:type="dxa"/>
            <w:vAlign w:val="bottom"/>
            <w:gridSpan w:val="30"/>
          </w:tcPr>
          <w:p>
            <w:pPr>
              <w:spacing w:after="0" w:line="196" w:lineRule="exact"/>
              <w:rPr>
                <w:rFonts w:ascii="Arial" w:cs="Arial" w:eastAsia="Arial" w:hAnsi="Arial"/>
                <w:sz w:val="18"/>
                <w:szCs w:val="18"/>
                <w:color w:val="0000EE"/>
                <w:w w:val="92"/>
              </w:rPr>
            </w:pPr>
            <w:hyperlink r:id="rId48">
              <w:r>
                <w:rPr>
                  <w:rFonts w:ascii="Arial" w:cs="Arial" w:eastAsia="Arial" w:hAnsi="Arial"/>
                  <w:sz w:val="18"/>
                  <w:szCs w:val="18"/>
                  <w:color w:val="0000EE"/>
                  <w:w w:val="92"/>
                </w:rPr>
                <w:t>Optoelectronic Technology (Shanghai) Co., Ltd. (filed as Exhibit 10.4 to the Registrant's Current Report on Form 8-K filed with the</w:t>
              </w:r>
            </w:hyperlink>
          </w:p>
        </w:tc>
      </w:tr>
      <w:tr>
        <w:trPr>
          <w:trHeight w:val="196"/>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5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48">
              <w:r>
                <w:rPr>
                  <w:rFonts w:ascii="Arial" w:cs="Arial" w:eastAsia="Arial" w:hAnsi="Arial"/>
                  <w:sz w:val="18"/>
                  <w:szCs w:val="18"/>
                  <w:color w:val="0000EE"/>
                  <w:w w:val="89"/>
                </w:rPr>
                <w:t>Securities and Exchange Commission on September 15, 2022).</w:t>
              </w:r>
            </w:hyperlink>
          </w:p>
        </w:tc>
        <w:tc>
          <w:tcPr>
            <w:tcW w:w="4940" w:type="dxa"/>
            <w:vAlign w:val="bottom"/>
            <w:tcBorders>
              <w:top w:val="single" w:sz="8" w:color="0000EE"/>
            </w:tcBorders>
            <w:gridSpan w:val="19"/>
          </w:tcPr>
          <w:p>
            <w:pPr>
              <w:spacing w:after="0"/>
              <w:rPr>
                <w:sz w:val="17"/>
                <w:szCs w:val="17"/>
                <w:color w:val="auto"/>
              </w:rPr>
            </w:pPr>
          </w:p>
        </w:tc>
        <w:tc>
          <w:tcPr>
            <w:tcW w:w="80" w:type="dxa"/>
            <w:vAlign w:val="bottom"/>
            <w:gridSpan w:val="3"/>
          </w:tcPr>
          <w:p>
            <w:pPr>
              <w:spacing w:after="0"/>
              <w:rPr>
                <w:sz w:val="17"/>
                <w:szCs w:val="17"/>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1"/>
              </w:rPr>
              <w:t>Certification of Chief Executive Officer pursuant to Exchange Act Rule, 13a-14(a) and 15d-14(a), as adopted pursuant to Section</w:t>
            </w:r>
          </w:p>
        </w:tc>
        <w:tc>
          <w:tcPr>
            <w:tcW w:w="260" w:type="dxa"/>
            <w:vAlign w:val="bottom"/>
            <w:gridSpan w:val="11"/>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80" w:type="dxa"/>
            <w:vAlign w:val="bottom"/>
            <w:gridSpan w:val="30"/>
          </w:tcPr>
          <w:p>
            <w:pPr>
              <w:spacing w:after="0" w:line="196" w:lineRule="exact"/>
              <w:rPr>
                <w:sz w:val="20"/>
                <w:szCs w:val="20"/>
                <w:color w:val="auto"/>
              </w:rPr>
            </w:pPr>
            <w:r>
              <w:rPr>
                <w:rFonts w:ascii="Arial" w:cs="Arial" w:eastAsia="Arial" w:hAnsi="Arial"/>
                <w:sz w:val="18"/>
                <w:szCs w:val="18"/>
                <w:color w:val="0000EE"/>
              </w:rPr>
              <w:t>302 of the Sarbanes-Oxley Act of 2002.</w:t>
            </w: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500" w:type="dxa"/>
            <w:vAlign w:val="bottom"/>
            <w:gridSpan w:val="17"/>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80" w:type="dxa"/>
            <w:vAlign w:val="bottom"/>
            <w:tcBorders>
              <w:bottom w:val="single" w:sz="8" w:color="0000EE"/>
            </w:tcBorders>
            <w:gridSpan w:val="30"/>
          </w:tcPr>
          <w:p>
            <w:pPr>
              <w:spacing w:after="0"/>
              <w:rPr>
                <w:sz w:val="20"/>
                <w:szCs w:val="20"/>
                <w:color w:val="auto"/>
              </w:rPr>
            </w:pPr>
            <w:r>
              <w:rPr>
                <w:rFonts w:ascii="Arial" w:cs="Arial" w:eastAsia="Arial" w:hAnsi="Arial"/>
                <w:sz w:val="18"/>
                <w:szCs w:val="18"/>
                <w:color w:val="0000EE"/>
                <w:w w:val="90"/>
              </w:rPr>
              <w:t>Certification of Chief Financial Officer pursuant to Exchange Act Rule, 13a-14(a) and 15d-14(a), as adopted pursuant to Section 302</w:t>
            </w:r>
          </w:p>
        </w:tc>
      </w:tr>
      <w:tr>
        <w:trPr>
          <w:trHeight w:val="196"/>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80" w:type="dxa"/>
            <w:vAlign w:val="bottom"/>
            <w:gridSpan w:val="30"/>
          </w:tcPr>
          <w:p>
            <w:pPr>
              <w:spacing w:after="0" w:line="196" w:lineRule="exact"/>
              <w:rPr>
                <w:sz w:val="20"/>
                <w:szCs w:val="20"/>
                <w:color w:val="auto"/>
              </w:rPr>
            </w:pPr>
            <w:r>
              <w:rPr>
                <w:rFonts w:ascii="Arial" w:cs="Arial" w:eastAsia="Arial" w:hAnsi="Arial"/>
                <w:sz w:val="18"/>
                <w:szCs w:val="18"/>
                <w:color w:val="0000EE"/>
              </w:rPr>
              <w:t>of the Sarbanes-Oxley Act of 2002.</w:t>
            </w: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0" w:type="dxa"/>
            <w:vAlign w:val="bottom"/>
            <w:gridSpan w:val="19"/>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8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1"/>
              </w:rPr>
              <w:t>Certification pursuant to 18 U.S.C. 1350, adopted pursuant to Section 906 of the Sarbanes-Oxley Act of 2002, by Chief Executive</w:t>
            </w:r>
          </w:p>
        </w:tc>
        <w:tc>
          <w:tcPr>
            <w:tcW w:w="200" w:type="dxa"/>
            <w:vAlign w:val="bottom"/>
            <w:gridSpan w:val="8"/>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80" w:type="dxa"/>
            <w:vAlign w:val="bottom"/>
            <w:gridSpan w:val="30"/>
          </w:tcPr>
          <w:p>
            <w:pPr>
              <w:spacing w:after="0" w:line="196" w:lineRule="exact"/>
              <w:rPr>
                <w:sz w:val="20"/>
                <w:szCs w:val="20"/>
                <w:color w:val="auto"/>
              </w:rPr>
            </w:pPr>
            <w:r>
              <w:rPr>
                <w:rFonts w:ascii="Arial" w:cs="Arial" w:eastAsia="Arial" w:hAnsi="Arial"/>
                <w:sz w:val="18"/>
                <w:szCs w:val="18"/>
                <w:color w:val="0000EE"/>
              </w:rPr>
              <w:t>Officer and Chief Financial Officer.</w:t>
            </w:r>
          </w:p>
        </w:tc>
      </w:tr>
      <w:tr>
        <w:trPr>
          <w:trHeight w:val="20"/>
        </w:trPr>
        <w:tc>
          <w:tcPr>
            <w:tcW w:w="1660" w:type="dxa"/>
            <w:vAlign w:val="bottom"/>
            <w:gridSpan w:val="3"/>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7000" w:type="dxa"/>
            <w:vAlign w:val="bottom"/>
            <w:gridSpan w:val="27"/>
          </w:tcPr>
          <w:p>
            <w:pPr>
              <w:spacing w:after="0" w:line="20" w:lineRule="exact"/>
              <w:rPr>
                <w:sz w:val="1"/>
                <w:szCs w:val="1"/>
                <w:color w:val="auto"/>
              </w:rPr>
            </w:pPr>
          </w:p>
        </w:tc>
      </w:tr>
      <w:tr>
        <w:trPr>
          <w:trHeight w:val="438"/>
        </w:trPr>
        <w:tc>
          <w:tcPr>
            <w:tcW w:w="16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580" w:type="dxa"/>
            <w:vAlign w:val="bottom"/>
            <w:gridSpan w:val="30"/>
          </w:tcPr>
          <w:p>
            <w:pPr>
              <w:spacing w:after="0"/>
              <w:rPr>
                <w:sz w:val="20"/>
                <w:szCs w:val="20"/>
                <w:color w:val="auto"/>
              </w:rPr>
            </w:pPr>
            <w:r>
              <w:rPr>
                <w:rFonts w:ascii="Arial" w:cs="Arial" w:eastAsia="Arial" w:hAnsi="Arial"/>
                <w:sz w:val="18"/>
                <w:szCs w:val="18"/>
                <w:color w:val="auto"/>
                <w:w w:val="93"/>
              </w:rPr>
              <w:t>Inline XBRL Instance – the instance document does not appear in the Interactive Data File because its XBRL tags are embedded</w:t>
            </w:r>
          </w:p>
        </w:tc>
      </w:tr>
      <w:tr>
        <w:trPr>
          <w:trHeight w:val="230"/>
        </w:trPr>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580" w:type="dxa"/>
            <w:vAlign w:val="bottom"/>
            <w:gridSpan w:val="30"/>
          </w:tcPr>
          <w:p>
            <w:pPr>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16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580" w:type="dxa"/>
            <w:vAlign w:val="bottom"/>
            <w:gridSpan w:val="3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6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580" w:type="dxa"/>
            <w:vAlign w:val="bottom"/>
            <w:gridSpan w:val="3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6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580" w:type="dxa"/>
            <w:vAlign w:val="bottom"/>
            <w:gridSpan w:val="3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6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580" w:type="dxa"/>
            <w:vAlign w:val="bottom"/>
            <w:gridSpan w:val="3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6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580" w:type="dxa"/>
            <w:vAlign w:val="bottom"/>
            <w:gridSpan w:val="30"/>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80" w:type="dxa"/>
            <w:vAlign w:val="bottom"/>
            <w:gridSpan w:val="30"/>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2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87" w:lineRule="exact"/>
        <w:rPr>
          <w:sz w:val="20"/>
          <w:szCs w:val="20"/>
          <w:color w:val="auto"/>
        </w:rPr>
      </w:pPr>
    </w:p>
    <w:p>
      <w:pPr>
        <w:ind w:right="6700" w:firstLine="8"/>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herein by reference to the indicated filing. ** Filed herewith.</w:t>
      </w:r>
    </w:p>
    <w:p>
      <w:pPr>
        <w:sectPr>
          <w:pgSz w:w="11900" w:h="16838" w:orient="portrait"/>
          <w:cols w:equalWidth="0" w:num="1">
            <w:col w:w="11240"/>
          </w:cols>
          <w:pgMar w:left="320" w:top="108" w:right="339" w:bottom="1141"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141"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APPLIED OPTOELECTRONICS,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November 3, 2022</w:t>
            </w: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By:  /s/ STEFAN J. MURRY</w:t>
            </w:r>
          </w:p>
        </w:tc>
      </w:tr>
      <w:tr>
        <w:trPr>
          <w:trHeight w:val="195"/>
        </w:trPr>
        <w:tc>
          <w:tcPr>
            <w:tcW w:w="36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tc>
      </w:tr>
      <w:tr>
        <w:trPr>
          <w:trHeight w:val="216"/>
        </w:trPr>
        <w:tc>
          <w:tcPr>
            <w:tcW w:w="36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r>
        <w:trPr>
          <w:trHeight w:val="878"/>
        </w:trPr>
        <w:tc>
          <w:tcPr>
            <w:tcW w:w="3660" w:type="dxa"/>
            <w:vAlign w:val="bottom"/>
          </w:tcPr>
          <w:p>
            <w:pPr>
              <w:spacing w:after="0"/>
              <w:rPr>
                <w:sz w:val="24"/>
                <w:szCs w:val="24"/>
                <w:color w:val="auto"/>
              </w:rPr>
            </w:pPr>
          </w:p>
        </w:tc>
        <w:tc>
          <w:tcPr>
            <w:tcW w:w="2380" w:type="dxa"/>
            <w:vAlign w:val="bottom"/>
          </w:tcPr>
          <w:p>
            <w:pPr>
              <w:jc w:val="right"/>
              <w:ind w:right="230"/>
              <w:spacing w:after="0"/>
              <w:rPr>
                <w:sz w:val="20"/>
                <w:szCs w:val="20"/>
                <w:color w:val="auto"/>
              </w:rPr>
            </w:pPr>
            <w:r>
              <w:rPr>
                <w:rFonts w:ascii="Arial" w:cs="Arial" w:eastAsia="Arial" w:hAnsi="Arial"/>
                <w:sz w:val="18"/>
                <w:szCs w:val="18"/>
                <w:color w:val="auto"/>
              </w:rPr>
              <w:t>30</w:t>
            </w:r>
          </w:p>
        </w:tc>
        <w:tc>
          <w:tcPr>
            <w:tcW w:w="52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35" w:name="page36"/>
    <w:bookmarkEnd w:id="35"/>
    <w:p>
      <w:pPr>
        <w:ind w:left="10260"/>
        <w:spacing w:after="0"/>
        <w:rPr>
          <w:sz w:val="20"/>
          <w:szCs w:val="20"/>
          <w:color w:val="auto"/>
        </w:rPr>
      </w:pPr>
      <w:r>
        <w:rPr>
          <w:rFonts w:ascii="Arial" w:cs="Arial" w:eastAsia="Arial" w:hAnsi="Arial"/>
          <w:sz w:val="17"/>
          <w:szCs w:val="17"/>
          <w:b w:val="1"/>
          <w:bCs w:val="1"/>
          <w:color w:val="auto"/>
        </w:rPr>
        <w:t>Exhibit 31.1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Chih-Hsiang (Thompson) Lin, certify that:</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644"/>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CHIH-HSIANG (THOMPSON) 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36" w:name="page37"/>
    <w:bookmarkEnd w:id="36"/>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Stefan J. Murry, certify that:</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644"/>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STEFAN J. MURRY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7" w:name="page38"/>
    <w:bookmarkEnd w:id="37"/>
    <w:p>
      <w:pPr>
        <w:ind w:left="1026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spacing w:after="0" w:line="187"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2022, to which this Certification is attached as Exhibit 32.1 (the “Quarterly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3rd day of November 2022.</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4715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CHIH-HSIANG (THOMPSON) LIN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34544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STEFAN J. MURRY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ectPr>
          <w:pgSz w:w="11900" w:h="16838" w:orient="portrait"/>
          <w:cols w:equalWidth="0" w:num="2">
            <w:col w:w="5080" w:space="720"/>
            <w:col w:w="5440"/>
          </w:cols>
          <w:pgMar w:left="320" w:top="121" w:right="339" w:bottom="1440" w:gutter="0" w:footer="0" w:header="0"/>
          <w:type w:val="continuous"/>
        </w:sectPr>
      </w:pPr>
    </w:p>
    <w:p>
      <w:pPr>
        <w:spacing w:after="0" w:line="2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28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40" Type="http://schemas.openxmlformats.org/officeDocument/2006/relationships/hyperlink" Target="http://www.sec.gov/Archives/edgar/data/1158114/000110465922100456/tm2225831d1_ex2-1.htm" TargetMode="External"/><Relationship Id="rId41" Type="http://schemas.openxmlformats.org/officeDocument/2006/relationships/hyperlink" Target="http://www.sec.gov/Archives/edgar/data/1158114/000101968713004306/aaoi_10q-ex0301.htm" TargetMode="External"/><Relationship Id="rId42" Type="http://schemas.openxmlformats.org/officeDocument/2006/relationships/hyperlink" Target="http://www.sec.gov/Archives/edgar/data/1158114/000101968713004306/aaoi_10q-ex0302.htm" TargetMode="External"/><Relationship Id="rId43" Type="http://schemas.openxmlformats.org/officeDocument/2006/relationships/hyperlink" Target="http://www.sec.gov/Archives/edgar/data/1158114/000110465915051289/a15-15715_1ex4d1.htm" TargetMode="External"/><Relationship Id="rId44" Type="http://schemas.openxmlformats.org/officeDocument/2006/relationships/hyperlink" Target="http://www.sec.gov/Archives/edgar/data/1158114/000110465919012900/a19-4821_4ex4d1.htm" TargetMode="External"/><Relationship Id="rId45" Type="http://schemas.openxmlformats.org/officeDocument/2006/relationships/hyperlink" Target="http://www.sec.gov/Archives/edgar/data/1158114/000168316822004284/applied_ex1001.htm" TargetMode="External"/><Relationship Id="rId46" Type="http://schemas.openxmlformats.org/officeDocument/2006/relationships/hyperlink" Target="http://www.sec.gov/Archives/edgar/data/1158114/000168316822004284/applied_ex1002.htm" TargetMode="External"/><Relationship Id="rId47" Type="http://schemas.openxmlformats.org/officeDocument/2006/relationships/hyperlink" Target="http://www.sec.gov/Archives/edgar/data/1158114/000110465922100456/tm2225831d1_ex10-3.htm" TargetMode="External"/><Relationship Id="rId48" Type="http://schemas.openxmlformats.org/officeDocument/2006/relationships/hyperlink" Target="http://www.sec.gov/Archives/edgar/data/1158114/000110465922100456/tm2225831d1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2022-11-03T17:00:25Z</dcterms:created>
  <dcterms:modified xsi:type="dcterms:W3CDTF">2022-11-03T17:00:25Z</dcterms:modified>
</cp:coreProperties>
</file>