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3820" w:right="1880" w:hanging="3812"/>
        <w:spacing w:after="0" w:line="493" w:lineRule="auto"/>
        <w:tabs>
          <w:tab w:leader="none" w:pos="22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20" w:right="1860" w:hanging="3412"/>
        <w:spacing w:after="0" w:line="500" w:lineRule="auto"/>
        <w:tabs>
          <w:tab w:leader="none" w:pos="21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For the transition period from __________ to </w:t>
      </w:r>
      <w:r>
        <w:rPr>
          <w:rFonts w:ascii="Arial" w:cs="Arial" w:eastAsia="Arial" w:hAnsi="Arial"/>
          <w:sz w:val="18"/>
          <w:szCs w:val="18"/>
          <w:color w:val="auto"/>
        </w:rPr>
        <w:t>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908" w:right="339" w:bottom="1105" w:gutter="0" w:footer="0" w:header="0"/>
        </w:sectPr>
      </w:pPr>
    </w:p>
    <w:p>
      <w:pPr>
        <w:spacing w:after="0" w:line="20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908" w:right="339" w:bottom="1105"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ind w:left="5500" w:hanging="438"/>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00" w:lineRule="exact"/>
        <w:rPr>
          <w:sz w:val="24"/>
          <w:szCs w:val="24"/>
          <w:color w:val="auto"/>
        </w:rPr>
      </w:pPr>
    </w:p>
    <w:p>
      <w:pPr>
        <w:spacing w:after="0" w:line="22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Title of each class</w:t>
            </w:r>
          </w:p>
        </w:tc>
        <w:tc>
          <w:tcPr>
            <w:tcW w:w="230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92"/>
              </w:rPr>
              <w:t>Trading Symbol(s)</w:t>
            </w:r>
          </w:p>
        </w:tc>
        <w:tc>
          <w:tcPr>
            <w:tcW w:w="60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color w:val="auto"/>
                <w:w w:val="89"/>
              </w:rPr>
              <w:t>Trading Name of each exchange on which registered</w:t>
            </w:r>
          </w:p>
        </w:tc>
      </w:tr>
      <w:tr>
        <w:trPr>
          <w:trHeight w:val="224"/>
        </w:trPr>
        <w:tc>
          <w:tcPr>
            <w:tcW w:w="2920" w:type="dxa"/>
            <w:vAlign w:val="bottom"/>
          </w:tcPr>
          <w:p>
            <w:pPr>
              <w:jc w:val="center"/>
              <w:ind w:left="10"/>
              <w:spacing w:after="0"/>
              <w:rPr>
                <w:sz w:val="20"/>
                <w:szCs w:val="20"/>
                <w:color w:val="auto"/>
              </w:rPr>
            </w:pPr>
            <w:r>
              <w:rPr>
                <w:rFonts w:ascii="Arial" w:cs="Arial" w:eastAsia="Arial" w:hAnsi="Arial"/>
                <w:sz w:val="18"/>
                <w:szCs w:val="18"/>
                <w:color w:val="auto"/>
                <w:w w:val="89"/>
              </w:rPr>
              <w:t>Common Stock, Par value $0.001</w:t>
            </w:r>
          </w:p>
        </w:tc>
        <w:tc>
          <w:tcPr>
            <w:tcW w:w="2300" w:type="dxa"/>
            <w:vAlign w:val="bottom"/>
          </w:tcPr>
          <w:p>
            <w:pPr>
              <w:jc w:val="center"/>
              <w:ind w:right="490"/>
              <w:spacing w:after="0"/>
              <w:rPr>
                <w:sz w:val="20"/>
                <w:szCs w:val="20"/>
                <w:color w:val="auto"/>
              </w:rPr>
            </w:pPr>
            <w:r>
              <w:rPr>
                <w:rFonts w:ascii="Arial" w:cs="Arial" w:eastAsia="Arial" w:hAnsi="Arial"/>
                <w:sz w:val="18"/>
                <w:szCs w:val="18"/>
                <w:color w:val="auto"/>
              </w:rPr>
              <w:t>AAOI</w:t>
            </w:r>
          </w:p>
        </w:tc>
        <w:tc>
          <w:tcPr>
            <w:tcW w:w="6020" w:type="dxa"/>
            <w:vAlign w:val="bottom"/>
          </w:tcPr>
          <w:p>
            <w:pPr>
              <w:jc w:val="center"/>
              <w:ind w:right="590"/>
              <w:spacing w:after="0"/>
              <w:rPr>
                <w:sz w:val="20"/>
                <w:szCs w:val="20"/>
                <w:color w:val="auto"/>
              </w:rPr>
            </w:pPr>
            <w:r>
              <w:rPr>
                <w:rFonts w:ascii="Arial" w:cs="Arial" w:eastAsia="Arial" w:hAnsi="Arial"/>
                <w:sz w:val="18"/>
                <w:szCs w:val="18"/>
                <w:color w:val="auto"/>
                <w:w w:val="96"/>
              </w:rPr>
              <w:t>NASDAQ Global Market</w:t>
            </w:r>
          </w:p>
        </w:tc>
      </w:tr>
    </w:tbl>
    <w:p>
      <w:pPr>
        <w:spacing w:after="0" w:line="187" w:lineRule="exact"/>
        <w:rPr>
          <w:sz w:val="24"/>
          <w:szCs w:val="24"/>
          <w:color w:val="auto"/>
        </w:rPr>
      </w:pPr>
    </w:p>
    <w:p>
      <w:pPr>
        <w:jc w:val="both"/>
        <w:ind w:left="280" w:right="280"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280" w:right="280"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280" w:right="260" w:firstLine="41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7" w:lineRule="exact"/>
        <w:rPr>
          <w:sz w:val="24"/>
          <w:szCs w:val="24"/>
          <w:color w:val="auto"/>
        </w:rPr>
      </w:pPr>
    </w:p>
    <w:tbl>
      <w:tblPr>
        <w:tblLayout w:type="fixed"/>
        <w:tblInd w:w="22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Non-accelerated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98" w:lineRule="exact"/>
        <w:rPr>
          <w:sz w:val="24"/>
          <w:szCs w:val="24"/>
          <w:color w:val="auto"/>
        </w:rPr>
      </w:pPr>
    </w:p>
    <w:p>
      <w:pPr>
        <w:ind w:left="68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w:t>
      </w:r>
    </w:p>
    <w:p>
      <w:pPr>
        <w:spacing w:after="0" w:line="30" w:lineRule="exact"/>
        <w:rPr>
          <w:sz w:val="24"/>
          <w:szCs w:val="24"/>
          <w:color w:val="auto"/>
        </w:rPr>
      </w:pPr>
    </w:p>
    <w:p>
      <w:pPr>
        <w:ind w:left="280"/>
        <w:spacing w:after="0" w:line="207" w:lineRule="exact"/>
        <w:tabs>
          <w:tab w:leader="none" w:pos="9260" w:val="left"/>
        </w:tabs>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16" w:lineRule="exact"/>
        <w:rPr>
          <w:sz w:val="24"/>
          <w:szCs w:val="24"/>
          <w:color w:val="auto"/>
        </w:rPr>
      </w:pPr>
    </w:p>
    <w:p>
      <w:pPr>
        <w:ind w:left="6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2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left="680"/>
        <w:spacing w:after="0"/>
        <w:rPr>
          <w:sz w:val="20"/>
          <w:szCs w:val="20"/>
          <w:color w:val="auto"/>
        </w:rPr>
      </w:pPr>
      <w:r>
        <w:rPr>
          <w:rFonts w:ascii="Arial" w:cs="Arial" w:eastAsia="Arial" w:hAnsi="Arial"/>
          <w:sz w:val="18"/>
          <w:szCs w:val="18"/>
          <w:color w:val="auto"/>
        </w:rPr>
        <w:t>As of April 30, 2021 there were 26,862,088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10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00" w:type="dxa"/>
            <w:vAlign w:val="bottom"/>
            <w:gridSpan w:val="2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9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20" w:type="dxa"/>
            <w:vAlign w:val="bottom"/>
            <w:gridSpan w:val="11"/>
          </w:tcPr>
          <w:p>
            <w:pPr>
              <w:jc w:val="center"/>
              <w:ind w:right="2740"/>
              <w:spacing w:after="0"/>
              <w:rPr>
                <w:sz w:val="20"/>
                <w:szCs w:val="20"/>
                <w:color w:val="auto"/>
              </w:rPr>
            </w:pPr>
            <w:r>
              <w:rPr>
                <w:rFonts w:ascii="Arial" w:cs="Arial" w:eastAsia="Arial" w:hAnsi="Arial"/>
                <w:sz w:val="18"/>
                <w:szCs w:val="18"/>
                <w:b w:val="1"/>
                <w:bCs w:val="1"/>
                <w:color w:val="auto"/>
                <w:w w:val="89"/>
              </w:rPr>
              <w:t>Applied Optoelectronics, Inc.</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gridSpan w:val="11"/>
          </w:tcPr>
          <w:p>
            <w:pPr>
              <w:jc w:val="center"/>
              <w:ind w:right="2740"/>
              <w:spacing w:after="0"/>
              <w:rPr>
                <w:sz w:val="20"/>
                <w:szCs w:val="20"/>
                <w:color w:val="auto"/>
              </w:rPr>
            </w:pPr>
            <w:r>
              <w:rPr>
                <w:rFonts w:ascii="Arial" w:cs="Arial" w:eastAsia="Arial" w:hAnsi="Arial"/>
                <w:sz w:val="18"/>
                <w:szCs w:val="18"/>
                <w:b w:val="1"/>
                <w:bCs w:val="1"/>
                <w:color w:val="auto"/>
                <w:w w:val="89"/>
              </w:rPr>
              <w:t>Table of Contents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gridSpan w:val="8"/>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440" w:type="dxa"/>
            <w:vAlign w:val="bottom"/>
            <w:gridSpan w:val="14"/>
            <w:vMerge w:val="restart"/>
          </w:tcPr>
          <w:p>
            <w:pPr>
              <w:spacing w:after="0"/>
              <w:rPr>
                <w:sz w:val="24"/>
                <w:szCs w:val="24"/>
                <w:color w:val="auto"/>
              </w:rPr>
            </w:pPr>
          </w:p>
        </w:tc>
        <w:tc>
          <w:tcPr>
            <w:tcW w:w="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174"/>
        </w:trPr>
        <w:tc>
          <w:tcPr>
            <w:tcW w:w="2260" w:type="dxa"/>
            <w:vAlign w:val="bottom"/>
            <w:tcBorders>
              <w:bottom w:val="single" w:sz="8" w:color="0000EE"/>
            </w:tcBorders>
            <w:gridSpan w:val="8"/>
            <w:vMerge w:val="continue"/>
          </w:tcPr>
          <w:p>
            <w:pPr>
              <w:spacing w:after="0"/>
              <w:rPr>
                <w:sz w:val="14"/>
                <w:szCs w:val="14"/>
                <w:color w:val="auto"/>
              </w:rPr>
            </w:pPr>
          </w:p>
        </w:tc>
        <w:tc>
          <w:tcPr>
            <w:tcW w:w="8440" w:type="dxa"/>
            <w:vAlign w:val="bottom"/>
            <w:gridSpan w:val="14"/>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4260" w:type="dxa"/>
            <w:vAlign w:val="bottom"/>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5480" w:type="dxa"/>
            <w:vAlign w:val="bottom"/>
            <w:gridSpan w:val="10"/>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7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2021 (Unaudited) and December 31, 2020</w:t>
              </w:r>
            </w:hyperlink>
          </w:p>
        </w:tc>
        <w:tc>
          <w:tcPr>
            <w:tcW w:w="5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8520" w:type="dxa"/>
            <w:vAlign w:val="bottom"/>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2021 and 2020 (Unaudited)</w:t>
              </w:r>
            </w:hyperlink>
          </w:p>
        </w:tc>
        <w:tc>
          <w:tcPr>
            <w:tcW w:w="1220" w:type="dxa"/>
            <w:vAlign w:val="bottom"/>
            <w:gridSpan w:val="4"/>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040" w:type="dxa"/>
            <w:vAlign w:val="bottom"/>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Months ended March 31, 2021 and 2020</w:t>
              </w:r>
            </w:hyperlink>
          </w:p>
        </w:tc>
        <w:tc>
          <w:tcPr>
            <w:tcW w:w="700" w:type="dxa"/>
            <w:vAlign w:val="bottom"/>
            <w:gridSpan w:val="2"/>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0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7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260" w:type="dxa"/>
            <w:vAlign w:val="bottom"/>
            <w:gridSpan w:val="2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 for the Three Months ended March 31, 2021 and 2020 (Unaudited)</w:t>
              </w:r>
            </w:hyperlink>
          </w:p>
        </w:tc>
        <w:tc>
          <w:tcPr>
            <w:tcW w:w="480" w:type="dxa"/>
            <w:vAlign w:val="bottom"/>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8580" w:type="dxa"/>
            <w:vAlign w:val="bottom"/>
            <w:gridSpan w:val="1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Months ended March 31, 2021 and 2020 (Unaudited)</w:t>
              </w:r>
            </w:hyperlink>
          </w:p>
        </w:tc>
        <w:tc>
          <w:tcPr>
            <w:tcW w:w="68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858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160" w:type="dxa"/>
            <w:vAlign w:val="bottom"/>
            <w:gridSpan w:val="3"/>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30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54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0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00" w:type="dxa"/>
            <w:vAlign w:val="bottom"/>
            <w:gridSpan w:val="2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00" w:type="dxa"/>
            <w:vAlign w:val="bottom"/>
            <w:gridSpan w:val="9"/>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74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17"/>
                <w:szCs w:val="17"/>
                <w:color w:val="auto"/>
              </w:rPr>
            </w:pPr>
          </w:p>
        </w:tc>
        <w:tc>
          <w:tcPr>
            <w:tcW w:w="8420" w:type="dxa"/>
            <w:vAlign w:val="bottom"/>
            <w:gridSpan w:val="13"/>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74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5400" w:type="dxa"/>
            <w:vAlign w:val="bottom"/>
            <w:gridSpan w:val="9"/>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74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7980" w:type="dxa"/>
            <w:vAlign w:val="bottom"/>
            <w:gridSpan w:val="12"/>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Exhibits</w:t>
              </w:r>
            </w:hyperlink>
          </w:p>
        </w:tc>
        <w:tc>
          <w:tcPr>
            <w:tcW w:w="700" w:type="dxa"/>
            <w:vAlign w:val="bottom"/>
            <w:tcBorders>
              <w:top w:val="single" w:sz="8" w:color="0000EE"/>
            </w:tcBorders>
            <w:gridSpan w:val="5"/>
          </w:tcPr>
          <w:p>
            <w:pPr>
              <w:spacing w:after="0"/>
              <w:rPr>
                <w:sz w:val="17"/>
                <w:szCs w:val="17"/>
                <w:color w:val="auto"/>
              </w:rPr>
            </w:pPr>
          </w:p>
        </w:tc>
        <w:tc>
          <w:tcPr>
            <w:tcW w:w="8440" w:type="dxa"/>
            <w:vAlign w:val="bottom"/>
            <w:gridSpan w:val="14"/>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7">
              <w:r>
                <w:rPr>
                  <w:rFonts w:ascii="Arial" w:cs="Arial" w:eastAsia="Arial" w:hAnsi="Arial"/>
                  <w:sz w:val="18"/>
                  <w:szCs w:val="18"/>
                  <w:color w:val="0000EE"/>
                  <w:w w:val="85"/>
                </w:rPr>
                <w:t>Signatures</w:t>
              </w:r>
            </w:hyperlink>
          </w:p>
        </w:tc>
        <w:tc>
          <w:tcPr>
            <w:tcW w:w="8980" w:type="dxa"/>
            <w:vAlign w:val="bottom"/>
            <w:gridSpan w:val="18"/>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c>
          <w:tcPr>
            <w:tcW w:w="0" w:type="dxa"/>
            <w:vAlign w:val="bottom"/>
          </w:tcPr>
          <w:p>
            <w:pPr>
              <w:spacing w:after="0"/>
              <w:rPr>
                <w:sz w:val="1"/>
                <w:szCs w:val="1"/>
                <w:color w:val="auto"/>
              </w:rPr>
            </w:pPr>
          </w:p>
        </w:tc>
      </w:tr>
      <w:tr>
        <w:trPr>
          <w:trHeight w:val="709"/>
        </w:trPr>
        <w:tc>
          <w:tcPr>
            <w:tcW w:w="960" w:type="dxa"/>
            <w:vAlign w:val="bottom"/>
          </w:tcPr>
          <w:p>
            <w:pPr>
              <w:spacing w:after="0"/>
              <w:rPr>
                <w:sz w:val="24"/>
                <w:szCs w:val="24"/>
                <w:color w:val="auto"/>
              </w:rPr>
            </w:pPr>
          </w:p>
        </w:tc>
        <w:tc>
          <w:tcPr>
            <w:tcW w:w="4940" w:type="dxa"/>
            <w:vAlign w:val="bottom"/>
            <w:gridSpan w:val="14"/>
          </w:tcPr>
          <w:p>
            <w:pPr>
              <w:jc w:val="center"/>
              <w:ind w:left="4290"/>
              <w:spacing w:after="0"/>
              <w:rPr>
                <w:sz w:val="20"/>
                <w:szCs w:val="20"/>
                <w:color w:val="auto"/>
              </w:rPr>
            </w:pPr>
            <w:r>
              <w:rPr>
                <w:rFonts w:ascii="Arial" w:cs="Arial" w:eastAsia="Arial" w:hAnsi="Arial"/>
                <w:sz w:val="18"/>
                <w:szCs w:val="18"/>
                <w:color w:val="auto"/>
                <w:w w:val="79"/>
              </w:rPr>
              <w:t>2</w:t>
            </w: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4"/>
              </w:rPr>
              <w:t>Part I. Financial Information</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(Unaudited, 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43,425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3,856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6,689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 of allowance of $62 and $62, respectively</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43,042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Notes receivable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110,397</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Prepaid income tax</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209,855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209,169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248,303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252,984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Land use rights, net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5,780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5,854</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right of use asset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Financing right of use asset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Other assets, net</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476,362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480,805</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portion of notes payable and long-term debt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50,803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38,265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Bank acceptance payable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6,344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15,860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lease liability - operating</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lease liability - financing</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98,415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103,148</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and long-term debt, less current portion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Convertible senior notes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78,058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77,854</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Non-current lease liability - operating</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Non-current lease liability - financing</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197,890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202,914</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Stock; 5,000 shares authorized at $0.001 par value; no shares issued and outstanding at March</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31, 2021 and December 31, 2020, respectively</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6"/>
              </w:rPr>
              <w:t>Common Stock; 45,000 shares authorized at $0.001 par value; 26,787 and 25,110 shares issued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outstanding at March 31, 2021 and December 31, 2020, respectively</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371,920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354,685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10,656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11,690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(104,131)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(88,509)</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278,472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277,891</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476,362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480,805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56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(Unaudited, in thousands, except share and per share data)</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0"/>
              </w:rPr>
              <w:t>Three months ended March 31,</w:t>
            </w:r>
          </w:p>
        </w:tc>
      </w:tr>
      <w:tr>
        <w:trPr>
          <w:trHeight w:val="210"/>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5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49,701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40,467</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5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34,129</w:t>
            </w:r>
          </w:p>
        </w:tc>
        <w:tc>
          <w:tcPr>
            <w:tcW w:w="100" w:type="dxa"/>
            <w:vAlign w:val="bottom"/>
          </w:tcPr>
          <w:p>
            <w:pPr>
              <w:spacing w:after="0"/>
              <w:rPr>
                <w:sz w:val="18"/>
                <w:szCs w:val="18"/>
                <w:color w:val="auto"/>
              </w:rPr>
            </w:pPr>
          </w:p>
        </w:tc>
      </w:tr>
      <w:tr>
        <w:trPr>
          <w:trHeight w:val="210"/>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6,338</w:t>
            </w:r>
          </w:p>
        </w:tc>
      </w:tr>
      <w:tr>
        <w:trPr>
          <w:trHeight w:val="209"/>
        </w:trPr>
        <w:tc>
          <w:tcPr>
            <w:tcW w:w="2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5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10,558</w:t>
            </w:r>
          </w:p>
        </w:tc>
      </w:tr>
      <w:tr>
        <w:trPr>
          <w:trHeight w:val="216"/>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5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2,960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2,936</w:t>
            </w:r>
          </w:p>
        </w:tc>
      </w:tr>
      <w:tr>
        <w:trPr>
          <w:trHeight w:val="216"/>
        </w:trPr>
        <w:tc>
          <w:tcPr>
            <w:tcW w:w="2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6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24,132</w:t>
            </w:r>
          </w:p>
        </w:tc>
        <w:tc>
          <w:tcPr>
            <w:tcW w:w="100" w:type="dxa"/>
            <w:vAlign w:val="bottom"/>
          </w:tcPr>
          <w:p>
            <w:pPr>
              <w:spacing w:after="0"/>
              <w:rPr>
                <w:sz w:val="18"/>
                <w:szCs w:val="18"/>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(17,794)</w:t>
            </w:r>
          </w:p>
        </w:tc>
      </w:tr>
      <w:tr>
        <w:trPr>
          <w:trHeight w:val="210"/>
        </w:trPr>
        <w:tc>
          <w:tcPr>
            <w:tcW w:w="2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Other income (expense)</w:t>
            </w:r>
          </w:p>
        </w:tc>
        <w:tc>
          <w:tcPr>
            <w:tcW w:w="5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5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(1,455)</w:t>
            </w: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0"/>
        </w:trPr>
        <w:tc>
          <w:tcPr>
            <w:tcW w:w="1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680" w:type="dxa"/>
            <w:vAlign w:val="bottom"/>
            <w:gridSpan w:val="2"/>
          </w:tcPr>
          <w:p>
            <w:pPr>
              <w:spacing w:after="0"/>
              <w:rPr>
                <w:sz w:val="20"/>
                <w:szCs w:val="20"/>
                <w:color w:val="auto"/>
              </w:rPr>
            </w:pPr>
            <w:r>
              <w:rPr>
                <w:rFonts w:ascii="Arial" w:cs="Arial" w:eastAsia="Arial" w:hAnsi="Arial"/>
                <w:sz w:val="18"/>
                <w:szCs w:val="18"/>
                <w:color w:val="auto"/>
                <w:w w:val="98"/>
              </w:rPr>
              <w:t>Total other income (expense), net</w:t>
            </w:r>
          </w:p>
        </w:tc>
        <w:tc>
          <w:tcPr>
            <w:tcW w:w="5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(1,052)</w:t>
            </w: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(18,846)</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5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8"/>
                <w:szCs w:val="18"/>
                <w:color w:val="auto"/>
              </w:rPr>
            </w:pPr>
          </w:p>
        </w:tc>
      </w:tr>
      <w:tr>
        <w:trPr>
          <w:trHeight w:val="249"/>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(15,622)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(16,797)</w:t>
            </w:r>
          </w:p>
        </w:tc>
      </w:tr>
      <w:tr>
        <w:trPr>
          <w:trHeight w:val="197"/>
        </w:trPr>
        <w:tc>
          <w:tcPr>
            <w:tcW w:w="268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loss per share</w:t>
            </w:r>
          </w:p>
        </w:tc>
        <w:tc>
          <w:tcPr>
            <w:tcW w:w="53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(0.83)</w:t>
            </w:r>
          </w:p>
        </w:tc>
      </w:tr>
      <w:tr>
        <w:trPr>
          <w:trHeight w:val="216"/>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5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(0.59)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(0.83)</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gridSpan w:val="4"/>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26,438,071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20,208,383</w:t>
            </w:r>
          </w:p>
        </w:tc>
      </w:tr>
      <w:tr>
        <w:trPr>
          <w:trHeight w:val="230"/>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5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26,438,071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20,208,383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4580" w:type="dxa"/>
            <w:vAlign w:val="bottom"/>
            <w:gridSpan w:val="2"/>
          </w:tcPr>
          <w:p>
            <w:pPr>
              <w:jc w:val="center"/>
              <w:ind w:right="53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580" w:type="dxa"/>
            <w:vAlign w:val="bottom"/>
            <w:gridSpan w:val="2"/>
          </w:tcPr>
          <w:p>
            <w:pPr>
              <w:jc w:val="center"/>
              <w:ind w:right="530"/>
              <w:spacing w:after="0"/>
              <w:rPr>
                <w:sz w:val="20"/>
                <w:szCs w:val="20"/>
                <w:color w:val="auto"/>
              </w:rPr>
            </w:pPr>
            <w:r>
              <w:rPr>
                <w:rFonts w:ascii="Arial" w:cs="Arial" w:eastAsia="Arial" w:hAnsi="Arial"/>
                <w:sz w:val="18"/>
                <w:szCs w:val="18"/>
                <w:b w:val="1"/>
                <w:bCs w:val="1"/>
                <w:color w:val="auto"/>
                <w:w w:val="90"/>
              </w:rPr>
              <w:t>(Unaudited, in thousands)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10"/>
        </w:trPr>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(15,622)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(16,797)</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w w:val="95"/>
              </w:rPr>
              <w:t>Loss on foreign currency translation adjustment</w:t>
            </w:r>
          </w:p>
        </w:tc>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(2,402)</w:t>
            </w: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3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(16,656)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(19,199)</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STOCKHOLDERS’ EQUITY Three Months ended March 31, 2021 and 2020 (Unaudited,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1720" w:type="dxa"/>
            <w:vAlign w:val="bottom"/>
            <w:gridSpan w:val="4"/>
            <w:vMerge w:val="restart"/>
          </w:tcPr>
          <w:p>
            <w:pPr>
              <w:ind w:left="320"/>
              <w:spacing w:after="0"/>
              <w:rPr>
                <w:sz w:val="20"/>
                <w:szCs w:val="20"/>
                <w:color w:val="auto"/>
              </w:rPr>
            </w:pPr>
            <w:r>
              <w:rPr>
                <w:rFonts w:ascii="Arial" w:cs="Arial" w:eastAsia="Arial" w:hAnsi="Arial"/>
                <w:sz w:val="16"/>
                <w:szCs w:val="16"/>
                <w:b w:val="1"/>
                <w:bCs w:val="1"/>
                <w:color w:val="auto"/>
              </w:rPr>
              <w:t>Preferred Stock</w:t>
            </w:r>
          </w:p>
        </w:tc>
        <w:tc>
          <w:tcPr>
            <w:tcW w:w="220" w:type="dxa"/>
            <w:vAlign w:val="bottom"/>
          </w:tcPr>
          <w:p>
            <w:pPr>
              <w:spacing w:after="0"/>
              <w:rPr>
                <w:sz w:val="18"/>
                <w:szCs w:val="18"/>
                <w:color w:val="auto"/>
              </w:rPr>
            </w:pPr>
          </w:p>
        </w:tc>
        <w:tc>
          <w:tcPr>
            <w:tcW w:w="1960" w:type="dxa"/>
            <w:vAlign w:val="bottom"/>
            <w:gridSpan w:val="6"/>
            <w:vMerge w:val="restart"/>
          </w:tcPr>
          <w:p>
            <w:pPr>
              <w:jc w:val="right"/>
              <w:ind w:right="56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18"/>
                <w:szCs w:val="18"/>
                <w:color w:val="auto"/>
              </w:rPr>
            </w:pPr>
          </w:p>
        </w:tc>
        <w:tc>
          <w:tcPr>
            <w:tcW w:w="172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6"/>
            <w:vMerge w:val="continue"/>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7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6"/>
                <w:szCs w:val="16"/>
                <w:b w:val="1"/>
                <w:bCs w:val="1"/>
                <w:color w:val="auto"/>
              </w:rPr>
              <w:t>Number</w:t>
            </w: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gridSpan w:val="2"/>
          </w:tcPr>
          <w:p>
            <w:pPr>
              <w:ind w:left="100"/>
              <w:spacing w:after="0" w:line="182" w:lineRule="exact"/>
              <w:rPr>
                <w:sz w:val="20"/>
                <w:szCs w:val="20"/>
                <w:color w:val="auto"/>
              </w:rPr>
            </w:pPr>
            <w:r>
              <w:rPr>
                <w:rFonts w:ascii="Arial" w:cs="Arial" w:eastAsia="Arial" w:hAnsi="Arial"/>
                <w:sz w:val="16"/>
                <w:szCs w:val="16"/>
                <w:b w:val="1"/>
                <w:bCs w:val="1"/>
                <w:color w:val="auto"/>
              </w:rPr>
              <w:t>Number</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40"/>
              <w:spacing w:after="0" w:line="182"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4"/>
          </w:tcPr>
          <w:p>
            <w:pPr>
              <w:ind w:left="80"/>
              <w:spacing w:after="0" w:line="182" w:lineRule="exact"/>
              <w:rPr>
                <w:sz w:val="20"/>
                <w:szCs w:val="20"/>
                <w:color w:val="auto"/>
              </w:rPr>
            </w:pPr>
            <w:r>
              <w:rPr>
                <w:rFonts w:ascii="Arial" w:cs="Arial" w:eastAsia="Arial" w:hAnsi="Arial"/>
                <w:sz w:val="16"/>
                <w:szCs w:val="16"/>
                <w:b w:val="1"/>
                <w:bCs w:val="1"/>
                <w:color w:val="auto"/>
                <w:w w:val="97"/>
              </w:rPr>
              <w:t>comprehensive</w:t>
            </w:r>
          </w:p>
        </w:tc>
        <w:tc>
          <w:tcPr>
            <w:tcW w:w="1200" w:type="dxa"/>
            <w:vAlign w:val="bottom"/>
            <w:gridSpan w:val="4"/>
          </w:tcPr>
          <w:p>
            <w:pPr>
              <w:ind w:left="80"/>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w w:val="95"/>
              </w:rPr>
              <w:t>of shares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2"/>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7"/>
              </w:rPr>
              <w:t>gain (loss)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January 1, 2021</w:t>
            </w:r>
          </w:p>
        </w:tc>
        <w:tc>
          <w:tcPr>
            <w:tcW w:w="760" w:type="dxa"/>
            <w:vAlign w:val="bottom"/>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25,110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354,685</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11,690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(88,509)</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277,891</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760" w:type="dxa"/>
            <w:vAlign w:val="bottom"/>
          </w:tcPr>
          <w:p>
            <w:pPr>
              <w:ind w:left="60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1,511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14,966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14,968</w:t>
            </w:r>
          </w:p>
        </w:tc>
        <w:tc>
          <w:tcPr>
            <w:tcW w:w="0" w:type="dxa"/>
            <w:vAlign w:val="bottom"/>
          </w:tcPr>
          <w:p>
            <w:pPr>
              <w:spacing w:after="0"/>
              <w:rPr>
                <w:sz w:val="1"/>
                <w:szCs w:val="1"/>
                <w:color w:val="auto"/>
              </w:rPr>
            </w:pPr>
          </w:p>
        </w:tc>
      </w:tr>
      <w:tr>
        <w:trPr>
          <w:trHeight w:val="19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net of shares</w:t>
            </w: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760" w:type="dxa"/>
            <w:vAlign w:val="bottom"/>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760" w:type="dxa"/>
            <w:vAlign w:val="bottom"/>
          </w:tcPr>
          <w:p>
            <w:pPr>
              <w:ind w:left="60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760" w:type="dxa"/>
            <w:vAlign w:val="bottom"/>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2,519</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760" w:type="dxa"/>
            <w:vAlign w:val="bottom"/>
          </w:tcPr>
          <w:p>
            <w:pPr>
              <w:ind w:left="60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760" w:type="dxa"/>
            <w:vAlign w:val="bottom"/>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(15,622)</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(15,622)</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Pr>
          <w:p>
            <w:pPr>
              <w:spacing w:after="0"/>
              <w:rPr>
                <w:sz w:val="20"/>
                <w:szCs w:val="20"/>
                <w:color w:val="auto"/>
              </w:rPr>
            </w:pPr>
            <w:r>
              <w:rPr>
                <w:rFonts w:ascii="Arial" w:cs="Arial" w:eastAsia="Arial" w:hAnsi="Arial"/>
                <w:sz w:val="16"/>
                <w:szCs w:val="16"/>
                <w:color w:val="auto"/>
              </w:rPr>
              <w:t>March 31, 2021</w:t>
            </w:r>
          </w:p>
        </w:tc>
        <w:tc>
          <w:tcPr>
            <w:tcW w:w="760" w:type="dxa"/>
            <w:vAlign w:val="bottom"/>
          </w:tcPr>
          <w:p>
            <w:pPr>
              <w:ind w:left="60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26,787</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371,920</w:t>
            </w:r>
          </w:p>
        </w:tc>
        <w:tc>
          <w:tcPr>
            <w:tcW w:w="14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10,656</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(104,131)</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278,472</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940" w:type="dxa"/>
            <w:vAlign w:val="bottom"/>
          </w:tcPr>
          <w:p>
            <w:pPr>
              <w:spacing w:after="0"/>
              <w:rPr>
                <w:sz w:val="24"/>
                <w:szCs w:val="24"/>
                <w:color w:val="auto"/>
              </w:rPr>
            </w:pPr>
          </w:p>
        </w:tc>
        <w:tc>
          <w:tcPr>
            <w:tcW w:w="1720" w:type="dxa"/>
            <w:vAlign w:val="bottom"/>
            <w:gridSpan w:val="4"/>
            <w:vMerge w:val="restart"/>
          </w:tcPr>
          <w:p>
            <w:pPr>
              <w:ind w:left="320"/>
              <w:spacing w:after="0"/>
              <w:rPr>
                <w:sz w:val="20"/>
                <w:szCs w:val="20"/>
                <w:color w:val="auto"/>
              </w:rPr>
            </w:pPr>
            <w:r>
              <w:rPr>
                <w:rFonts w:ascii="Arial" w:cs="Arial" w:eastAsia="Arial" w:hAnsi="Arial"/>
                <w:sz w:val="16"/>
                <w:szCs w:val="16"/>
                <w:b w:val="1"/>
                <w:bCs w:val="1"/>
                <w:color w:val="auto"/>
              </w:rPr>
              <w:t>Preferred Stock</w:t>
            </w:r>
          </w:p>
        </w:tc>
        <w:tc>
          <w:tcPr>
            <w:tcW w:w="220" w:type="dxa"/>
            <w:vAlign w:val="bottom"/>
          </w:tcPr>
          <w:p>
            <w:pPr>
              <w:spacing w:after="0"/>
              <w:rPr>
                <w:sz w:val="24"/>
                <w:szCs w:val="24"/>
                <w:color w:val="auto"/>
              </w:rPr>
            </w:pPr>
          </w:p>
        </w:tc>
        <w:tc>
          <w:tcPr>
            <w:tcW w:w="1960" w:type="dxa"/>
            <w:vAlign w:val="bottom"/>
            <w:gridSpan w:val="6"/>
            <w:vMerge w:val="restart"/>
          </w:tcPr>
          <w:p>
            <w:pPr>
              <w:jc w:val="right"/>
              <w:ind w:right="56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18"/>
                <w:szCs w:val="18"/>
                <w:color w:val="auto"/>
              </w:rPr>
            </w:pPr>
          </w:p>
        </w:tc>
        <w:tc>
          <w:tcPr>
            <w:tcW w:w="172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6"/>
            <w:vMerge w:val="continue"/>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7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6"/>
                <w:szCs w:val="16"/>
                <w:b w:val="1"/>
                <w:bCs w:val="1"/>
                <w:color w:val="auto"/>
              </w:rPr>
              <w:t>Number</w:t>
            </w: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gridSpan w:val="2"/>
          </w:tcPr>
          <w:p>
            <w:pPr>
              <w:ind w:left="100"/>
              <w:spacing w:after="0" w:line="182" w:lineRule="exact"/>
              <w:rPr>
                <w:sz w:val="20"/>
                <w:szCs w:val="20"/>
                <w:color w:val="auto"/>
              </w:rPr>
            </w:pPr>
            <w:r>
              <w:rPr>
                <w:rFonts w:ascii="Arial" w:cs="Arial" w:eastAsia="Arial" w:hAnsi="Arial"/>
                <w:sz w:val="16"/>
                <w:szCs w:val="16"/>
                <w:b w:val="1"/>
                <w:bCs w:val="1"/>
                <w:color w:val="auto"/>
              </w:rPr>
              <w:t>Number</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40"/>
              <w:spacing w:after="0" w:line="182"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4"/>
          </w:tcPr>
          <w:p>
            <w:pPr>
              <w:ind w:left="80"/>
              <w:spacing w:after="0" w:line="182" w:lineRule="exact"/>
              <w:rPr>
                <w:sz w:val="20"/>
                <w:szCs w:val="20"/>
                <w:color w:val="auto"/>
              </w:rPr>
            </w:pPr>
            <w:r>
              <w:rPr>
                <w:rFonts w:ascii="Arial" w:cs="Arial" w:eastAsia="Arial" w:hAnsi="Arial"/>
                <w:sz w:val="16"/>
                <w:szCs w:val="16"/>
                <w:b w:val="1"/>
                <w:bCs w:val="1"/>
                <w:color w:val="auto"/>
                <w:w w:val="97"/>
              </w:rPr>
              <w:t>comprehensive</w:t>
            </w:r>
          </w:p>
        </w:tc>
        <w:tc>
          <w:tcPr>
            <w:tcW w:w="1200" w:type="dxa"/>
            <w:vAlign w:val="bottom"/>
            <w:gridSpan w:val="4"/>
          </w:tcPr>
          <w:p>
            <w:pPr>
              <w:ind w:left="80"/>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w w:val="95"/>
              </w:rPr>
              <w:t>of shares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2"/>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7"/>
              </w:rPr>
              <w:t>gain (loss)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January 1, 2020</w:t>
            </w:r>
          </w:p>
        </w:tc>
        <w:tc>
          <w:tcPr>
            <w:tcW w:w="760" w:type="dxa"/>
            <w:vAlign w:val="bottom"/>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20,140</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303,401</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(30,057)</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273,794</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760" w:type="dxa"/>
            <w:vAlign w:val="bottom"/>
          </w:tcPr>
          <w:p>
            <w:pPr>
              <w:ind w:left="60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760" w:type="dxa"/>
            <w:vAlign w:val="bottom"/>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760" w:type="dxa"/>
            <w:vAlign w:val="bottom"/>
          </w:tcPr>
          <w:p>
            <w:pPr>
              <w:ind w:left="60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3,238</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760" w:type="dxa"/>
            <w:vAlign w:val="bottom"/>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(2,402)</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Pr>
          <w:p>
            <w:pPr>
              <w:ind w:left="60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(16,797)</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(16,797)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March 31, 2020</w:t>
            </w:r>
          </w:p>
        </w:tc>
        <w:tc>
          <w:tcPr>
            <w:tcW w:w="760" w:type="dxa"/>
            <w:vAlign w:val="bottom"/>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306,305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(1,972)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(46,854)</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257,499</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40" w:type="dxa"/>
            <w:vAlign w:val="bottom"/>
            <w:gridSpan w:val="2"/>
          </w:tcPr>
          <w:p>
            <w:pPr>
              <w:jc w:val="center"/>
              <w:ind w:left="9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(Unaudited, 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(15,622)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(16,797)</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Provision for losses on accounts receivable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Lower of cost or market reserve adjustment to inventory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6,444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6,031</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income taxes, net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(1,877)</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Unrealized foreign exchange gain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receivable, trade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(4,528)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8,836</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Prepaid income tax</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(4,533)</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(1,085)</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right of use asset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3,408</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(7,117)</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Lease liability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(15,214)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(8,246)</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Investing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(2,787)</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disposal of equipment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Deposits and prepaid for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Purchase of intangible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(3,200)</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Financing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 payments of long-term debt and notes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(1,108)</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line of credit borrowings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39,512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24,916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line of credit borrowings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(26,320)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bank acceptance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4,772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7,195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bank acceptance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(14,280)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(3,798)</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convertible senior notes, net of debt issuance costs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 payments of financing lease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Payments of tax withholding on behalf of employees related to share-based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common stock offering, net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15,074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17,475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50,114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67,028</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49,338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62,517</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(received) for:</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Interest, net of amounts capitalized</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2,219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2,237</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accounts payable related to property and equipment additions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Net change in deposits and prepaid for equipment related to property and equipment additions</w:t>
            </w:r>
          </w:p>
        </w:tc>
        <w:tc>
          <w:tcPr>
            <w:tcW w:w="9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340" w:right="2660"/>
        <w:spacing w:after="0" w:line="266" w:lineRule="auto"/>
        <w:rPr>
          <w:sz w:val="20"/>
          <w:szCs w:val="20"/>
          <w:color w:val="auto"/>
        </w:rPr>
      </w:pPr>
      <w:r>
        <w:rPr>
          <w:rFonts w:ascii="Arial" w:cs="Arial" w:eastAsia="Arial" w:hAnsi="Arial"/>
          <w:sz w:val="18"/>
          <w:szCs w:val="18"/>
          <w:b w:val="1"/>
          <w:bCs w:val="1"/>
          <w:color w:val="auto"/>
        </w:rPr>
        <w:t>Applied Optoelectronics, Inc. and Subsidiaries 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Applied Optoelectronics, Inc. (“AOI” or the “Company”) is a Delaware corporation. The Company is a leading, vertically integrated provider of fiber-optic networking products, primarily for four networking end-markets: internet data center, cable television ("CATV"), telecommunications ("telecom") and fiber-to-the-home ("FTTH"). The Company designs and manufactures a wide range of optical communications products at varying levels of integration, from components, subassemblies and modules to complete turn-key equipment.</w:t>
      </w:r>
    </w:p>
    <w:p>
      <w:pPr>
        <w:spacing w:after="0" w:line="187"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the CATV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unaudited condensed consolidated financial statements of the Company as of March 31, 2021 and December 31, 2020 and for the three months ended March 31, 2021 and March 31, 2020,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2020. The results of operations for the three months ended March 31, 2021 are not necessarily indicative of the results expected for the entire fiscal year. All significant inter-company accounts and transactions have been eliminated.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credit losses, inventory reserve, product warranty costs, share-based compensation expense, estimated useful lives of property and equipment, and taxes.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three months ended March 31, 2021, as compared to the significant accounting policies described in its 2020 Annual Report, except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Yet to be Adopted</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which provides temporary optional expedients and exceptions to the GAAP guidance on contract modifications and hedge accounting to ease the financial reporting burdens related to the expected market transition from the London Interbank Offered Rate (“LIBOR”) and other interbank offered rates to alternative reference rates. ASU 2020-04 was further amended in January 2021 by ASU 2021-01, which clarified the applicability of certain provisions. Both ASU 2020-04 and AUC 2021-01 are currently effective prospectively for all entities through December 31, 2022 when the reference rate replacement activity is expected to have completed. The guidance in ASU 2020-04 and AUC 2021-01 is optional and may be elected over time as reference rate reform activities occur. As of March 31, 2021, the Company has not yet modified any contracts as a result of reference rate reform and is evaluating the impact this standard may have on its consolidated financial statements.</w:t>
      </w:r>
    </w:p>
    <w:p>
      <w:pPr>
        <w:spacing w:after="0" w:line="1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August 2020, the FASB issued ASU 2020-06, “Debt - Debt with Conversion and Other Options (Subtopic 470-20)” and “Derivatives and Hedging - Contracts in Entities Own Equity” (Subtopic 815-40). This ASU simplifies accounting for convertible instruments by eliminating two of the three models in ASC 470-20 that requires separating embedded conversion features from convertible instruments. The guidance is effective for fiscal years beginning after December 15, 2021. The Company is currently assessing the impact of this pronouncement to the financial statements.</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November 2020, the SEC issued a new rule that modernizes and simplifies various aspects and financial disclosure requirements in Regulation S-K, specifically related to Item 301 “Selected Financial Data”, Item 302 “Supplementary Financial Information” and Item 303 “Management’s Discussion and Analysis of Financial Condition and Results of Operations” (“MD&amp;A”). The intent of this new rule is to (i) eliminate duplicative disclosures, (ii) enhance and promote more principles-based MD&amp;A disclosures with the objective of making them more meaningful for investors, all while (iii) simplifying the compliance requirements and efforts for registrants, by providing them with the flexibility to present management’s perspective on the registrant’s financial condition and results of operations. While most of the changes involve reducing or eliminating previously required information and disclosures, the rule does expand the disclosure requirements surrounding certain aspects of the various items in Regulation S-K discussed above. The final rule was published in the Federal Register on January 11, 2021, is effective thirty days after its publication date, or February 10, 2021, and registrants are required to comply with this final rule in the registrant’s first fiscal year ending on or after the date that is 210 days after the publication date. The Company plans to comply with the new disclosure requirements on schedule and currently does not anticipate any material financial impact in complying with these new requirements.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is classified based on the location where the product is manufactured. For additional information on the disaggregated revenues by geographical region, see Note 17, "Geographic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also classified by major product category and is presented below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95"/>
              </w:rPr>
              <w:t>Three months ended March 31,</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6"/>
                <w:szCs w:val="16"/>
                <w:color w:val="auto"/>
              </w:rPr>
            </w:pPr>
          </w:p>
        </w:tc>
      </w:tr>
      <w:tr>
        <w:trPr>
          <w:trHeight w:val="234"/>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Center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25,939</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33,264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CATV</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18,638</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4,223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8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49,701</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40,467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leases space under non-cancellable operating leases for manufacturing facilities, research and development offices and certain storage facilities and apartments. These leases do not contain contingent rent provisions. The Company also leases certain machinery, office equipment and a vehicle.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one-year and therefore, the Company has elected the practical expedient to exclude these short-term leases from its ROU asset and lease liabilities.</w:t>
      </w:r>
    </w:p>
    <w:p>
      <w:pPr>
        <w:spacing w:after="0" w:line="178"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404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Financing lease expense</w:t>
            </w:r>
          </w:p>
        </w:tc>
        <w:tc>
          <w:tcPr>
            <w:tcW w:w="2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2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expense</w:t>
            </w:r>
          </w:p>
        </w:tc>
        <w:tc>
          <w:tcPr>
            <w:tcW w:w="2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Total lease expense</w:t>
            </w:r>
          </w:p>
        </w:tc>
        <w:tc>
          <w:tcPr>
            <w:tcW w:w="2940" w:type="dxa"/>
            <w:vAlign w:val="bottom"/>
          </w:tcPr>
          <w:p>
            <w:pPr>
              <w:spacing w:after="0"/>
              <w:rPr>
                <w:sz w:val="18"/>
                <w:szCs w:val="18"/>
                <w:color w:val="auto"/>
              </w:rPr>
            </w:pP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940" w:type="dxa"/>
            <w:vAlign w:val="bottom"/>
            <w:vMerge w:val="restart"/>
          </w:tcPr>
          <w:p>
            <w:pPr>
              <w:jc w:val="right"/>
              <w:ind w:right="1250"/>
              <w:spacing w:after="0"/>
              <w:rPr>
                <w:sz w:val="20"/>
                <w:szCs w:val="20"/>
                <w:color w:val="auto"/>
              </w:rPr>
            </w:pPr>
            <w:r>
              <w:rPr>
                <w:rFonts w:ascii="Arial" w:cs="Arial" w:eastAsia="Arial" w:hAnsi="Arial"/>
                <w:sz w:val="18"/>
                <w:szCs w:val="18"/>
                <w:color w:val="auto"/>
              </w:rPr>
              <w:t>10</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lease liabilities are as follows for the future one-year periods ending March 31, 2021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Operating</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Financing</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1,328</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1,247</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1,249</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1,278</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3,892</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10,329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(1,654)</w:t>
            </w: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8,675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lease term and discount rate for operating leases were as follows for the periods indicated:</w:t>
      </w:r>
    </w:p>
    <w:p>
      <w:pPr>
        <w:spacing w:after="0" w:line="221"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March 31,</w:t>
      </w:r>
    </w:p>
    <w:p>
      <w:pPr>
        <w:spacing w:after="0" w:line="27"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0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 - operating leases</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7.84</w:t>
            </w:r>
          </w:p>
        </w:tc>
        <w:tc>
          <w:tcPr>
            <w:tcW w:w="16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8.87</w:t>
            </w:r>
          </w:p>
        </w:tc>
      </w:tr>
      <w:tr>
        <w:trPr>
          <w:trHeight w:val="216"/>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 (Years) - financing leases</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2.58</w:t>
            </w:r>
          </w:p>
        </w:tc>
        <w:tc>
          <w:tcPr>
            <w:tcW w:w="1660" w:type="dxa"/>
            <w:vAlign w:val="bottom"/>
            <w:gridSpan w:val="2"/>
          </w:tcPr>
          <w:p>
            <w:pPr>
              <w:ind w:left="1200"/>
              <w:spacing w:after="0"/>
              <w:rPr>
                <w:sz w:val="20"/>
                <w:szCs w:val="20"/>
                <w:color w:val="auto"/>
              </w:rPr>
            </w:pPr>
            <w:r>
              <w:rPr>
                <w:rFonts w:ascii="Arial" w:cs="Arial" w:eastAsia="Arial" w:hAnsi="Arial"/>
                <w:sz w:val="18"/>
                <w:szCs w:val="18"/>
                <w:color w:val="auto"/>
              </w:rPr>
              <w:t>3.57</w:t>
            </w:r>
          </w:p>
        </w:tc>
      </w:tr>
      <w:tr>
        <w:trPr>
          <w:trHeight w:val="216"/>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3.23%</w:t>
            </w:r>
          </w:p>
        </w:tc>
        <w:tc>
          <w:tcPr>
            <w:tcW w:w="16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86"/>
              </w:rPr>
              <w:t>3.17%</w:t>
            </w: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 - financing leases</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5.00%</w:t>
            </w:r>
          </w:p>
        </w:tc>
        <w:tc>
          <w:tcPr>
            <w:tcW w:w="1660" w:type="dxa"/>
            <w:vAlign w:val="bottom"/>
            <w:gridSpan w:val="2"/>
          </w:tcPr>
          <w:p>
            <w:pPr>
              <w:ind w:left="1200"/>
              <w:spacing w:after="0"/>
              <w:rPr>
                <w:sz w:val="20"/>
                <w:szCs w:val="20"/>
                <w:color w:val="auto"/>
              </w:rPr>
            </w:pPr>
            <w:r>
              <w:rPr>
                <w:rFonts w:ascii="Arial" w:cs="Arial" w:eastAsia="Arial" w:hAnsi="Arial"/>
                <w:sz w:val="18"/>
                <w:szCs w:val="18"/>
                <w:color w:val="auto"/>
                <w:w w:val="86"/>
              </w:rPr>
              <w:t>5.00%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operating leases was as follows for the periods indicated (in thousands):</w:t>
      </w:r>
    </w:p>
    <w:p>
      <w:pPr>
        <w:spacing w:after="0" w:line="221"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09"/>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330</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financing lease</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Financing cash flows from financing lease</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16"/>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in the statement of cash flows (in thousands):</w:t>
      </w:r>
    </w:p>
    <w:p>
      <w:pPr>
        <w:spacing w:after="0" w:line="166"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43,425</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3,856</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6,689</w:t>
            </w:r>
          </w:p>
        </w:tc>
      </w:tr>
      <w:tr>
        <w:trPr>
          <w:trHeight w:val="20"/>
        </w:trPr>
        <w:tc>
          <w:tcPr>
            <w:tcW w:w="6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Total cash, cash equivalents and restricted cash shown in the statement of cash flows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50,114</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Restricted cash includes guarantee deposits for customs duties, China government subsidy fund, and compensating balances required for certain credit facilities. As of March 31, 2021 and December 31, 2020, there was $2.2 million and $4.9 million of restricted cash required for bank acceptance notes issued to vendors, respectively. In addition, there was $0.4 million and $0.5 million certificate of deposit associated with credit facilities with a bank in China as of March 31, 2021 and December 31, 2020 respectively.</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(Loss) Per Share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the basic and diluted net loss per share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3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62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(15,622)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(16,797)</w:t>
            </w: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Weighted average shares used to compute net loss per share</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26,438</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20,208</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26,438</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20,208</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(0.59)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(0.83)</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(0.83)</w:t>
            </w: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the diluted net loss per share as their effect would have been antidilutive (in thousands):</w:t>
      </w:r>
    </w:p>
    <w:p>
      <w:pPr>
        <w:spacing w:after="0" w:line="166"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840" w:type="dxa"/>
        <w:tblCellMar>
          <w:top w:w="0" w:type="dxa"/>
          <w:left w:w="0" w:type="dxa"/>
          <w:bottom w:w="0" w:type="dxa"/>
          <w:right w:w="0" w:type="dxa"/>
        </w:tblCellMar>
      </w:tblPr>
      <w:tr>
        <w:trPr>
          <w:trHeight w:val="209"/>
        </w:trPr>
        <w:tc>
          <w:tcPr>
            <w:tcW w:w="6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1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stock options</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r>
      <w:tr>
        <w:trPr>
          <w:trHeight w:val="216"/>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for convertible senior notes</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4,587</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4,587</w:t>
            </w:r>
          </w:p>
        </w:tc>
      </w:tr>
      <w:tr>
        <w:trPr>
          <w:trHeight w:val="20"/>
        </w:trPr>
        <w:tc>
          <w:tcPr>
            <w:tcW w:w="6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Total antidilutive shares</w:t>
            </w:r>
          </w:p>
        </w:tc>
        <w:tc>
          <w:tcPr>
            <w:tcW w:w="10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4,620</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4,635</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net of inventory write-downs, consist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March 31, 2021</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December 31, 2020</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28,304</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25,555</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Work in process and sub-assemblies</w:t>
            </w: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49,194</w:t>
            </w:r>
          </w:p>
        </w:tc>
        <w:tc>
          <w:tcPr>
            <w:tcW w:w="5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52,544</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28,838</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32,298</w:t>
            </w:r>
          </w:p>
        </w:tc>
      </w:tr>
      <w:tr>
        <w:trPr>
          <w:trHeight w:val="20"/>
        </w:trPr>
        <w:tc>
          <w:tcPr>
            <w:tcW w:w="6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106,336</w:t>
            </w:r>
          </w:p>
        </w:tc>
        <w:tc>
          <w:tcPr>
            <w:tcW w:w="18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110,397</w:t>
            </w:r>
          </w:p>
        </w:tc>
      </w:tr>
      <w:tr>
        <w:trPr>
          <w:trHeight w:val="20"/>
        </w:trPr>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lower of cost or market adjustment expensed for inventory for the three months ended March 31, 2021 and 2020 was $0.9 million and $1.6 million, respectively.</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For the three months ended March 31, 2021 and 2020, the direct inventory write-offs related to scrap, discontinued products, and damaged inventories were $6.0 million and $2.5 million, respectively.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March 31, 2021</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December 31, 2020</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88,194</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88,280</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255,530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253,738</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5,520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5,540</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12,005</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11,912</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Transportation equipment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699</w:t>
            </w:r>
          </w:p>
        </w:tc>
      </w:tr>
      <w:tr>
        <w:trPr>
          <w:trHeight w:val="20"/>
        </w:trPr>
        <w:tc>
          <w:tcPr>
            <w:tcW w:w="6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362,751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360,975</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(148,029)</w:t>
            </w: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(142,434)</w:t>
            </w:r>
          </w:p>
        </w:tc>
      </w:tr>
      <w:tr>
        <w:trPr>
          <w:trHeight w:val="20"/>
        </w:trPr>
        <w:tc>
          <w:tcPr>
            <w:tcW w:w="6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214,722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218,541</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32,480</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33,342</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1,101</w:t>
            </w:r>
          </w:p>
        </w:tc>
      </w:tr>
      <w:tr>
        <w:trPr>
          <w:trHeight w:val="20"/>
        </w:trPr>
        <w:tc>
          <w:tcPr>
            <w:tcW w:w="6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248,303</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252,984</w:t>
            </w:r>
          </w:p>
        </w:tc>
      </w:tr>
      <w:tr>
        <w:trPr>
          <w:trHeight w:val="20"/>
        </w:trPr>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40" w:firstLine="648"/>
        <w:spacing w:after="0" w:line="342" w:lineRule="auto"/>
        <w:rPr>
          <w:sz w:val="20"/>
          <w:szCs w:val="20"/>
          <w:color w:val="auto"/>
        </w:rPr>
      </w:pPr>
      <w:r>
        <w:rPr>
          <w:rFonts w:ascii="Arial" w:cs="Arial" w:eastAsia="Arial" w:hAnsi="Arial"/>
          <w:sz w:val="16"/>
          <w:szCs w:val="16"/>
          <w:color w:val="auto"/>
        </w:rPr>
        <w:t>For the three months ended March 31, 2021 and 2020, the depreciation expense of property, plant and equipment was $6.3 million and $5.9 million, respectively. For the three months ended March 31, 2021 and 2020, the capitalized interest was each $0.1 million.</w:t>
      </w:r>
    </w:p>
    <w:p>
      <w:pPr>
        <w:spacing w:after="0" w:line="12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of March 31,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concluded that its continued loss history constitutes a triggering event as described in ASC </w:t>
      </w:r>
      <w:r>
        <w:rPr>
          <w:rFonts w:ascii="Arial" w:cs="Arial" w:eastAsia="Arial" w:hAnsi="Arial"/>
          <w:sz w:val="18"/>
          <w:szCs w:val="18"/>
          <w:i w:val="1"/>
          <w:iCs w:val="1"/>
          <w:color w:val="auto"/>
        </w:rPr>
        <w:t>360</w:t>
      </w:r>
      <w:r>
        <w:rPr>
          <w:rFonts w:ascii="Arial" w:cs="Arial" w:eastAsia="Arial" w:hAnsi="Arial"/>
          <w:sz w:val="18"/>
          <w:szCs w:val="18"/>
          <w:color w:val="auto"/>
        </w:rPr>
        <w:t>-</w:t>
      </w:r>
      <w:r>
        <w:rPr>
          <w:rFonts w:ascii="Arial" w:cs="Arial" w:eastAsia="Arial" w:hAnsi="Arial"/>
          <w:sz w:val="18"/>
          <w:szCs w:val="18"/>
          <w:i w:val="1"/>
          <w:iCs w:val="1"/>
          <w:color w:val="auto"/>
        </w:rPr>
        <w:t>10</w:t>
      </w:r>
      <w:r>
        <w:rPr>
          <w:rFonts w:ascii="Arial" w:cs="Arial" w:eastAsia="Arial" w:hAnsi="Arial"/>
          <w:sz w:val="18"/>
          <w:szCs w:val="18"/>
          <w:color w:val="auto"/>
        </w:rPr>
        <w:t>-</w:t>
      </w:r>
      <w:r>
        <w:rPr>
          <w:rFonts w:ascii="Arial" w:cs="Arial" w:eastAsia="Arial" w:hAnsi="Arial"/>
          <w:sz w:val="18"/>
          <w:szCs w:val="18"/>
          <w:i w:val="1"/>
          <w:iCs w:val="1"/>
          <w:color w:val="auto"/>
        </w:rPr>
        <w:t>35</w:t>
      </w:r>
      <w:r>
        <w:rPr>
          <w:rFonts w:ascii="Arial" w:cs="Arial" w:eastAsia="Arial" w:hAnsi="Arial"/>
          <w:sz w:val="18"/>
          <w:szCs w:val="18"/>
          <w:color w:val="auto"/>
        </w:rPr>
        <w:t>-</w:t>
      </w:r>
      <w:r>
        <w:rPr>
          <w:rFonts w:ascii="Arial" w:cs="Arial" w:eastAsia="Arial" w:hAnsi="Arial"/>
          <w:sz w:val="18"/>
          <w:szCs w:val="18"/>
          <w:i w:val="1"/>
          <w:iCs w:val="1"/>
          <w:color w:val="auto"/>
        </w:rPr>
        <w:t>21,Property, Plant, and Equipment</w:t>
      </w:r>
      <w:r>
        <w:rPr>
          <w:rFonts w:ascii="Arial" w:cs="Arial" w:eastAsia="Arial" w:hAnsi="Arial"/>
          <w:sz w:val="18"/>
          <w:szCs w:val="18"/>
          <w:color w:val="auto"/>
        </w:rPr>
        <w:t>. The Company performed a recoverability test and concluded that future undiscounted cash flows exceed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Company’s long-lived assets and therefore no impairment charge was recorded.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 2021</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500" w:type="dxa"/>
            <w:vAlign w:val="bottom"/>
          </w:tcPr>
          <w:p>
            <w:pPr>
              <w:spacing w:after="0"/>
              <w:rPr>
                <w:sz w:val="16"/>
                <w:szCs w:val="16"/>
                <w:color w:val="auto"/>
              </w:rPr>
            </w:pPr>
          </w:p>
        </w:tc>
        <w:tc>
          <w:tcPr>
            <w:tcW w:w="11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Intangible</w:t>
            </w:r>
          </w:p>
        </w:tc>
        <w:tc>
          <w:tcPr>
            <w:tcW w:w="8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assets, net</w:t>
            </w:r>
          </w:p>
        </w:tc>
        <w:tc>
          <w:tcPr>
            <w:tcW w:w="80" w:type="dxa"/>
            <w:vAlign w:val="bottom"/>
          </w:tcPr>
          <w:p>
            <w:pPr>
              <w:spacing w:after="0"/>
              <w:rPr>
                <w:sz w:val="20"/>
                <w:szCs w:val="20"/>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8,251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3,937</w:t>
            </w: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0"/>
        </w:trPr>
        <w:tc>
          <w:tcPr>
            <w:tcW w:w="4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8,273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3,943</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0"/>
              </w:rPr>
              <w:t>December 31, 2020</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500" w:type="dxa"/>
            <w:vAlign w:val="bottom"/>
          </w:tcPr>
          <w:p>
            <w:pPr>
              <w:spacing w:after="0"/>
              <w:rPr>
                <w:sz w:val="16"/>
                <w:szCs w:val="16"/>
                <w:color w:val="auto"/>
              </w:rPr>
            </w:pPr>
          </w:p>
        </w:tc>
        <w:tc>
          <w:tcPr>
            <w:tcW w:w="11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Intangible</w:t>
            </w:r>
          </w:p>
        </w:tc>
        <w:tc>
          <w:tcPr>
            <w:tcW w:w="8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assets, net</w:t>
            </w:r>
          </w:p>
        </w:tc>
        <w:tc>
          <w:tcPr>
            <w:tcW w:w="80" w:type="dxa"/>
            <w:vAlign w:val="bottom"/>
          </w:tcPr>
          <w:p>
            <w:pPr>
              <w:spacing w:after="0"/>
              <w:rPr>
                <w:sz w:val="20"/>
                <w:szCs w:val="20"/>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8,158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3,993</w:t>
            </w: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0"/>
        </w:trPr>
        <w:tc>
          <w:tcPr>
            <w:tcW w:w="4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8,179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3,999</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For the three months ended March 31, 2021 and 2020, amortization expense for intangible assets, included in general and administrative expenses on the income statement, was each $0.1 million. The remaining weighted average amortization period for intangible assets is approximately 7 years.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w w:val="99"/>
              </w:rPr>
              <w:t>At March 31, 2021, future amortization expense for intangible assets is estimated to be (in thousands):</w:t>
            </w: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represents a summary of the Company’s financial instruments measured at fair value on a recurring basis for the periods indicated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As of March 31, 2021</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As of December 31, 2020</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45,482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45,482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43,425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43,425</w:t>
            </w: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w:t>
            </w:r>
          </w:p>
        </w:tc>
      </w:tr>
      <w:tr>
        <w:trPr>
          <w:trHeight w:val="20"/>
        </w:trPr>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3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49,338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49,338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50,114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50,114</w:t>
            </w: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Bank acceptance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6,344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6,344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15,860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15,860</w:t>
            </w: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senior notes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70,526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70,526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70,225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70,225</w:t>
            </w:r>
          </w:p>
        </w:tc>
      </w:tr>
      <w:tr>
        <w:trPr>
          <w:trHeight w:val="20"/>
        </w:trPr>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3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76,870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76,870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86,085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86,085</w:t>
            </w: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carrying value amounts of accounts receivable, note receivable, prepaid expenses and other current assets, accounts payable, accrued expenses and other current liabilities approximate fair value because of the short-term maturity of these instruments. The carrying value amounts of bank acceptances approximate fair value due to the short-term nature of the debt since it renews frequently at current interest rates. The Company believes that the interest rates in effect at each period end represent the current market rates for similar borrowings.</w:t>
      </w:r>
    </w:p>
    <w:p>
      <w:pPr>
        <w:spacing w:after="0" w:line="171" w:lineRule="exact"/>
        <w:rPr>
          <w:sz w:val="20"/>
          <w:szCs w:val="20"/>
          <w:color w:val="auto"/>
        </w:rPr>
      </w:pPr>
    </w:p>
    <w:p>
      <w:pPr>
        <w:ind w:left="140" w:right="380" w:firstLine="324"/>
        <w:spacing w:after="0" w:line="277" w:lineRule="auto"/>
        <w:rPr>
          <w:sz w:val="20"/>
          <w:szCs w:val="20"/>
          <w:color w:val="auto"/>
        </w:rPr>
      </w:pPr>
      <w:r>
        <w:rPr>
          <w:rFonts w:ascii="Arial" w:cs="Arial" w:eastAsia="Arial" w:hAnsi="Arial"/>
          <w:sz w:val="18"/>
          <w:szCs w:val="18"/>
          <w:color w:val="auto"/>
        </w:rPr>
        <w:t>The fair value of its convertible senior debt is measured for disclosure purpose. The fair value is based on observable market prices for this debt, which is traded in less active markets and are therefore classified as a Level 2 fair value measurement.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March 31, 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195"/>
        </w:trPr>
        <w:tc>
          <w:tcPr>
            <w:tcW w:w="80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4"/>
              </w:rPr>
              <w:t>Revolving line of credit with a U.S. bank up to $20,000 with interest at LIBOR plus 1.5% , maturing April 2,</w:t>
            </w: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Paycheck Protection Program Term Note with interest at fixed rate 1.0%, maturing April 16, 2022</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6,229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6,229</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line of credit with a Taiwan bank up to $3,436 with 2.2% interest, maturing April 14, 2021</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w:t>
            </w:r>
          </w:p>
        </w:tc>
      </w:tr>
      <w:tr>
        <w:trPr>
          <w:trHeight w:val="202"/>
        </w:trPr>
        <w:tc>
          <w:tcPr>
            <w:tcW w:w="8000" w:type="dxa"/>
            <w:vAlign w:val="bottom"/>
            <w:gridSpan w:val="2"/>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3.5% interest, maturing January 21,</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1,941</w:t>
            </w: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3.1% interest, maturing January 21,</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w:t>
            </w:r>
          </w:p>
        </w:tc>
      </w:tr>
      <w:tr>
        <w:trPr>
          <w:trHeight w:val="202"/>
        </w:trPr>
        <w:tc>
          <w:tcPr>
            <w:tcW w:w="8000" w:type="dxa"/>
            <w:vAlign w:val="bottom"/>
            <w:gridSpan w:val="2"/>
          </w:tcPr>
          <w:p>
            <w:pPr>
              <w:spacing w:after="0" w:line="201" w:lineRule="exact"/>
              <w:rPr>
                <w:sz w:val="20"/>
                <w:szCs w:val="20"/>
                <w:color w:val="auto"/>
              </w:rPr>
            </w:pPr>
            <w:r>
              <w:rPr>
                <w:rFonts w:ascii="Arial" w:cs="Arial" w:eastAsia="Arial" w:hAnsi="Arial"/>
                <w:sz w:val="18"/>
                <w:szCs w:val="18"/>
                <w:color w:val="auto"/>
                <w:w w:val="95"/>
              </w:rPr>
              <w:t>Revolving line of credit with a China bank up to $8,917 with interest ranging from 4.5%, maturing October</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14, 2020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2,299</w:t>
            </w: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Revolving line of credit with a China bank up to $25,449 with interest from 3.01% to 4.57%, maturing May</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24, 2024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15,785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11,603</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Credit facility with a China bank up to $14,125 with interest of 3.5%, maturing January 5, 2024</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11,506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 with a China bank up to $7,167 with interest of 5.7%, maturing from June 20, 2022</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64,489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52,187</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debt issuance costs, net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Grand total</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64,489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52,169</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(38,265)</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Non-current portion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13,904</w:t>
            </w:r>
          </w:p>
        </w:tc>
        <w:tc>
          <w:tcPr>
            <w:tcW w:w="100" w:type="dxa"/>
            <w:vAlign w:val="bottom"/>
            <w:tcBorders>
              <w:top w:val="single" w:sz="8" w:color="CCEEFF"/>
            </w:tcBorders>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Borders>
              <w:bottom w:val="single" w:sz="8" w:color="auto"/>
            </w:tcBorders>
          </w:tcPr>
          <w:p>
            <w:pPr>
              <w:ind w:left="2720"/>
              <w:spacing w:after="0"/>
              <w:rPr>
                <w:sz w:val="20"/>
                <w:szCs w:val="20"/>
                <w:color w:val="auto"/>
              </w:rPr>
            </w:pPr>
            <w:r>
              <w:rPr>
                <w:rFonts w:ascii="Arial" w:cs="Arial" w:eastAsia="Arial" w:hAnsi="Arial"/>
                <w:sz w:val="18"/>
                <w:szCs w:val="18"/>
                <w:b w:val="1"/>
                <w:bCs w:val="1"/>
                <w:color w:val="auto"/>
              </w:rPr>
              <w:t>Bank Acceptance Notes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acceptance notes issued to vendors with a zero percent interest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15,860</w:t>
            </w:r>
          </w:p>
        </w:tc>
      </w:tr>
      <w:tr>
        <w:trPr>
          <w:trHeight w:val="648"/>
        </w:trPr>
        <w:tc>
          <w:tcPr>
            <w:tcW w:w="7880" w:type="dxa"/>
            <w:vAlign w:val="bottom"/>
          </w:tcPr>
          <w:p>
            <w:pPr>
              <w:ind w:left="55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portion of long-term debt is the amount payable within one year of the balance sheet date of March 31, 2021.</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w w:val="95"/>
              </w:rPr>
              <w:t>Maturities of long-term debt are as follows for the future one-year periods ending March 31, (in thousands):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50,803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13,686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outstanding</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64,489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September 28, 2017, the Company entered into a Loan Agreement (“Loan Agreement”), a Promissory Note, an Addendum to the Promissory Note, a Truist Bank Security Agreement, a Trademark Security Agreement, and a Patent Security Agreement (together the “Credit Facility”) with Truist Bank (which acquired Branch Banking and Trust Company or BB&amp;T in connection with a merger in December 2019). The Credit Facility provides the Company with a three-year, $50 million, revolving line of credit. Borrowings under the Credit Facility will be used for general corporate purposes. The Company makes monthly payments of accrued interest with the final monthly payment being for all principal and all accrued interest not yet paid. The Company’s obligations under the Credit Facility are secured by the Company’s accounts receivable, inventory, intellectual property, and all business assets with the exception of real estate and equipment. Borrowings under the Credit Facility bear interest at a rate equal to the one-month LIBOR plus 1.50%. The Credit Facility requires the Company to maintain certain financial covenants and also contains representations and warranties, and events of default applicable to the Company that are customary for agreements of this type.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30, 2018, the Company executed a First Amendment to Loan Agreement, a Note Modification Agreement and Addendum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 for $60 million, a Promissory Note and Addendum to Promissory Note for $26 million, a Promissory Note and Addendum to Promissory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Note for $21.5 million, a Texas Deed of Trust and Security Agreement, an Assignment of Lease and Rent, and an Environmental Certification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Indemnity Agreement, (collectively, the “Amended Credit Facility”), with Truist Bank. The Amended Credit Facility amends the Company’s three-year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 million line of credit with Truist Bank, originally executed on September 28, 2017. The Amended Credit Facility (1) increases the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three-year line of credit from $50 million to $60 million (the “Line of Credit”); (2) allows the Company to borrow an additional $26 million from Truist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 in the form of a five-year capital expenditure loan (the “CapEx Loan”) and (3) allows the Company to borrow an additional $21.5 million in the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seventy-month real estate term loan (the “Term Loan”) to refinance the Company’s plant and facilities in Sugar Land, Texas. Borrowings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Line of Credit bear interest at a rate equal to the one-month LIBOR plus a Line of Credit margin ranging between 1.40% and 2.0%. Borrowings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CapEx Loan bear interest at a rate equal to the one-month LIBOR plus a CapEx Loan margin ranging between 1.30% and 2.0%. Borrowings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bear interest at a rate equal to the one-month LIBOR plus a Term Loan margin ranging between 1.15% and 2.0%. The Company is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make monthly payments of principal and accrued interest with the final monthly payments being for all principal and accrued interest not yet paid.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obligations under the Amended Credit Facility are secured by the Company’s accounts receivable, inventory, equipment, intellectual property,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real property, and virtually all business assets.</w:t>
      </w:r>
    </w:p>
    <w:p>
      <w:pPr>
        <w:spacing w:after="0" w:line="211"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On February 1, 2019, the Company executed a Second Amendment to Loan Agreement ("Second Amendment") with Truist Bank. The original loan agreement with Truist Bank, executed on September 28, 2017, and a first amendment to the original loan agreement, executed on March 30, 2018, provided the Company with a three-year $60 million line of credit; a $26 million five-year CapEx Loan and a $21.5 million seventy-month real estate term loan for the Company’s plant and facilities in Sugar Land, Texas. The Second Amendment extends the CapEx Loan draw-down date from March 30, 2019 to March 31, 2021, requires the Company to provide Truist Bank monthly financial statements and allows additional unfinanced capital expenditures.</w:t>
      </w:r>
    </w:p>
    <w:p>
      <w:pPr>
        <w:spacing w:after="0" w:line="16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March 5, 2019, the Company executed a Third Amendment to Loan Agreement (the “Third Amendment”) with Truist Bank pursuant to which the Company has established a revolving credit line used for working capital purposes. The Third Amendment, among other things: (i) contemplates the issuance of the Notes (as defined in Note 12 below) and the subsequent conversion of the Notes into common stock in accordance with the terms of the Indenture, including the payment of cash for any fractional shares; (ii) adjusts pricing of the unused line fee to 0.20% per annum; (iii) reduces the maximum commitment under the line of credit from $60,000,000 to $25,000,000; and (iv) provides that, so long as the Company’s utilization of the revolving credit line is not greater than 60% of the available commitment, the Company will not be required to comply with its financial covenants, including its fixed charge coverage ratio or funded debt to EBITDA covenant, and provided that, such restriction on utilization will not apply during the period of time commencing seven business days prior to the end of any fiscal quarter through seven business days after the subsequent fiscal quarter.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On March 5, 2019, the Company used approximately $37.8 million of the net proceeds from the offering of the Notes to fully repay the CapEx Loan and Term Loan with Truist Bank.</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September 30, 2019, the Company executed a Fourth Amendment to Loan Agreement (the “Fourth Amendment”) with Truist Bank. Under the terms of the Fourth Amendment (i) the maximum commitment under the line of credit was reduced from $25,000,000 to $20,000,000; (ii) the maturity date of the line of credit was extended from September 28, 2020 to April 2, 2021; (iii) pricing of the unused line fee was adjusted to 0.30% per annum; and (iv) the Covenant Threshold Amount test created in the Third Amendment was removed and replaced with the requirement that if, at any time during any reporting period and pursuant to the most recent loan base report received by Truist Bank, the principal balance outstanding under the line of credit exceeds the lesser of the approved maximum amount of the line of credit commitment amount or the collateral loan value reduced by the reserves, the Company shall immediately prepay the line of credit to the extent necessary to eliminate such excess. Such reserves shall, at any time that the fixed charge coverage ratio for the loan is less than 1.5 to 1.0, tested for the period of twelve months ended on the applicable covenant measurement date, equal to an amount equal to seventy-five percent (75%) of the lesser of the line of credit commitment amount or collateral loan value reduced by the sum of (i) the principal balance outstanding under the line of credit, (ii) the letter of credit exposure reserve, and (iii) the availability reserve as determined by Truist Bank from the most recent loan base report and otherwise in the sole discretion of Truist Bank after consideration of collections.</w:t>
      </w:r>
    </w:p>
    <w:p>
      <w:pPr>
        <w:spacing w:after="0" w:line="17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March 31, 2021, the Company was in compliance with all covenants under the Fourth Amendment. As of March 31, 2021, $18.7 million was outstanding under the Fourth Amendment line of credit.</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April 17, 2020, the Company entered into a term note ("PPP Term Note") with Truist Bank, with a principal amount of $6.23 million pursuant to the Paycheck Protection Program (“PPP”) under the Coronavirus Aid, Relief, and Economic Security Act (the “CARES Act”). The PPP loan is evidenced by a promissory note. The PPP Term Note bears interest at a fixed annual rate of 1.00%, with the first six months of interest deferred. Beginning in November 2020, the Company will make 18 equal monthly payments of principal and interest with the final payment due in April 2022. The PPP Term Note may be accelerated upon the occurrence of an event of default. The PPP Term Note is unsecured and guaranteed by the United States Small Business Administration ("SBA"). The Company applied for forgiveness of the principal amount of the PPP Term Note on September 14, 2020 and currently expects the application to get approved. The forgiveness application is being reviewed by Truist Bank. Under current SBA guidelines, due to the size of the loan we anticipate a further review by the SBA upon completion of the review by Truist Bank. The timing of the completion of the review by Truist Bank and the subsequent review by SBA is currently uncertain. Until such time as the forgiveness assessment has been completed by the SBA, the Company will not be required to make any payments under the terms of the PPP Term Note.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November 29, 2018, Prime World entered into a Purchase and Sale Contract (the “Sale Contract”) and an Equipment Finance Agreement with Chailease Finance Co., Ltd. (“Chailease”) in connection with certain equipment. Pursuant to the Sale Contract, Prime World sold certain equipment to Chailease for a purchase price of NT$267,340,468, or approximately $8.7 million. Simultaneously, Prime World financed the equipment back from Chailease for a term of three-years, pursuant to the Equipment Finance Agreement. Prime World is obligated to pay an initial payment of NT$67,340,468, or approximately $2.2 million, thereafter the monthly payments range from NT$5,571,229, or $0.2 million, to NT$6,139,188, or approximately $0.2 million. Based on the monthly payments made under the Equipment Finance Agreement, the annual interest rate is calculated to be 3.5%. Upon an event of default under the Equipment Finance Agreement, Prime World’s payment obligation will be secured by a promissory note to Chailease in the amount of NT$210,601,605, or approximately $6.8 million, subject to certain terms and conditions. The title of the equipment will be transferred to Prime World upon expiration of the Equipment Finance Agreement. As of March 31, 2021, $1.4 million was outstanding under the Equipment Finance Agreement.</w:t>
      </w:r>
    </w:p>
    <w:p>
      <w:pPr>
        <w:spacing w:after="0" w:line="1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January 21, 2019, Prime World entered into a Second Purchase and Sale Contract (the “Second Sales Contract”), Promissory Note, and a Second Equipment Finance Agreement with Chailease in connection with certain equipment. Pursuant to the Second Sales Contract, Prime World sold certain equipment to Chailease for a purchase price of NT$267,333,186, or approximately $8.7 million. Simultaneously, Prime World financed the equipment back from Chailease for a term of three-years, pursuant to the Second Equipment Finance Agreement. Prime World is obligated to pay an initial monthly payment of NT$67,333,186, or approximately $2.2 million, thereafter the monthly payments range from NT$5,570,167, or approximately $0.2 million to NT$6,082,131, or approximately $0.2 million. Based on the monthly payments made under the Second Equipment Finance Agreement, the annual interest rate is calculated to be 3.1%. Upon an event of default under the Second Equipment Finance Agreement, Prime World’s payment obligation will be secured by a promissory note to Chailease at the amount of NT$209,555,736 or approximately $6.8 million, subject to certain terms and conditions. The title of the equipment will be transferred to Prime World upon expiration of the Second Equipment Finance Agreement. As of March 31, 2021, $1.7 million was outstanding under the Second Equipment Finance Agreement.</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15, 2020, Prime World entered into an Amendment to the Sale Contract and Second Sales Contract (the “Amendment”)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Chailease Finance Co., Ltd. (“Chailease”). The Amendment amends the Sales Contract, dated November 29, 2018 and the Second Sales Contract, 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21, 2019 (hereafter collectively referred to as the “Original Sales Contracts”). Pursuant to the Amendment, Prime World agrees to pay Chailease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NT$22,311,381, or approximately $0.8 million for certain leased equipment listed in the Amendment (the “Leased Equipment”). This payment will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outstanding lease payments, costs and expenses; simultaneously, Chailease agrees to transfer title of such Leased Equipment back to Prime World.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Regarding all other equipment contemplated in the Original Sales Contracts but not listed in the Amendment, pursuant to the terms and conditions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Original Sales Contracts, Prime World is obligated to pay Chailease monthly lease payments which total NT$159,027,448, or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 million (the “Lease Payments”). The Lease Payments will begin on September 21, 2020 with the last Lease Payment due on January 21, 2022, title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other equipment contemplated under the Original Sales Contracts but not listed in the Amendment will transfer to Prime World upon completion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Lease Payments and expiration of the Original Sales Contracts.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July 23, 2019, Prime World entered into a one-year revolving credit facility totaling NT$100 million, or approximately $3.3 million,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“NT$100M Credit Line”) and a $1 million (the “US$1M Credit Line”) with Taishin International Bank in Taiwan ("Taishin"). Borrowing under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NT$100M Credit Line will be used for short-term working capital; the borrowing under the US$1M Credit Line will be strictly used for spot transactions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foreign exchange market. The NT$100M Credit Line and US$1M Credit Line are collectively referred to as the “Taishin Credit Facility”. On July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the NT$100M Credit Line with Taishin was extended for three (3) months until October 16, 2020. The term of each draw shall be either 90 or 120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Borrowings under the NT$100M Credit Line will bear interest at a rate of 2.25% for 90 day draws and 2.2% for 120 day draws; borrowings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US$1M Credit Line will bear interest equal to the Taishin’s foreign exchange rate effective on the day of the applicable draw. At the end of the draw term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Prime World will make payment for all principal and accrued interest. Prime World’s obligations under the Taishin Credit Facility will be secured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 executed between Prime World and Taishin. The agreements for the Taishin Credit Facility contain representations and warranties,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events of default applicable to Prime World that are customary for agreements of this type. The NT$100M Credit Line and the US$1M Credit Line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been replaced by the Replacement Taishin Credit Facility on October 7,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October 7, 2020, Prime World entered into a new revolving credit facility totaling NT$100 million, or approximately $3.44 million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“Replacement NT$100M Credit Line”) and a $1 million USD (the “ Replacement US$1M Credit Line”) with Taishin, to replace the original Taishin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Facility. Borrowing under the Replacement NT$100M Credit Line will be used for short-term working capital; borrowing under the Replacement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US$1M Credit Line will be strictly used for spot transactions in the foreign exchange market. The Replacement NT$100M Credit Line and Replacement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US$1M Credit Line are collectively referred to as the “Replacement Taishin Credit Facility”. On January 14, 2021, the Replacement NT$100M Credit Line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Taishin was extended for three (3) months until April 14, 2021. Prime World may draw upon the Replacement Taishin Credit Facility from October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 2020 through April 14, 2021. The term of each draw under the Replacement NT$100M Credit Line shall be either 90 or 120 days and will bear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a rate of 2.15% for each draw; borrowings under the Replacement US$1M Credit Line will bear interest equal to Taishin’s foreign exchange rate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effective on the day of the applicable draw. At the end of the draw term Prime World will make payment for all principal and accrued interest. Prime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World’s obligations under the Replacement Taishin Credit Facility will be secured by a promissory note between Prime World and Taishin. As of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$1.8 million was outstanding under the Replacement Taishin Credit Facility.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ind w:right="20" w:firstLine="648"/>
        <w:spacing w:after="0" w:line="288" w:lineRule="auto"/>
        <w:rPr>
          <w:sz w:val="20"/>
          <w:szCs w:val="20"/>
          <w:color w:val="auto"/>
        </w:rPr>
      </w:pPr>
      <w:r>
        <w:rPr>
          <w:rFonts w:ascii="Arial" w:cs="Arial" w:eastAsia="Arial" w:hAnsi="Arial"/>
          <w:sz w:val="16"/>
          <w:szCs w:val="16"/>
          <w:color w:val="auto"/>
        </w:rPr>
        <w:t>On April 19, 2019, the Company’s China subsidiary, Global, entered into a twelve (12) month revolving line of credit agreement, totaling 60,000,000 RMB, or approximately $8.9 million, (the “China Merchants Credit Line”), with China Merchants Bank Co., Ltd., in Ningbo, China (“China Merchants”). The China Merchants Credit Line will be used by Global for general corporate purposes, including the issuance of bank acceptance notes to Global’s vendors. On April 14, 2020, Global extended the revolving line of credit agreement with China Merchants by six (6) months. Global may draw upon the China Merchants Credit Line from April 19, 2019 until October 14, 2020 (the “Credit Period”). During the Credit Period, Global may request to draw upon the China Merchants Credit Line on an as-needed basis; however, the amount of available credit under the China Merchants Credit Line and the approval of each draw may be reduced or declined by China Merchants due to changes in Chinese government regulations and/or changes in Global’s financial and operational condition at the time of each requested draw. Each draw will bear interest equal to China Merchants’ commercial banking interest rate effective on the day of the applicable draw. Global’s obligations under the China Merchants Credit Line are unsecured. The China Merchants Credit Line has been replaced by the Replacement China Merchants Credit Line on October 19, 2020</w:t>
      </w:r>
      <w:r>
        <w:rPr>
          <w:rFonts w:ascii="Arial" w:cs="Arial" w:eastAsia="Arial" w:hAnsi="Arial"/>
          <w:sz w:val="16"/>
          <w:szCs w:val="16"/>
          <w:i w:val="1"/>
          <w:iCs w:val="1"/>
          <w:color w:val="auto"/>
        </w:rPr>
        <w:t>.</w:t>
      </w:r>
    </w:p>
    <w:p>
      <w:pPr>
        <w:spacing w:after="0" w:line="16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May 24, 2019, the Company’s China subsidiary, Global, entered into a five-year revolving credit line agreement, totaling 180,000,000 RMB (the “SPD Credit Line”), or approximately $25.4 million, and a mortgage security agreement (the “Security Agreement”), with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and $2 million credit facility entered into on May 8, 2019.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March 31, 2021, $15.8 million was outstanding under the SPD Credit Line and the outstanding balance of bank acceptance notes issued to vendors was $3.4 million.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June 21, 2019, the Company’s China subsidiary, Global, entered into an 18 month credit facility totaling 100,000,000 RMB (the “¥100M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 or approximately $14.1 million, with China Zheshang Bank Co., Ltd., in Ningbo City, China (“CZB”). Borrowing under the ¥100M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will be used by Global for general corporate purposes. On January 6, 2021, the ¥100M Credit Facility with CZB was extended for three (3)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years until January 5, 2024. Global may draw upon the ¥100M Credit Facility from June 21, 2019 until January 5, 2024 (the “¥100M Credit Period”).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During the ¥100M Credit Period, Global may request to draw upon the ¥100M Credit Facility on an as-needed basis; however, draws under the ¥100M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may become due and repayable to CZB at CZB’s discretion due to changes in Chinese government regulations and/or changes in Global’s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and operational condition. Each draw will bear interest equal to CZB’s commercial banking interest rate effective on the day of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draw. Global’s obligations under the ¥100M Credit Facility will be secured by real property owned by Global and mortgaged to CZB under the terms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 Estate Security Agreement. The agreements for the ¥100M Credit Facility and the Real Estate Security Agreement also contain rights and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representations and warranties, and events of default applicable to the Company that are customary for agreements of this type. As of March 31,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$11.5 million was outstanding under the ¥100M Credit Facility and there was no outstanding balance of bank acceptance notes issued to vendors under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21, 2019, the Company’s China subsidiary, Global, entered into a three-year credit facility totaling 50,000,000 RMB (the “¥50M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 or approximately $7.1 million, with CZB. Borrowing under the ¥50M Credit Facility will be used by Global for general corporate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purposes. Global may draw upon the ¥50M Credit Facility from June 21, 2019 until June 20, 2022 (the “¥50M Credit Period”). During the ¥50M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 Global may request to draw upon the ¥50M Credit Facility on an as-needed basis; however, draws under the ¥50M Credit Facility may become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repayable to CZB at CZB’s discretion due to changes in Chinese government regulations and/or changes in Global’s financial and operational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condition. Each draw will bear interest equal to CZB’s commercial banking interest rate effective on the day of the applicable draw. Global’s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¥50M Credit Facility will be secured by machinery and equipment owned by Global and mortgaged to CZB under the terms of the Machinery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Equipment Security Agreement. As of March 31, 2021, $7.5 million was outstanding under the ¥50M Credit Facility.</w:t>
      </w:r>
    </w:p>
    <w:p>
      <w:pPr>
        <w:spacing w:after="0" w:line="21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On October 19, 2020</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Company’s China subsidiary, Global entered into a new twelve (12) month revolving line of credit agreement, totaling 60,000,000 RMB, or approximately $8.9 million (the “Replacement China Merchants Credit Line”), with China Merchants, to replace the original China Merchants Credit Line. The Replacement China Merchants Credit Line will be used by Global for general corporate purposes. Global may draw upon the Replacement China Merchants Credit Line during the period from October 16, 2020 until October 15, 2021. During such period, Global</w:t>
      </w:r>
    </w:p>
    <w:p>
      <w:pPr>
        <w:spacing w:after="0" w:line="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 xml:space="preserve">may request to draw upon the Replacement China Merchants Credit Line on an as-needed basis; however, the amount of available credit under the Replacement China Merchants Credit Line and the approval of each draw </w:t>
      </w:r>
      <w:r>
        <w:rPr>
          <w:rFonts w:ascii="Arial" w:cs="Arial" w:eastAsia="Arial" w:hAnsi="Arial"/>
          <w:sz w:val="17"/>
          <w:szCs w:val="17"/>
          <w:i w:val="1"/>
          <w:iCs w:val="1"/>
          <w:color w:val="auto"/>
        </w:rPr>
        <w:t>may</w:t>
      </w:r>
      <w:r>
        <w:rPr>
          <w:rFonts w:ascii="Arial" w:cs="Arial" w:eastAsia="Arial" w:hAnsi="Arial"/>
          <w:sz w:val="17"/>
          <w:szCs w:val="17"/>
          <w:color w:val="auto"/>
        </w:rPr>
        <w:t xml:space="preserve"> be reduced or declined by China Merchants due to changes in Chinese government regulations and/or changes in Global’s financial and operational condition at the time of each requested draw. Each draw will bear interest equal to the China Merchants’ commercial banking interest rate effective on the day of the applicable draw. Global’s obligations under the Replacement China Merchants Credit Line is unsecured. As of March 31, 2021, there was no outstanding under the Replacement China Merchants Credit Line and the outstanding balance of bank acceptance notes issued to vendors was $3.0 million.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2021 and December 31, 2020, the Company had $21.8 million and $28.7 million of unused borrowing capacity, respectively.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One-month LIBOR rates were 0.11% and 0.14% on March 31, 2021 and December 31, 2020, respectively.</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of March 31, 2021 and December 31, 2020, there was $2.6 million and $5.4 million of restricted cash, investments or security deposits associated with the loan facilities,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Convertible Senior Notes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March 5, 2019, the Company issued $80.5 million of 5% convertible senior notes due 2024 (the “Notes”). The Notes were issued pursuant to an indenture, dated as of March 5, 2019 (the “Indenture”), between the Company and Wells Fargo Bank, National Association, as trustee, paying agent, and conversion agent (the “Trustee”). The Notes bear interest at a rate of 5.00% per year, payable in cash semi-annually in arrears on March 15 and September 15 of each year, beginning on September 15, 2019. The Notes will mature on March 15, 2024, unless earlier repurchased, redeemed or converted in accordance with their terms.</w:t>
      </w:r>
    </w:p>
    <w:p>
      <w:pPr>
        <w:spacing w:after="0" w:line="188"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Truist Bank and the remainder will be used for general corporate purposes.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 of the Notes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80,500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(2,442)</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(2,646)</w:t>
            </w:r>
          </w:p>
        </w:tc>
      </w:tr>
      <w:tr>
        <w:trPr>
          <w:trHeight w:val="20"/>
        </w:trPr>
        <w:tc>
          <w:tcPr>
            <w:tcW w:w="6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78,058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77,854</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Notes are convertible at the option of holders of the Notes at any time until the close of business on the scheduled trading day immediately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preceding the maturity date. Upon conversion, holders of the Notes will receive shares of the Company’s common stock, together, if applicable, with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lieu of any fractional share, at the then-applicable conversion rate. The initial conversion rate is 56.9801 shares of the Company’s common stock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Notes (representing an initial conversion price of approximately $17.55 per share of common stock, which represents an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premium of approximately 30% above the closing price of $13.50 per share of the Company’s common stock on February 28, 2019),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customary adjustments. If a make-whole fundamental change (as defined in the Indenture) occurs, and in connection with certain other conversions before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15, 2022, the Company will in certain circumstances increase the conversion rate for a specified period of time.</w:t>
      </w:r>
    </w:p>
    <w:p>
      <w:pPr>
        <w:spacing w:after="0" w:line="21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Initially there are no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Holders may require the Company to repurchase their Notes upon the occurrence of a fundamental change (as defined in the Indenture) at a cash purchase price equal to the principal amount thereof plus accrued and unpaid interest, if any.</w:t>
      </w:r>
    </w:p>
    <w:p>
      <w:pPr>
        <w:spacing w:after="0" w:line="170"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Company may not redeem the Notes prior to March 15, 2022. On or after March 15, 2022, the Company may redeem for cash all or part of the Notes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Pursuant to the guidance in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 Contracts in Entity’s Own Equity</w:t>
      </w:r>
      <w:r>
        <w:rPr>
          <w:rFonts w:ascii="Arial" w:cs="Arial" w:eastAsia="Arial" w:hAnsi="Arial"/>
          <w:sz w:val="16"/>
          <w:szCs w:val="16"/>
          <w:color w:val="auto"/>
        </w:rPr>
        <w:t xml:space="preserve">, the Company evaluated whether the conversion feature of the note needed to be bifurcated from the host instrument as a freestanding financial instrument. Under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 xml:space="preserve">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contained in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w:t>
      </w:r>
      <w:r>
        <w:rPr>
          <w:rFonts w:ascii="Arial" w:cs="Arial" w:eastAsia="Arial" w:hAnsi="Arial"/>
          <w:sz w:val="16"/>
          <w:szCs w:val="16"/>
          <w:i w:val="1"/>
          <w:iCs w:val="1"/>
          <w:color w:val="auto"/>
        </w:rPr>
        <w:t>25</w:t>
      </w:r>
      <w:r>
        <w:rPr>
          <w:rFonts w:ascii="Arial" w:cs="Arial" w:eastAsia="Arial" w:hAnsi="Arial"/>
          <w:sz w:val="16"/>
          <w:szCs w:val="16"/>
          <w:color w:val="auto"/>
        </w:rPr>
        <w:t>-</w:t>
      </w:r>
      <w:r>
        <w:rPr>
          <w:rFonts w:ascii="Arial" w:cs="Arial" w:eastAsia="Arial" w:hAnsi="Arial"/>
          <w:sz w:val="16"/>
          <w:szCs w:val="16"/>
          <w:i w:val="1"/>
          <w:iCs w:val="1"/>
          <w:color w:val="auto"/>
        </w:rPr>
        <w:t>7</w:t>
      </w:r>
      <w:r>
        <w:rPr>
          <w:rFonts w:ascii="Arial" w:cs="Arial" w:eastAsia="Arial" w:hAnsi="Arial"/>
          <w:sz w:val="16"/>
          <w:szCs w:val="16"/>
          <w:color w:val="auto"/>
        </w:rPr>
        <w:t xml:space="preserve"> and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w:t>
      </w:r>
      <w:r>
        <w:rPr>
          <w:rFonts w:ascii="Arial" w:cs="Arial" w:eastAsia="Arial" w:hAnsi="Arial"/>
          <w:sz w:val="16"/>
          <w:szCs w:val="16"/>
          <w:i w:val="1"/>
          <w:iCs w:val="1"/>
          <w:color w:val="auto"/>
        </w:rPr>
        <w:t>25</w:t>
      </w:r>
      <w:r>
        <w:rPr>
          <w:rFonts w:ascii="Arial" w:cs="Arial" w:eastAsia="Arial" w:hAnsi="Arial"/>
          <w:sz w:val="16"/>
          <w:szCs w:val="16"/>
          <w:color w:val="auto"/>
        </w:rPr>
        <w:t>-</w:t>
      </w:r>
      <w:r>
        <w:rPr>
          <w:rFonts w:ascii="Arial" w:cs="Arial" w:eastAsia="Arial" w:hAnsi="Arial"/>
          <w:sz w:val="16"/>
          <w:szCs w:val="16"/>
          <w:i w:val="1"/>
          <w:iCs w:val="1"/>
          <w:color w:val="auto"/>
        </w:rPr>
        <w:t>10.</w:t>
      </w:r>
      <w:r>
        <w:rPr>
          <w:rFonts w:ascii="Arial" w:cs="Arial" w:eastAsia="Arial" w:hAnsi="Arial"/>
          <w:sz w:val="16"/>
          <w:szCs w:val="16"/>
          <w:color w:val="auto"/>
        </w:rPr>
        <w:t xml:space="preserve"> Accordingly, the conversion option is not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w:t>
      </w:r>
      <w:r>
        <w:rPr>
          <w:rFonts w:ascii="Arial" w:cs="Arial" w:eastAsia="Arial" w:hAnsi="Arial"/>
          <w:sz w:val="16"/>
          <w:szCs w:val="16"/>
          <w:i w:val="1"/>
          <w:iCs w:val="1"/>
          <w:color w:val="auto"/>
        </w:rPr>
        <w:t>470</w:t>
      </w:r>
      <w:r>
        <w:rPr>
          <w:rFonts w:ascii="Arial" w:cs="Arial" w:eastAsia="Arial" w:hAnsi="Arial"/>
          <w:sz w:val="16"/>
          <w:szCs w:val="16"/>
          <w:color w:val="auto"/>
        </w:rPr>
        <w:t>-</w:t>
      </w:r>
      <w:r>
        <w:rPr>
          <w:rFonts w:ascii="Arial" w:cs="Arial" w:eastAsia="Arial" w:hAnsi="Arial"/>
          <w:sz w:val="16"/>
          <w:szCs w:val="16"/>
          <w:i w:val="1"/>
          <w:iCs w:val="1"/>
          <w:color w:val="auto"/>
        </w:rPr>
        <w:t>20, 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and Other Options</w:t>
      </w:r>
      <w:r>
        <w:rPr>
          <w:rFonts w:ascii="Arial" w:cs="Arial" w:eastAsia="Arial" w:hAnsi="Arial"/>
          <w:sz w:val="16"/>
          <w:szCs w:val="16"/>
          <w:color w:val="auto"/>
        </w:rPr>
        <w:t>. The Company determined that notes should be accounted for in their entirety as a liability.</w:t>
      </w:r>
    </w:p>
    <w:p>
      <w:pPr>
        <w:spacing w:after="0" w:line="16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gridSpan w:val="7"/>
          </w:tcPr>
          <w:p>
            <w:pPr>
              <w:ind w:left="660"/>
              <w:spacing w:after="0"/>
              <w:rPr>
                <w:sz w:val="20"/>
                <w:szCs w:val="20"/>
                <w:color w:val="auto"/>
              </w:rPr>
            </w:pPr>
            <w:r>
              <w:rPr>
                <w:rFonts w:ascii="Arial" w:cs="Arial" w:eastAsia="Arial" w:hAnsi="Arial"/>
                <w:sz w:val="18"/>
                <w:szCs w:val="18"/>
                <w:color w:val="auto"/>
              </w:rPr>
              <w:t>The following table sets forth interest expense information related to the Notes (in thousands):</w:t>
            </w: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8"/>
              </w:rPr>
              <w:t>Three months ended March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w:t>
            </w:r>
          </w:p>
        </w:tc>
        <w:tc>
          <w:tcPr>
            <w:tcW w:w="18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ind w:right="903"/>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1,006</w:t>
            </w: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1,210</w:t>
            </w:r>
          </w:p>
        </w:tc>
        <w:tc>
          <w:tcPr>
            <w:tcW w:w="180" w:type="dxa"/>
            <w:vAlign w:val="bottom"/>
            <w:tcBorders>
              <w:right w:val="single" w:sz="8" w:color="CCEEFF"/>
            </w:tcBorders>
            <w:shd w:val="clear" w:color="auto" w:fill="CCEEFF"/>
          </w:tcPr>
          <w:p>
            <w:pPr>
              <w:spacing w:after="0"/>
              <w:rPr>
                <w:sz w:val="19"/>
                <w:szCs w:val="19"/>
                <w:color w:val="auto"/>
              </w:rPr>
            </w:pPr>
          </w:p>
        </w:tc>
        <w:tc>
          <w:tcPr>
            <w:tcW w:w="1040" w:type="dxa"/>
            <w:vAlign w:val="bottom"/>
            <w:shd w:val="clear" w:color="auto" w:fill="CCEEFF"/>
          </w:tcPr>
          <w:p>
            <w:pPr>
              <w:jc w:val="right"/>
              <w:ind w:right="903"/>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1,214</w:t>
            </w:r>
          </w:p>
        </w:tc>
        <w:tc>
          <w:tcPr>
            <w:tcW w:w="80" w:type="dxa"/>
            <w:vAlign w:val="bottom"/>
            <w:shd w:val="clear" w:color="auto" w:fill="CCEEFF"/>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Effective interest rate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5.1%</w:t>
            </w:r>
          </w:p>
        </w:tc>
        <w:tc>
          <w:tcPr>
            <w:tcW w:w="10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5.1%</w:t>
            </w:r>
          </w:p>
        </w:tc>
      </w:tr>
      <w:tr>
        <w:trPr>
          <w:trHeight w:val="661"/>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Note 13. Accrued Liabilities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940" w:type="dxa"/>
            <w:vAlign w:val="bottom"/>
            <w:gridSpan w:val="2"/>
          </w:tcPr>
          <w:p>
            <w:pPr>
              <w:ind w:left="660"/>
              <w:spacing w:after="0"/>
              <w:rPr>
                <w:sz w:val="20"/>
                <w:szCs w:val="20"/>
                <w:color w:val="auto"/>
              </w:rPr>
            </w:pPr>
            <w:r>
              <w:rPr>
                <w:rFonts w:ascii="Arial" w:cs="Arial" w:eastAsia="Arial" w:hAnsi="Arial"/>
                <w:sz w:val="18"/>
                <w:szCs w:val="18"/>
                <w:color w:val="auto"/>
                <w:w w:val="93"/>
              </w:rPr>
              <w:t>Accrued liabilities consisted of the following for the periods indicated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5"/>
              </w:rPr>
              <w:t>March 31, 2021</w:t>
            </w:r>
          </w:p>
        </w:tc>
        <w:tc>
          <w:tcPr>
            <w:tcW w:w="180" w:type="dxa"/>
            <w:vAlign w:val="bottom"/>
          </w:tcPr>
          <w:p>
            <w:pPr>
              <w:spacing w:after="0"/>
              <w:rPr>
                <w:sz w:val="24"/>
                <w:szCs w:val="24"/>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1"/>
              </w:rPr>
              <w:t>December 31, 2020</w:t>
            </w:r>
          </w:p>
        </w:tc>
        <w:tc>
          <w:tcPr>
            <w:tcW w:w="80" w:type="dxa"/>
            <w:vAlign w:val="bottom"/>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6,963</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10,517</w:t>
            </w: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Accrued employee benefits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2,871</w:t>
            </w:r>
          </w:p>
        </w:tc>
        <w:tc>
          <w:tcPr>
            <w:tcW w:w="10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3,057</w:t>
            </w:r>
          </w:p>
        </w:tc>
      </w:tr>
      <w:tr>
        <w:trPr>
          <w:trHeight w:val="216"/>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state and local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722</w:t>
            </w:r>
          </w:p>
        </w:tc>
        <w:tc>
          <w:tcPr>
            <w:tcW w:w="10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297</w:t>
            </w:r>
          </w:p>
        </w:tc>
        <w:tc>
          <w:tcPr>
            <w:tcW w:w="10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1,256</w:t>
            </w:r>
          </w:p>
        </w:tc>
      </w:tr>
      <w:tr>
        <w:trPr>
          <w:trHeight w:val="216"/>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payments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566</w:t>
            </w:r>
          </w:p>
        </w:tc>
        <w:tc>
          <w:tcPr>
            <w:tcW w:w="10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Accrued product warranty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502</w:t>
            </w:r>
          </w:p>
        </w:tc>
        <w:tc>
          <w:tcPr>
            <w:tcW w:w="10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703</w:t>
            </w:r>
          </w:p>
        </w:tc>
      </w:tr>
      <w:tr>
        <w:trPr>
          <w:trHeight w:val="216"/>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1,157</w:t>
            </w:r>
          </w:p>
        </w:tc>
        <w:tc>
          <w:tcPr>
            <w:tcW w:w="10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974</w:t>
            </w: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281</w:t>
            </w:r>
          </w:p>
        </w:tc>
        <w:tc>
          <w:tcPr>
            <w:tcW w:w="10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377</w:t>
            </w:r>
          </w:p>
        </w:tc>
      </w:tr>
      <w:tr>
        <w:trPr>
          <w:trHeight w:val="216"/>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shipping and tariff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0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526</w:t>
            </w: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622</w:t>
            </w:r>
          </w:p>
        </w:tc>
        <w:tc>
          <w:tcPr>
            <w:tcW w:w="10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547</w:t>
            </w:r>
          </w:p>
        </w:tc>
      </w:tr>
      <w:tr>
        <w:trPr>
          <w:trHeight w:val="20"/>
        </w:trPr>
        <w:tc>
          <w:tcPr>
            <w:tcW w:w="8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14,028</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18,511</w:t>
            </w:r>
          </w:p>
        </w:tc>
      </w:tr>
      <w:tr>
        <w:trPr>
          <w:trHeight w:val="20"/>
        </w:trPr>
        <w:tc>
          <w:tcPr>
            <w:tcW w:w="840" w:type="dxa"/>
            <w:vAlign w:val="bottom"/>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8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transaction (loss) gain</w:t>
            </w:r>
          </w:p>
        </w:tc>
        <w:tc>
          <w:tcPr>
            <w:tcW w:w="39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124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Government subsidy income</w:t>
            </w:r>
          </w:p>
        </w:tc>
        <w:tc>
          <w:tcPr>
            <w:tcW w:w="2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non-operating gain (loss)</w:t>
            </w:r>
          </w:p>
        </w:tc>
        <w:tc>
          <w:tcPr>
            <w:tcW w:w="28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2"/>
          </w:tcPr>
          <w:p>
            <w:pPr>
              <w:ind w:left="560"/>
              <w:spacing w:after="0"/>
              <w:rPr>
                <w:sz w:val="20"/>
                <w:szCs w:val="20"/>
                <w:color w:val="auto"/>
              </w:rPr>
            </w:pPr>
            <w:r>
              <w:rPr>
                <w:rFonts w:ascii="Arial" w:cs="Arial" w:eastAsia="Arial" w:hAnsi="Arial"/>
                <w:sz w:val="18"/>
                <w:szCs w:val="18"/>
                <w:color w:val="auto"/>
              </w:rPr>
              <w:t>Total other income (expense), net</w:t>
            </w:r>
          </w:p>
        </w:tc>
        <w:tc>
          <w:tcPr>
            <w:tcW w:w="390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124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40" w:type="dxa"/>
            <w:vAlign w:val="bottom"/>
            <w:vMerge w:val="restart"/>
          </w:tcPr>
          <w:p>
            <w:pPr>
              <w:jc w:val="right"/>
              <w:ind w:right="1550"/>
              <w:spacing w:after="0"/>
              <w:rPr>
                <w:sz w:val="20"/>
                <w:szCs w:val="20"/>
                <w:color w:val="auto"/>
              </w:rPr>
            </w:pPr>
            <w:r>
              <w:rPr>
                <w:rFonts w:ascii="Arial" w:cs="Arial" w:eastAsia="Arial" w:hAnsi="Arial"/>
                <w:sz w:val="18"/>
                <w:szCs w:val="18"/>
                <w:color w:val="auto"/>
              </w:rPr>
              <w:t>20</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21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third-party valuation specialists.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Options have been granted to the Company’s employees under the two incentive plans and generally become exercisable as to 25% of the shares on the first anniversary date following the date of grant and 12.5% on a semi-annual basis thereafter. All options expire ten years after the date of grant.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Share Price</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4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on Date of</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2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(in thousands,</w:t>
            </w:r>
          </w:p>
        </w:tc>
        <w:tc>
          <w:tcPr>
            <w:tcW w:w="154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83"/>
              </w:rPr>
              <w:t>except price data)</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1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Outstanding, March 31, 2021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16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March 31, 2021</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273</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10.32</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2.44</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43</w:t>
            </w:r>
          </w:p>
        </w:tc>
      </w:tr>
      <w:tr>
        <w:trPr>
          <w:trHeight w:val="196"/>
        </w:trPr>
        <w:tc>
          <w:tcPr>
            <w:tcW w:w="3280" w:type="dxa"/>
            <w:vAlign w:val="bottom"/>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273</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10.33</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2.44</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43</w:t>
            </w: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there was no unrecognized stock option expense.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8"/>
              </w:rPr>
              <w:t>Average Share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Price on Date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Average Fair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of Release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84"/>
              </w:rPr>
              <w:t>except price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2,843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10.23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Cancelled/Forfeited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March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11,202</w:t>
            </w: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13.84</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11,202</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March 31, 2021, there was $16.8 million of unrecognized compensation expense related to these RSUs and RSAs. This expense is expected to be recognized over 2.47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7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 by expense type</w:t>
            </w:r>
          </w:p>
        </w:tc>
        <w:tc>
          <w:tcPr>
            <w:tcW w:w="2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30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563</w:t>
            </w: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219</w:t>
            </w:r>
          </w:p>
        </w:tc>
        <w:tc>
          <w:tcPr>
            <w:tcW w:w="10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1,536</w:t>
            </w: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Total share-based compensation expense</w:t>
            </w:r>
          </w:p>
        </w:tc>
        <w:tc>
          <w:tcPr>
            <w:tcW w:w="2260" w:type="dxa"/>
            <w:vAlign w:val="bottom"/>
          </w:tcPr>
          <w:p>
            <w:pPr>
              <w:spacing w:after="0"/>
              <w:rPr>
                <w:sz w:val="18"/>
                <w:szCs w:val="18"/>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2,519</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3,238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60" w:type="dxa"/>
            <w:vAlign w:val="bottom"/>
            <w:vMerge w:val="restart"/>
          </w:tcPr>
          <w:p>
            <w:pPr>
              <w:jc w:val="right"/>
              <w:ind w:right="1250"/>
              <w:spacing w:after="0"/>
              <w:rPr>
                <w:sz w:val="20"/>
                <w:szCs w:val="20"/>
                <w:color w:val="auto"/>
              </w:rPr>
            </w:pPr>
            <w:r>
              <w:rPr>
                <w:rFonts w:ascii="Arial" w:cs="Arial" w:eastAsia="Arial" w:hAnsi="Arial"/>
                <w:sz w:val="18"/>
                <w:szCs w:val="18"/>
                <w:color w:val="auto"/>
              </w:rPr>
              <w:t>22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effective tax rate for the three months ended March 31, 2021 and 2020 was 0% and 10.9%, respectively. For the three months ended March 31, 2021, the effective tax rate varied from the federal statutory rate of 21% primarily due to the change of the valuation allowance on federal, state, Taiwan, and China deferred tax assets ("DTA"). For the three months ended March 31, 2020, the effective tax rate varied from the federal statutory rate of 21% primarily due to the level and mix of earnings among tax jurisdictions, and the change of valuation allowance on the US and state deferred tax assets.</w:t>
      </w:r>
    </w:p>
    <w:p>
      <w:pPr>
        <w:spacing w:after="0" w:line="188"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Company continually monitors and performs an assessment of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not”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March 31, 2021 was appropriate.</w:t>
      </w:r>
    </w:p>
    <w:p>
      <w:pPr>
        <w:spacing w:after="0" w:line="192" w:lineRule="exact"/>
        <w:rPr>
          <w:sz w:val="20"/>
          <w:szCs w:val="20"/>
          <w:color w:val="auto"/>
        </w:rPr>
      </w:pPr>
    </w:p>
    <w:p>
      <w:pPr>
        <w:jc w:val="both"/>
        <w:ind w:right="120" w:firstLine="648"/>
        <w:spacing w:after="0" w:line="287" w:lineRule="auto"/>
        <w:rPr>
          <w:sz w:val="20"/>
          <w:szCs w:val="20"/>
          <w:color w:val="auto"/>
        </w:rPr>
      </w:pPr>
      <w:r>
        <w:rPr>
          <w:rFonts w:ascii="Arial" w:cs="Arial" w:eastAsia="Arial" w:hAnsi="Arial"/>
          <w:sz w:val="16"/>
          <w:szCs w:val="16"/>
          <w:color w:val="auto"/>
        </w:rPr>
        <w:t>In response to the COVID-19 pandemic, CARES Act was signed into law on March 27, 2020. The CARES Act, among other things, includes tax provisions relating to refundable payroll tax credits, deferment of employer social security payments, net operating loss utilization and carryback periods, modifications to the net interest deduction limitations and technical corrections to tax depreciation methods for qualified improvement property (“QIP”).</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December 27, 2020, the Taxpayer Certainty and Disaster Tax Relief Act of 2020 was enacted as part of the Consolidated Appropriations Act, 2021, followed by the American Rescue Plan Act on March 1, 2021. These recent laws, among many other provisions, expand and extend the refundable employee retention tax credits previously made available under the CARES Act and allow a full deduction for business meals for the 2021 and 2022 tax years. At this point we do not believe that these changes will have a material impact on our income tax provision for 2021. We will continue to evaluate the impact of new legislation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Geographic Information</w:t>
      </w:r>
    </w:p>
    <w:p>
      <w:pPr>
        <w:spacing w:after="0" w:line="229"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4" w:lineRule="exact"/>
        <w:rPr>
          <w:sz w:val="20"/>
          <w:szCs w:val="20"/>
          <w:color w:val="auto"/>
        </w:rPr>
      </w:pPr>
    </w:p>
    <w:p>
      <w:pPr>
        <w:jc w:val="both"/>
        <w:ind w:right="180" w:firstLine="648"/>
        <w:spacing w:after="0" w:line="342"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20"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32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62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$ 3,316</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$ 3,761</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26,395</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23,514</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China</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19,990</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13,192</w:t>
            </w:r>
          </w:p>
        </w:tc>
      </w:tr>
      <w:tr>
        <w:trPr>
          <w:trHeight w:val="20"/>
        </w:trPr>
        <w:tc>
          <w:tcPr>
            <w:tcW w:w="6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$ 49,701</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$ 40,467</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As of the period ended</w:t>
            </w:r>
          </w:p>
        </w:tc>
      </w:tr>
      <w:tr>
        <w:trPr>
          <w:trHeight w:val="210"/>
        </w:trPr>
        <w:tc>
          <w:tcPr>
            <w:tcW w:w="6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r>
      <w:tr>
        <w:trPr>
          <w:trHeight w:val="209"/>
        </w:trPr>
        <w:tc>
          <w:tcPr>
            <w:tcW w:w="6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90,553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90,999</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67,986</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71,080</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China</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107,053</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108,575</w:t>
            </w:r>
          </w:p>
        </w:tc>
      </w:tr>
      <w:tr>
        <w:trPr>
          <w:trHeight w:val="20"/>
        </w:trPr>
        <w:tc>
          <w:tcPr>
            <w:tcW w:w="6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265,592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270,654</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7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Except for the lawsuits described below, the Company believes that there are no claims or actions pending or threatened against it, the ultimate disposition of which would have a material adverse effect on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00" w:lineRule="exact"/>
        <w:rPr>
          <w:sz w:val="20"/>
          <w:szCs w:val="20"/>
          <w:color w:val="auto"/>
        </w:rPr>
      </w:pPr>
    </w:p>
    <w:p>
      <w:pPr>
        <w:spacing w:after="0" w:line="24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On August 7, 2018, a derivative lawsuit was filed in the United States District Court for the Southern District of Texas styled </w:t>
      </w:r>
      <w:r>
        <w:rPr>
          <w:rFonts w:ascii="Arial" w:cs="Arial" w:eastAsia="Arial" w:hAnsi="Arial"/>
          <w:sz w:val="16"/>
          <w:szCs w:val="16"/>
          <w:i w:val="1"/>
          <w:iCs w:val="1"/>
          <w:color w:val="auto"/>
        </w:rPr>
        <w:t>Lei Jin, derivatively</w:t>
      </w:r>
      <w:r>
        <w:rPr>
          <w:rFonts w:ascii="Arial" w:cs="Arial" w:eastAsia="Arial" w:hAnsi="Arial"/>
          <w:sz w:val="16"/>
          <w:szCs w:val="16"/>
          <w:color w:val="auto"/>
        </w:rPr>
        <w:t xml:space="preserve"> </w:t>
      </w:r>
      <w:r>
        <w:rPr>
          <w:rFonts w:ascii="Arial" w:cs="Arial" w:eastAsia="Arial" w:hAnsi="Arial"/>
          <w:sz w:val="16"/>
          <w:szCs w:val="16"/>
          <w:i w:val="1"/>
          <w:iCs w:val="1"/>
          <w:color w:val="auto"/>
        </w:rPr>
        <w:t>on behalf of Applied Optoelectronics, Inc. v. Chih-Hsiang (</w:t>
      </w:r>
      <w:r>
        <w:rPr>
          <w:rFonts w:ascii="Arial" w:cs="Arial" w:eastAsia="Arial" w:hAnsi="Arial"/>
          <w:sz w:val="16"/>
          <w:szCs w:val="16"/>
          <w:color w:val="auto"/>
        </w:rPr>
        <w:t>“</w:t>
      </w:r>
      <w:r>
        <w:rPr>
          <w:rFonts w:ascii="Arial" w:cs="Arial" w:eastAsia="Arial" w:hAnsi="Arial"/>
          <w:sz w:val="16"/>
          <w:szCs w:val="16"/>
          <w:i w:val="1"/>
          <w:iCs w:val="1"/>
          <w:color w:val="auto"/>
        </w:rPr>
        <w:t>Thompson</w:t>
      </w:r>
      <w:r>
        <w:rPr>
          <w:rFonts w:ascii="Arial" w:cs="Arial" w:eastAsia="Arial" w:hAnsi="Arial"/>
          <w:sz w:val="16"/>
          <w:szCs w:val="16"/>
          <w:color w:val="auto"/>
        </w:rPr>
        <w:t>”</w:t>
      </w:r>
      <w:r>
        <w:rPr>
          <w:rFonts w:ascii="Arial" w:cs="Arial" w:eastAsia="Arial" w:hAnsi="Arial"/>
          <w:sz w:val="16"/>
          <w:szCs w:val="16"/>
          <w:i w:val="1"/>
          <w:iCs w:val="1"/>
          <w:color w:val="auto"/>
        </w:rPr>
        <w:t>) Lin, Stefan J. Murry, William H. Yeh, Alex Ignatiev, Richard B. Black, Min-Chu Chen, Alan Moore, and Che-Wei Lin and Applied Optoelectronics, Inc.</w:t>
      </w:r>
      <w:r>
        <w:rPr>
          <w:rFonts w:ascii="Arial" w:cs="Arial" w:eastAsia="Arial" w:hAnsi="Arial"/>
          <w:sz w:val="16"/>
          <w:szCs w:val="16"/>
          <w:color w:val="auto"/>
        </w:rPr>
        <w:t>, No. 4:18-cv-02713 alleging breaches of fiduciary duties, unjust enrichment,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violations of Section 14(a) of the Exchange Act based on similar factual allegations as in the securities class action captioned </w:t>
      </w:r>
      <w:r>
        <w:rPr>
          <w:rFonts w:ascii="Arial" w:cs="Arial" w:eastAsia="Arial" w:hAnsi="Arial"/>
          <w:sz w:val="16"/>
          <w:szCs w:val="16"/>
          <w:i w:val="1"/>
          <w:iCs w:val="1"/>
          <w:color w:val="auto"/>
        </w:rPr>
        <w:t>Mona Abouzied v. Applied</w:t>
      </w:r>
      <w:r>
        <w:rPr>
          <w:rFonts w:ascii="Arial" w:cs="Arial" w:eastAsia="Arial" w:hAnsi="Arial"/>
          <w:sz w:val="16"/>
          <w:szCs w:val="16"/>
          <w:color w:val="auto"/>
        </w:rPr>
        <w:t xml:space="preserve"> </w:t>
      </w:r>
      <w:r>
        <w:rPr>
          <w:rFonts w:ascii="Arial" w:cs="Arial" w:eastAsia="Arial" w:hAnsi="Arial"/>
          <w:sz w:val="16"/>
          <w:szCs w:val="16"/>
          <w:i w:val="1"/>
          <w:iCs w:val="1"/>
          <w:color w:val="auto"/>
        </w:rPr>
        <w:t>Optoelectronics, Inc., Chih-Hsiang (Thompson) Lin, and Stefan J. Murry, et al.</w:t>
      </w:r>
      <w:r>
        <w:rPr>
          <w:rFonts w:ascii="Arial" w:cs="Arial" w:eastAsia="Arial" w:hAnsi="Arial"/>
          <w:sz w:val="16"/>
          <w:szCs w:val="16"/>
          <w:color w:val="auto"/>
        </w:rPr>
        <w:t>, Case No. 4:17-cv-02399, which had been previously filed against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and was dismissed following a settlement in 2020. On December 18, 2018, a second derivative complaint was filed styled </w:t>
      </w:r>
      <w:r>
        <w:rPr>
          <w:rFonts w:ascii="Arial" w:cs="Arial" w:eastAsia="Arial" w:hAnsi="Arial"/>
          <w:sz w:val="16"/>
          <w:szCs w:val="16"/>
          <w:i w:val="1"/>
          <w:iCs w:val="1"/>
          <w:color w:val="auto"/>
        </w:rPr>
        <w:t>Yiu Kwong Ng v.</w:t>
      </w:r>
      <w:r>
        <w:rPr>
          <w:rFonts w:ascii="Arial" w:cs="Arial" w:eastAsia="Arial" w:hAnsi="Arial"/>
          <w:sz w:val="16"/>
          <w:szCs w:val="16"/>
          <w:color w:val="auto"/>
        </w:rPr>
        <w:t xml:space="preserve"> </w:t>
      </w:r>
      <w:r>
        <w:rPr>
          <w:rFonts w:ascii="Arial" w:cs="Arial" w:eastAsia="Arial" w:hAnsi="Arial"/>
          <w:sz w:val="16"/>
          <w:szCs w:val="16"/>
          <w:i w:val="1"/>
          <w:iCs w:val="1"/>
          <w:color w:val="auto"/>
        </w:rPr>
        <w:t>Chih-Hsiang (</w:t>
      </w:r>
      <w:r>
        <w:rPr>
          <w:rFonts w:ascii="Arial" w:cs="Arial" w:eastAsia="Arial" w:hAnsi="Arial"/>
          <w:sz w:val="16"/>
          <w:szCs w:val="16"/>
          <w:color w:val="auto"/>
        </w:rPr>
        <w:t>“</w:t>
      </w:r>
      <w:r>
        <w:rPr>
          <w:rFonts w:ascii="Arial" w:cs="Arial" w:eastAsia="Arial" w:hAnsi="Arial"/>
          <w:sz w:val="16"/>
          <w:szCs w:val="16"/>
          <w:i w:val="1"/>
          <w:iCs w:val="1"/>
          <w:color w:val="auto"/>
        </w:rPr>
        <w:t>Thompson</w:t>
      </w:r>
      <w:r>
        <w:rPr>
          <w:rFonts w:ascii="Arial" w:cs="Arial" w:eastAsia="Arial" w:hAnsi="Arial"/>
          <w:sz w:val="16"/>
          <w:szCs w:val="16"/>
          <w:color w:val="auto"/>
        </w:rPr>
        <w:t>”</w:t>
      </w:r>
      <w:r>
        <w:rPr>
          <w:rFonts w:ascii="Arial" w:cs="Arial" w:eastAsia="Arial" w:hAnsi="Arial"/>
          <w:sz w:val="16"/>
          <w:szCs w:val="16"/>
          <w:i w:val="1"/>
          <w:iCs w:val="1"/>
          <w:color w:val="auto"/>
        </w:rPr>
        <w:t>) Lin, Stefan J. Murry, William H. Yeh, Alex Ignatiev, Richard B. Black, Min-Chu Chen, Alan Moore, and Che-Wei Lin and Applied Optoelectronics, Inc.</w:t>
      </w:r>
      <w:r>
        <w:rPr>
          <w:rFonts w:ascii="Arial" w:cs="Arial" w:eastAsia="Arial" w:hAnsi="Arial"/>
          <w:sz w:val="16"/>
          <w:szCs w:val="16"/>
          <w:color w:val="auto"/>
        </w:rPr>
        <w:t>, No. 4:18-cv-4751 alleging the same causes of actions as the</w:t>
      </w:r>
      <w:r>
        <w:rPr>
          <w:rFonts w:ascii="Arial" w:cs="Arial" w:eastAsia="Arial" w:hAnsi="Arial"/>
          <w:sz w:val="16"/>
          <w:szCs w:val="16"/>
          <w:i w:val="1"/>
          <w:iCs w:val="1"/>
          <w:color w:val="auto"/>
        </w:rPr>
        <w:t xml:space="preserve"> Jin </w:t>
      </w:r>
      <w:r>
        <w:rPr>
          <w:rFonts w:ascii="Arial" w:cs="Arial" w:eastAsia="Arial" w:hAnsi="Arial"/>
          <w:sz w:val="16"/>
          <w:szCs w:val="16"/>
          <w:color w:val="auto"/>
        </w:rPr>
        <w:t>complaint and additional factual allegations regarding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announcement on September 28, 2018 that we had “identified an issue with a small percentage of 25G lasers within a specific customer environment.” On January 11, 2019, the court consolidated these two derivative actions, and on January 15, 2019, the court entered an order staying the actions pending the resolution of the securities class actions. On June 24, 2020, the plaintiffs filed a notice that the stay of proceedings had been terminated, and on July 2, 2020, the parties filed a Joint Stipulation and Proposed Scheduling Order. The court entered the stipulated scheduling order on the same date, under which Defendants were required to file and serve their response or responsive pleading to the complaint by August 3, 2020. By agreement of the parties, the Court subsequently extended the deadline for Defendants to file and serve their response or responsive pleading to December 2, 2020. On December 2, 2020, Defendants filed their motion to dismiss the consolidated derivative complaint. On December 7, 2020, Plaintiffs filed a notice alerting the Court that they were intending to file an amended complaint, which was subsequently filed by Plaintiffs on January 13, 2021. Defendants filed a motion to dismiss all claims on March 1, 2021. Plaintiffs’ response deadline is May 3, 2021. Defendants’ reply deadline is 21 days following May 3, 2021. The complaint requests unspecified damages and other relief. At this stage, we are not yet able to determine the likelihood of loss, if any, arising from this matter.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repaid its revolving bank line of credit with Truist Bank in the amount of $18.7 million in April 2021.</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April 5, 2021, the Company executed a Fifth Amendment to Loan Agreement and a Fourth Amendment to Security Agreement, a Note Modification Agreement, and an Addendum to Promissory Note (together the “Amended Credit Facility”) with Truist Bank. The Amended Credit Facility renews the $20 million line of credit with Truist Bank originally entered into on September 28, 2017. Under the terms of the Amended Credit Facility, the maturity date of the line of credit is extended from April 2, 2021 to October 15, 2022.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March 31, 2021 and the audited consolidated financial statements and notes thereto and management’s discussion and analysis of financial condition and results of operations for the fiscal year ended December 31, 2020 included in our Annual Report. References to “Applied Optoelectronics,” “we,” “our” and “us” are to Applied Optoelectronics, Inc. and its subsidiaries unless otherwise specified or the context otherwise requires.</w:t>
      </w:r>
    </w:p>
    <w:p>
      <w:pPr>
        <w:spacing w:after="0" w:line="17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7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2020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We are a leading, vertically integrated provider of fiber-optic networking products. We target four networking end-markets: internet data centers, CATV, telecom and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7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100 Gbps and above, as well as the movement to open internet data center architectures and the increasing use of in-house equipment design among leading internet companies. Within the CATV market, we benefit from a number of ongoing trends including the build-out of CATV infrastructure in the US and other countries, the move to higher bandwidth networks among CATV service providers and the outsourcing of system design among CATV networking equipment companies. In the FTTH market, we benefit from continuing PON deployments and system upgrades among telecom service providers. In the telecom market, we benefit from deployment of new high-speed fiber-optic networks by telecom network operators, including 5G networks.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w:t>
      </w:r>
    </w:p>
    <w:p>
      <w:pPr>
        <w:spacing w:after="0" w:line="16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8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executive offices are located at 13139 Jess Pirtle Blvd., Sugar Land, TX 77478, and our telephone number is (281) 295-1800.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are subject to risks and uncertainties as a result of the COVID-19 pandemic. The extent of the impact of the COVID-19 pandemic on our business is highly uncertain and difficult to predict as coronavirus continues to spread around the world. In March 2020, we instituted travel restrictions and implemented sanitation and disinfection procedures to safeguard the health and safety of our employees which continue today. We have modified our workplace practices, which resulted in many employees working remotely. With increased vaccinations and the potential significant reduction of infections, we expect that we will be able to implement a safe return to the office environment for all of our employees over the next quarter. However, the spread of COVID-19 may still impact our supply chain operations through restrictions, reduced capacity and shutdown of business activities by suppliers whom we rely on for sourcing components and materials and third-party partners whom we rely on for manufacturing, warehousing and logistics services. Although demand for many of our products has been strong in the short-term as subscribers seek more bandwidth, customers’ purchasing decisions over the long-term may be impacted by the pandemic and its impact on the economy, which could in turn impact our revenue and results of operations. The extent to which the COVID-19 pandemic may materially impact our financial condition, liquidity or results of operations is therefore uncertain.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 forth our consolidated results of operations for the periods presented and as a percentage of our revenue for those periods (in thousands, except percentages):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9"/>
              </w:rPr>
              <w:t>Three months ended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3"/>
              </w:rPr>
              <w:t>March 31,</w:t>
            </w: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3"/>
              </w:rPr>
              <w:t>March 31,</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9"/>
              </w:rPr>
              <w:t>2021</w:t>
            </w:r>
          </w:p>
        </w:tc>
        <w:tc>
          <w:tcPr>
            <w:tcW w:w="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9"/>
              </w:rPr>
              <w:t>2020</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49,701</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40,467</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38,982</w:t>
            </w:r>
          </w:p>
        </w:tc>
        <w:tc>
          <w:tcPr>
            <w:tcW w:w="7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78.4%</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34,129</w:t>
            </w:r>
          </w:p>
        </w:tc>
        <w:tc>
          <w:tcPr>
            <w:tcW w:w="6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84.3%</w:t>
            </w:r>
          </w:p>
        </w:tc>
      </w:tr>
      <w:tr>
        <w:trPr>
          <w:trHeight w:val="20"/>
        </w:trPr>
        <w:tc>
          <w:tcPr>
            <w:tcW w:w="5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10,719</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6,338</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r>
      <w:tr>
        <w:trPr>
          <w:trHeight w:val="209"/>
        </w:trPr>
        <w:tc>
          <w:tcPr>
            <w:tcW w:w="5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10,928</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10,558</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2,960</w:t>
            </w:r>
          </w:p>
        </w:tc>
        <w:tc>
          <w:tcPr>
            <w:tcW w:w="7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2,936</w:t>
            </w:r>
          </w:p>
        </w:tc>
        <w:tc>
          <w:tcPr>
            <w:tcW w:w="6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10,869</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10,638</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r>
      <w:tr>
        <w:trPr>
          <w:trHeight w:val="20"/>
        </w:trPr>
        <w:tc>
          <w:tcPr>
            <w:tcW w:w="5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24,757</w:t>
            </w:r>
          </w:p>
        </w:tc>
        <w:tc>
          <w:tcPr>
            <w:tcW w:w="7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49.8%</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24,132</w:t>
            </w:r>
          </w:p>
        </w:tc>
        <w:tc>
          <w:tcPr>
            <w:tcW w:w="6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59.6%</w:t>
            </w:r>
          </w:p>
        </w:tc>
      </w:tr>
      <w:tr>
        <w:trPr>
          <w:trHeight w:val="20"/>
        </w:trPr>
        <w:tc>
          <w:tcPr>
            <w:tcW w:w="5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(14,038)</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(28.2)%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(17,794)</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(44.0)%</w:t>
            </w:r>
          </w:p>
        </w:tc>
      </w:tr>
      <w:tr>
        <w:trPr>
          <w:trHeight w:val="209"/>
        </w:trPr>
        <w:tc>
          <w:tcPr>
            <w:tcW w:w="5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(1,431)</w:t>
            </w:r>
          </w:p>
        </w:tc>
        <w:tc>
          <w:tcPr>
            <w:tcW w:w="7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(1,455)</w:t>
            </w:r>
          </w:p>
        </w:tc>
        <w:tc>
          <w:tcPr>
            <w:tcW w:w="6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0"/>
        </w:trPr>
        <w:tc>
          <w:tcPr>
            <w:tcW w:w="5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(1,584)</w:t>
            </w:r>
          </w:p>
        </w:tc>
        <w:tc>
          <w:tcPr>
            <w:tcW w:w="7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(1,052)</w:t>
            </w:r>
          </w:p>
        </w:tc>
        <w:tc>
          <w:tcPr>
            <w:tcW w:w="6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(15,622)</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(31.4)%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(18,846)</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(46.6)%</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2,049</w:t>
            </w:r>
          </w:p>
        </w:tc>
        <w:tc>
          <w:tcPr>
            <w:tcW w:w="6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r>
      <w:tr>
        <w:trPr>
          <w:trHeight w:val="20"/>
        </w:trPr>
        <w:tc>
          <w:tcPr>
            <w:tcW w:w="5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(15,622)</w:t>
            </w:r>
          </w:p>
        </w:tc>
        <w:tc>
          <w:tcPr>
            <w:tcW w:w="7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(31.4)%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(16,797)</w:t>
            </w:r>
          </w:p>
        </w:tc>
        <w:tc>
          <w:tcPr>
            <w:tcW w:w="6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(41.5)%</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telecom and FTTH markets. We derive a significant portion of our revenue from our top ten customers, and we anticipate that we will continue to do so for the foreseeable future. The following charts provide the revenue contribution from each of the markets we served for the three months ended March 31, 2021 and 2020 (in thousands, except percentages):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b w:val="1"/>
                <w:bCs w:val="1"/>
                <w:color w:val="auto"/>
                <w:w w:val="91"/>
              </w:rPr>
              <w:t>Three months ended March 31,</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25,939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CATV</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18,638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4,223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14,415</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341.3%</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FTTH</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0"/>
        </w:trPr>
        <w:tc>
          <w:tcPr>
            <w:tcW w:w="3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2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49,701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40,467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9,234</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r>
      <w:tr>
        <w:trPr>
          <w:trHeight w:val="20"/>
        </w:trPr>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The increase in revenue during the three months ended March 31, 2021 was driven primarily by increase demand for CATV and telecom products from several existing customers. The increase in demand from CATV multiple-system operators ("MSOs") resulted in strong demand for our CATV products, especially those products that are related to architecture improvements to enable delivery of additional bandwidth to consumers. This increase in bandwidth demand is particularly acute in the upstream direction, and sales of products associated with increased return-path bandwidth were notably strong in the quarter. Based on forecasts and current order bookings, we believe that this CATV demand will likely continue for several quarters at</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least. The increase in 5G-related sales came mainly from customers in China, as wireless operators in that country have begun to deploy advanced 5G mobile networks. However, for the three months ended March 31, 2021, demand for data center segment decreased; this slowdown was related to inventory normalization following the surge in demand that was driven by the shift to working from home early last year.</w:t>
      </w:r>
    </w:p>
    <w:p>
      <w:pPr>
        <w:spacing w:after="0" w:line="173"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For the three months ended March 31, 2021 and 2020, our top ten customers represented 90.5% and 84.8% of our revenue, respectively. The percentage revenue attributable to our top 10 customers increased during the period, which is largely attributable to growth in our CATV business, which is highly concentrated among a few customers who supply the MSOs. We believe that diversifying our customer base is critical for our future success, since reliance on a small number of key customers makes our ability to forecast future results dependent upon the accuracy of the forecasts we receive from those key customers. We continue to prioritize new customer acquisition and growth of diverse revenue streams.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8"/>
                <w:szCs w:val="18"/>
                <w:b w:val="1"/>
                <w:bCs w:val="1"/>
                <w:color w:val="auto"/>
                <w:w w:val="91"/>
              </w:rPr>
              <w:t>Three months ended March 31,</w:t>
            </w: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38,982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34,129</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84.3%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10,719</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6,338</w:t>
            </w: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Cost of goods sold increased by $4.9 million, or 14.2%, for the three months ended March 31, 2021 as compared to the three months ended March 31, 2020, primarily due to increase in sales over the prior year.</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Gross margin increased year over year primarily as a result of changes in the mix of products in our datacenter and CATV segment. In particular, we saw an increase in sales of certain CATV multiple-system operators, relative to sales of transceivers. This product mix resulted in an overall improvement in gross margin. Also contributing to the improvement of gross margin was production efficiencies.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4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8"/>
                <w:szCs w:val="18"/>
                <w:b w:val="1"/>
                <w:bCs w:val="1"/>
                <w:color w:val="auto"/>
                <w:w w:val="91"/>
              </w:rPr>
              <w:t>Three months ended March 31,</w:t>
            </w:r>
          </w:p>
        </w:tc>
        <w:tc>
          <w:tcPr>
            <w:tcW w:w="9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10,558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2,936</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10,638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24,132</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Research and development expense increased by $0.4 million, or 3.5% for the three months ended March 31, 2021 as compared to the three months ended March 31, 2020. Research and development costs consist of R&amp;D work orders, R&amp;D material usage and other project related costs related to 100 Gbps, 200/400 Gbps data center products, DOCSIS 3.1 capable CATV products and other new product development, and depreciation expense resulting from R&amp;D equipment investments. For the three months ended March 31, 2021, these increases were primarily due to an increase in costs from R&amp;D work orders and repair and maintenance as a result of winter storm Uri.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Sales and marketing expense slightly increased for the three months ended March 31, 2021 as compared to the three months ended March 31, 2020. These increases were primarily due to increase in commission expenses and personnel-related costs. These increases were partially offset by a decrease in trade show expenses and travel-related costs as a result of the COVID-19 pandemic. As noted above, as a result of the pandemic outbreak, the Company has modified many of its customary business practices by limiting employee travel including cancelling in-person participation in various meetings, events and conferences.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General and administrative expense increased by $0.2 million, or 2.2% for the three months ended March 31, 2021 compared to the three months ended March 31, 2020. These increases were primarily due to an increase in personnel-related costs, insurance expense and expense related to winter storm Uri. These increases were partially offset by a decrease in share-based compensation expense and professional service fees.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160" w:type="dxa"/>
            <w:vAlign w:val="bottom"/>
            <w:gridSpan w:val="2"/>
          </w:tcPr>
          <w:p>
            <w:pPr>
              <w:spacing w:after="0"/>
              <w:rPr>
                <w:sz w:val="20"/>
                <w:szCs w:val="20"/>
                <w:color w:val="auto"/>
              </w:rPr>
            </w:pPr>
            <w:r>
              <w:rPr>
                <w:rFonts w:ascii="Arial" w:cs="Arial" w:eastAsia="Arial" w:hAnsi="Arial"/>
                <w:sz w:val="18"/>
                <w:szCs w:val="18"/>
                <w:i w:val="1"/>
                <w:iCs w:val="1"/>
                <w:color w:val="auto"/>
              </w:rPr>
              <w:t>Other income (expense), net</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8"/>
                <w:szCs w:val="18"/>
                <w:b w:val="1"/>
                <w:bCs w:val="1"/>
                <w:color w:val="auto"/>
                <w:w w:val="92"/>
              </w:rPr>
              <w:t>Three months ended March 31,</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6"/>
              </w:rPr>
              <w:t>(in thousands,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73"/>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(1,431)</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(1,455)</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(1,584)</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(1,052)</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(532)</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Interest income decreased by $0.1 million, or 89.1% for the three months ended March 31, 2021 compared to the three months ended March 31, 2020. The changes are similar to expected rates of fluctuation with the interest rates and cash balances.</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Interest expense decreased slightly for the three months ended March 31, 2021 compared to the three months ended March 31, 2020. This decrease was due to lower average debt balances during the period.</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Other income (expense), net decreased by $0.4 million, or 166.0%, for the three months ended March 31, 2021 as compared to the three months ended March 31, 2020. This decrease was mainly due to an an increase in foreign currency transaction losses.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Benefit (provision) for income taxes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w w:val="89"/>
              </w:rPr>
              <w:t>Three months ended March 31,</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5940" w:type="dxa"/>
            <w:vAlign w:val="bottom"/>
          </w:tcPr>
          <w:p>
            <w:pPr>
              <w:spacing w:after="0"/>
              <w:rPr>
                <w:sz w:val="18"/>
                <w:szCs w:val="18"/>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5"/>
              </w:rPr>
              <w:t>(in thousands,</w:t>
            </w:r>
          </w:p>
        </w:tc>
        <w:tc>
          <w:tcPr>
            <w:tcW w:w="19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80"/>
              </w:rPr>
              <w:t>except percentages)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2,049</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 w:right="180" w:firstLine="648"/>
        <w:spacing w:after="0" w:line="257" w:lineRule="auto"/>
        <w:rPr>
          <w:sz w:val="20"/>
          <w:szCs w:val="20"/>
          <w:color w:val="auto"/>
        </w:rPr>
      </w:pPr>
      <w:r>
        <w:rPr>
          <w:rFonts w:ascii="Arial" w:cs="Arial" w:eastAsia="Arial" w:hAnsi="Arial"/>
          <w:sz w:val="18"/>
          <w:szCs w:val="18"/>
          <w:color w:val="auto"/>
        </w:rPr>
        <w:t>The Company’s effective tax rate for the three months ended March 31, 2021 and 2020 was 0% and 10.9%, respectively. For the three months ended March 31, 2021, the effective tax rate varied from the federal statutory rate of 21% primarily due to the change of the valuation allowance on federal, state, Taiwan, and China deferred tax assets ("DTA"). For the three months ended March 31, 2020, the effective tax rate varied from the federal statutory rate of 21% primarily due to the level and mix of earnings among tax jurisdictions, and the change of valuation allowance on the US and state deferred tax assets.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As of March 31, 2021, we had $21.8 million of unused borrowing capacity from all of our loan agreements. As of March 31, 2021, our cash, cash equivalents and restricted cash totaled $49.3 million. Cash and cash equivalents are held for working capital purposes and are invested primarily in money market or time deposit funds. We do not enter into investments for trading or speculative purposes.</w:t>
      </w:r>
    </w:p>
    <w:p>
      <w:pPr>
        <w:spacing w:after="0" w:line="184" w:lineRule="exact"/>
        <w:rPr>
          <w:sz w:val="20"/>
          <w:szCs w:val="20"/>
          <w:color w:val="auto"/>
        </w:rPr>
      </w:pPr>
    </w:p>
    <w:p>
      <w:pPr>
        <w:ind w:right="560" w:firstLine="693"/>
        <w:spacing w:after="0" w:line="263" w:lineRule="auto"/>
        <w:rPr>
          <w:sz w:val="20"/>
          <w:szCs w:val="20"/>
          <w:color w:val="auto"/>
        </w:rPr>
      </w:pPr>
      <w:r>
        <w:rPr>
          <w:rFonts w:ascii="Arial" w:cs="Arial" w:eastAsia="Arial" w:hAnsi="Arial"/>
          <w:sz w:val="18"/>
          <w:szCs w:val="18"/>
          <w:color w:val="auto"/>
        </w:rPr>
        <w:t>On October 24, 2019, we filed a Registration Statement on Form S-3 with the Securities and Exchange Commission, which was declared effective on January 9, 2020, providing for the public offer and sale of certain securities of the Company from time to time, at our discretion, up to an aggregate amount of $250 million.</w:t>
      </w:r>
    </w:p>
    <w:p>
      <w:pPr>
        <w:spacing w:after="0" w:line="184"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On February 28, 2020, we entered into an Equity Distribution Agreement with Raymond James &amp; Associates, Inc. (the “Sales Agent”) pursuant to which the Company may issue and sell shares of the Company’s common stock having an aggregate offering price of up to $55 million (the “Initial ATM Offering”), from time to time through the Sales Agent. In January 2021, the Company completed its Initial ATM Offering and sold 5.9 million shares at a weighted average price of $9.12 per share, providing proceeds of $53.9 million, net of expenses and underwriting discounts and commissions.</w:t>
      </w:r>
    </w:p>
    <w:p>
      <w:pPr>
        <w:spacing w:after="0" w:line="157"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On February 26, 2021, we entered into another an Equity Distribution Agreement (the “Agreement”) with the Sale Agent pursuant to which the Company may issue and sell shares of the Company’s common stock, par value $0.001 per share (the “Shares”) having an aggregate offering price of up to $35 million (the “Second ATM Offering”), respectively,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Agreement provides that the Sales Agent will be entitled to compensation of up to 2% of the gross sales price of the Shares sold through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Sales Agent from time to time. The Company has also agreed to reimburse the Sales Agent for certain specified expenses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registration of Shares under state blue sky laws and any filing with, and clearance of the offering by, the Financial Industry Regulatory Authority Inc.,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exceed $10,000 in the aggregate, and any associated application fees incurred. Additionally, if the Agreement is terminated under certain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Company fails to sell a minimum amount of the Shares as set forth in the Agreement, then the Company has agreed to reimburse the Sales Agent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reasonable out-of-pocket expenses, including the reasonable fees and disbursements of counsel incurred by the Sales Agent, up to a maximum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$30,000 in the aggregate. The Company agreed to indemnify the Sales Agent against certain liabilities, including liabilities under the Securities Act, or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contribute to payments that the Sales Agent may be required to make because of any of those liabilities.</w:t>
      </w:r>
    </w:p>
    <w:p>
      <w:pPr>
        <w:spacing w:after="0" w:line="200" w:lineRule="exact"/>
        <w:rPr>
          <w:sz w:val="20"/>
          <w:szCs w:val="20"/>
          <w:color w:val="auto"/>
        </w:rPr>
      </w:pPr>
    </w:p>
    <w:p>
      <w:pPr>
        <w:spacing w:after="0" w:line="227"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In March 2021, we commenced sales of common stock through the Second ATM Offering. The details of the shares of common stock sold through the Second ATM Offering through March 31, 2021 are as follows (in thousands, except shares and weighted average per share price):</w:t>
      </w:r>
    </w:p>
    <w:p>
      <w:pPr>
        <w:spacing w:after="0" w:line="12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Average Per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to Distribution</w:t>
            </w:r>
          </w:p>
        </w:tc>
      </w:tr>
      <w:tr>
        <w:trPr>
          <w:trHeight w:val="234"/>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Distribution Agent</w:t>
            </w:r>
          </w:p>
        </w:tc>
        <w:tc>
          <w:tcPr>
            <w:tcW w:w="80" w:type="dxa"/>
            <w:vAlign w:val="bottom"/>
          </w:tcPr>
          <w:p>
            <w:pPr>
              <w:spacing w:after="0"/>
              <w:rPr>
                <w:sz w:val="20"/>
                <w:szCs w:val="20"/>
                <w:color w:val="auto"/>
              </w:rPr>
            </w:pPr>
          </w:p>
        </w:tc>
        <w:tc>
          <w:tcPr>
            <w:tcW w:w="15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Month</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Share Price</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Sold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Net Proceeds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Agent</w:t>
            </w:r>
          </w:p>
        </w:tc>
        <w:tc>
          <w:tcPr>
            <w:tcW w:w="100" w:type="dxa"/>
            <w:vAlign w:val="bottom"/>
          </w:tcPr>
          <w:p>
            <w:pPr>
              <w:spacing w:after="0"/>
              <w:rPr>
                <w:sz w:val="20"/>
                <w:szCs w:val="20"/>
                <w:color w:val="auto"/>
              </w:rPr>
            </w:pP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8"/>
              </w:rPr>
              <w:t>March 2021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9.0622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65,748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bl>
    <w:p>
      <w:pPr>
        <w:spacing w:after="0" w:line="202" w:lineRule="exact"/>
        <w:rPr>
          <w:sz w:val="20"/>
          <w:szCs w:val="20"/>
          <w:color w:val="auto"/>
        </w:rPr>
      </w:pPr>
    </w:p>
    <w:p>
      <w:pPr>
        <w:ind w:left="440" w:right="320" w:firstLine="324"/>
        <w:spacing w:after="0" w:line="277" w:lineRule="auto"/>
        <w:rPr>
          <w:sz w:val="20"/>
          <w:szCs w:val="20"/>
          <w:color w:val="auto"/>
        </w:rPr>
      </w:pPr>
      <w:r>
        <w:rPr>
          <w:rFonts w:ascii="Arial" w:cs="Arial" w:eastAsia="Arial" w:hAnsi="Arial"/>
          <w:sz w:val="18"/>
          <w:szCs w:val="18"/>
          <w:color w:val="auto"/>
        </w:rPr>
        <w:t>As of March 31, 2021, the total gross sales were $0.6 million and thus remaining amount of common stock we have available to sell under the ATM Offering is $34.4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5, 2019, the Company issued $80.5 million of 5% convertible senior notes due 2024, bearing interest at a rate of 5% per year maturing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March 15, 2024, unless earlier repurchased, redeemed or converted in accordance with their terms. The sale of the Notes generated net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$76.4 million, after expenses. Also refer to Note 12 “Convertible Senior Notes” to the consolidated financial statements for further discussion of the Notes.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3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62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(15,214)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(2,422)</w:t>
            </w: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(3,200)</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17,475</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6,854</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9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(615)</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r>
      <w:tr>
        <w:trPr>
          <w:trHeight w:val="20"/>
        </w:trPr>
        <w:tc>
          <w:tcPr>
            <w:tcW w:w="6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(4,511)</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320" w:top="125" w:right="259" w:bottom="1440" w:gutter="0" w:footer="0" w:header="0"/>
        </w:sectPr>
      </w:pP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three months ended March 31, 2021, net cash used in operating activities was $15.2 million. Net cash used in operating activities consisted of our net loss of $15.6 million after exclusion of non-cash items of $11.0 million, cash decreased due to a decrease in accrued liabilities of $4.5 million, a decrease in accounts payable to our vendors of $3.3 million, and an increase in accounts receivable from our customers of $4.5 million, offset by a decrease in inventory of $2.8 million.</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three months ended March 31, 2020, net cash used in operating activities was $8.2 million. Net cash used in operating activities consisted of our net loss of $16.8 million, after exclusion of non-cash items of $9.2 million, , an increase in inventory of $4.5 million, a decrease in accrued liabilities of $7.1 million, offset by a decrease in accounts receivable from our customers of $8.8 million and an increase in accounts payable to our vendors of $3.4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the three months ended March 31, 2021, net cash used in investing activities was $2.4 million, mainly from the purchase of additional plant, machinery and equipment.</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the three months ended March 31, 2020, net cash used in investing activities was $3.2 million, mainly from the purchase of additional plant, machinery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the three months ended March 31, 2021, our financing activities provided $17.5 million in cash. This increase in cash was due to $15.1 million of net proceeds from our At The Market (ATM) Offerings, $13.2 million net proceeds from lines of credit offset by net loan repayment of $1.0 million and net repayment of acceptances payable of $9.5 million.</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the three months ended March 31, 2020, our financing activities provided $6.9 million in cash. This increase in cash was due to $3.8 million and $3.4 million of net proceeds from lines of credit and acceptances payable,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have lending arrangements with several financial institutions. In the US, we have a revolving line of credit and a PPP Term Note with Truist Bank. The line of credit contains financial covenants that may limit the amount and types of debt that we may incur. As of March 31, 2021, we were in compliance with these covenants.</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Taiwan, we have a revolving credit facility with Taishin International Bank and equipment finance agreements with Chailease Finance Co., Ltd. for Prime World’s Taiwan Branch. In China, we have revolving lines of credit with China Merchants Bank Co., Ltd. and Shanghai Pudong Development Bank Co., Ltd. and credit facilities with China Zheshang Bank Co., Ltd. for our China Subsidiary, Global.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we had $21.8 million of unused borrowing capacity.</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March 5, 2019, we issued $80.5 million of 5% convertible senior notes due 2024. The Notes will mature on March 15, 2024, unless earlier repurchased, redeemed or converted in accordance with their terms.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See Note 11 “Notes Payable and Long-term Debt” and Note 12 “Convertible Senior Notes” of our Condensed Consolidated Financial Statements for a description of our notes payable and long-term debt and convertible senior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factory construction</w:t>
      </w:r>
    </w:p>
    <w:p>
      <w:pPr>
        <w:spacing w:after="0" w:line="225"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March 31, 2021, construction of the building is complete, and approximately $27.4 million of this total cost has been paid and the remaining portion will be paid in yearly installments for three years after final inspection. We anticipate additional expenses for building improvements to the factory and we are in the process of evaluating the timing of these expenditures and obtaining bids for any such work.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and other facilities at our Ningbo, China location,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March 31, 2021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1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20"/>
              <w:spacing w:after="0" w:line="191" w:lineRule="exact"/>
              <w:rPr>
                <w:sz w:val="20"/>
                <w:szCs w:val="20"/>
                <w:color w:val="auto"/>
              </w:rPr>
            </w:pPr>
            <w:r>
              <w:rPr>
                <w:rFonts w:ascii="Arial" w:cs="Arial" w:eastAsia="Arial" w:hAnsi="Arial"/>
                <w:sz w:val="14"/>
                <w:szCs w:val="14"/>
                <w:b w:val="1"/>
                <w:bCs w:val="1"/>
                <w:color w:val="auto"/>
              </w:rPr>
              <w:t xml:space="preserve">Less than </w:t>
            </w:r>
            <w:r>
              <w:rPr>
                <w:rFonts w:ascii="Arial" w:cs="Arial" w:eastAsia="Arial" w:hAnsi="Arial"/>
                <w:sz w:val="22"/>
                <w:szCs w:val="22"/>
                <w:b w:val="1"/>
                <w:bCs w:val="1"/>
                <w:color w:val="auto"/>
                <w:vertAlign w:val="superscript"/>
              </w:rPr>
              <w:t>1</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6"/>
                <w:szCs w:val="16"/>
                <w:color w:val="auto"/>
              </w:rPr>
            </w:pPr>
          </w:p>
        </w:tc>
      </w:tr>
      <w:tr>
        <w:trPr>
          <w:trHeight w:val="234"/>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1-3 Years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3-5 Years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r>
      <w:tr>
        <w:trPr>
          <w:trHeight w:val="210"/>
        </w:trPr>
        <w:tc>
          <w:tcPr>
            <w:tcW w:w="4620" w:type="dxa"/>
            <w:vAlign w:val="bottom"/>
            <w:gridSpan w:val="2"/>
            <w:shd w:val="clear" w:color="auto" w:fill="CCEEFF"/>
          </w:tcPr>
          <w:p>
            <w:pPr>
              <w:spacing w:after="0" w:line="210" w:lineRule="exact"/>
              <w:rPr>
                <w:sz w:val="20"/>
                <w:szCs w:val="20"/>
                <w:color w:val="auto"/>
              </w:rPr>
            </w:pPr>
            <w:r>
              <w:rPr>
                <w:rFonts w:ascii="Arial" w:cs="Arial" w:eastAsia="Arial" w:hAnsi="Arial"/>
                <w:sz w:val="15"/>
                <w:szCs w:val="15"/>
                <w:color w:val="auto"/>
              </w:rPr>
              <w:t>Notes payable and long-term debt</w:t>
            </w:r>
            <w:r>
              <w:rPr>
                <w:rFonts w:ascii="Arial" w:cs="Arial" w:eastAsia="Arial" w:hAnsi="Arial"/>
                <w:sz w:val="24"/>
                <w:szCs w:val="24"/>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64,489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line="216" w:lineRule="exact"/>
              <w:rPr>
                <w:sz w:val="20"/>
                <w:szCs w:val="20"/>
                <w:color w:val="auto"/>
              </w:rPr>
            </w:pPr>
            <w:r>
              <w:rPr>
                <w:rFonts w:ascii="Arial" w:cs="Arial" w:eastAsia="Arial" w:hAnsi="Arial"/>
                <w:sz w:val="16"/>
                <w:szCs w:val="16"/>
                <w:color w:val="auto"/>
              </w:rPr>
              <w:t>Convertible senior notes</w:t>
            </w:r>
            <w:r>
              <w:rPr>
                <w:rFonts w:ascii="Arial" w:cs="Arial" w:eastAsia="Arial" w:hAnsi="Arial"/>
                <w:sz w:val="25"/>
                <w:szCs w:val="25"/>
                <w:color w:val="auto"/>
                <w:vertAlign w:val="superscript"/>
              </w:rPr>
              <w:t>(2)</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92,273</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4,025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88,248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Operating leases</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10,329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3,892</w:t>
            </w:r>
          </w:p>
        </w:tc>
      </w:tr>
      <w:tr>
        <w:trPr>
          <w:trHeight w:val="216"/>
        </w:trPr>
        <w:tc>
          <w:tcPr>
            <w:tcW w:w="4620" w:type="dxa"/>
            <w:vAlign w:val="bottom"/>
            <w:gridSpan w:val="2"/>
          </w:tcPr>
          <w:p>
            <w:pPr>
              <w:spacing w:after="0" w:line="216" w:lineRule="exact"/>
              <w:rPr>
                <w:sz w:val="20"/>
                <w:szCs w:val="20"/>
                <w:color w:val="auto"/>
              </w:rPr>
            </w:pPr>
            <w:r>
              <w:rPr>
                <w:rFonts w:ascii="Arial" w:cs="Arial" w:eastAsia="Arial" w:hAnsi="Arial"/>
                <w:sz w:val="16"/>
                <w:szCs w:val="16"/>
                <w:color w:val="auto"/>
              </w:rPr>
              <w:t>Financing leases</w:t>
            </w:r>
            <w:r>
              <w:rPr>
                <w:rFonts w:ascii="Arial" w:cs="Arial" w:eastAsia="Arial" w:hAnsi="Arial"/>
                <w:sz w:val="25"/>
                <w:szCs w:val="25"/>
                <w:color w:val="auto"/>
                <w:vertAlign w:val="superscript"/>
              </w:rPr>
              <w:t>(3)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commitments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167,195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3,892</w:t>
            </w:r>
          </w:p>
        </w:tc>
      </w:tr>
      <w:tr>
        <w:trPr>
          <w:trHeight w:val="54"/>
        </w:trPr>
        <w:tc>
          <w:tcPr>
            <w:tcW w:w="1120" w:type="dxa"/>
            <w:vAlign w:val="bottom"/>
            <w:tcBorders>
              <w:bottom w:val="single" w:sz="8" w:color="auto"/>
            </w:tcBorders>
          </w:tcPr>
          <w:p>
            <w:pPr>
              <w:spacing w:after="0"/>
              <w:rPr>
                <w:sz w:val="4"/>
                <w:szCs w:val="4"/>
                <w:color w:val="auto"/>
              </w:rPr>
            </w:pPr>
          </w:p>
        </w:tc>
        <w:tc>
          <w:tcPr>
            <w:tcW w:w="3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40" w:lineRule="exact"/>
        <w:rPr>
          <w:sz w:val="20"/>
          <w:szCs w:val="20"/>
          <w:color w:val="auto"/>
        </w:rPr>
      </w:pPr>
    </w:p>
    <w:p>
      <w:pPr>
        <w:ind w:left="660" w:right="22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several loan and security agreements in China, Taiwan and the U.S. that provide various credit facilities, including lines of credit, bank acceptance payable and term loans. The amount presented in the table represents the principal portion and estimated interest expense for the obligations.</w:t>
      </w:r>
    </w:p>
    <w:p>
      <w:pPr>
        <w:spacing w:after="0" w:line="2"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issued convertible senior notes due 2024. The amount present in the table represents the principal portion and estimated interest expense for the obligations.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various non-cancellable lease agreements for our offices in Taiwan and in the 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net sales and revenues or on income from continuing operations or on the prices of raw materials. To the extent we expand our operations in China and Taiwan, such actions may result in inflation having a more significant impact on our operating results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nine months ended March 31, 2021, we did not, and do not currently,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In our Annual Report for the year ended December 31, 2020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For quantitative and qualitative disclosures about market risk affecting the Company, see Item 7A – Quantitative and Qualitative Disclosures about Market Risk in our Annual Report for the fiscal year ended December 31, 2020. We do not believe the Company’s exposure to market risk has changed materially since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77"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March 31, 2021. Based upon that evaluation, our Chief Executive Officer and Chief Financial Officer concluded that, as of the end of the period covered by this report, our disclosure controls and procedures were effective.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Information with respect to legal proceedings can be found under the heading "Contingencies" in Note 18 to the Condensed Consolidated Financial Statements contained in Part 1, Item 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Investing in our common stock involves a high degree of risk. See Part I, Item 1A, Risk Factors, of our Annual Report on Form 10-K for the year ended December 31, 2020 for a detailed discussion of the risk factors affecting our Company. As of March 31, 2021, there have been no material changes to those 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80" w:type="dxa"/>
            <w:vAlign w:val="bottom"/>
            <w:gridSpan w:val="15"/>
          </w:tcPr>
          <w:p>
            <w:pPr>
              <w:ind w:left="160"/>
              <w:spacing w:after="0"/>
              <w:rPr>
                <w:sz w:val="20"/>
                <w:szCs w:val="20"/>
                <w:color w:val="auto"/>
              </w:rPr>
            </w:pPr>
            <w:r>
              <w:rPr>
                <w:rFonts w:ascii="Arial" w:cs="Arial" w:eastAsia="Arial" w:hAnsi="Arial"/>
                <w:sz w:val="18"/>
                <w:szCs w:val="18"/>
                <w:b w:val="1"/>
                <w:bCs w:val="1"/>
                <w:color w:val="auto"/>
              </w:rPr>
              <w:t>EXHIBIT INDEX</w:t>
            </w:r>
          </w:p>
        </w:tc>
      </w:tr>
      <w:tr>
        <w:trPr>
          <w:trHeight w:val="648"/>
        </w:trPr>
        <w:tc>
          <w:tcPr>
            <w:tcW w:w="12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4"/>
                <w:szCs w:val="24"/>
                <w:color w:val="auto"/>
              </w:rPr>
            </w:pPr>
          </w:p>
        </w:tc>
        <w:tc>
          <w:tcPr>
            <w:tcW w:w="9580" w:type="dxa"/>
            <w:vAlign w:val="bottom"/>
            <w:gridSpan w:val="23"/>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auto"/>
            </w:tcBorders>
            <w:gridSpan w:val="22"/>
          </w:tcPr>
          <w:p>
            <w:pPr>
              <w:spacing w:after="0" w:line="169" w:lineRule="exact"/>
              <w:rPr>
                <w:rFonts w:ascii="Arial" w:cs="Arial" w:eastAsia="Arial" w:hAnsi="Arial"/>
                <w:sz w:val="18"/>
                <w:szCs w:val="18"/>
                <w:color w:val="0000EE"/>
                <w:w w:val="93"/>
              </w:rPr>
            </w:pPr>
            <w:hyperlink r:id="rId39">
              <w:r>
                <w:rPr>
                  <w:rFonts w:ascii="Arial" w:cs="Arial" w:eastAsia="Arial" w:hAnsi="Arial"/>
                  <w:sz w:val="18"/>
                  <w:szCs w:val="18"/>
                  <w:color w:val="0000EE"/>
                  <w:w w:val="93"/>
                </w:rPr>
                <w:t>Amended and Restated Certificate of Incorporation, as currently in effect (filed as Exhibit 3.1 to the Registrant’s Quarterly Report</w:t>
              </w:r>
            </w:hyperlink>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on Form 10-Q filed with the Securities and Exchange Commission on November 14, 2013).</w:t>
              </w:r>
            </w:hyperlink>
          </w:p>
        </w:tc>
        <w:tc>
          <w:tcPr>
            <w:tcW w:w="2740" w:type="dxa"/>
            <w:vAlign w:val="bottom"/>
            <w:tcBorders>
              <w:top w:val="single" w:sz="8" w:color="0000EE"/>
            </w:tcBorders>
            <w:gridSpan w:val="5"/>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9400" w:type="dxa"/>
            <w:vAlign w:val="bottom"/>
            <w:tcBorders>
              <w:bottom w:val="single" w:sz="8" w:color="0000EE"/>
            </w:tcBorders>
            <w:gridSpan w:val="17"/>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Amended and Restated Bylaws, as currently in effect (filed as Exhibit 3.2 to the Registrant’s Quarterly Report on Form 10-Q filed</w:t>
              </w:r>
            </w:hyperlink>
          </w:p>
        </w:tc>
        <w:tc>
          <w:tcPr>
            <w:tcW w:w="180" w:type="dxa"/>
            <w:vAlign w:val="bottom"/>
            <w:gridSpan w:val="6"/>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with the Securities and Exchange Commission on November 14, 2013).</w:t>
              </w:r>
            </w:hyperlink>
          </w:p>
        </w:tc>
        <w:tc>
          <w:tcPr>
            <w:tcW w:w="4400" w:type="dxa"/>
            <w:vAlign w:val="bottom"/>
            <w:gridSpan w:val="14"/>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8900" w:type="dxa"/>
            <w:vAlign w:val="bottom"/>
            <w:tcBorders>
              <w:bottom w:val="single" w:sz="8" w:color="0000EE"/>
            </w:tcBorders>
            <w:gridSpan w:val="11"/>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Common Stock Specimen (filed as Exhibit 4.1 to the Registrant’s Current Report on Form 8-K filed with the Securities and</w:t>
              </w:r>
            </w:hyperlink>
          </w:p>
        </w:tc>
        <w:tc>
          <w:tcPr>
            <w:tcW w:w="680" w:type="dxa"/>
            <w:vAlign w:val="bottom"/>
            <w:gridSpan w:val="1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23"/>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Exchange Commission on July 15, 2015).</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9540" w:type="dxa"/>
            <w:vAlign w:val="bottom"/>
            <w:tcBorders>
              <w:bottom w:val="single" w:sz="8" w:color="0000EE"/>
            </w:tcBorders>
            <w:gridSpan w:val="21"/>
          </w:tcPr>
          <w:p>
            <w:pPr>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Indenture, dated as of March 5, 2019 between Applied Optoelectronics, Inc. and Wells Fargo Bank, National Association, as trustee,</w:t>
              </w:r>
            </w:hyperlink>
          </w:p>
        </w:tc>
        <w:tc>
          <w:tcPr>
            <w:tcW w:w="40" w:type="dxa"/>
            <w:vAlign w:val="bottom"/>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paying agent, and conversion agent (filed as Exhibit 4.1 to the Registrant’s Current Report on Form 8-K filed with the Securities and</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23"/>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Exchange Commission on March 5, 2019).</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24"/>
                <w:szCs w:val="24"/>
                <w:color w:val="auto"/>
              </w:rPr>
            </w:pPr>
          </w:p>
        </w:tc>
        <w:tc>
          <w:tcPr>
            <w:tcW w:w="9580" w:type="dxa"/>
            <w:vAlign w:val="bottom"/>
            <w:gridSpan w:val="23"/>
          </w:tcPr>
          <w:p>
            <w:pPr>
              <w:spacing w:after="0"/>
              <w:rPr>
                <w:rFonts w:ascii="Arial" w:cs="Arial" w:eastAsia="Arial" w:hAnsi="Arial"/>
                <w:sz w:val="18"/>
                <w:szCs w:val="18"/>
                <w:color w:val="0000EE"/>
                <w:w w:val="91"/>
              </w:rPr>
            </w:pPr>
            <w:hyperlink r:id="rId42">
              <w:r>
                <w:rPr>
                  <w:rFonts w:ascii="Arial" w:cs="Arial" w:eastAsia="Arial" w:hAnsi="Arial"/>
                  <w:sz w:val="18"/>
                  <w:szCs w:val="18"/>
                  <w:color w:val="0000EE"/>
                  <w:w w:val="91"/>
                </w:rPr>
                <w:t>Form of Note representing the Company’s 5.00% Convertible Senior Notes due 2024 (included as Exhibit A to the Indenture filed as</w:t>
              </w:r>
            </w:hyperlink>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Exhibit 4.1 to the Registrant’s Current Report on Form 8-K filed with the Securities and Exchange Commission on March 5, 2019).</w:t>
              </w:r>
            </w:hyperlink>
          </w:p>
        </w:tc>
        <w:tc>
          <w:tcPr>
            <w:tcW w:w="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9480" w:type="dxa"/>
            <w:vAlign w:val="bottom"/>
            <w:tcBorders>
              <w:bottom w:val="single" w:sz="8" w:color="0000EE"/>
            </w:tcBorders>
            <w:gridSpan w:val="19"/>
          </w:tcPr>
          <w:p>
            <w:pPr>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Translation of the Maximum Loan Contract, between Global Technology, Inc. and China Zheshang Bank Co., Ltd, dated January 6,</w:t>
              </w:r>
            </w:hyperlink>
          </w:p>
        </w:tc>
        <w:tc>
          <w:tcPr>
            <w:tcW w:w="100" w:type="dxa"/>
            <w:vAlign w:val="bottom"/>
            <w:gridSpan w:val="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2021 (included as Exhibit 10.1 to the Registrants Current Report on Form 8-K filed with the Securities and Exchange Commission</w:t>
              </w:r>
            </w:hyperlink>
          </w:p>
        </w:tc>
        <w:tc>
          <w:tcPr>
            <w:tcW w:w="160" w:type="dxa"/>
            <w:vAlign w:val="bottom"/>
            <w:gridSpan w:val="5"/>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23"/>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on January 11, 2021).</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9580" w:type="dxa"/>
            <w:vAlign w:val="bottom"/>
            <w:gridSpan w:val="23"/>
          </w:tcPr>
          <w:p>
            <w:pPr>
              <w:spacing w:after="0"/>
              <w:rPr>
                <w:rFonts w:ascii="Arial" w:cs="Arial" w:eastAsia="Arial" w:hAnsi="Arial"/>
                <w:sz w:val="18"/>
                <w:szCs w:val="18"/>
                <w:color w:val="0000EE"/>
                <w:w w:val="96"/>
              </w:rPr>
            </w:pPr>
            <w:hyperlink r:id="rId44">
              <w:r>
                <w:rPr>
                  <w:rFonts w:ascii="Arial" w:cs="Arial" w:eastAsia="Arial" w:hAnsi="Arial"/>
                  <w:sz w:val="18"/>
                  <w:szCs w:val="18"/>
                  <w:color w:val="0000EE"/>
                  <w:w w:val="96"/>
                </w:rPr>
                <w:t>Translation of the Maximum Mortgage Contract, between Global Technology, Inc. and China Zheshang Bank Co., Ltd, dated</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14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23"/>
          </w:tcPr>
          <w:p>
            <w:pPr>
              <w:spacing w:after="0" w:line="196" w:lineRule="exact"/>
              <w:rPr>
                <w:rFonts w:ascii="Arial" w:cs="Arial" w:eastAsia="Arial" w:hAnsi="Arial"/>
                <w:sz w:val="18"/>
                <w:szCs w:val="18"/>
                <w:color w:val="0000EE"/>
                <w:w w:val="94"/>
              </w:rPr>
            </w:pPr>
            <w:hyperlink r:id="rId44">
              <w:r>
                <w:rPr>
                  <w:rFonts w:ascii="Arial" w:cs="Arial" w:eastAsia="Arial" w:hAnsi="Arial"/>
                  <w:sz w:val="18"/>
                  <w:szCs w:val="18"/>
                  <w:color w:val="0000EE"/>
                  <w:w w:val="94"/>
                </w:rPr>
                <w:t>January 6, 2021 (included as Exhibit 10.2 to the Registrants Current Report on Form 8-K filed with the Securities and Exchange</w:t>
              </w:r>
            </w:hyperlink>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Commission on January 11, 2021).</w:t>
              </w:r>
            </w:hyperlink>
          </w:p>
        </w:tc>
        <w:tc>
          <w:tcPr>
            <w:tcW w:w="340" w:type="dxa"/>
            <w:vAlign w:val="bottom"/>
            <w:gridSpan w:val="10"/>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932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Chief Executive Officer pursuant to Exchange Act Rule, 13a-14(a) and 15d-14(a), as adopted pursuant to Section</w:t>
              </w:r>
            </w:hyperlink>
          </w:p>
        </w:tc>
        <w:tc>
          <w:tcPr>
            <w:tcW w:w="260" w:type="dxa"/>
            <w:vAlign w:val="bottom"/>
            <w:gridSpan w:val="9"/>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2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302 of the Sarbanes-Oxley Act of 2002.</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500" w:type="dxa"/>
            <w:vAlign w:val="bottom"/>
            <w:gridSpan w:val="10"/>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58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Certification of Chief Financial Officer pursuant to Exchange Act Rule, 13a-14(a) and 15d-14(a), as adopted pursuant to Section 302</w:t>
              </w:r>
            </w:hyperlink>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2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of the Sarbanes-Oxley Act of 2002.</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gridSpan w:val="11"/>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38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Certification pursuant to 18 U.S.C. 1350, adopted pursuant to Section 906 of the Sarbanes-Oxley Act of 2002, by Chief Executive</w:t>
              </w:r>
            </w:hyperlink>
          </w:p>
        </w:tc>
        <w:tc>
          <w:tcPr>
            <w:tcW w:w="200" w:type="dxa"/>
            <w:vAlign w:val="bottom"/>
            <w:gridSpan w:val="7"/>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2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Officer and Chief Financial Officer.</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80" w:type="dxa"/>
            <w:vAlign w:val="bottom"/>
            <w:gridSpan w:val="5"/>
            <w:shd w:val="clear" w:color="auto" w:fill="0000EE"/>
          </w:tcPr>
          <w:p>
            <w:pPr>
              <w:spacing w:after="0" w:line="20" w:lineRule="exact"/>
              <w:rPr>
                <w:sz w:val="1"/>
                <w:szCs w:val="1"/>
                <w:color w:val="auto"/>
              </w:rPr>
            </w:pPr>
          </w:p>
        </w:tc>
        <w:tc>
          <w:tcPr>
            <w:tcW w:w="7000" w:type="dxa"/>
            <w:vAlign w:val="bottom"/>
            <w:gridSpan w:val="18"/>
          </w:tcPr>
          <w:p>
            <w:pPr>
              <w:spacing w:after="0" w:line="20" w:lineRule="exact"/>
              <w:rPr>
                <w:sz w:val="1"/>
                <w:szCs w:val="1"/>
                <w:color w:val="auto"/>
              </w:rPr>
            </w:pPr>
          </w:p>
        </w:tc>
      </w:tr>
      <w:tr>
        <w:trPr>
          <w:trHeight w:val="438"/>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460" w:type="dxa"/>
            <w:vAlign w:val="bottom"/>
          </w:tcPr>
          <w:p>
            <w:pPr>
              <w:spacing w:after="0"/>
              <w:rPr>
                <w:sz w:val="24"/>
                <w:szCs w:val="24"/>
                <w:color w:val="auto"/>
              </w:rPr>
            </w:pPr>
          </w:p>
        </w:tc>
        <w:tc>
          <w:tcPr>
            <w:tcW w:w="9580" w:type="dxa"/>
            <w:vAlign w:val="bottom"/>
            <w:gridSpan w:val="23"/>
          </w:tcPr>
          <w:p>
            <w:pPr>
              <w:spacing w:after="0"/>
              <w:rPr>
                <w:sz w:val="20"/>
                <w:szCs w:val="20"/>
                <w:color w:val="auto"/>
              </w:rPr>
            </w:pPr>
            <w:r>
              <w:rPr>
                <w:rFonts w:ascii="Arial" w:cs="Arial" w:eastAsia="Arial" w:hAnsi="Arial"/>
                <w:sz w:val="18"/>
                <w:szCs w:val="18"/>
                <w:color w:val="auto"/>
                <w:w w:val="93"/>
              </w:rPr>
              <w:t>Inline XBRL Instance – the instance document does not appear in the Interactive Data File because its XBRL tags are embedded</w:t>
            </w:r>
          </w:p>
        </w:tc>
      </w:tr>
      <w:tr>
        <w:trPr>
          <w:trHeight w:val="230"/>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gridSpan w:val="23"/>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460" w:type="dxa"/>
            <w:vAlign w:val="bottom"/>
          </w:tcPr>
          <w:p>
            <w:pPr>
              <w:spacing w:after="0"/>
              <w:rPr>
                <w:sz w:val="24"/>
                <w:szCs w:val="24"/>
                <w:color w:val="auto"/>
              </w:rPr>
            </w:pPr>
          </w:p>
        </w:tc>
        <w:tc>
          <w:tcPr>
            <w:tcW w:w="958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460" w:type="dxa"/>
            <w:vAlign w:val="bottom"/>
          </w:tcPr>
          <w:p>
            <w:pPr>
              <w:spacing w:after="0"/>
              <w:rPr>
                <w:sz w:val="24"/>
                <w:szCs w:val="24"/>
                <w:color w:val="auto"/>
              </w:rPr>
            </w:pPr>
          </w:p>
        </w:tc>
        <w:tc>
          <w:tcPr>
            <w:tcW w:w="958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460" w:type="dxa"/>
            <w:vAlign w:val="bottom"/>
          </w:tcPr>
          <w:p>
            <w:pPr>
              <w:spacing w:after="0"/>
              <w:rPr>
                <w:sz w:val="24"/>
                <w:szCs w:val="24"/>
                <w:color w:val="auto"/>
              </w:rPr>
            </w:pPr>
          </w:p>
        </w:tc>
        <w:tc>
          <w:tcPr>
            <w:tcW w:w="958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460" w:type="dxa"/>
            <w:vAlign w:val="bottom"/>
          </w:tcPr>
          <w:p>
            <w:pPr>
              <w:spacing w:after="0"/>
              <w:rPr>
                <w:sz w:val="24"/>
                <w:szCs w:val="24"/>
                <w:color w:val="auto"/>
              </w:rPr>
            </w:pPr>
          </w:p>
        </w:tc>
        <w:tc>
          <w:tcPr>
            <w:tcW w:w="958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460" w:type="dxa"/>
            <w:vAlign w:val="bottom"/>
          </w:tcPr>
          <w:p>
            <w:pPr>
              <w:spacing w:after="0"/>
              <w:rPr>
                <w:sz w:val="24"/>
                <w:szCs w:val="24"/>
                <w:color w:val="auto"/>
              </w:rPr>
            </w:pPr>
          </w:p>
        </w:tc>
        <w:tc>
          <w:tcPr>
            <w:tcW w:w="958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9580" w:type="dxa"/>
            <w:vAlign w:val="bottom"/>
            <w:gridSpan w:val="2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2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87" w:lineRule="exact"/>
        <w:rPr>
          <w:sz w:val="20"/>
          <w:szCs w:val="20"/>
          <w:color w:val="auto"/>
        </w:rPr>
      </w:pPr>
    </w:p>
    <w:p>
      <w:pPr>
        <w:ind w:right="6700" w:firstLine="8"/>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 ** Filed herewith.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Arial" w:cs="Arial" w:eastAsia="Arial" w:hAnsi="Arial"/>
                <w:sz w:val="18"/>
                <w:szCs w:val="18"/>
                <w:b w:val="1"/>
                <w:bCs w:val="1"/>
                <w:color w:val="auto"/>
              </w:rPr>
              <w:t>APPLIED OPTOELECTRONICS, INC.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6, 2021</w:t>
            </w:r>
          </w:p>
        </w:tc>
        <w:tc>
          <w:tcPr>
            <w:tcW w:w="7800" w:type="dxa"/>
            <w:vAlign w:val="bottom"/>
            <w:gridSpan w:val="2"/>
          </w:tcPr>
          <w:p>
            <w:pPr>
              <w:ind w:left="2200"/>
              <w:spacing w:after="0"/>
              <w:rPr>
                <w:sz w:val="20"/>
                <w:szCs w:val="20"/>
                <w:color w:val="auto"/>
              </w:rPr>
            </w:pPr>
            <w:r>
              <w:rPr>
                <w:rFonts w:ascii="Arial" w:cs="Arial" w:eastAsia="Arial" w:hAnsi="Arial"/>
                <w:sz w:val="18"/>
                <w:szCs w:val="18"/>
                <w:color w:val="auto"/>
              </w:rPr>
              <w:t>By:  /s/ STEFAN J. MURRY</w:t>
            </w:r>
          </w:p>
        </w:tc>
      </w:tr>
      <w:tr>
        <w:trPr>
          <w:trHeight w:val="195"/>
        </w:trPr>
        <w:tc>
          <w:tcPr>
            <w:tcW w:w="34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r>
      <w:tr>
        <w:trPr>
          <w:trHeight w:val="216"/>
        </w:trPr>
        <w:tc>
          <w:tcPr>
            <w:tcW w:w="3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446"/>
        </w:trPr>
        <w:tc>
          <w:tcPr>
            <w:tcW w:w="3440" w:type="dxa"/>
            <w:vAlign w:val="bottom"/>
          </w:tcPr>
          <w:p>
            <w:pPr>
              <w:spacing w:after="0"/>
              <w:rPr>
                <w:sz w:val="24"/>
                <w:szCs w:val="24"/>
                <w:color w:val="auto"/>
              </w:rPr>
            </w:pPr>
          </w:p>
        </w:tc>
        <w:tc>
          <w:tcPr>
            <w:tcW w:w="2600" w:type="dxa"/>
            <w:vAlign w:val="bottom"/>
          </w:tcPr>
          <w:p>
            <w:pPr>
              <w:jc w:val="right"/>
              <w:ind w:right="230"/>
              <w:spacing w:after="0"/>
              <w:rPr>
                <w:sz w:val="20"/>
                <w:szCs w:val="20"/>
                <w:color w:val="auto"/>
              </w:rPr>
            </w:pPr>
            <w:r>
              <w:rPr>
                <w:rFonts w:ascii="Arial" w:cs="Arial" w:eastAsia="Arial" w:hAnsi="Arial"/>
                <w:sz w:val="18"/>
                <w:szCs w:val="18"/>
                <w:color w:val="auto"/>
              </w:rPr>
              <w:t>37</w:t>
            </w:r>
          </w:p>
        </w:tc>
        <w:tc>
          <w:tcPr>
            <w:tcW w:w="5200" w:type="dxa"/>
            <w:vAlign w:val="bottom"/>
          </w:tcPr>
          <w:p>
            <w:pPr>
              <w:spacing w:after="0"/>
              <w:rPr>
                <w:sz w:val="24"/>
                <w:szCs w:val="24"/>
                <w:color w:val="auto"/>
              </w:rPr>
            </w:pPr>
          </w:p>
        </w:tc>
      </w:tr>
      <w:tr>
        <w:trPr>
          <w:trHeight w:val="115"/>
        </w:trPr>
        <w:tc>
          <w:tcPr>
            <w:tcW w:w="344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52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7" w:name="page38"/>
    <w:bookmarkEnd w:id="37"/>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38" w:name="page39"/>
    <w:bookmarkEnd w:id="38"/>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9" w:name="page40"/>
    <w:bookmarkEnd w:id="39"/>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87"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2021, to which this Certification is attached as Exhibit 32.1 (the “Quarterly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6th day of May, 2021.</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4715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34544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ectPr>
          <w:pgSz w:w="11900" w:h="16838" w:orient="portrait"/>
          <w:cols w:equalWidth="0" w:num="2">
            <w:col w:w="5080" w:space="720"/>
            <w:col w:w="5440"/>
          </w:cols>
          <w:pgMar w:left="320" w:top="121" w:right="339" w:bottom="1440" w:gutter="0" w:footer="0" w:header="0"/>
          <w:type w:val="continuous"/>
        </w:sectPr>
      </w:pP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28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39" Type="http://schemas.openxmlformats.org/officeDocument/2006/relationships/hyperlink" Target="http://www.sec.gov/Archives/edgar/data/1158114/000101968713004306/aaoi_10q-ex0301.htm" TargetMode="External"/><Relationship Id="rId40" Type="http://schemas.openxmlformats.org/officeDocument/2006/relationships/hyperlink" Target="http://www.sec.gov/Archives/edgar/data/1158114/000101968713004306/aaoi_10q-ex0302.htm" TargetMode="External"/><Relationship Id="rId41" Type="http://schemas.openxmlformats.org/officeDocument/2006/relationships/hyperlink" Target="http://www.sec.gov/Archives/edgar/data/1158114/000110465915051289/a15-15715_1ex4d1.htm" TargetMode="External"/><Relationship Id="rId42" Type="http://schemas.openxmlformats.org/officeDocument/2006/relationships/hyperlink" Target="http://www.sec.gov/Archives/edgar/data/1158114/000110465919012900/a19-4821_4ex4d1.htm" TargetMode="External"/><Relationship Id="rId43" Type="http://schemas.openxmlformats.org/officeDocument/2006/relationships/hyperlink" Target="http://www.sec.gov/Archives/edgar/data/1158114/000168316821000098/appliedopto_ex1001.htm" TargetMode="External"/><Relationship Id="rId44" Type="http://schemas.openxmlformats.org/officeDocument/2006/relationships/hyperlink" Target="http://www.sec.gov/Archives/edgar/data/1158114/000168316821000098/appliedopto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2021-05-06T16:21:34Z</dcterms:created>
  <dcterms:modified xsi:type="dcterms:W3CDTF">2021-05-06T16:21:34Z</dcterms:modified>
</cp:coreProperties>
</file>