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4100" w:right="2980" w:hanging="4092"/>
        <w:spacing w:after="0" w:line="523" w:lineRule="auto"/>
        <w:tabs>
          <w:tab w:leader="none" w:pos="35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93"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080" w:type="dxa"/>
            <w:vAlign w:val="bottom"/>
          </w:tcPr>
          <w:p>
            <w:pPr>
              <w:ind w:left="294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to</w:t>
            </w:r>
          </w:p>
        </w:tc>
        <w:tc>
          <w:tcPr>
            <w:tcW w:w="76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20"/>
        </w:trPr>
        <w:tc>
          <w:tcPr>
            <w:tcW w:w="8960" w:type="dxa"/>
            <w:vAlign w:val="bottom"/>
            <w:gridSpan w:val="6"/>
          </w:tcPr>
          <w:p>
            <w:pPr>
              <w:jc w:val="center"/>
              <w:ind w:left="719"/>
              <w:spacing w:after="0"/>
              <w:rPr>
                <w:sz w:val="20"/>
                <w:szCs w:val="20"/>
                <w:color w:val="auto"/>
              </w:rPr>
            </w:pPr>
            <w:r>
              <w:rPr>
                <w:rFonts w:ascii="Arial" w:cs="Arial" w:eastAsia="Arial" w:hAnsi="Arial"/>
                <w:sz w:val="16"/>
                <w:szCs w:val="16"/>
                <w:b w:val="1"/>
                <w:bCs w:val="1"/>
                <w:color w:val="auto"/>
                <w:w w:val="91"/>
              </w:rPr>
              <w:t>Commission File Number: 001-36083</w:t>
            </w:r>
          </w:p>
        </w:tc>
      </w:tr>
      <w:tr>
        <w:trPr>
          <w:trHeight w:val="397"/>
        </w:trPr>
        <w:tc>
          <w:tcPr>
            <w:tcW w:w="5900" w:type="dxa"/>
            <w:vAlign w:val="bottom"/>
            <w:gridSpan w:val="3"/>
          </w:tcPr>
          <w:p>
            <w:pPr>
              <w:jc w:val="center"/>
              <w:ind w:left="3799"/>
              <w:spacing w:after="0"/>
              <w:rPr>
                <w:sz w:val="20"/>
                <w:szCs w:val="20"/>
                <w:color w:val="auto"/>
              </w:rPr>
            </w:pPr>
            <w:r>
              <w:rPr>
                <w:rFonts w:ascii="Arial" w:cs="Arial" w:eastAsia="Arial" w:hAnsi="Arial"/>
                <w:sz w:val="16"/>
                <w:szCs w:val="16"/>
                <w:b w:val="1"/>
                <w:bCs w:val="1"/>
                <w:color w:val="auto"/>
                <w:w w:val="91"/>
              </w:rPr>
              <w:t>Applied Optoelectronics,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8960" w:type="dxa"/>
            <w:vAlign w:val="bottom"/>
            <w:gridSpan w:val="6"/>
          </w:tcPr>
          <w:p>
            <w:pPr>
              <w:ind w:left="306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03"/>
        </w:trPr>
        <w:tc>
          <w:tcPr>
            <w:tcW w:w="590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3"/>
              </w:rPr>
              <w:t>Delaware</w:t>
            </w:r>
          </w:p>
        </w:tc>
        <w:tc>
          <w:tcPr>
            <w:tcW w:w="30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76-0533927</w:t>
            </w:r>
          </w:p>
        </w:tc>
      </w:tr>
      <w:tr>
        <w:trPr>
          <w:trHeight w:val="203"/>
        </w:trPr>
        <w:tc>
          <w:tcPr>
            <w:tcW w:w="590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200" w:type="dxa"/>
            <w:vAlign w:val="bottom"/>
          </w:tcPr>
          <w:p>
            <w:pPr>
              <w:spacing w:after="0"/>
              <w:rPr>
                <w:sz w:val="17"/>
                <w:szCs w:val="17"/>
                <w:color w:val="auto"/>
              </w:rPr>
            </w:pPr>
          </w:p>
        </w:tc>
        <w:tc>
          <w:tcPr>
            <w:tcW w:w="2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03"/>
        </w:trPr>
        <w:tc>
          <w:tcPr>
            <w:tcW w:w="5900" w:type="dxa"/>
            <w:vAlign w:val="bottom"/>
            <w:gridSpan w:val="3"/>
          </w:tcPr>
          <w:p>
            <w:pPr>
              <w:jc w:val="center"/>
              <w:ind w:left="3779"/>
              <w:spacing w:after="0"/>
              <w:rPr>
                <w:sz w:val="20"/>
                <w:szCs w:val="20"/>
                <w:color w:val="auto"/>
              </w:rPr>
            </w:pPr>
            <w:r>
              <w:rPr>
                <w:rFonts w:ascii="Arial" w:cs="Arial" w:eastAsia="Arial" w:hAnsi="Arial"/>
                <w:sz w:val="16"/>
                <w:szCs w:val="16"/>
                <w:b w:val="1"/>
                <w:bCs w:val="1"/>
                <w:color w:val="auto"/>
                <w:w w:val="90"/>
              </w:rPr>
              <w:t>13139 Jess Pirtle Blvd.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0"/>
        </w:trPr>
        <w:tc>
          <w:tcPr>
            <w:tcW w:w="5900" w:type="dxa"/>
            <w:vAlign w:val="bottom"/>
            <w:gridSpan w:val="3"/>
          </w:tcPr>
          <w:p>
            <w:pPr>
              <w:jc w:val="center"/>
              <w:ind w:left="3839"/>
              <w:spacing w:after="0"/>
              <w:rPr>
                <w:sz w:val="20"/>
                <w:szCs w:val="20"/>
                <w:color w:val="auto"/>
              </w:rPr>
            </w:pPr>
            <w:r>
              <w:rPr>
                <w:rFonts w:ascii="Arial" w:cs="Arial" w:eastAsia="Arial" w:hAnsi="Arial"/>
                <w:sz w:val="16"/>
                <w:szCs w:val="16"/>
                <w:b w:val="1"/>
                <w:bCs w:val="1"/>
                <w:color w:val="auto"/>
                <w:w w:val="94"/>
              </w:rPr>
              <w:t>Sugar Land, TX 77478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jc w:val="center"/>
        <w:ind w:right="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13" w:lineRule="exact"/>
        <w:rPr>
          <w:sz w:val="24"/>
          <w:szCs w:val="24"/>
          <w:color w:val="auto"/>
        </w:rPr>
      </w:pPr>
    </w:p>
    <w:p>
      <w:pPr>
        <w:ind w:left="5500" w:hanging="382"/>
        <w:spacing w:after="0"/>
        <w:tabs>
          <w:tab w:leader="none" w:pos="55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295-1800</w:t>
      </w:r>
    </w:p>
    <w:p>
      <w:pPr>
        <w:spacing w:after="0" w:line="26" w:lineRule="exact"/>
        <w:rPr>
          <w:rFonts w:ascii="Arial" w:cs="Arial" w:eastAsia="Arial" w:hAnsi="Arial"/>
          <w:sz w:val="16"/>
          <w:szCs w:val="16"/>
          <w:b w:val="1"/>
          <w:bCs w:val="1"/>
          <w:color w:val="auto"/>
        </w:rPr>
      </w:pPr>
    </w:p>
    <w:p>
      <w:pPr>
        <w:ind w:left="4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(Registrant’s telephone number)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ind w:left="400"/>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90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219"/>
        </w:trPr>
        <w:tc>
          <w:tcPr>
            <w:tcW w:w="4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tcBorders>
          </w:tcPr>
          <w:p>
            <w:pPr>
              <w:jc w:val="center"/>
              <w:ind w:right="519"/>
              <w:spacing w:after="0"/>
              <w:rPr>
                <w:sz w:val="20"/>
                <w:szCs w:val="20"/>
                <w:color w:val="auto"/>
              </w:rPr>
            </w:pPr>
            <w:r>
              <w:rPr>
                <w:rFonts w:ascii="Arial" w:cs="Arial" w:eastAsia="Arial" w:hAnsi="Arial"/>
                <w:sz w:val="16"/>
                <w:szCs w:val="16"/>
                <w:color w:val="auto"/>
                <w:w w:val="93"/>
              </w:rPr>
              <w:t>Trading Symbol(s)</w:t>
            </w:r>
          </w:p>
        </w:tc>
        <w:tc>
          <w:tcPr>
            <w:tcW w:w="510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w w:val="91"/>
              </w:rPr>
              <w:t>Trading Name of each exchange on which registered</w:t>
            </w:r>
          </w:p>
        </w:tc>
      </w:tr>
      <w:tr>
        <w:trPr>
          <w:trHeight w:val="206"/>
        </w:trPr>
        <w:tc>
          <w:tcPr>
            <w:tcW w:w="4240" w:type="dxa"/>
            <w:vAlign w:val="bottom"/>
          </w:tcPr>
          <w:p>
            <w:pPr>
              <w:jc w:val="center"/>
              <w:ind w:right="119"/>
              <w:spacing w:after="0"/>
              <w:rPr>
                <w:sz w:val="20"/>
                <w:szCs w:val="20"/>
                <w:color w:val="auto"/>
              </w:rPr>
            </w:pPr>
            <w:r>
              <w:rPr>
                <w:rFonts w:ascii="Arial" w:cs="Arial" w:eastAsia="Arial" w:hAnsi="Arial"/>
                <w:sz w:val="16"/>
                <w:szCs w:val="16"/>
                <w:color w:val="auto"/>
                <w:w w:val="91"/>
              </w:rPr>
              <w:t>Common Stock, Par value $0.001</w:t>
            </w:r>
          </w:p>
        </w:tc>
        <w:tc>
          <w:tcPr>
            <w:tcW w:w="1900" w:type="dxa"/>
            <w:vAlign w:val="bottom"/>
          </w:tcPr>
          <w:p>
            <w:pPr>
              <w:jc w:val="center"/>
              <w:ind w:right="519"/>
              <w:spacing w:after="0"/>
              <w:rPr>
                <w:sz w:val="20"/>
                <w:szCs w:val="20"/>
                <w:color w:val="auto"/>
              </w:rPr>
            </w:pPr>
            <w:r>
              <w:rPr>
                <w:rFonts w:ascii="Arial" w:cs="Arial" w:eastAsia="Arial" w:hAnsi="Arial"/>
                <w:sz w:val="16"/>
                <w:szCs w:val="16"/>
                <w:color w:val="auto"/>
              </w:rPr>
              <w:t>AAOI</w:t>
            </w:r>
          </w:p>
        </w:tc>
        <w:tc>
          <w:tcPr>
            <w:tcW w:w="5100" w:type="dxa"/>
            <w:vAlign w:val="bottom"/>
          </w:tcPr>
          <w:p>
            <w:pPr>
              <w:jc w:val="center"/>
              <w:ind w:right="319"/>
              <w:spacing w:after="0"/>
              <w:rPr>
                <w:sz w:val="20"/>
                <w:szCs w:val="20"/>
                <w:color w:val="auto"/>
              </w:rPr>
            </w:pPr>
            <w:r>
              <w:rPr>
                <w:rFonts w:ascii="Arial" w:cs="Arial" w:eastAsia="Arial" w:hAnsi="Arial"/>
                <w:sz w:val="16"/>
                <w:szCs w:val="16"/>
                <w:color w:val="auto"/>
                <w:w w:val="96"/>
              </w:rPr>
              <w:t>NASDAQ Global Market</w:t>
            </w:r>
          </w:p>
        </w:tc>
      </w:tr>
      <w:tr>
        <w:trPr>
          <w:trHeight w:val="395"/>
        </w:trPr>
        <w:tc>
          <w:tcPr>
            <w:tcW w:w="4240" w:type="dxa"/>
            <w:vAlign w:val="bottom"/>
          </w:tcPr>
          <w:p>
            <w:pPr>
              <w:ind w:left="8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19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169" w:lineRule="exact"/>
        <w:rPr>
          <w:sz w:val="24"/>
          <w:szCs w:val="24"/>
          <w:color w:val="auto"/>
        </w:rPr>
      </w:pPr>
    </w:p>
    <w:p>
      <w:pPr>
        <w:ind w:left="400" w:right="1680"/>
        <w:spacing w:after="0" w:line="33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ind w:right="240" w:firstLine="38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38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87" w:lineRule="exact"/>
        <w:rPr>
          <w:sz w:val="24"/>
          <w:szCs w:val="24"/>
          <w:color w:val="auto"/>
        </w:rPr>
      </w:pPr>
    </w:p>
    <w:p>
      <w:pPr>
        <w:ind w:right="160" w:firstLine="4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tbl>
      <w:tblPr>
        <w:tblLayout w:type="fixed"/>
        <w:tblInd w:w="660" w:type="dxa"/>
        <w:tblCellMar>
          <w:top w:w="0" w:type="dxa"/>
          <w:left w:w="0" w:type="dxa"/>
          <w:bottom w:w="0" w:type="dxa"/>
          <w:right w:w="0" w:type="dxa"/>
        </w:tblCellMar>
      </w:tblPr>
      <w:tr>
        <w:trPr>
          <w:trHeight w:val="171"/>
        </w:trPr>
        <w:tc>
          <w:tcPr>
            <w:tcW w:w="2020" w:type="dxa"/>
            <w:vAlign w:val="bottom"/>
          </w:tcPr>
          <w:p>
            <w:pPr>
              <w:spacing w:after="0" w:line="171" w:lineRule="exact"/>
              <w:rPr>
                <w:sz w:val="20"/>
                <w:szCs w:val="20"/>
                <w:color w:val="auto"/>
              </w:rPr>
            </w:pPr>
            <w:r>
              <w:rPr>
                <w:rFonts w:ascii="Arial" w:cs="Arial" w:eastAsia="Arial" w:hAnsi="Arial"/>
                <w:sz w:val="16"/>
                <w:szCs w:val="16"/>
                <w:color w:val="auto"/>
              </w:rPr>
              <w:t>Large 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line="171" w:lineRule="exact"/>
              <w:rPr>
                <w:sz w:val="20"/>
                <w:szCs w:val="20"/>
                <w:color w:val="auto"/>
              </w:rPr>
            </w:pPr>
            <w:r>
              <w:rPr>
                <w:rFonts w:ascii="Arial" w:cs="Arial" w:eastAsia="Arial" w:hAnsi="Arial"/>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40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280" w:firstLine="3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1" w:lineRule="exact"/>
        <w:rPr>
          <w:sz w:val="24"/>
          <w:szCs w:val="24"/>
          <w:color w:val="auto"/>
        </w:rPr>
      </w:pPr>
    </w:p>
    <w:p>
      <w:pPr>
        <w:ind w:right="160" w:firstLine="396"/>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4" w:lineRule="exact"/>
        <w:rPr>
          <w:sz w:val="24"/>
          <w:szCs w:val="24"/>
          <w:color w:val="auto"/>
        </w:rPr>
      </w:pPr>
    </w:p>
    <w:p>
      <w:pPr>
        <w:ind w:left="4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120" w:firstLine="389"/>
        <w:spacing w:after="0" w:line="273" w:lineRule="auto"/>
        <w:rPr>
          <w:sz w:val="20"/>
          <w:szCs w:val="20"/>
          <w:color w:val="auto"/>
        </w:rPr>
      </w:pPr>
      <w:r>
        <w:rPr>
          <w:rFonts w:ascii="Arial" w:cs="Arial" w:eastAsia="Arial" w:hAnsi="Arial"/>
          <w:sz w:val="16"/>
          <w:szCs w:val="16"/>
          <w:color w:val="auto"/>
        </w:rPr>
        <w:t>As of June 30, 2020, the aggregate market value of the common stock held by non-affiliates of the Registrant was $187,049,677 based upon the closing sales price of the Registrant’s common stock as reported on the NASDAQ Global Markets on June 30, 2020 of $10.87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75"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February 19, 2021, the Registrant had 26,699,547 outstanding shares of Common Stock.</w:t>
      </w:r>
    </w:p>
    <w:p>
      <w:pPr>
        <w:spacing w:after="0" w:line="221"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DOCUMENTS INCORPORATED BY REFERENCE</w:t>
      </w:r>
    </w:p>
    <w:p>
      <w:pPr>
        <w:spacing w:after="0" w:line="221" w:lineRule="exact"/>
        <w:rPr>
          <w:sz w:val="24"/>
          <w:szCs w:val="24"/>
          <w:color w:val="auto"/>
        </w:rPr>
      </w:pPr>
    </w:p>
    <w:p>
      <w:pPr>
        <w:ind w:right="180" w:firstLine="389"/>
        <w:spacing w:after="0" w:line="278" w:lineRule="auto"/>
        <w:rPr>
          <w:sz w:val="20"/>
          <w:szCs w:val="20"/>
          <w:color w:val="auto"/>
        </w:rPr>
      </w:pPr>
      <w:r>
        <w:rPr>
          <w:rFonts w:ascii="Arial" w:cs="Arial" w:eastAsia="Arial" w:hAnsi="Arial"/>
          <w:sz w:val="16"/>
          <w:szCs w:val="16"/>
          <w:color w:val="auto"/>
        </w:rPr>
        <w:t>Portions of the Registrant’s definitive Proxy Statement for the Registrant’s 2021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9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300" w:type="dxa"/>
            <w:vAlign w:val="bottom"/>
          </w:tcPr>
          <w:p>
            <w:pPr>
              <w:spacing w:after="0"/>
              <w:rPr>
                <w:sz w:val="20"/>
                <w:szCs w:val="20"/>
                <w:color w:val="auto"/>
              </w:rPr>
            </w:pPr>
          </w:p>
        </w:tc>
      </w:tr>
      <w:tr>
        <w:trPr>
          <w:trHeight w:val="657"/>
        </w:trPr>
        <w:tc>
          <w:tcPr>
            <w:tcW w:w="920" w:type="dxa"/>
            <w:vAlign w:val="bottom"/>
          </w:tcPr>
          <w:p>
            <w:pPr>
              <w:spacing w:after="0"/>
              <w:rPr>
                <w:sz w:val="24"/>
                <w:szCs w:val="24"/>
                <w:color w:val="auto"/>
              </w:rPr>
            </w:pPr>
          </w:p>
        </w:tc>
        <w:tc>
          <w:tcPr>
            <w:tcW w:w="9020" w:type="dxa"/>
            <w:vAlign w:val="bottom"/>
          </w:tcPr>
          <w:p>
            <w:pPr>
              <w:ind w:left="3560"/>
              <w:spacing w:after="0"/>
              <w:rPr>
                <w:sz w:val="20"/>
                <w:szCs w:val="20"/>
                <w:color w:val="auto"/>
              </w:rPr>
            </w:pPr>
            <w:r>
              <w:rPr>
                <w:rFonts w:ascii="Arial" w:cs="Arial" w:eastAsia="Arial" w:hAnsi="Arial"/>
                <w:sz w:val="18"/>
                <w:szCs w:val="18"/>
                <w:b w:val="1"/>
                <w:bCs w:val="1"/>
                <w:color w:val="auto"/>
              </w:rPr>
              <w:t>Applied Optoelectronics, Inc.</w:t>
            </w:r>
          </w:p>
        </w:tc>
        <w:tc>
          <w:tcPr>
            <w:tcW w:w="130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902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20"/>
                <w:szCs w:val="20"/>
                <w:color w:val="auto"/>
              </w:rPr>
            </w:pPr>
          </w:p>
        </w:tc>
      </w:tr>
      <w:tr>
        <w:trPr>
          <w:trHeight w:val="675"/>
        </w:trPr>
        <w:tc>
          <w:tcPr>
            <w:tcW w:w="9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rPr>
              <w:t>Page</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tc>
        <w:tc>
          <w:tcPr>
            <w:tcW w:w="9020" w:type="dxa"/>
            <w:vAlign w:val="bottom"/>
          </w:tcPr>
          <w:p>
            <w:pPr>
              <w:spacing w:after="0"/>
              <w:rPr>
                <w:sz w:val="24"/>
                <w:szCs w:val="24"/>
                <w:color w:val="auto"/>
              </w:rPr>
            </w:pPr>
          </w:p>
        </w:tc>
        <w:tc>
          <w:tcPr>
            <w:tcW w:w="1300" w:type="dxa"/>
            <w:vAlign w:val="bottom"/>
          </w:tcPr>
          <w:p>
            <w:pPr>
              <w:jc w:val="center"/>
              <w:ind w:left="530"/>
              <w:spacing w:after="0"/>
              <w:rPr>
                <w:sz w:val="20"/>
                <w:szCs w:val="20"/>
                <w:color w:val="auto"/>
              </w:rPr>
            </w:pPr>
            <w:r>
              <w:rPr>
                <w:rFonts w:ascii="Arial" w:cs="Arial" w:eastAsia="Arial" w:hAnsi="Arial"/>
                <w:sz w:val="18"/>
                <w:szCs w:val="18"/>
                <w:color w:val="auto"/>
                <w:w w:val="79"/>
              </w:rPr>
              <w:t>3</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300" w:type="dxa"/>
            <w:vAlign w:val="bottom"/>
          </w:tcPr>
          <w:p>
            <w:pPr>
              <w:jc w:val="center"/>
              <w:ind w:left="530"/>
              <w:spacing w:after="0"/>
              <w:rPr>
                <w:sz w:val="20"/>
                <w:szCs w:val="20"/>
                <w:color w:val="auto"/>
              </w:rPr>
            </w:pPr>
            <w:r>
              <w:rPr>
                <w:rFonts w:ascii="Arial" w:cs="Arial" w:eastAsia="Arial" w:hAnsi="Arial"/>
                <w:sz w:val="18"/>
                <w:szCs w:val="18"/>
                <w:color w:val="auto"/>
                <w:w w:val="79"/>
              </w:rPr>
              <w:t>3</w:t>
            </w:r>
          </w:p>
        </w:tc>
      </w:tr>
      <w:tr>
        <w:trPr>
          <w:trHeight w:val="432"/>
        </w:trPr>
        <w:tc>
          <w:tcPr>
            <w:tcW w:w="920" w:type="dxa"/>
            <w:vAlign w:val="bottom"/>
          </w:tcPr>
          <w:p>
            <w:pPr>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14</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1B.</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Unresolved Staff Comments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28</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Properties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28</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28</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28</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Part II</w:t>
              </w:r>
            </w:hyperlink>
          </w:p>
        </w:tc>
        <w:tc>
          <w:tcPr>
            <w:tcW w:w="9020" w:type="dxa"/>
            <w:vAlign w:val="bottom"/>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29</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5.</w:t>
              </w:r>
            </w:hyperlink>
          </w:p>
        </w:tc>
        <w:tc>
          <w:tcPr>
            <w:tcW w:w="9020" w:type="dxa"/>
            <w:vAlign w:val="bottom"/>
          </w:tcPr>
          <w:p>
            <w:pPr>
              <w:ind w:left="140"/>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Market for Registrant’s Common Equity, Related Stockholder Matters and Issuer Purchases of Equity Securities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29</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6.</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Selected Financial Data</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31</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7.</w:t>
              </w:r>
            </w:hyperlink>
          </w:p>
        </w:tc>
        <w:tc>
          <w:tcPr>
            <w:tcW w:w="902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33</w:t>
            </w:r>
          </w:p>
        </w:tc>
      </w:tr>
      <w:tr>
        <w:trPr>
          <w:trHeight w:val="432"/>
        </w:trPr>
        <w:tc>
          <w:tcPr>
            <w:tcW w:w="92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50</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8.</w:t>
              </w:r>
            </w:hyperlink>
          </w:p>
        </w:tc>
        <w:tc>
          <w:tcPr>
            <w:tcW w:w="9020" w:type="dxa"/>
            <w:vAlign w:val="bottom"/>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Financial Statements and Supplementary Data</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51</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9.</w:t>
              </w:r>
            </w:hyperlink>
          </w:p>
        </w:tc>
        <w:tc>
          <w:tcPr>
            <w:tcW w:w="9020" w:type="dxa"/>
            <w:vAlign w:val="bottom"/>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Changes in and Disagreements with Accountants on Accounting and Financial Disclosure</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51</w:t>
            </w:r>
          </w:p>
        </w:tc>
      </w:tr>
      <w:tr>
        <w:trPr>
          <w:trHeight w:val="432"/>
        </w:trPr>
        <w:tc>
          <w:tcPr>
            <w:tcW w:w="92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Controls and Procedures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51</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9B.</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54</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Part III</w:t>
              </w:r>
            </w:hyperlink>
          </w:p>
        </w:tc>
        <w:tc>
          <w:tcPr>
            <w:tcW w:w="9020" w:type="dxa"/>
            <w:vAlign w:val="bottom"/>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Directors, Executive Officers and Corporate Governance</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11.</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Executive Compensation</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Security Ownership of Certain Beneficial Owners and Management and Related Stockholder Matters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Certain Relationships and Related Transactions, and Director Independence</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Principal Accounting Fees and Services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IV</w:t>
              </w:r>
            </w:hyperlink>
          </w:p>
        </w:tc>
        <w:tc>
          <w:tcPr>
            <w:tcW w:w="9020" w:type="dxa"/>
            <w:vAlign w:val="bottom"/>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56</w:t>
            </w:r>
          </w:p>
        </w:tc>
      </w:tr>
      <w:tr>
        <w:trPr>
          <w:trHeight w:val="432"/>
        </w:trPr>
        <w:tc>
          <w:tcPr>
            <w:tcW w:w="9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 Financial Statements Schedules</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56</w:t>
            </w:r>
          </w:p>
        </w:tc>
      </w:tr>
      <w:tr>
        <w:trPr>
          <w:trHeight w:val="432"/>
        </w:trPr>
        <w:tc>
          <w:tcPr>
            <w:tcW w:w="92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902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Form 10-K Summary</w:t>
              </w:r>
            </w:hyperlink>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56</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9020" w:type="dxa"/>
            <w:vAlign w:val="bottom"/>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Arial" w:cs="Arial" w:eastAsia="Arial" w:hAnsi="Arial"/>
                <w:sz w:val="18"/>
                <w:szCs w:val="18"/>
                <w:color w:val="auto"/>
                <w:w w:val="89"/>
              </w:rPr>
              <w:t>63</w:t>
            </w:r>
          </w:p>
        </w:tc>
      </w:tr>
      <w:tr>
        <w:trPr>
          <w:trHeight w:val="445"/>
        </w:trPr>
        <w:tc>
          <w:tcPr>
            <w:tcW w:w="920" w:type="dxa"/>
            <w:vAlign w:val="bottom"/>
          </w:tcPr>
          <w:p>
            <w:pPr>
              <w:spacing w:after="0"/>
              <w:rPr>
                <w:sz w:val="24"/>
                <w:szCs w:val="24"/>
                <w:color w:val="auto"/>
              </w:rPr>
            </w:pPr>
          </w:p>
        </w:tc>
        <w:tc>
          <w:tcPr>
            <w:tcW w:w="9020" w:type="dxa"/>
            <w:vAlign w:val="bottom"/>
          </w:tcPr>
          <w:p>
            <w:pPr>
              <w:ind w:left="466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9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1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w:t>
      </w:r>
    </w:p>
    <w:p>
      <w:pPr>
        <w:sectPr>
          <w:pgSz w:w="11900" w:h="16838" w:orient="portrait"/>
          <w:cols w:equalWidth="0" w:num="1">
            <w:col w:w="11240"/>
          </w:cols>
          <w:pgMar w:left="320" w:top="368" w:right="339" w:bottom="0" w:gutter="0" w:footer="0" w:header="0"/>
        </w:sectPr>
      </w:pPr>
    </w:p>
    <w:bookmarkStart w:id="3" w:name="page4"/>
    <w:bookmarkEnd w:id="3"/>
    <w:p>
      <w:pPr>
        <w:spacing w:after="0" w:line="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the anticipated impact to our business operations, customer demand and supply chain due to the recent global pandemic of a novel strain of the coronavirus (COVID-19);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7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To address this increased bandwidth demand, CATV and telecom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economical way to deliver the desired bandwidth.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internet data center market is our largest market. Our customers in this market are generally large internet-based (“Web 2.0”) data center operators, to whom we supply optical transceivers that plug into switches and servers within the data center and allow these network devices to send and receive data over fiber-optic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As the complexity of CATV networks has increased over the years, equipment vendors, many of whom are our customers, have been under pressure to supply a wider variety of increasingly complex equipment to CATV multiple system operators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market. We believe that our extensive high-speed optical, mixed-signal semiconductor and mechanical engineering capabilities position us well to continue to benefit from these industry dynamics.</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telecom market is our fastest growing market. In this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15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w:t>
      </w:r>
    </w:p>
    <w:p>
      <w:pPr>
        <w:spacing w:after="0" w:line="17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2020, 2019 and 2018, our revenue was $234.6 million, $190.9 million, and $267.5 million and our gross margin was 21.5%, 24.2%, and 32.8%. In the years ended December 31, 2020, 2019 and 2018, we had net loss of $58.5 million, $66.0 million, and $2.1 million, respectively. At December 31, 2020 and 2019, our accumulated deficit were $88.6 million and $30.1 million, respectively. In 2020, we earned 73.9% of our total revenue from the internet</w:t>
      </w:r>
    </w:p>
    <w:p>
      <w:pPr>
        <w:sectPr>
          <w:pgSz w:w="11900" w:h="16863" w:orient="portrait"/>
          <w:cols w:equalWidth="0" w:num="1">
            <w:col w:w="11240"/>
          </w:cols>
          <w:pgMar w:left="320" w:top="125" w:right="339" w:bottom="0" w:gutter="0" w:footer="0" w:header="0"/>
        </w:sectPr>
      </w:pPr>
    </w:p>
    <w:bookmarkStart w:id="4" w:name="page5"/>
    <w:bookmarkEnd w:id="4"/>
    <w:p>
      <w:pPr>
        <w:ind w:right="20"/>
        <w:spacing w:after="0" w:line="272" w:lineRule="auto"/>
        <w:rPr>
          <w:sz w:val="20"/>
          <w:szCs w:val="20"/>
          <w:color w:val="auto"/>
        </w:rPr>
      </w:pPr>
      <w:r>
        <w:rPr>
          <w:rFonts w:ascii="Arial" w:cs="Arial" w:eastAsia="Arial" w:hAnsi="Arial"/>
          <w:sz w:val="17"/>
          <w:szCs w:val="17"/>
          <w:color w:val="auto"/>
        </w:rPr>
        <w:t>data center market and 16.2% of our total revenue from the CATV market. In 2020, our key customers in the data center market included Microsoft Corp, Amazon.com, a US based large datacenter operator, and a US based NEM. In 2020, 2019, and 2018, Microsoft accounted for 38.3%, 32.2%, and 22.1% of our revenue, Amazon accounted for 11.5%, 24.0%, and 12.1% of our revenue, the US based large datacenter operator accounted for 8.0%, 0.4%, and 0.0%, and the US based NEM accounted for 7.9%, 1.6%, and 0.0%, respectively. In 2020, our key customers in the CATV market included Cisco Systems, Inc., a global CATV NEM, and CommScope (which in 2019 acquired Arris, who had previously acquired the Motorola Home Business in 2013 and Pace Plc in 2016). In 2020, 2019 and 2018, Cisco accounted for 7.5%, 10.0%, and 9.9% of our revenue, a global CATV NEM accounted for 3.7%, 0%, and 0% of our revenue, and CommScope accounted for 2.1%, 3.7%, and 2.1% of our revenue,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2020, our four target markets, internet data center, CATV, telecom and FTTH, experienced a significant growth in bandwidth consumption and the corresponding need for network infrastructure improvement to support this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680" w:right="20" w:hanging="213"/>
        <w:spacing w:after="0" w:line="266" w:lineRule="auto"/>
        <w:tabs>
          <w:tab w:leader="none" w:pos="680" w:val="left"/>
        </w:tabs>
        <w:numPr>
          <w:ilvl w:val="0"/>
          <w:numId w:val="4"/>
        </w:numPr>
        <w:rPr>
          <w:rFonts w:ascii="MS PGothic" w:cs="MS PGothic" w:eastAsia="MS PGothic" w:hAnsi="MS PGothic"/>
          <w:sz w:val="21"/>
          <w:szCs w:val="21"/>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 internet data center operators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the scale of their internet data centers and deploying infrastructure capable of data transmission rates. As a result, there is an ongoing transition from the use of copper cable, typically at speeds of up to 1 gigabit per second ("Gbps"), to optical fiber as a transport medium, typically providing speeds from 10 Gbps to 400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213"/>
        <w:spacing w:after="0" w:line="291"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Trends in the CATV Market. </w:t>
      </w:r>
      <w:r>
        <w:rPr>
          <w:rFonts w:ascii="Arial" w:cs="Arial" w:eastAsia="Arial" w:hAnsi="Arial"/>
          <w:sz w:val="16"/>
          <w:szCs w:val="16"/>
          <w:color w:val="auto"/>
        </w:rPr>
        <w:t>In recent years, CATV service providers have invested extensively to support high speed, two-way 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we expect that they will continue to do so. In North America, CATV service providers have upgraded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Remote-PHY are under development by cable equipment suppliers. These technologies are being developed to be a cost-effective solution to provide higher available bandwidth to CATV customers.</w:t>
      </w:r>
    </w:p>
    <w:p>
      <w:pPr>
        <w:spacing w:after="0" w:line="166" w:lineRule="exact"/>
        <w:rPr>
          <w:rFonts w:ascii="MS PGothic" w:cs="MS PGothic" w:eastAsia="MS PGothic" w:hAnsi="MS PGothic"/>
          <w:sz w:val="16"/>
          <w:szCs w:val="16"/>
          <w:color w:val="auto"/>
        </w:rPr>
      </w:pPr>
    </w:p>
    <w:p>
      <w:pPr>
        <w:ind w:left="680" w:right="20"/>
        <w:spacing w:after="0" w:line="257" w:lineRule="auto"/>
        <w:rPr>
          <w:rFonts w:ascii="MS PGothic" w:cs="MS PGothic" w:eastAsia="MS PGothic" w:hAnsi="MS PGothic"/>
          <w:sz w:val="16"/>
          <w:szCs w:val="16"/>
          <w:color w:val="auto"/>
        </w:rPr>
      </w:pPr>
      <w:r>
        <w:rPr>
          <w:rFonts w:ascii="Arial" w:cs="Arial" w:eastAsia="Arial" w:hAnsi="Arial"/>
          <w:sz w:val="18"/>
          <w:szCs w:val="18"/>
          <w:color w:val="auto"/>
        </w:rPr>
        <w:t>As the complexity of CATV networks has increased over the years, equipment vendors, many of whom are our customers, have been under pressure to supply a wider variety of increasingly complex equipment to CATV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w:t>
      </w:r>
    </w:p>
    <w:p>
      <w:pPr>
        <w:spacing w:after="0" w:line="187" w:lineRule="exact"/>
        <w:rPr>
          <w:rFonts w:ascii="MS PGothic" w:cs="MS PGothic" w:eastAsia="MS PGothic" w:hAnsi="MS PGothic"/>
          <w:sz w:val="16"/>
          <w:szCs w:val="16"/>
          <w:color w:val="auto"/>
        </w:rPr>
      </w:pPr>
    </w:p>
    <w:p>
      <w:pPr>
        <w:ind w:left="680" w:right="80" w:hanging="213"/>
        <w:spacing w:after="0" w:line="254" w:lineRule="auto"/>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Trends in the Telecom Market. </w:t>
      </w:r>
      <w:r>
        <w:rPr>
          <w:rFonts w:ascii="Arial" w:cs="Arial" w:eastAsia="Arial" w:hAnsi="Arial"/>
          <w:sz w:val="18"/>
          <w:szCs w:val="18"/>
          <w:color w:val="auto"/>
        </w:rPr>
        <w:t>The telecom market is composed of customers who deploy wireline optical networks, other than Passive Optical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 as mentioned above.</w:t>
      </w:r>
    </w:p>
    <w:p>
      <w:pPr>
        <w:spacing w:after="0" w:line="194" w:lineRule="exact"/>
        <w:rPr>
          <w:rFonts w:ascii="MS PGothic" w:cs="MS PGothic" w:eastAsia="MS PGothic" w:hAnsi="MS PGothic"/>
          <w:sz w:val="18"/>
          <w:szCs w:val="18"/>
          <w:color w:val="auto"/>
        </w:rPr>
      </w:pPr>
    </w:p>
    <w:p>
      <w:pPr>
        <w:ind w:left="680" w:right="20" w:hanging="213"/>
        <w:spacing w:after="0" w:line="296"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Trends in the FTTH Market. </w:t>
      </w:r>
      <w:r>
        <w:rPr>
          <w:rFonts w:ascii="Arial" w:cs="Arial" w:eastAsia="Arial" w:hAnsi="Arial"/>
          <w:sz w:val="16"/>
          <w:szCs w:val="16"/>
          <w:color w:val="auto"/>
        </w:rPr>
        <w:t>The FTTH market generally refers to the PONs that telecom service providers deploy. The most commonly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We also see opportunities for 10 Gbps EPON and higher data rate PON networks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jc w:val="both"/>
        <w:ind w:left="980" w:right="20" w:hanging="324"/>
        <w:spacing w:after="0" w:line="263" w:lineRule="auto"/>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Enable customers to deliver innovative products. </w:t>
      </w:r>
      <w:r>
        <w:rPr>
          <w:rFonts w:ascii="Arial" w:cs="Arial" w:eastAsia="Arial" w:hAnsi="Arial"/>
          <w:sz w:val="18"/>
          <w:szCs w:val="18"/>
          <w:color w:val="auto"/>
        </w:rPr>
        <w:t>We leverage our extensive expertise in high-speed optical, mixed-signal semiconductor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mechanical engineering, and MOCVD and our proprietary MBE laser fabrication process to deliver technologically advanced products to our customers.</w:t>
      </w:r>
    </w:p>
    <w:p>
      <w:pPr>
        <w:sectPr>
          <w:pgSz w:w="11900" w:h="16838" w:orient="portrait"/>
          <w:cols w:equalWidth="0" w:num="1">
            <w:col w:w="11220"/>
          </w:cols>
          <w:pgMar w:left="320" w:top="125" w:right="359" w:bottom="0" w:gutter="0" w:footer="0" w:header="0"/>
        </w:sectPr>
      </w:pPr>
    </w:p>
    <w:bookmarkStart w:id="5" w:name="page6"/>
    <w:bookmarkEnd w:id="5"/>
    <w:p>
      <w:pPr>
        <w:ind w:left="980" w:hanging="324"/>
        <w:spacing w:after="0" w:line="342" w:lineRule="auto"/>
        <w:tabs>
          <w:tab w:leader="none" w:pos="98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Enhance efficiency and cost effectiveness of our customers’ supply chains. </w:t>
      </w:r>
      <w:r>
        <w:rPr>
          <w:rFonts w:ascii="Arial" w:cs="Arial" w:eastAsia="Arial" w:hAnsi="Arial"/>
          <w:sz w:val="16"/>
          <w:szCs w:val="16"/>
          <w:color w:val="auto"/>
        </w:rPr>
        <w:t>We design and sell products at the level of integration desired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customer, from components to turn-key equipment, providing our customers a dependable, cost-effective and simplified supply chain.</w:t>
      </w:r>
    </w:p>
    <w:p>
      <w:pPr>
        <w:spacing w:after="0" w:line="123" w:lineRule="exact"/>
        <w:rPr>
          <w:rFonts w:ascii="MS PGothic" w:cs="MS PGothic" w:eastAsia="MS PGothic" w:hAnsi="MS PGothic"/>
          <w:sz w:val="16"/>
          <w:szCs w:val="16"/>
          <w:color w:val="auto"/>
        </w:rPr>
      </w:pPr>
    </w:p>
    <w:p>
      <w:pPr>
        <w:ind w:left="980" w:right="60" w:hanging="324"/>
        <w:spacing w:after="0" w:line="259"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Deliver high quality, reliable products in high volume. </w:t>
      </w:r>
      <w:r>
        <w:rPr>
          <w:rFonts w:ascii="Arial" w:cs="Arial" w:eastAsia="Arial" w:hAnsi="Arial"/>
          <w:sz w:val="18"/>
          <w:szCs w:val="18"/>
          <w:color w:val="auto"/>
        </w:rPr>
        <w:t>As a vertically integrated supplier, we are able to monitor and maintain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86" w:lineRule="exact"/>
        <w:rPr>
          <w:rFonts w:ascii="MS PGothic" w:cs="MS PGothic" w:eastAsia="MS PGothic" w:hAnsi="MS PGothic"/>
          <w:sz w:val="18"/>
          <w:szCs w:val="18"/>
          <w:color w:val="auto"/>
        </w:rPr>
      </w:pPr>
    </w:p>
    <w:p>
      <w:pPr>
        <w:ind w:left="980" w:right="300" w:hanging="324"/>
        <w:spacing w:after="0" w:line="381" w:lineRule="auto"/>
        <w:tabs>
          <w:tab w:leader="none" w:pos="980" w:val="left"/>
        </w:tabs>
        <w:numPr>
          <w:ilvl w:val="0"/>
          <w:numId w:val="7"/>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Provide sophisticated design solutions to our customers. </w:t>
      </w:r>
      <w:r>
        <w:rPr>
          <w:rFonts w:ascii="Arial" w:cs="Arial" w:eastAsia="Arial" w:hAnsi="Arial"/>
          <w:sz w:val="15"/>
          <w:szCs w:val="15"/>
          <w:color w:val="auto"/>
        </w:rPr>
        <w:t>We believe our in-house expertise in both analog and digital optical engineering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enables us to design comprehensive solutions that meet many of the different network architectures and protocols used by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760" w:hanging="324"/>
        <w:spacing w:after="0" w:line="277" w:lineRule="auto"/>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 products by leveraging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expertise, including our proprietary MBE and MOCVD laser fabrication process.</w:t>
      </w:r>
    </w:p>
    <w:p>
      <w:pPr>
        <w:spacing w:after="0" w:line="170" w:lineRule="exact"/>
        <w:rPr>
          <w:rFonts w:ascii="MS PGothic" w:cs="MS PGothic" w:eastAsia="MS PGothic" w:hAnsi="MS PGothic"/>
          <w:sz w:val="18"/>
          <w:szCs w:val="18"/>
          <w:color w:val="auto"/>
        </w:rPr>
      </w:pPr>
    </w:p>
    <w:p>
      <w:pPr>
        <w:ind w:left="980" w:right="60" w:hanging="324"/>
        <w:spacing w:after="0" w:line="259" w:lineRule="auto"/>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Innovative light engine design and manufacturing. </w:t>
      </w:r>
      <w:r>
        <w:rPr>
          <w:rFonts w:ascii="Arial" w:cs="Arial" w:eastAsia="Arial" w:hAnsi="Arial"/>
          <w:sz w:val="18"/>
          <w:szCs w:val="18"/>
          <w:color w:val="auto"/>
        </w:rPr>
        <w:t>High-speed data center interconnect transceivers increasingly rely on multiple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p>
      <w:pPr>
        <w:spacing w:after="0" w:line="186" w:lineRule="exact"/>
        <w:rPr>
          <w:rFonts w:ascii="MS PGothic" w:cs="MS PGothic" w:eastAsia="MS PGothic" w:hAnsi="MS PGothic"/>
          <w:sz w:val="18"/>
          <w:szCs w:val="18"/>
          <w:color w:val="auto"/>
        </w:rPr>
      </w:pPr>
    </w:p>
    <w:p>
      <w:pPr>
        <w:ind w:left="980" w:right="160" w:hanging="324"/>
        <w:spacing w:after="0" w:line="263" w:lineRule="auto"/>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Proven system design capabilities. </w:t>
      </w:r>
      <w:r>
        <w:rPr>
          <w:rFonts w:ascii="Arial" w:cs="Arial" w:eastAsia="Arial" w:hAnsi="Arial"/>
          <w:sz w:val="18"/>
          <w:szCs w:val="18"/>
          <w:color w:val="auto"/>
        </w:rPr>
        <w:t>We have extensive expertise and proven design capabilities in high-speed optical, mixed-signal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and mechanical engineering, which we believe position us to take advantage of the continuing shift to outsourced design and manufacturing among CATV equipment vendors.</w:t>
      </w:r>
    </w:p>
    <w:p>
      <w:pPr>
        <w:spacing w:after="0" w:line="183" w:lineRule="exact"/>
        <w:rPr>
          <w:rFonts w:ascii="MS PGothic" w:cs="MS PGothic" w:eastAsia="MS PGothic" w:hAnsi="MS PGothic"/>
          <w:sz w:val="18"/>
          <w:szCs w:val="18"/>
          <w:color w:val="auto"/>
        </w:rPr>
      </w:pPr>
    </w:p>
    <w:p>
      <w:pPr>
        <w:ind w:left="980" w:right="80" w:hanging="324"/>
        <w:spacing w:after="0" w:line="311" w:lineRule="auto"/>
        <w:tabs>
          <w:tab w:leader="none" w:pos="98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Industry-leading position in the CATV market. </w:t>
      </w:r>
      <w:r>
        <w:rPr>
          <w:rFonts w:ascii="Arial" w:cs="Arial" w:eastAsia="Arial" w:hAnsi="Arial"/>
          <w:sz w:val="16"/>
          <w:szCs w:val="16"/>
          <w:color w:val="auto"/>
        </w:rPr>
        <w:t>We have continued to be awarded new design and manufacturing opportunities for CATV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48" w:lineRule="exact"/>
        <w:rPr>
          <w:rFonts w:ascii="MS PGothic" w:cs="MS PGothic" w:eastAsia="MS PGothic" w:hAnsi="MS PGothic"/>
          <w:sz w:val="16"/>
          <w:szCs w:val="16"/>
          <w:color w:val="auto"/>
        </w:rPr>
      </w:pPr>
    </w:p>
    <w:p>
      <w:pPr>
        <w:ind w:left="980" w:right="220" w:hanging="324"/>
        <w:spacing w:after="0" w:line="301" w:lineRule="auto"/>
        <w:tabs>
          <w:tab w:leader="none" w:pos="98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Vertically integrated, geographically distributed manufacturing model. </w:t>
      </w:r>
      <w:r>
        <w:rPr>
          <w:rFonts w:ascii="Arial" w:cs="Arial" w:eastAsia="Arial" w:hAnsi="Arial"/>
          <w:sz w:val="16"/>
          <w:szCs w:val="16"/>
          <w:color w:val="auto"/>
        </w:rPr>
        <w:t>Our vertically integrated design and manufacturing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seek to be the leading global provider of optical components, modules and equipment for each of our four target markets: internet data centers,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CATV, telecom and FTTH. Our strategy includes the following key elements:</w:t>
      </w:r>
    </w:p>
    <w:p>
      <w:pPr>
        <w:spacing w:after="0" w:line="211" w:lineRule="exact"/>
        <w:rPr>
          <w:sz w:val="20"/>
          <w:szCs w:val="20"/>
          <w:color w:val="auto"/>
        </w:rPr>
      </w:pPr>
    </w:p>
    <w:p>
      <w:pPr>
        <w:jc w:val="both"/>
        <w:ind w:left="980" w:right="220" w:hanging="324"/>
        <w:spacing w:after="0" w:line="263"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 internet data center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have adopted an open system architecture—one in which the optical connectivity solutions can be provided by a different vendor than the vendor which provides their servers and switches.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63" w:lineRule="auto"/>
        <w:tabs>
          <w:tab w:leader="none" w:pos="98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Extend our leadership in CATV networking. </w:t>
      </w:r>
      <w:r>
        <w:rPr>
          <w:rFonts w:ascii="Arial" w:cs="Arial" w:eastAsia="Arial" w:hAnsi="Arial"/>
          <w:sz w:val="18"/>
          <w:szCs w:val="18"/>
          <w:color w:val="auto"/>
        </w:rPr>
        <w:t>We intend to maintain our position as a leading producer of optical components used in CATV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to capture an increasing share of the CATV equipment market as the major equipment vendors continue to outsource the design and manufacturing of such products.</w:t>
      </w:r>
    </w:p>
    <w:p>
      <w:pPr>
        <w:spacing w:after="0" w:line="183" w:lineRule="exact"/>
        <w:rPr>
          <w:rFonts w:ascii="MS PGothic" w:cs="MS PGothic" w:eastAsia="MS PGothic" w:hAnsi="MS PGothic"/>
          <w:sz w:val="18"/>
          <w:szCs w:val="18"/>
          <w:color w:val="auto"/>
        </w:rPr>
      </w:pPr>
    </w:p>
    <w:p>
      <w:pPr>
        <w:ind w:left="980" w:right="260" w:hanging="324"/>
        <w:spacing w:after="0" w:line="259" w:lineRule="auto"/>
        <w:tabs>
          <w:tab w:leader="none" w:pos="98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Develop new products for the Telecom market. </w:t>
      </w:r>
      <w:r>
        <w:rPr>
          <w:rFonts w:ascii="Arial" w:cs="Arial" w:eastAsia="Arial" w:hAnsi="Arial"/>
          <w:sz w:val="18"/>
          <w:szCs w:val="18"/>
          <w:color w:val="auto"/>
        </w:rPr>
        <w:t>Our addressable telecom market has often been limited by our relatively small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this market. In many cases, our telecom product offerings are identical or nearly identical to products that we sell in other markets (for example, CATV or internet data center). As we continue to develop new technological capabilities, we intend to develop products specifically for telecom markets.</w:t>
      </w:r>
    </w:p>
    <w:p>
      <w:pPr>
        <w:spacing w:after="0" w:line="186" w:lineRule="exact"/>
        <w:rPr>
          <w:rFonts w:ascii="MS PGothic" w:cs="MS PGothic" w:eastAsia="MS PGothic" w:hAnsi="MS PGothic"/>
          <w:sz w:val="18"/>
          <w:szCs w:val="18"/>
          <w:color w:val="auto"/>
        </w:rPr>
      </w:pPr>
    </w:p>
    <w:p>
      <w:pPr>
        <w:ind w:left="980" w:hanging="324"/>
        <w:spacing w:after="0" w:line="275" w:lineRule="auto"/>
        <w:tabs>
          <w:tab w:leader="none" w:pos="980" w:val="left"/>
        </w:tabs>
        <w:numPr>
          <w:ilvl w:val="0"/>
          <w:numId w:val="10"/>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Continue to penetrate the FTTH market. </w:t>
      </w:r>
      <w:r>
        <w:rPr>
          <w:rFonts w:ascii="Arial" w:cs="Arial" w:eastAsia="Arial" w:hAnsi="Arial"/>
          <w:sz w:val="17"/>
          <w:szCs w:val="17"/>
          <w:color w:val="auto"/>
        </w:rPr>
        <w:t>We believe our WDM-PON technology is a cost-effective solution for delivering 1 Gbps bandwidth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 Besides WDM-PON, we also believe that PON networks operating at 10 Gbps or higher will be in demand by certain customers in the future and we intend to develop components for these networks.</w:t>
      </w:r>
    </w:p>
    <w:p>
      <w:pPr>
        <w:spacing w:after="0" w:line="176" w:lineRule="exact"/>
        <w:rPr>
          <w:rFonts w:ascii="MS PGothic" w:cs="MS PGothic" w:eastAsia="MS PGothic" w:hAnsi="MS PGothic"/>
          <w:sz w:val="17"/>
          <w:szCs w:val="17"/>
          <w:color w:val="auto"/>
        </w:rPr>
      </w:pPr>
    </w:p>
    <w:p>
      <w:pPr>
        <w:ind w:left="980" w:right="40" w:hanging="324"/>
        <w:spacing w:after="0" w:line="263" w:lineRule="auto"/>
        <w:tabs>
          <w:tab w:leader="none" w:pos="98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 technology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infrastructure and facilities to maintain and strengthen our competitive position. We engage in an active research and development program to develop new products and enhance existing products.</w:t>
      </w:r>
    </w:p>
    <w:p>
      <w:pPr>
        <w:spacing w:after="0" w:line="183" w:lineRule="exact"/>
        <w:rPr>
          <w:rFonts w:ascii="MS PGothic" w:cs="MS PGothic" w:eastAsia="MS PGothic" w:hAnsi="MS PGothic"/>
          <w:sz w:val="18"/>
          <w:szCs w:val="18"/>
          <w:color w:val="auto"/>
        </w:rPr>
      </w:pPr>
    </w:p>
    <w:p>
      <w:pPr>
        <w:ind w:left="980" w:right="20" w:hanging="324"/>
        <w:spacing w:after="0" w:line="311" w:lineRule="auto"/>
        <w:tabs>
          <w:tab w:leader="none" w:pos="980" w:val="left"/>
        </w:tabs>
        <w:numPr>
          <w:ilvl w:val="0"/>
          <w:numId w:val="10"/>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48" w:lineRule="exact"/>
        <w:rPr>
          <w:rFonts w:ascii="MS PGothic" w:cs="MS PGothic" w:eastAsia="MS PGothic" w:hAnsi="MS PGothic"/>
          <w:sz w:val="16"/>
          <w:szCs w:val="16"/>
          <w:color w:val="auto"/>
        </w:rPr>
      </w:pPr>
    </w:p>
    <w:p>
      <w:pPr>
        <w:ind w:left="980" w:right="180" w:hanging="324"/>
        <w:spacing w:after="0" w:line="263" w:lineRule="auto"/>
        <w:tabs>
          <w:tab w:leader="none" w:pos="98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Pursue complementary acquisition and strategic alliance opportunities. </w:t>
      </w:r>
      <w:r>
        <w:rPr>
          <w:rFonts w:ascii="Arial" w:cs="Arial" w:eastAsia="Arial" w:hAnsi="Arial"/>
          <w:sz w:val="18"/>
          <w:szCs w:val="18"/>
          <w:color w:val="auto"/>
        </w:rPr>
        <w:t>We evaluate and selectively pursue acquisition opportunities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alliances that we believe will enhance or complement our current product offerings, augment our technology roadmap, or diversify our revenue base.</w:t>
      </w:r>
    </w:p>
    <w:p>
      <w:pPr>
        <w:sectPr>
          <w:pgSz w:w="11900" w:h="16838" w:orient="portrait"/>
          <w:cols w:equalWidth="0" w:num="1">
            <w:col w:w="11220"/>
          </w:cols>
          <w:pgMar w:left="320" w:top="125" w:right="35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ind w:left="980" w:hanging="324"/>
        <w:spacing w:after="0" w:line="286" w:lineRule="auto"/>
        <w:tabs>
          <w:tab w:leader="none" w:pos="980"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 the fabrication of our lasers.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40" w:hanging="324"/>
        <w:spacing w:after="0" w:line="275" w:lineRule="auto"/>
        <w:tabs>
          <w:tab w:leader="none" w:pos="980" w:val="left"/>
        </w:tabs>
        <w:numPr>
          <w:ilvl w:val="0"/>
          <w:numId w:val="12"/>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Laser enhancement technology. </w:t>
      </w:r>
      <w:r>
        <w:rPr>
          <w:rFonts w:ascii="Arial" w:cs="Arial" w:eastAsia="Arial" w:hAnsi="Arial"/>
          <w:sz w:val="17"/>
          <w:szCs w:val="17"/>
          <w:color w:val="auto"/>
        </w:rPr>
        <w:t>Certain properties of the semiconductor lasers predominantly used in traditional communications devices,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76" w:lineRule="exact"/>
        <w:rPr>
          <w:rFonts w:ascii="MS PGothic" w:cs="MS PGothic" w:eastAsia="MS PGothic" w:hAnsi="MS PGothic"/>
          <w:sz w:val="17"/>
          <w:szCs w:val="17"/>
          <w:color w:val="auto"/>
        </w:rPr>
      </w:pPr>
    </w:p>
    <w:p>
      <w:pPr>
        <w:ind w:left="980" w:hanging="324"/>
        <w:spacing w:after="0" w:line="289" w:lineRule="auto"/>
        <w:tabs>
          <w:tab w:leader="none" w:pos="980"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Optical hybrid-integration technology. </w:t>
      </w:r>
      <w:r>
        <w:rPr>
          <w:rFonts w:ascii="Arial" w:cs="Arial" w:eastAsia="Arial" w:hAnsi="Arial"/>
          <w:sz w:val="16"/>
          <w:szCs w:val="16"/>
          <w:color w:val="auto"/>
        </w:rPr>
        <w:t>Reducing the size, power consumption and complexity of optical devices is essential for achieving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66" w:lineRule="exact"/>
        <w:rPr>
          <w:rFonts w:ascii="MS PGothic" w:cs="MS PGothic" w:eastAsia="MS PGothic" w:hAnsi="MS PGothic"/>
          <w:sz w:val="16"/>
          <w:szCs w:val="16"/>
          <w:color w:val="auto"/>
        </w:rPr>
      </w:pPr>
    </w:p>
    <w:p>
      <w:pPr>
        <w:ind w:left="980" w:right="40"/>
        <w:spacing w:after="0" w:line="272" w:lineRule="auto"/>
        <w:rPr>
          <w:rFonts w:ascii="MS PGothic" w:cs="MS PGothic" w:eastAsia="MS PGothic" w:hAnsi="MS PGothic"/>
          <w:sz w:val="16"/>
          <w:szCs w:val="16"/>
          <w:color w:val="auto"/>
        </w:rPr>
      </w:pPr>
      <w:r>
        <w:rPr>
          <w:rFonts w:ascii="Arial" w:cs="Arial" w:eastAsia="Arial" w:hAnsi="Arial"/>
          <w:sz w:val="17"/>
          <w:szCs w:val="17"/>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77" w:lineRule="exact"/>
        <w:rPr>
          <w:rFonts w:ascii="MS PGothic" w:cs="MS PGothic" w:eastAsia="MS PGothic" w:hAnsi="MS PGothic"/>
          <w:sz w:val="16"/>
          <w:szCs w:val="16"/>
          <w:color w:val="auto"/>
        </w:rPr>
      </w:pPr>
    </w:p>
    <w:p>
      <w:pPr>
        <w:ind w:left="980" w:hanging="324"/>
        <w:spacing w:after="0" w:line="270" w:lineRule="auto"/>
        <w:tabs>
          <w:tab w:leader="none" w:pos="980" w:val="left"/>
        </w:tabs>
        <w:numPr>
          <w:ilvl w:val="0"/>
          <w:numId w:val="12"/>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 mixture of HD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20"/>
          </w:cols>
          <w:pgMar w:left="320" w:top="337" w:right="359" w:bottom="0" w:gutter="0" w:footer="0" w:header="0"/>
        </w:sectPr>
      </w:pPr>
    </w:p>
    <w:bookmarkStart w:id="7" w:name="page8"/>
    <w:bookmarkEnd w:id="7"/>
    <w:p>
      <w:pPr>
        <w:ind w:right="200" w:firstLine="648"/>
        <w:spacing w:after="0" w:line="263" w:lineRule="auto"/>
        <w:rPr>
          <w:sz w:val="20"/>
          <w:szCs w:val="20"/>
          <w:color w:val="auto"/>
        </w:rPr>
      </w:pPr>
      <w:r>
        <w:rPr>
          <w:rFonts w:ascii="Arial" w:cs="Arial" w:eastAsia="Arial" w:hAnsi="Arial"/>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As of December 31, 2020, we owned a total of 165 U.S. issued patents and 130 patents issued in China and Taiwan, plus a number of pending U.S. and foreign/international patent applications. Our issued U.S. and foreign patents will expire between 2021 and 2041. While our patents are an important element of our success, our business as a whole is not dependent on any one patent or group of patents. We do not anticipate any material effect on our business due to any patents expiring in 2021, and we continue to obtain new patents through our ongoing research and development.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13"/>
        </w:numPr>
        <w:rPr>
          <w:rFonts w:ascii="MS PGothic" w:cs="MS PGothic" w:eastAsia="MS PGothic" w:hAnsi="MS PGothic"/>
          <w:sz w:val="22"/>
          <w:szCs w:val="22"/>
          <w:color w:val="auto"/>
        </w:rPr>
      </w:pPr>
      <w:r>
        <w:rPr>
          <w:rFonts w:ascii="Arial" w:cs="Arial" w:eastAsia="Arial" w:hAnsi="Arial"/>
          <w:sz w:val="18"/>
          <w:szCs w:val="18"/>
          <w:color w:val="auto"/>
        </w:rPr>
        <w:t>laser structure and design;</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3"/>
        </w:numPr>
        <w:rPr>
          <w:rFonts w:ascii="MS PGothic" w:cs="MS PGothic" w:eastAsia="MS PGothic" w:hAnsi="MS PGothic"/>
          <w:sz w:val="22"/>
          <w:szCs w:val="22"/>
          <w:color w:val="auto"/>
        </w:rPr>
      </w:pPr>
      <w:r>
        <w:rPr>
          <w:rFonts w:ascii="Arial" w:cs="Arial" w:eastAsia="Arial" w:hAnsi="Arial"/>
          <w:sz w:val="18"/>
          <w:szCs w:val="18"/>
          <w:color w:val="auto"/>
        </w:rPr>
        <w:t>optical signal conditioning and laser control;</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laser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photodiode and optical receiver design and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optical device and module designs;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optical device packaging equipment and techniques;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optical network enhancements.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2020, 2019 and 2018</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December 31, 2020, we had a total of 315 employees working in the R&amp;D department, including 14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w:t>
      </w:r>
    </w:p>
    <w:p>
      <w:pPr>
        <w:sectPr>
          <w:pgSz w:w="11900" w:h="16838" w:orient="portrait"/>
          <w:cols w:equalWidth="0" w:num="1">
            <w:col w:w="11220"/>
          </w:cols>
          <w:pgMar w:left="320" w:top="125" w:right="359" w:bottom="0" w:gutter="0" w:footer="0" w:header="0"/>
        </w:sectPr>
      </w:pPr>
    </w:p>
    <w:bookmarkStart w:id="8" w:name="page9"/>
    <w:bookmarkEnd w:id="8"/>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customers are primarily internet data center operators, CATV and telecom equipment manufacturers, and internet service providers. We generally employ a direct sales model in North America and in the rest of the world we use both direct and indirect sales channels. In 2020, 2019 and 2018, we obtained 97.6%, 98.0%, and 96.4%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last three years, we have taken several actions to increase the diversity of our customer base. These actions include hiring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2020, the three customers who contributed most to our data center revenue were Microsoft, Amazon, and a US based large datacenter operator. Our CATV products were used by three large CATV original equipment manufacturers, or OEMs, consisting of Cisco, a global CATV NEM, and CommScope (which in 2019 acquired Arris, who had previously acquired the Motorola Home Business in 2013 and Pace Plc in 2016). In 2020, revenue from the internet data center market, CATV market, telecom market, FTTH market and other markets provided 73.9%, 16.2%, 9.0%, 0.01% and 0.9% of our revenue, respectively, compared to 75.2%, 19.6%, 4.4%, 0.1% and 0.7%, respectively, in 2019.</w:t>
      </w:r>
    </w:p>
    <w:p>
      <w:pPr>
        <w:spacing w:after="0" w:line="17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support our sales efforts by attendance at industry trade shows (virtually and in person), technical conferences and other promotional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efforts are aimed at attracting new customers and enhancing our existing customer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certain financial information regarding our business, see “Item 6.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who was acquired by II-VI Incorporated, Foxconn Interconnect Technology Ltd., InnoLight Technology (Suzhou) Ltd., Intel Corporation, Lumentum Holdings, Inc., Mitsubishi, Molex, LLC, Source Photonics, Inc. and Sumitomo Electric Industries, Ltd.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ectPr>
          <w:pgSz w:w="11900" w:h="16841" w:orient="portrait"/>
          <w:cols w:equalWidth="0" w:num="1">
            <w:col w:w="11220"/>
          </w:cols>
          <w:pgMar w:left="320" w:top="125" w:right="35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00" w:lineRule="exact"/>
        <w:rPr>
          <w:sz w:val="20"/>
          <w:szCs w:val="20"/>
          <w:color w:val="auto"/>
        </w:rPr>
      </w:pPr>
    </w:p>
    <w:p>
      <w:pPr>
        <w:spacing w:after="0" w:line="241" w:lineRule="exact"/>
        <w:rPr>
          <w:sz w:val="20"/>
          <w:szCs w:val="20"/>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use of internally manufactured components;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product breadth and functionality;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timing and pace of new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breadth of customer base;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technological expertise;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reliability of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product pricing;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manufacturing efficiency.</w:t>
      </w:r>
    </w:p>
    <w:p>
      <w:pPr>
        <w:spacing w:after="0" w:line="252"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Operations—Seasonality,” regarding seasonality of certain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December 31, 2020, we employed 2,682 full-time employees, of which 42 held Ph.D. degrees in a science or engineering field. Of our employees, 476 are located in the U.S., 773 are located in Taiwan and 1,433 are located in China.</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As of December 31, 2020,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 Development and Career Planning</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We conduct a confidential annual survey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 Development and Career Planning</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We conduct a confidential annual survey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Safety</w:t>
      </w:r>
    </w:p>
    <w:p>
      <w:pPr>
        <w:sectPr>
          <w:pgSz w:w="11900" w:h="16838" w:orient="portrait"/>
          <w:cols w:equalWidth="0" w:num="1">
            <w:col w:w="11220"/>
          </w:cols>
          <w:pgMar w:left="320" w:top="341" w:right="359" w:bottom="119" w:gutter="0" w:footer="0" w:header="0"/>
        </w:sectPr>
      </w:pPr>
    </w:p>
    <w:bookmarkStart w:id="10" w:name="page11"/>
    <w:bookmarkEnd w:id="10"/>
    <w:p>
      <w:pPr>
        <w:ind w:right="20" w:firstLine="648"/>
        <w:spacing w:after="0" w:line="254" w:lineRule="auto"/>
        <w:rPr>
          <w:sz w:val="20"/>
          <w:szCs w:val="20"/>
          <w:color w:val="auto"/>
        </w:rPr>
      </w:pPr>
      <w:r>
        <w:rPr>
          <w:rFonts w:ascii="Arial" w:cs="Arial" w:eastAsia="Arial" w:hAnsi="Arial"/>
          <w:sz w:val="18"/>
          <w:szCs w:val="18"/>
          <w:color w:val="auto"/>
        </w:rPr>
        <w:t>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 In response to the COVID-19 pandemic, we implemented significant changes that we determined were in the best interest of our employees and which comply with government orders in all the states and countries where we operate. In an effort to keep our employees safe and to maintain operations during the COVID-19 pandemic, we have implemented a number of new health-related measures including, the requirement to wear company provided face-masks at all times while on company property, implemented temperature taking protocols, increased hygiene, cleaning and sanitizing procedures at all Company sites, implemented social-distancing, implemented restrictions on visitors to our facilities, limiting in-person meetings and other gatherings.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Wellness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requires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9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9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ectPr>
          <w:pgSz w:w="11900" w:h="16838" w:orient="portrait"/>
          <w:cols w:equalWidth="0" w:num="1">
            <w:col w:w="11220"/>
          </w:cols>
          <w:pgMar w:left="320" w:top="125" w:right="35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76"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 Our website address is www.ao-inc.com. Information contained on our website is not incorporated by reference into this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Epidemic diseases, such as COVID-19, or the perception of their effects, could have a material adverse effect on our business, financial condition, results of operation, or cash flows.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Outbreaks of epidemic, pandemic, or contagious diseases, such as the recent COVID-19 or, historically, the Ebola virus, Middle East Respiratory Syndrome, Severe Acute Respiratory Syndrome, or the H1N1 virus, could divert medical 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For example, as a result of the extension of the Lunar New Year holidays due to the recent outbreak of COVID-19, certain of our product shipments from China have been delayed. Although we are monitoring the situation on a daily basis, it is currently unknown whether the outbreak will continue to disrupt our product shipments or impact manufacturing in the region or other regions where we operate over a prolonged period. If such disruption were to extend over a prolonged period, it could have a material impact on our revenues and our business. Any disruption resulting from similar events on a larger scale or over a prolonged period could cause significant delays in shipments of our products until we are able to resume such shipments, or shift our manufacturing, assembly, or test from the affected contractor to another third-party vendor, if needed. There can be no assurance that alternative capacity could be obtained on favorable terms, if at all.</w:t>
      </w:r>
    </w:p>
    <w:p>
      <w:pPr>
        <w:spacing w:after="0" w:line="171"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The spread of the COVID-19 virus during 2020 caused an economic downturn on a global scale, as well as significant volatility in the financial markets. In March 2020 the World Health Organization declared the spread of the COVID-19 virus a pandemic. Our operations have been negatively impacted by the pandemic and are likely to continue to be impacted. The extent and duration of this impact is uncertain and will depend on factors including the extent to which our customers' businesses are impacted by the pandemic. In order to protect our employees and also minimize the risk of potential disruptions to our business that could occur should a virus outbreak occur in one of our facilities, we have established and implemented a work from home provision for our employees, where possible. We have also modified our business practices (including employee travel, and cancellation of physical participation in meetings, events and conferences), and we may take further actions as may be required by government authorities or that we determine are in the best interests of our employees, customers and business partners. However, even with these precautions, it is not possible to eliminate the risk of a widespread outbreak among our employees and if such an outbreak were to occur, it would likely have a negative impact on our business, results of operations, and our financial condition.</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impact of the COVID-19 pandemic continues to unfold. The extent of the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the impact on governmental programs and budgets, the development of treatments or vaccines,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ectPr>
          <w:pgSz w:w="11900" w:h="16838" w:orient="portrait"/>
          <w:cols w:equalWidth="0" w:num="1">
            <w:col w:w="11240"/>
          </w:cols>
          <w:pgMar w:left="320" w:top="337" w:right="339" w:bottom="64" w:gutter="0" w:footer="0" w:header="0"/>
        </w:sectPr>
      </w:pPr>
    </w:p>
    <w:bookmarkStart w:id="12" w:name="page13"/>
    <w:bookmarkEnd w:id="12"/>
    <w:p>
      <w:pPr>
        <w:spacing w:after="0" w:line="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much of our revenue from a limited number of customers. For each year ended 2020, 2019 and 2018, our top ten customers represented 84.3%, 88.1%, and 92.9% of our revenue, respectively. In 2020, Microsoft represented 38.3% of our revenue, and Amazon represented 11.5%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6"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unanticipated engineering complexities;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difficulties in reallocating engineering resources and overcoming resource limitations; and</w:t>
      </w:r>
    </w:p>
    <w:p>
      <w:pPr>
        <w:sectPr>
          <w:pgSz w:w="11900" w:h="16841" w:orient="portrait"/>
          <w:cols w:equalWidth="0" w:num="1">
            <w:col w:w="11240"/>
          </w:cols>
          <w:pgMar w:left="320" w:top="125" w:right="339" w:bottom="0" w:gutter="0" w:footer="0" w:header="0"/>
        </w:sectPr>
      </w:pPr>
    </w:p>
    <w:bookmarkStart w:id="13" w:name="page14"/>
    <w:bookmarkEnd w:id="13"/>
    <w:p>
      <w:pPr>
        <w:spacing w:after="0" w:line="52" w:lineRule="exact"/>
        <w:rPr>
          <w:sz w:val="20"/>
          <w:szCs w:val="20"/>
          <w:color w:val="auto"/>
        </w:rPr>
      </w:pPr>
    </w:p>
    <w:p>
      <w:pPr>
        <w:ind w:left="980" w:hanging="324"/>
        <w:spacing w:after="0"/>
        <w:tabs>
          <w:tab w:leader="none" w:pos="98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Although we conducted extensive testing of our products to demonstrate that any potentially affected units could be nearly eliminated from future shipments, and we subsequently resumed shipments with the customer’s agreement, we did incur additional testing costs and costs to enhance the ongoing monitoring of product quality which adversely affected the results of our operations. It is unclear the extent to which our reputation with this customer, or other customers, may have been affected.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2,269 of our employees as of December 31, 2020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w:t>
      </w:r>
    </w:p>
    <w:p>
      <w:pPr>
        <w:sectPr>
          <w:pgSz w:w="11900" w:h="16890" w:orient="portrait"/>
          <w:cols w:equalWidth="0" w:num="1">
            <w:col w:w="11240"/>
          </w:cols>
          <w:pgMar w:left="320" w:top="341" w:right="339" w:bottom="0" w:gutter="0" w:footer="0" w:header="0"/>
        </w:sectPr>
      </w:pPr>
    </w:p>
    <w:bookmarkStart w:id="14" w:name="page15"/>
    <w:bookmarkEnd w:id="14"/>
    <w:p>
      <w:pPr>
        <w:ind w:right="200"/>
        <w:spacing w:after="0" w:line="342" w:lineRule="auto"/>
        <w:rPr>
          <w:sz w:val="20"/>
          <w:szCs w:val="20"/>
          <w:color w:val="auto"/>
        </w:rPr>
      </w:pPr>
      <w:r>
        <w:rPr>
          <w:rFonts w:ascii="Arial" w:cs="Arial" w:eastAsia="Arial" w:hAnsi="Arial"/>
          <w:sz w:val="16"/>
          <w:szCs w:val="16"/>
          <w:color w:val="auto"/>
        </w:rPr>
        <w:t>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the timing, size and mix of sales of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w w:val="90"/>
              </w:rPr>
              <w:t>fluctuations in demand for our products, including the increase, decrease, rescheduling or cancellation of significant customer orders;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w w:val="94"/>
              </w:rPr>
              <w:t>our ability to design, manufacture and deliver products which meet customer requirements in a timely and cost-effective manner;</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the gain or loss of key customers;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changes in our pricing and sales policies or the pricing and sales policies of our competitors;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seasonality of certain of our products and manufacturing capabilities;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quality control or yield problems in our manufacturing operations;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supply disruption for certain raw materials and components used in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w w:val="95"/>
              </w:rPr>
              <w:t>capacity constraints of our outside contract manufacturers for a portion of the manufacturing process for some of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length and variability of the sales cycles of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unanticipated increases in costs or expenses;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the loss of key employees;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different capital expenditure and budget cycles for our customers, affecting the timing of their spending for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rPr>
              <w:t>political stability in the areas of the world in which we operate;</w:t>
            </w:r>
          </w:p>
        </w:tc>
        <w:tc>
          <w:tcPr>
            <w:tcW w:w="0" w:type="dxa"/>
            <w:vAlign w:val="bottom"/>
          </w:tcPr>
          <w:p>
            <w:pPr>
              <w:spacing w:after="0"/>
              <w:rPr>
                <w:sz w:val="1"/>
                <w:szCs w:val="1"/>
                <w:color w:val="auto"/>
              </w:rPr>
            </w:pPr>
          </w:p>
        </w:tc>
      </w:tr>
      <w:tr>
        <w:trPr>
          <w:trHeight w:val="445"/>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760" w:type="dxa"/>
            <w:vAlign w:val="bottom"/>
          </w:tcPr>
          <w:p>
            <w:pPr>
              <w:ind w:left="120"/>
              <w:spacing w:after="0"/>
              <w:rPr>
                <w:sz w:val="20"/>
                <w:szCs w:val="20"/>
                <w:color w:val="auto"/>
              </w:rPr>
            </w:pPr>
            <w:r>
              <w:rPr>
                <w:rFonts w:ascii="Arial" w:cs="Arial" w:eastAsia="Arial" w:hAnsi="Arial"/>
                <w:sz w:val="18"/>
                <w:szCs w:val="18"/>
                <w:color w:val="auto"/>
                <w:w w:val="91"/>
              </w:rPr>
              <w:t>changes in or limitations imposed by trade protection laws or other regulatory orders or requirements in the United States or in other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w w:val="92"/>
              </w:rPr>
              <w:t>countries, including tariffs, sanctions, or other costs, restrictions, or requirements which may affect our ability to import or export our</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rPr>
              <w:t>products to or from various countries; and</w:t>
            </w:r>
          </w:p>
        </w:tc>
        <w:tc>
          <w:tcPr>
            <w:tcW w:w="0" w:type="dxa"/>
            <w:vAlign w:val="bottom"/>
          </w:tcPr>
          <w:p>
            <w:pPr>
              <w:spacing w:after="0"/>
              <w:rPr>
                <w:sz w:val="1"/>
                <w:szCs w:val="1"/>
                <w:color w:val="auto"/>
              </w:rPr>
            </w:pPr>
          </w:p>
        </w:tc>
      </w:tr>
      <w:tr>
        <w:trPr>
          <w:trHeight w:val="438"/>
        </w:trPr>
        <w:tc>
          <w:tcPr>
            <w:tcW w:w="20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9760" w:type="dxa"/>
            <w:vAlign w:val="bottom"/>
          </w:tcPr>
          <w:p>
            <w:pPr>
              <w:ind w:left="120"/>
              <w:spacing w:after="0"/>
              <w:rPr>
                <w:sz w:val="20"/>
                <w:szCs w:val="20"/>
                <w:color w:val="auto"/>
              </w:rPr>
            </w:pPr>
            <w:r>
              <w:rPr>
                <w:rFonts w:ascii="Arial" w:cs="Arial" w:eastAsia="Arial" w:hAnsi="Arial"/>
                <w:sz w:val="22"/>
                <w:szCs w:val="22"/>
                <w:color w:val="auto"/>
                <w:w w:val="89"/>
              </w:rPr>
              <w:t>trade-related government actions that impose barriers or restrictions that would impact our ability to sell or ship</w:t>
            </w:r>
          </w:p>
        </w:tc>
        <w:tc>
          <w:tcPr>
            <w:tcW w:w="0" w:type="dxa"/>
            <w:vAlign w:val="bottom"/>
          </w:tcPr>
          <w:p>
            <w:pPr>
              <w:spacing w:after="0"/>
              <w:rPr>
                <w:sz w:val="1"/>
                <w:szCs w:val="1"/>
                <w:color w:val="auto"/>
              </w:rPr>
            </w:pPr>
          </w:p>
        </w:tc>
      </w:tr>
      <w:tr>
        <w:trPr>
          <w:trHeight w:val="153"/>
        </w:trPr>
        <w:tc>
          <w:tcPr>
            <w:tcW w:w="200" w:type="dxa"/>
            <w:vAlign w:val="bottom"/>
            <w:vMerge w:val="continue"/>
          </w:tcPr>
          <w:p>
            <w:pPr>
              <w:spacing w:after="0"/>
              <w:rPr>
                <w:sz w:val="13"/>
                <w:szCs w:val="13"/>
                <w:color w:val="auto"/>
              </w:rPr>
            </w:pPr>
          </w:p>
        </w:tc>
        <w:tc>
          <w:tcPr>
            <w:tcW w:w="9760" w:type="dxa"/>
            <w:vAlign w:val="bottom"/>
            <w:vMerge w:val="restart"/>
          </w:tcPr>
          <w:p>
            <w:pPr>
              <w:ind w:left="120"/>
              <w:spacing w:after="0"/>
              <w:rPr>
                <w:sz w:val="20"/>
                <w:szCs w:val="20"/>
                <w:color w:val="auto"/>
              </w:rPr>
            </w:pPr>
            <w:r>
              <w:rPr>
                <w:rFonts w:ascii="Arial" w:cs="Arial" w:eastAsia="Arial" w:hAnsi="Arial"/>
                <w:sz w:val="22"/>
                <w:szCs w:val="22"/>
                <w:color w:val="auto"/>
              </w:rPr>
              <w:t>products to Huawei or other customers.</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ectPr>
          <w:pgSz w:w="11900" w:h="16838" w:orient="portrait"/>
          <w:cols w:equalWidth="0" w:num="1">
            <w:col w:w="11200"/>
          </w:cols>
          <w:pgMar w:left="320" w:top="125" w:right="379" w:bottom="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ectPr>
          <w:pgSz w:w="11900" w:h="16838" w:orient="portrait"/>
          <w:cols w:equalWidth="0" w:num="1">
            <w:col w:w="11200"/>
          </w:cols>
          <w:pgMar w:left="320" w:top="125" w:right="379" w:bottom="0" w:gutter="0" w:footer="0" w:header="0"/>
          <w:type w:val="continuous"/>
        </w:sectPr>
      </w:pPr>
    </w:p>
    <w:bookmarkStart w:id="15" w:name="page16"/>
    <w:bookmarkEnd w:id="15"/>
    <w:p>
      <w:pPr>
        <w:spacing w:after="0" w:line="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9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of December 31, 2020, we had U.S. accumulated net operating losses, or NOLs, of approximately $87.0 million, federal and state research and development credits (“R&amp;D credits”) of $9.0 million, interest expense of $1.8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and in the year ended December 31, 2020 would not have prevented us from using all NOLs and tax credits accumulated before such ownership changes, assuming we were otherwise able to do so,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 Also, any foreign NOLs (for example NOLs in our China and Taiwan jurisdictions) are subject to different NOL expirations, generally shorter than in the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4" w:lineRule="exact"/>
        <w:rPr>
          <w:sz w:val="20"/>
          <w:szCs w:val="20"/>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difficulties integrating the acquired business;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diversion of financial and management resources from our existing business;</w:t>
      </w:r>
    </w:p>
    <w:p>
      <w:pPr>
        <w:spacing w:after="0" w:line="252" w:lineRule="exact"/>
        <w:rPr>
          <w:rFonts w:ascii="MS PGothic" w:cs="MS PGothic" w:eastAsia="MS PGothic" w:hAnsi="MS PGothic"/>
          <w:sz w:val="18"/>
          <w:szCs w:val="18"/>
          <w:color w:val="auto"/>
        </w:rPr>
      </w:pPr>
    </w:p>
    <w:p>
      <w:pPr>
        <w:ind w:left="980" w:right="920" w:hanging="324"/>
        <w:spacing w:after="0" w:line="277" w:lineRule="auto"/>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potential loss of key employees, particularly those of the acquired organizations.</w:t>
      </w:r>
    </w:p>
    <w:p>
      <w:pPr>
        <w:sectPr>
          <w:pgSz w:w="11900" w:h="16895" w:orient="portrait"/>
          <w:cols w:equalWidth="0" w:num="1">
            <w:col w:w="11220"/>
          </w:cols>
          <w:pgMar w:left="320" w:top="341" w:right="359" w:bottom="0" w:gutter="0" w:footer="0" w:header="0"/>
        </w:sectPr>
      </w:pPr>
    </w:p>
    <w:bookmarkStart w:id="16" w:name="page17"/>
    <w:bookmarkEnd w:id="16"/>
    <w:p>
      <w:pPr>
        <w:spacing w:after="0" w:line="5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governmental export and import controls that could subject us to liability or impair our ability to compete in international markets.</w:t>
      </w:r>
    </w:p>
    <w:p>
      <w:pPr>
        <w:spacing w:after="0" w:line="2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92"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have been,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w:t>
      </w:r>
    </w:p>
    <w:p>
      <w:pPr>
        <w:sectPr>
          <w:pgSz w:w="11900" w:h="16888" w:orient="portrait"/>
          <w:cols w:equalWidth="0" w:num="1">
            <w:col w:w="11240"/>
          </w:cols>
          <w:pgMar w:left="320" w:top="584" w:right="339" w:bottom="0" w:gutter="0" w:footer="0" w:header="0"/>
        </w:sectPr>
      </w:pPr>
    </w:p>
    <w:bookmarkStart w:id="17" w:name="page18"/>
    <w:bookmarkEnd w:id="17"/>
    <w:p>
      <w:pPr>
        <w:spacing w:after="0" w:line="4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impact our financial results. As disclosed in “Item 3.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Future Financing</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4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As of December 31, 2020, we had approximately $145.9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38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spacing w:after="0" w:line="253"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Truist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Paycheck Protection Program loan may not be forgiven and could subject us to enhanced scrutiny.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April 17, 2020, we were granted a loan of $6.2 million under the Paycheck Protection Program ("PPP"), which is a component of the Coronavirus Aid, Relief, and Economic Security ("CARES") Act. This program was implemented hastily in response to the unprecedented economic downturn related to the COVID-19, and provides for loans of up to $10 million for eligible small businesses (defined generally as businesses with less than 500 U.S. resident employees). Due to the speed of implementation of this program, official guidance and interpretations of the requirements of the program have been limited and have changed over time. On April 29, 2020, the U.S. Department of the Treasury updated its "Frequently Asked Questions" (FAQ) document regarding the PPP program to indicate its intention to review all loans obtained under the program that exceed $2 million.</w:t>
      </w:r>
    </w:p>
    <w:p>
      <w:pPr>
        <w:spacing w:after="0" w:line="16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diligently considered all known guidance and determined that we meet all the requirements for the program; however, we cannot predict with certainty how such a review might be conducted or what new information or interpretations might emerge prior to the completion of the review. As such, we cannot be certain whether our loan may be forgiven, even if we meet the currently understood requirements for forgiveness. The review could also subject us to additional scrutiny which could adversely affect our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lending arrangements with several financial institutions, including loan agreements with Truist Bank in the U.S., credit facilities with Taishin International Bank and equipment finance agreements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w:t>
      </w:r>
    </w:p>
    <w:p>
      <w:pPr>
        <w:spacing w:after="0" w:line="17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Truist Bank are secured by our accounts receivable, inventory, intellectual property, and all business assets including real estate and equipment. Our credit facilities with Shanghai Pudong Development Bank Co., Ltd. and China Zheshang Bank</w:t>
      </w:r>
    </w:p>
    <w:p>
      <w:pPr>
        <w:sectPr>
          <w:pgSz w:w="11900" w:h="16882" w:orient="portrait"/>
          <w:cols w:equalWidth="0" w:num="1">
            <w:col w:w="11220"/>
          </w:cols>
          <w:pgMar w:left="320" w:top="125" w:right="359" w:bottom="0" w:gutter="0" w:footer="0" w:header="0"/>
        </w:sectPr>
      </w:pPr>
    </w:p>
    <w:bookmarkStart w:id="18" w:name="page19"/>
    <w:bookmarkEnd w:id="18"/>
    <w:p>
      <w:pPr>
        <w:ind w:right="280"/>
        <w:spacing w:after="0" w:line="308" w:lineRule="auto"/>
        <w:rPr>
          <w:sz w:val="20"/>
          <w:szCs w:val="20"/>
          <w:color w:val="auto"/>
        </w:rPr>
      </w:pPr>
      <w:r>
        <w:rPr>
          <w:rFonts w:ascii="Arial" w:cs="Arial" w:eastAsia="Arial" w:hAnsi="Arial"/>
          <w:sz w:val="17"/>
          <w:szCs w:val="17"/>
          <w:color w:val="auto"/>
        </w:rPr>
        <w:t>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research and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hiring of additional technical, sales and other personnel;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acquisitions of complementary businesses.</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2019, effective January 2020, we may be unable to meet the demands of existing and prospective customers, adversely affecting our sales and market opportunities and consequently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Breaches and Network Infrastructures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5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Trade and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ectPr>
          <w:pgSz w:w="11900" w:h="16838" w:orient="portrait"/>
          <w:cols w:equalWidth="0" w:num="1">
            <w:col w:w="11240"/>
          </w:cols>
          <w:pgMar w:left="320" w:top="125" w:right="339" w:bottom="0" w:gutter="0" w:footer="0" w:header="0"/>
        </w:sectPr>
      </w:pPr>
    </w:p>
    <w:bookmarkStart w:id="19" w:name="page20"/>
    <w:bookmarkEnd w:id="19"/>
    <w:p>
      <w:pPr>
        <w:ind w:right="160" w:firstLine="648"/>
        <w:spacing w:after="0" w:line="255" w:lineRule="auto"/>
        <w:rPr>
          <w:sz w:val="20"/>
          <w:szCs w:val="20"/>
          <w:color w:val="auto"/>
        </w:rPr>
      </w:pPr>
      <w:r>
        <w:rPr>
          <w:rFonts w:ascii="Arial" w:cs="Arial" w:eastAsia="Arial" w:hAnsi="Arial"/>
          <w:sz w:val="18"/>
          <w:szCs w:val="18"/>
          <w:color w:val="auto"/>
        </w:rPr>
        <w:t>The U.S. government has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the U.S. Tariffs on China Imports.</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2020, 2019 and 2018, 25.4%, 18.8%, and 23.1% of our revenue was derived from sales that occurred outside of North America, respectively. In addition, a significant portion of our manufacturing operations is based in Ningbo, China and Taipei, Taiwan.</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Trade-related government actions, by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revenue and operations are subject to a number of material risks, including:</w:t>
      </w:r>
    </w:p>
    <w:p>
      <w:pPr>
        <w:spacing w:after="0" w:line="225" w:lineRule="exact"/>
        <w:rPr>
          <w:sz w:val="20"/>
          <w:szCs w:val="20"/>
          <w:color w:val="auto"/>
        </w:rPr>
      </w:pPr>
    </w:p>
    <w:p>
      <w:pPr>
        <w:ind w:left="980" w:hanging="324"/>
        <w:spacing w:after="0"/>
        <w:tabs>
          <w:tab w:leader="none" w:pos="980" w:val="left"/>
        </w:tabs>
        <w:numPr>
          <w:ilvl w:val="0"/>
          <w:numId w:val="20"/>
        </w:numPr>
        <w:rPr>
          <w:rFonts w:ascii="MS PGothic" w:cs="MS PGothic" w:eastAsia="MS PGothic" w:hAnsi="MS PGothic"/>
          <w:sz w:val="22"/>
          <w:szCs w:val="22"/>
          <w:color w:val="auto"/>
        </w:rPr>
      </w:pPr>
      <w:r>
        <w:rPr>
          <w:rFonts w:ascii="Arial" w:cs="Arial" w:eastAsia="Arial" w:hAnsi="Arial"/>
          <w:sz w:val="18"/>
          <w:szCs w:val="18"/>
          <w:color w:val="auto"/>
        </w:rPr>
        <w:t>difficulties in staffing, managing and supporting operations in more than one country;</w:t>
      </w:r>
    </w:p>
    <w:p>
      <w:pPr>
        <w:spacing w:after="0" w:line="232" w:lineRule="exact"/>
        <w:rPr>
          <w:sz w:val="20"/>
          <w:szCs w:val="20"/>
          <w:color w:val="auto"/>
        </w:rPr>
      </w:pPr>
    </w:p>
    <w:p>
      <w:pPr>
        <w:ind w:left="980" w:hanging="324"/>
        <w:spacing w:after="0"/>
        <w:tabs>
          <w:tab w:leader="none" w:pos="980" w:val="left"/>
        </w:tabs>
        <w:numPr>
          <w:ilvl w:val="0"/>
          <w:numId w:val="21"/>
        </w:numPr>
        <w:rPr>
          <w:rFonts w:ascii="MS PGothic" w:cs="MS PGothic" w:eastAsia="MS PGothic" w:hAnsi="MS PGothic"/>
          <w:sz w:val="22"/>
          <w:szCs w:val="22"/>
          <w:color w:val="auto"/>
        </w:rPr>
      </w:pPr>
      <w:r>
        <w:rPr>
          <w:rFonts w:ascii="Arial" w:cs="Arial" w:eastAsia="Arial" w:hAnsi="Arial"/>
          <w:sz w:val="18"/>
          <w:szCs w:val="18"/>
          <w:color w:val="auto"/>
        </w:rPr>
        <w:t>difficulties in enforcing agreements and collecting receivables through foreign legal systems;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fewer legal protections for intellectual property in foreign jurisdictions;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foreign and U.S. taxation issues and international trade barriers, including the adoption or expansion of governmental trade tariffs;</w:t>
      </w:r>
    </w:p>
    <w:p>
      <w:pPr>
        <w:spacing w:after="0" w:line="263" w:lineRule="exact"/>
        <w:rPr>
          <w:rFonts w:ascii="MS PGothic" w:cs="MS PGothic" w:eastAsia="MS PGothic" w:hAnsi="MS PGothic"/>
          <w:sz w:val="17"/>
          <w:szCs w:val="17"/>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foreign economies;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trade and travel restrictions;</w:t>
      </w:r>
    </w:p>
    <w:p>
      <w:pPr>
        <w:spacing w:after="0" w:line="252" w:lineRule="exact"/>
        <w:rPr>
          <w:rFonts w:ascii="MS PGothic" w:cs="MS PGothic" w:eastAsia="MS PGothic" w:hAnsi="MS PGothic"/>
          <w:sz w:val="18"/>
          <w:szCs w:val="18"/>
          <w:color w:val="auto"/>
        </w:rPr>
      </w:pPr>
    </w:p>
    <w:p>
      <w:pPr>
        <w:ind w:left="980" w:right="480" w:hanging="324"/>
        <w:spacing w:after="0" w:line="277" w:lineRule="auto"/>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MS PGothic" w:cs="MS PGothic" w:eastAsia="MS PGothic" w:hAnsi="MS PGothic"/>
          <w:sz w:val="18"/>
          <w:szCs w:val="18"/>
          <w:color w:val="auto"/>
        </w:rPr>
      </w:pPr>
    </w:p>
    <w:p>
      <w:pPr>
        <w:ind w:left="980" w:right="560" w:hanging="324"/>
        <w:spacing w:after="0" w:line="277" w:lineRule="auto"/>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w:t>
      </w:r>
    </w:p>
    <w:p>
      <w:pPr>
        <w:sectPr>
          <w:pgSz w:w="11900" w:h="16838" w:orient="portrait"/>
          <w:cols w:equalWidth="0" w:num="1">
            <w:col w:w="11240"/>
          </w:cols>
          <w:pgMar w:left="320" w:top="125" w:right="339" w:bottom="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political or economic conditions in China and Taiwan could have a material adverse effect on our financial condition and results of operations, as well as the market price and the liquidity of our common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2" w:lineRule="exact"/>
        <w:rPr>
          <w:sz w:val="20"/>
          <w:szCs w:val="20"/>
          <w:color w:val="auto"/>
        </w:rPr>
      </w:pPr>
    </w:p>
    <w:p>
      <w:pPr>
        <w:ind w:left="980" w:hanging="324"/>
        <w:spacing w:after="0"/>
        <w:tabs>
          <w:tab w:leader="none" w:pos="9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75" w:lineRule="exact"/>
        <w:rPr>
          <w:rFonts w:ascii="MS PGothic" w:cs="MS PGothic" w:eastAsia="MS PGothic" w:hAnsi="MS PGothic"/>
          <w:sz w:val="16"/>
          <w:szCs w:val="16"/>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pay substantial monetary damages; or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21" w:name="page22"/>
    <w:bookmarkEnd w:id="21"/>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business operations conducted in China are critical to our success. A total of $85.2 million, $83.3 million, and $143.1 million or 36.3%, 43.6%, and 53.6%, of our revenue in the years ended December 31, 2020, 2019 and 2018 was attributable to our product manufactured at our plant in China, respectively. Additionally, a substantial portion of our property, plant and equipment, 40.6%, 37.1%, and 36.8% as of December 31, 2020, 2019 and 2018,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1"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ectPr>
          <w:pgSz w:w="11900" w:h="16841" w:orient="portrait"/>
          <w:cols w:equalWidth="0" w:num="1">
            <w:col w:w="11220"/>
          </w:cols>
          <w:pgMar w:left="320" w:top="121" w:right="359" w:bottom="0" w:gutter="0" w:footer="0" w:header="0"/>
        </w:sectPr>
      </w:pPr>
    </w:p>
    <w:bookmarkStart w:id="22" w:name="page23"/>
    <w:bookmarkEnd w:id="22"/>
    <w:p>
      <w:pPr>
        <w:ind w:right="260" w:firstLine="648"/>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4" w:lineRule="exact"/>
        <w:rPr>
          <w:sz w:val="20"/>
          <w:szCs w:val="20"/>
          <w:color w:val="auto"/>
        </w:rPr>
      </w:pPr>
    </w:p>
    <w:p>
      <w:pPr>
        <w:ind w:left="980" w:hanging="324"/>
        <w:spacing w:after="0"/>
        <w:tabs>
          <w:tab w:leader="none" w:pos="980" w:val="left"/>
        </w:tabs>
        <w:numPr>
          <w:ilvl w:val="0"/>
          <w:numId w:val="23"/>
        </w:numPr>
        <w:rPr>
          <w:rFonts w:ascii="MS PGothic" w:cs="MS PGothic" w:eastAsia="MS PGothic" w:hAnsi="MS PGothic"/>
          <w:sz w:val="22"/>
          <w:szCs w:val="22"/>
          <w:color w:val="auto"/>
        </w:rPr>
      </w:pPr>
      <w:r>
        <w:rPr>
          <w:rFonts w:ascii="Arial" w:cs="Arial" w:eastAsia="Arial" w:hAnsi="Arial"/>
          <w:sz w:val="18"/>
          <w:szCs w:val="18"/>
          <w:color w:val="auto"/>
        </w:rPr>
        <w:t>providing for a classified board of directors with staggered, three-year terms;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3"/>
        </w:numPr>
        <w:rPr>
          <w:rFonts w:ascii="MS PGothic" w:cs="MS PGothic" w:eastAsia="MS PGothic" w:hAnsi="MS PGothic"/>
          <w:sz w:val="22"/>
          <w:szCs w:val="22"/>
          <w:color w:val="auto"/>
        </w:rPr>
      </w:pPr>
      <w:r>
        <w:rPr>
          <w:rFonts w:ascii="Arial" w:cs="Arial" w:eastAsia="Arial" w:hAnsi="Arial"/>
          <w:sz w:val="18"/>
          <w:szCs w:val="18"/>
          <w:color w:val="auto"/>
        </w:rPr>
        <w:t>not providing for cumulative voting in the election of directors;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MS PGothic" w:cs="MS PGothic" w:eastAsia="MS PGothic" w:hAnsi="MS PGothic"/>
          <w:sz w:val="18"/>
          <w:szCs w:val="18"/>
          <w:color w:val="auto"/>
        </w:rPr>
      </w:pPr>
    </w:p>
    <w:p>
      <w:pPr>
        <w:ind w:left="980" w:right="140" w:hanging="324"/>
        <w:spacing w:after="0" w:line="277" w:lineRule="auto"/>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0"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4" w:lineRule="exact"/>
        <w:rPr>
          <w:sz w:val="20"/>
          <w:szCs w:val="20"/>
          <w:color w:val="auto"/>
        </w:rPr>
      </w:pPr>
    </w:p>
    <w:p>
      <w:pPr>
        <w:ind w:left="140" w:right="560" w:hanging="161"/>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100"/>
        <w:spacing w:after="0"/>
        <w:tabs>
          <w:tab w:leader="none" w:pos="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ectPr>
          <w:pgSz w:w="11900" w:h="16838" w:orient="portrait"/>
          <w:cols w:equalWidth="0" w:num="1">
            <w:col w:w="11240"/>
          </w:cols>
          <w:pgMar w:left="320" w:top="341" w:right="339" w:bottom="0" w:gutter="0" w:footer="0" w:header="0"/>
        </w:sectPr>
      </w:pPr>
    </w:p>
    <w:bookmarkStart w:id="23" w:name="page24"/>
    <w:bookmarkEnd w:id="23"/>
    <w:p>
      <w:pPr>
        <w:ind w:right="960" w:firstLine="648"/>
        <w:spacing w:after="0" w:line="308" w:lineRule="auto"/>
        <w:rPr>
          <w:sz w:val="20"/>
          <w:szCs w:val="20"/>
          <w:color w:val="auto"/>
        </w:rPr>
      </w:pPr>
      <w:r>
        <w:rPr>
          <w:rFonts w:ascii="Arial" w:cs="Arial" w:eastAsia="Arial" w:hAnsi="Arial"/>
          <w:sz w:val="17"/>
          <w:szCs w:val="17"/>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Owned or Lease</w:t>
            </w:r>
          </w:p>
        </w:tc>
        <w:tc>
          <w:tcPr>
            <w:tcW w:w="10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Approximate</w:t>
            </w:r>
          </w:p>
        </w:tc>
        <w:tc>
          <w:tcPr>
            <w:tcW w:w="5620" w:type="dxa"/>
            <w:vAlign w:val="bottom"/>
          </w:tcPr>
          <w:p>
            <w:pPr>
              <w:spacing w:after="0"/>
              <w:rPr>
                <w:sz w:val="18"/>
                <w:szCs w:val="18"/>
                <w:color w:val="auto"/>
              </w:rPr>
            </w:pPr>
          </w:p>
        </w:tc>
      </w:tr>
      <w:tr>
        <w:trPr>
          <w:trHeight w:val="234"/>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Square Footage</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Use</w:t>
            </w:r>
          </w:p>
        </w:tc>
      </w:tr>
      <w:tr>
        <w:trPr>
          <w:trHeight w:val="209"/>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Sugar Land, Texas</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0" w:lineRule="exact"/>
              <w:rPr>
                <w:sz w:val="20"/>
                <w:szCs w:val="20"/>
                <w:color w:val="auto"/>
              </w:rPr>
            </w:pPr>
            <w:r>
              <w:rPr>
                <w:rFonts w:ascii="Arial" w:cs="Arial" w:eastAsia="Arial" w:hAnsi="Arial"/>
                <w:sz w:val="15"/>
                <w:szCs w:val="15"/>
                <w:color w:val="auto"/>
              </w:rPr>
              <w:t xml:space="preserve">Owned </w:t>
            </w:r>
            <w:r>
              <w:rPr>
                <w:rFonts w:ascii="Arial" w:cs="Arial" w:eastAsia="Arial" w:hAnsi="Arial"/>
                <w:sz w:val="24"/>
                <w:szCs w:val="24"/>
                <w:color w:val="auto"/>
                <w:vertAlign w:val="superscript"/>
              </w:rPr>
              <w:t>(1)</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139,450</w:t>
            </w: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Ningbo, China</w:t>
            </w:r>
          </w:p>
        </w:tc>
        <w:tc>
          <w:tcPr>
            <w:tcW w:w="120" w:type="dxa"/>
            <w:vAlign w:val="bottom"/>
          </w:tcPr>
          <w:p>
            <w:pPr>
              <w:spacing w:after="0"/>
              <w:rPr>
                <w:sz w:val="18"/>
                <w:szCs w:val="18"/>
                <w:color w:val="auto"/>
              </w:rPr>
            </w:pPr>
          </w:p>
        </w:tc>
        <w:tc>
          <w:tcPr>
            <w:tcW w:w="2020" w:type="dxa"/>
            <w:vAlign w:val="bottom"/>
          </w:tcPr>
          <w:p>
            <w:pPr>
              <w:jc w:val="center"/>
              <w:spacing w:after="0" w:line="216" w:lineRule="exact"/>
              <w:rPr>
                <w:sz w:val="20"/>
                <w:szCs w:val="20"/>
                <w:color w:val="auto"/>
              </w:rPr>
            </w:pPr>
            <w:r>
              <w:rPr>
                <w:rFonts w:ascii="Arial" w:cs="Arial" w:eastAsia="Arial" w:hAnsi="Arial"/>
                <w:sz w:val="16"/>
                <w:szCs w:val="16"/>
                <w:color w:val="auto"/>
                <w:w w:val="97"/>
              </w:rPr>
              <w:t xml:space="preserve">Owned </w:t>
            </w:r>
            <w:r>
              <w:rPr>
                <w:rFonts w:ascii="Arial" w:cs="Arial" w:eastAsia="Arial" w:hAnsi="Arial"/>
                <w:sz w:val="25"/>
                <w:szCs w:val="25"/>
                <w:color w:val="auto"/>
                <w:w w:val="97"/>
                <w:vertAlign w:val="superscript"/>
              </w:rPr>
              <w:t>(2)</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458,849</w:t>
            </w:r>
          </w:p>
        </w:tc>
        <w:tc>
          <w:tcPr>
            <w:tcW w:w="5620" w:type="dxa"/>
            <w:vAlign w:val="bottom"/>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Taipei, Taiwan</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 xml:space="preserve">May 31, 2029 </w:t>
            </w:r>
            <w:r>
              <w:rPr>
                <w:rFonts w:ascii="Arial" w:cs="Arial" w:eastAsia="Arial" w:hAnsi="Arial"/>
                <w:sz w:val="25"/>
                <w:szCs w:val="25"/>
                <w:color w:val="auto"/>
                <w:vertAlign w:val="superscript"/>
              </w:rPr>
              <w:t>(3)</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268,797</w:t>
            </w: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115"/>
        </w:trPr>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74" w:lineRule="exact"/>
        <w:rPr>
          <w:sz w:val="20"/>
          <w:szCs w:val="20"/>
          <w:color w:val="auto"/>
        </w:rPr>
      </w:pPr>
    </w:p>
    <w:p>
      <w:pPr>
        <w:ind w:left="340" w:hanging="27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manufacture laser chips (utilizing our MBE and MOCVD process), subassemblies and components in our Sugar Land, Texas facility.</w:t>
      </w:r>
    </w:p>
    <w:p>
      <w:pPr>
        <w:spacing w:after="0" w:line="225" w:lineRule="exact"/>
        <w:rPr>
          <w:rFonts w:ascii="Arial" w:cs="Arial" w:eastAsia="Arial" w:hAnsi="Arial"/>
          <w:sz w:val="18"/>
          <w:szCs w:val="18"/>
          <w:color w:val="auto"/>
        </w:rPr>
      </w:pPr>
    </w:p>
    <w:p>
      <w:pPr>
        <w:ind w:left="340" w:right="100" w:hanging="278"/>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our China facility, we manufacture certain more labor intensive components and optical equipment systems, such as optical subassemblies and transceivers for the internet data center market, CATV transmitters (at the headend) and CATV outdoor equipment (at the node).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As of December 31, 2020 we have completed construction of our new manufacturing facility on the second real property. The land use rights for the second real property expire on December 28, 2067.</w:t>
      </w:r>
    </w:p>
    <w:p>
      <w:pPr>
        <w:spacing w:after="0" w:line="194" w:lineRule="exact"/>
        <w:rPr>
          <w:rFonts w:ascii="Arial" w:cs="Arial" w:eastAsia="Arial" w:hAnsi="Arial"/>
          <w:sz w:val="18"/>
          <w:szCs w:val="18"/>
          <w:color w:val="auto"/>
        </w:rPr>
      </w:pPr>
    </w:p>
    <w:p>
      <w:pPr>
        <w:ind w:left="340" w:right="20" w:hanging="278"/>
        <w:spacing w:after="0" w:line="31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The lease covering the Taiwan facility commenced on June 1, 2014 and expires on May 31, 2029.</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information set forth under Note T "Contingencies" included in Part II, Item 8 of this Form 10-K, is incorporated herein by reference. For an additional discussion of certain risks associated with legal proceedings, see "Risk Factors" above.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2021 February 20, there were 36 holders of record of our common stock (not including beneficial holders of our common stock holding in street name).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ectPr>
          <w:pgSz w:w="11900" w:h="16838" w:orient="portrait"/>
          <w:cols w:equalWidth="0" w:num="1">
            <w:col w:w="11240"/>
          </w:cols>
          <w:pgMar w:left="320" w:top="125" w:right="339" w:bottom="1440" w:gutter="0" w:footer="0" w:header="0"/>
        </w:sectPr>
      </w:pPr>
    </w:p>
    <w:bookmarkStart w:id="24" w:name="page25"/>
    <w:bookmarkEnd w:id="24"/>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PERCENT CHANGE</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191"/>
        </w:trPr>
        <w:tc>
          <w:tcPr>
            <w:tcW w:w="2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left="510"/>
              <w:spacing w:after="0" w:line="191" w:lineRule="exact"/>
              <w:rPr>
                <w:sz w:val="20"/>
                <w:szCs w:val="20"/>
                <w:color w:val="auto"/>
              </w:rPr>
            </w:pPr>
            <w:r>
              <w:rPr>
                <w:rFonts w:ascii="Arial" w:cs="Arial" w:eastAsia="Arial" w:hAnsi="Arial"/>
                <w:sz w:val="18"/>
                <w:szCs w:val="18"/>
                <w:b w:val="1"/>
                <w:bCs w:val="1"/>
                <w:color w:val="auto"/>
                <w:w w:val="97"/>
              </w:rPr>
              <w:t>NASDAQ</w:t>
            </w: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NASDAQ</w:t>
            </w:r>
          </w:p>
        </w:tc>
        <w:tc>
          <w:tcPr>
            <w:tcW w:w="160" w:type="dxa"/>
            <w:vAlign w:val="bottom"/>
          </w:tcPr>
          <w:p>
            <w:pPr>
              <w:spacing w:after="0"/>
              <w:rPr>
                <w:sz w:val="16"/>
                <w:szCs w:val="16"/>
                <w:color w:val="auto"/>
              </w:rPr>
            </w:pPr>
          </w:p>
        </w:tc>
      </w:tr>
      <w:tr>
        <w:trPr>
          <w:trHeight w:val="234"/>
        </w:trPr>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Date</w:t>
            </w:r>
          </w:p>
        </w:tc>
        <w:tc>
          <w:tcPr>
            <w:tcW w:w="80" w:type="dxa"/>
            <w:vAlign w:val="bottom"/>
          </w:tcPr>
          <w:p>
            <w:pPr>
              <w:spacing w:after="0"/>
              <w:rPr>
                <w:sz w:val="20"/>
                <w:szCs w:val="20"/>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AAOI</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Telecom</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Composite</w:t>
            </w:r>
          </w:p>
        </w:tc>
        <w:tc>
          <w:tcPr>
            <w:tcW w:w="160" w:type="dxa"/>
            <w:vAlign w:val="bottom"/>
          </w:tcPr>
          <w:p>
            <w:pPr>
              <w:spacing w:after="0"/>
              <w:rPr>
                <w:sz w:val="20"/>
                <w:szCs w:val="20"/>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9/26/2013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12/31/2013</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150.70%</w:t>
            </w:r>
          </w:p>
        </w:tc>
        <w:tc>
          <w:tcPr>
            <w:tcW w:w="1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102.48%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110.28%</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12/31/2014</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112.65%</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125.05%</w:t>
            </w: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12/31/2015</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172.29%</w:t>
            </w:r>
          </w:p>
        </w:tc>
        <w:tc>
          <w:tcPr>
            <w:tcW w:w="1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103.25%</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132.21%</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12/31/2016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235.34%</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118.59%</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142.13%</w:t>
            </w: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12/31/2017</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379.72%</w:t>
            </w:r>
          </w:p>
        </w:tc>
        <w:tc>
          <w:tcPr>
            <w:tcW w:w="1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139.28%</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12/31/2018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251.61%</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186.50%</w:t>
            </w: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12/31/2019</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119.28%</w:t>
            </w:r>
          </w:p>
        </w:tc>
        <w:tc>
          <w:tcPr>
            <w:tcW w:w="15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159.83%</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236.90%</w:t>
            </w: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12/31/2020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85.44%</w:t>
            </w:r>
          </w:p>
        </w:tc>
        <w:tc>
          <w:tcPr>
            <w:tcW w:w="1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195.05%</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Form 10-K. We derived the consolidated statements of operations data for the years ended December 31, 2020, 2019 and 2018 and the consolidated balance sheet data as of December 31, 2020 and 2019 from our consolidated financial statements appearing elsewhere in this Form 10-K. The consolidated statement of operations data for the years ended December 31, 2017 and 2016 and the consolidated balance sheet data as of December 31, 2018, 2017 and 2016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results of operations for the periods presented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234,623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190,872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267,465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382,329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260,713</w:t>
            </w:r>
          </w:p>
        </w:tc>
      </w:tr>
      <w:tr>
        <w:trPr>
          <w:trHeight w:val="216"/>
        </w:trPr>
        <w:tc>
          <w:tcPr>
            <w:tcW w:w="52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Cost of goods sold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173,759</w:t>
            </w:r>
          </w:p>
        </w:tc>
      </w:tr>
      <w:tr>
        <w:trPr>
          <w:trHeight w:val="20"/>
        </w:trPr>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46,201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87,773</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166,280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86,954</w:t>
            </w: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43,393</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43,399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49,903</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35,365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31,780</w:t>
            </w:r>
          </w:p>
        </w:tc>
      </w:tr>
      <w:tr>
        <w:trPr>
          <w:trHeight w:val="216"/>
        </w:trPr>
        <w:tc>
          <w:tcPr>
            <w:tcW w:w="52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14,087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r>
      <w:tr>
        <w:trPr>
          <w:trHeight w:val="216"/>
        </w:trPr>
        <w:tc>
          <w:tcPr>
            <w:tcW w:w="520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41,489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39,497</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35,262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25,527</w:t>
            </w:r>
          </w:p>
        </w:tc>
      </w:tr>
      <w:tr>
        <w:trPr>
          <w:trHeight w:val="20"/>
        </w:trPr>
        <w:tc>
          <w:tcPr>
            <w:tcW w:w="5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98,541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79,329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63,934</w:t>
            </w:r>
          </w:p>
        </w:tc>
      </w:tr>
      <w:tr>
        <w:trPr>
          <w:trHeight w:val="20"/>
        </w:trPr>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(48,842)</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(48,747)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(10,768)</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86,951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23,020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1,814</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r>
      <w:tr>
        <w:trPr>
          <w:trHeight w:val="20"/>
        </w:trPr>
        <w:tc>
          <w:tcPr>
            <w:tcW w:w="5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and other income (expense),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r>
      <w:tr>
        <w:trPr>
          <w:trHeight w:val="20"/>
        </w:trPr>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(51,224)</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(51,387)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(9,778)</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84,526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21,003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10,231</w:t>
            </w:r>
          </w:p>
        </w:tc>
      </w:tr>
      <w:tr>
        <w:trPr>
          <w:trHeight w:val="20"/>
        </w:trPr>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(58,452)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(66,049)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73,951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31,234</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Net income (loss) per share attributable to common stockholders: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1.76</w:t>
            </w:r>
          </w:p>
        </w:tc>
      </w:tr>
      <w:tr>
        <w:trPr>
          <w:trHeight w:val="211"/>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1"/>
              </w:rPr>
              <w:t>Weighted average shares used to compute net income (loss) per share</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ectPr>
          <w:pgSz w:w="11900" w:h="16932" w:orient="portrait"/>
          <w:cols w:equalWidth="0" w:num="1">
            <w:col w:w="11240"/>
          </w:cols>
          <w:pgMar w:left="320" w:top="341" w:right="3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attributable to common stockholders: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21,866,630</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19,982,363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19,646,646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19,097,355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17,201,731</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20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21,866,630</w:t>
            </w:r>
          </w:p>
        </w:tc>
        <w:tc>
          <w:tcPr>
            <w:tcW w:w="240" w:type="dxa"/>
            <w:vAlign w:val="bottom"/>
          </w:tcPr>
          <w:p>
            <w:pPr>
              <w:spacing w:after="0"/>
              <w:rPr>
                <w:sz w:val="17"/>
                <w:szCs w:val="17"/>
                <w:color w:val="auto"/>
              </w:rPr>
            </w:pP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19,982,363</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19,646,646</w:t>
            </w:r>
          </w:p>
        </w:tc>
        <w:tc>
          <w:tcPr>
            <w:tcW w:w="12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20,139,105</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17,712,928</w:t>
            </w:r>
          </w:p>
        </w:tc>
      </w:tr>
      <w:tr>
        <w:trPr>
          <w:trHeight w:val="20"/>
        </w:trPr>
        <w:tc>
          <w:tcPr>
            <w:tcW w:w="5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
        </w:trPr>
        <w:tc>
          <w:tcPr>
            <w:tcW w:w="5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74" w:lineRule="exact"/>
        <w:rPr>
          <w:sz w:val="20"/>
          <w:szCs w:val="20"/>
          <w:color w:val="auto"/>
        </w:rPr>
      </w:pPr>
    </w:p>
    <w:p>
      <w:pPr>
        <w:ind w:left="340" w:right="8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awards and was included in cost of goods sold and operating expenses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share-based compensation expense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4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2,812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8,106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6,981</w:t>
            </w:r>
          </w:p>
        </w:tc>
      </w:tr>
      <w:tr>
        <w:trPr>
          <w:trHeight w:val="20"/>
        </w:trPr>
        <w:tc>
          <w:tcPr>
            <w:tcW w:w="4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6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13,046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selected balance sheet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6"/>
              </w:rPr>
              <w:t>Total cash, restricted cash, cash equivalents and short-term</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50,114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67,028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58,004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83,984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52,008</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Working capital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106,021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101,449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116,857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158,953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480,805</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466,825</w:t>
            </w:r>
          </w:p>
        </w:tc>
        <w:tc>
          <w:tcPr>
            <w:tcW w:w="3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466,840</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452,948</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322,318</w:t>
            </w: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Short-term obligations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55,155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40,663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28,217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w:t>
            </w: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6"/>
                <w:szCs w:val="16"/>
                <w:color w:val="auto"/>
              </w:rPr>
              <w:t xml:space="preserve">Long-term obligations </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99,766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101,676</w:t>
            </w:r>
          </w:p>
        </w:tc>
        <w:tc>
          <w:tcPr>
            <w:tcW w:w="34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60,328</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48,964</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34,961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additional paid-in-capital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354,710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303,421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292,500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285,395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265,282</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Total retained earnings (deficit)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(88,509)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(30,057)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35,992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38,138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obligations are defined as short-term loans, operating and financing leases, notes payable and bank acceptance payable.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obligations are defined as long-term loans, operating and financing leases, notes payable and convertible senior notes.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ectPr>
          <w:pgSz w:w="11900" w:h="16838" w:orient="portrait"/>
          <w:cols w:equalWidth="0" w:num="1">
            <w:col w:w="11240"/>
          </w:cols>
          <w:pgMar w:left="320" w:top="125" w:right="339" w:bottom="0" w:gutter="0" w:footer="0" w:header="0"/>
        </w:sectPr>
      </w:pPr>
    </w:p>
    <w:bookmarkStart w:id="26" w:name="page27"/>
    <w:bookmarkEnd w:id="26"/>
    <w:p>
      <w:pPr>
        <w:spacing w:after="0" w:line="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2020, 2019 and 2018, our revenue was $234.6 million, $190.9 million, and $267.5 million and our gross margin was 21.5%, 24.2%, and 32.8%. We have grown our annual revenue at a compound annual growth rate, or CAGR, of 17.2% between 2011 and 2020. In the years ended December 31, 2020, 2019 and 2018, we had net loss of $58.5 million, $66.0 million, and $2.1 million, respectively. At December 31, 2020 and 2019, our accumulated deficit was $88.6 million and $30.1 million, respectively. In 2020, we earned 73.9% of our total revenue from the internet data center market, and 16.2% of our total revenue from the CATV market.</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products to leading OEMs in the CATV, telecom, and FTTH markets as well as internet data center operators. In 2020, revenue from the internet data center market, CATV market, telecom market and FTTH markets provided 73.9%, 16.2%, 9.0%, and 0.0% of our revenue, respectively, compared to75.2%, 19.6%, 4.4%, and 0.1% of our 2019 revenue, respectively. In 2020, our key customers in the data center market included, Microsoft Corp (Microsoft), Amazon.com (Amazon) and a multinational computer technology company. In 2020, 2019, and 2018, Microsoft accounted for 38.3%, 32.2%, and 22.1% of our revenue, Amazon accounted for 11.5%, 24.0%, and 12.1% of our revenue, and the multinational computer technology company accounted for 8.0%, 0.4%, and 0.0% of our revenue, respectively. In 2020, our key customers in the CATV market included Cisco Systems, Inc. (Cisco), a global broadband access and media distributor, and CommScope. In 2020, 2019 and 2018, Cisco accounted for 7.5%, 10.0%, and 9.9% of our revenue, respectively; CommScope accounted for 2.1%, 3.7%, and 2.1% of our revenue, respectively. The global broadband access and media distributor is a new customer in 2020, it accounted for 3.7% of our revenue in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2020, our revenue increase of 22.9% over the prior-year was driven primarily by increased demand for our 100 Gbps transceivers in our data center market, and laser chips used in the manufacture of transceivers for 5G wireless communications in our telecom market. The increase in 100 Gbps demand includes increased demand from several existing customers, along with new customer additions. We believe that some of this increase is related to increased demand for cloud-based services as a result of a shift to remote-working arrangements in the US and other areas, which in turn caused our customers to increase capacity in their data centers requiring more optical transceivers, especially 100 Gbps transceivers. The increase in 5G-related sales came mainly from customers in China, as wireless operators in that country have begun to deploy advanced 5G mobile networks. The slight increase in revenue for our CATV products is due to increased demand from CATV MSOs as they began to add capacity to their networks. This increase in demand was at least partially attributable to network capacity expansion, particularly in the upstream direction, which is related to changes in network traffic due to increased working from home in the US earlier in the year.</w:t>
      </w:r>
    </w:p>
    <w:p>
      <w:pPr>
        <w:spacing w:after="0" w:line="18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expect continued sales of our 40 Gbps and 100 Gbps products in 2021, and we expect that sales of 100 Gbps products will likely exceed sales of 40 Gbps products. However, quarter-to-quarter results may show considerable variability as is usual in a period of technology transition. Similar to revenue, our gross margins can fluctuate materially depending on a variety of factors including average selling price changes, product mix, raw material cost reduction or increase, manufacturing utilization rate and changes in manufacturing efficiency. Furthermore, we are continuing to monitor and assess the effects of the coronavirus outbreak on our commercial and manufacturing operations, including any impact on our revenue in 2020.</w:t>
      </w:r>
    </w:p>
    <w:p>
      <w:pPr>
        <w:spacing w:after="0" w:line="16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2020, 2019 and 2018, we had 30, 31, and 26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are subject to risks and uncertainties as a result of the COVID-19 pandemic. The extent of the impact of the COVID-19 pandemic on our business is highly uncertain and difficult to predict as coronavirus continues to spread around the world. The vaccine still has not become widely available to our workforce, and treatments are limited. In March 2020, we instituted travel restrictions and implemented sanitation and disinfection procedures to safeguard the health and safety of our employees which continue today. We have modified our workplace practices, which resulted in many employees working remotely. The spread of COVID-19 may still impact our supply chain operations through restrictions, reduced capacity and shutdown of business activities by suppliers whom we rely on for sourcing components and materials and third-party partners whom we rely on for manufacturing, warehousing and logistics services. Although demand for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uncertain.</w:t>
      </w:r>
    </w:p>
    <w:p>
      <w:pPr>
        <w:sectPr>
          <w:pgSz w:w="11900" w:h="16846" w:orient="portrait"/>
          <w:cols w:equalWidth="0" w:num="1">
            <w:col w:w="11240"/>
          </w:cols>
          <w:pgMar w:left="320" w:top="125" w:right="3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4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products are sold in a highly competitive marketplace, and in many cases our products are only</w:t>
      </w:r>
      <w:r>
        <w:rPr>
          <w:rFonts w:ascii="Arial" w:cs="Arial" w:eastAsia="Arial" w:hAnsi="Arial"/>
          <w:sz w:val="17"/>
          <w:szCs w:val="17"/>
          <w:i w:val="1"/>
          <w:iCs w:val="1"/>
          <w:color w:val="auto"/>
        </w:rPr>
        <w:t xml:space="preserve"> </w:t>
      </w:r>
      <w:r>
        <w:rPr>
          <w:rFonts w:ascii="Arial" w:cs="Arial" w:eastAsia="Arial" w:hAnsi="Arial"/>
          <w:sz w:val="17"/>
          <w:szCs w:val="17"/>
          <w:color w:val="auto"/>
        </w:rPr>
        <w:t>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65" w:lineRule="exact"/>
        <w:rPr>
          <w:sz w:val="20"/>
          <w:szCs w:val="20"/>
          <w:color w:val="auto"/>
        </w:rPr>
      </w:pPr>
    </w:p>
    <w:p>
      <w:pPr>
        <w:ind w:left="1300" w:right="460" w:hanging="320"/>
        <w:spacing w:after="0" w:line="263" w:lineRule="auto"/>
        <w:tabs>
          <w:tab w:leader="none" w:pos="130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83" w:lineRule="exact"/>
        <w:rPr>
          <w:rFonts w:ascii="MS PGothic" w:cs="MS PGothic" w:eastAsia="MS PGothic" w:hAnsi="MS PGothic"/>
          <w:sz w:val="18"/>
          <w:szCs w:val="18"/>
          <w:color w:val="auto"/>
        </w:rPr>
      </w:pPr>
    </w:p>
    <w:p>
      <w:pPr>
        <w:ind w:left="1300" w:right="180" w:hanging="320"/>
        <w:spacing w:after="0" w:line="259" w:lineRule="auto"/>
        <w:tabs>
          <w:tab w:leader="none" w:pos="130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86" w:lineRule="exact"/>
        <w:rPr>
          <w:rFonts w:ascii="MS PGothic" w:cs="MS PGothic" w:eastAsia="MS PGothic" w:hAnsi="MS PGothic"/>
          <w:sz w:val="18"/>
          <w:szCs w:val="18"/>
          <w:color w:val="auto"/>
        </w:rPr>
      </w:pPr>
    </w:p>
    <w:p>
      <w:pPr>
        <w:ind w:left="1300" w:right="20" w:hanging="320"/>
        <w:spacing w:after="0" w:line="257" w:lineRule="auto"/>
        <w:tabs>
          <w:tab w:leader="none" w:pos="130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Customer Concentration within End Markets. </w:t>
      </w:r>
      <w:r>
        <w:rPr>
          <w:rFonts w:ascii="Arial" w:cs="Arial" w:eastAsia="Arial" w:hAnsi="Arial"/>
          <w:sz w:val="16"/>
          <w:szCs w:val="16"/>
          <w:color w:val="auto"/>
        </w:rPr>
        <w:t>Historically, our revenue has been significantly concentrated, first within the CATV market and</w:t>
      </w:r>
      <w:r>
        <w:rPr>
          <w:rFonts w:ascii="Arial" w:cs="Arial" w:eastAsia="Arial" w:hAnsi="Arial"/>
          <w:sz w:val="16"/>
          <w:szCs w:val="16"/>
          <w:i w:val="1"/>
          <w:iCs w:val="1"/>
          <w:color w:val="auto"/>
        </w:rPr>
        <w:t xml:space="preserve"> </w:t>
      </w:r>
      <w:r>
        <w:rPr>
          <w:rFonts w:ascii="Arial" w:cs="Arial" w:eastAsia="Arial" w:hAnsi="Arial"/>
          <w:sz w:val="16"/>
          <w:szCs w:val="16"/>
          <w:color w:val="auto"/>
        </w:rPr>
        <w:t>now2020 within the internet data center market. Moreover, within these markets, revenue tends to be concentrated among a small number of customers. In the last three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two and four customers that each accounted for more than 10% of our revenue in 2020 and 2019, respectively.</w:t>
      </w:r>
    </w:p>
    <w:p>
      <w:pPr>
        <w:spacing w:after="0" w:line="16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2020, 2019 and 2018, as well as the corresponding percentage of our total revenue for each period (in thousands, except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Market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143,562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200,236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CATV</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37,944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51,699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21,092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FTTH</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234,623</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190,872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267,465</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9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Percentage of Revenue</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73.9%</w:t>
            </w:r>
          </w:p>
        </w:tc>
        <w:tc>
          <w:tcPr>
            <w:tcW w:w="1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75.2%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CATV</w:t>
            </w:r>
          </w:p>
        </w:tc>
        <w:tc>
          <w:tcPr>
            <w:tcW w:w="2220" w:type="dxa"/>
            <w:vAlign w:val="bottom"/>
          </w:tcPr>
          <w:p>
            <w:pPr>
              <w:jc w:val="right"/>
              <w:ind w:right="530"/>
              <w:spacing w:after="0"/>
              <w:rPr>
                <w:sz w:val="20"/>
                <w:szCs w:val="20"/>
                <w:color w:val="auto"/>
              </w:rPr>
            </w:pPr>
            <w:r>
              <w:rPr>
                <w:rFonts w:ascii="Arial" w:cs="Arial" w:eastAsia="Arial" w:hAnsi="Arial"/>
                <w:sz w:val="18"/>
                <w:szCs w:val="18"/>
                <w:color w:val="auto"/>
              </w:rPr>
              <w:t>16.2%</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9.0%</w:t>
            </w:r>
          </w:p>
        </w:tc>
        <w:tc>
          <w:tcPr>
            <w:tcW w:w="1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240"/>
          </w:cols>
          <w:pgMar w:left="320" w:top="341" w:right="3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FTTH</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6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6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2019 and 2018, our top ten customers represented 84.3%, 88.1%, and 92.9% of our revenue, respectively.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2020, 36.3% of our total revenue was manufactured at our China-based subsidiary, with $12.8 million denominated in RMB and 55.9% of our total revenue was from products manufactured at our Taiwan-based facility with no revenue denominated in NT dollars. We expect a similar portion of our sales to be denominated in foreign currencies in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manufacture products in three of our four facilities located in the U.S., Taiwan and China. Generally, laser chips and optical components are manufactured in our Sugar Land facility, optical components and subassemblies are manufactured in our Taiwan facility, and optical components, subassemblies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21.5% and 32.8%,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Sales and marketing expense consists primarily of personnel costs, including share-based compensation for our sales and marketing personnel, as well as travel and trade show expense, shipping and tariff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2020, 2019 and 2018. Additionally, we pay commissions to third parties on certain product lines and identified customers, which also amounted to less than one percent of our revenue in 2020, 2019 and 2018.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ectPr>
          <w:pgSz w:w="11900" w:h="16838" w:orient="portrait"/>
          <w:cols w:equalWidth="0" w:num="1">
            <w:col w:w="11240"/>
          </w:cols>
          <w:pgMar w:left="320" w:top="125" w:right="339" w:bottom="0" w:gutter="0" w:footer="0" w:header="0"/>
        </w:sectPr>
      </w:pPr>
    </w:p>
    <w:bookmarkStart w:id="29" w:name="page30"/>
    <w:bookmarkEnd w:id="29"/>
    <w:p>
      <w:pPr>
        <w:spacing w:after="0" w:line="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Other income (expense), net is primarily made up of government subsidizes income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2020 our effective tax rate was (14.1%). In 2019 and 2018, our effective tax rate was (28.5%) and 78.1%, respectively.</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 year period. Global renewed its national high-tech enterprise certificate in 2011, 2014, 2017 and 2020, extending its three year tax preferential status through December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2020 and 2019, we had $0.2 million and $0.2 million, respectively, of unrecognized tax benefits related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benefits recognized for which we do not meet the more likely than not threshold.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 included in Part II,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the demand for our CATV products is seasonal. Historically, revenue derived from our CATV products has usually been highest in the second or third quarter and lowest in the first quarter of each year. The first quarter of the year has historically been negatively affected by reduced economic activity due to the Lunar New Year holiday and the lower level of deployment of outdoor CATV equipment in cold weather environments.</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uncertain whether the demand for our internet data center, telecom and FTTH products is seasonal, as our sales data does not indicate a significant trend with respect to these products. In 2017, we began to manufacture a meaningful quantity of internet data center products in our Ningbo, China factory.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2020, 2019, and 2018, the percentage of employees in our China factory who resigned or were terminated during Q1, relative to the average number of employees during the quarter was 217%, 122%, and 90%, respectively. However, we believe that the turnover in 2020 was higher than usual due to the COVID-19 pandemic which caused travel restrictions, additional health check requirements, and a lengthy shutdown of operations in Ningbo. We believe that our employee turnover would likely have been lower in 2020 without these effects, but we cannot quantitatively estimate the turnover due to COVID-19. As a result of this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42"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ind w:left="6660"/>
        <w:spacing w:after="0"/>
        <w:tabs>
          <w:tab w:leader="none" w:pos="8380" w:val="left"/>
          <w:tab w:leader="none" w:pos="101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55" w:orient="portrait"/>
          <w:cols w:equalWidth="0" w:num="1">
            <w:col w:w="11200"/>
          </w:cols>
          <w:pgMar w:left="320" w:top="125" w:right="37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goods sold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r>
      <w:tr>
        <w:trPr>
          <w:trHeight w:val="20"/>
        </w:trPr>
        <w:tc>
          <w:tcPr>
            <w:tcW w:w="6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r>
      <w:tr>
        <w:trPr>
          <w:trHeight w:val="209"/>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0"/>
        </w:trPr>
        <w:tc>
          <w:tcPr>
            <w:tcW w:w="61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0"/>
        </w:trPr>
        <w:tc>
          <w:tcPr>
            <w:tcW w:w="6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0"/>
        </w:trPr>
        <w:tc>
          <w:tcPr>
            <w:tcW w:w="6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2020 and 2019 (in thousands, except percentages):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37,944</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37,328</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234,623</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190,872</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43,751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increase in revenue for the year was driven primarily by increased demand for our 100 Gbps transceivers in our data center market, and laser chips used in the manufacture of transceivers for 5G wireless communications in our telecom market. The increase in 100 Gbps demand includes increased demand from several existing customers, along with new customer additions. We believe that some of this increase is related to increased demand for cloud-based services as a result of a shift to remote-working arrangements in the US and other areas, which in turn caused our customers to increase capacity in their data centers requiring more optical transceivers, especially 100 Gbps transceivers. The increase in 5G-related sales came mainly from customers in China, as wireless operators in that country have begun to deploy advanced 5G mobile networks. The slight increase in revenue for our CATV products is due to increased demand from CATV MSOs as they began to add capacity to their networks. This increase in demand was at least partially attributable to network capacity expansion, particularly in the upstream direction, which is related to changes in network traffic due to increased working from home in the US earlier in the year. Towards the end of 2020, we saw a slow-down in orders from certain customers in our datacenter and telecom markets. We attribute the slowdown in datacenter business to absorption of previously-purchased inventory and in our telecom business to slow-down in the rate of deployment of new 5G mobile networks in China. We believe that both of these effects are temporary and we expect that they should be resolved in 2021.</w:t>
      </w:r>
    </w:p>
    <w:p>
      <w:pPr>
        <w:spacing w:after="0" w:line="17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the years ended December 31, 2020 and 2019, our top ten customers represented 84.3%, and 88.1%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144,671</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75.80%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50,541</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46,201</w:t>
            </w:r>
          </w:p>
        </w:tc>
        <w:tc>
          <w:tcPr>
            <w:tcW w:w="140" w:type="dxa"/>
            <w:vAlign w:val="bottom"/>
          </w:tcPr>
          <w:p>
            <w:pPr>
              <w:spacing w:after="0"/>
              <w:rPr>
                <w:sz w:val="20"/>
                <w:szCs w:val="20"/>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Cost of goods sold increased by $39.4 million, or 27.2%, from 2019 to 2020, primarily due to a 22.9% increase in sales over the prior year. The decrease in gross margin for the year ended December 31, 2020 compared to the same period ended December 31, 2019 was primarily the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production inefficiencies, and higher costs of certain raw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17145</wp:posOffset>
            </wp:positionV>
            <wp:extent cx="3257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43,399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10,060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41,489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99,383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94,948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4,435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 was comparable between 2019 and 2020. Research and development costs consist of R&amp;D work orders, R&amp;D material usage and other project related costs related to 100 Gbps, 200/400 Gbps data center products, DOCSIS 3.1 capable CATV products, including remote-PHY products and 1.2 GHz-capable amplifier products, and other new product development, and depreciation expense resulting from R&amp;D equipment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Sales and marketing expense increased by $4.0 million, or 40.0%, from 2019 to 2020. These increases were primarily due to increase in commission expenses, duties and freight. These increases were partially offset by a decrease in trade show expenses and travel-related costs as a result of the COVID-19 pandemic. As a result of the pandemic outbreak, the Company has modified many of its customary business practices by limiting employee travel including cancelling in-person participation in various meetings, events and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General and administrative expense increased by $0.4 million, or 1.0%, from 2019 to 2020. These increases were primarily due to an increase in personnel-related costs, share-based compensation expense and insurance expense. These increases were partially offset by a decrease in legal expenses, some of which were paid by our insurance carrier rather than the Company, as legal expenses related to the first of our shareholder class action lawsuits have exceeded the retention in our insurance contract.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(5,635)</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(2,382)</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income decreased by $0.6 million, or 72.4% from 2019 to 2020. The changes are similar to expected rates of fluctuation with the interest rates and cash balances.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$0.2 million, or 4.3% from 2019 to 2020 due to higher average debt balances during the year.</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Other income increased by $1.2 million, or 62.9% from 2019 to 2020.This increases was primarily due to the receipt of government subsidies associated with COVID-19 pandemic in Taiwan.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w w:val="89"/>
              </w:rPr>
              <w:t>Years ended December 31,</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2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0"/>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(14,662)</w:t>
            </w:r>
          </w:p>
        </w:tc>
        <w:tc>
          <w:tcPr>
            <w:tcW w:w="1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7,434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income tax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2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recorded a tax expense of $7.2 million for the year ended December 31, 2020 as compared to $14.7 million for the year ended December 31, 2019. The income tax expense in the year ended December 31, 2020 was primarily related to the change of the valuation allowance, deferred tax assets, and the recording of a valuation allowance on Taiwan and China deferred tax assets. The income tax expense recorded in the year ended December 31, 2019 was primarily related to recognition of research and development credits, offset by the recognition of a valuation allowance on our US and state deferred tax assets, and due to excess tax benefits attributable to share-based compensation, and as well as the tax rates in foreign jurisdictions.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33"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2019 and 2018 (in thousands, except percentages):</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9"/>
              </w:rPr>
              <w:t>Years ended December 31,</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200,236</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(56,674)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51,699</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(14,371)</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190,872</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267,465</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(76,593)</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decrease in revenue for the year was driven primarily by decreased demand for our 40 Gbps and 100 Gbps transceivers. The decrease in 100 Gbps demand was mostly from one major customer, while this decrease was partially offset by growth in 100 Gbps transceivers from another of our major customers. We believe that the decrease in 40 Gbps transceiver sales is related to a broad industry trend of reducing 40 Gbps infrastructure in favor of 100 Gbps infrastructure. The decrease in revenue in our CATV market for the year was mainly a result of reduced overall market demand for CATV outside plant products, which we attribute to reduced desire on the part of CATV MSOs to deploy capex to increase their network capacity. The decrease in revenue in our telecom market was primarily attributable to decreased demand for certain of our legacy telecom products by our customers, partially offset by sales of newer-generation products such as those designed for 5G mobile networks.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years ended December 31, 2019 and 2018, our top ten customers represented 88.1%, and 92.9% of our revenue,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179,692</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67.2%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46,201</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87,773</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Cost of goods sold decreased by $35.0 million, or 19.5%, from 2018 to 2019, primarily due to a 28.6% decrease in sales over the prior year. The decrease in gross margin for the year ended December 31, 2019 compared to the same period ended December 31, 2018 was primarily the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quality and testing costs that we incurred in the first part of the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43,399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49,903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10,060</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9,141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39,497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94,948</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98,541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(3,593)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1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Research and development expense decreased by $6.5 million, or 13.0%, from 2018 to 2019.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decreased from 2018 to 2019 due mainly to decreases in costs from R&amp;D work orders, depreciation expense related to R&amp;D equipment, and materials and supplies used in R&amp;D activities. These decreases were offset by increases in personnel 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ectPr>
          <w:pgSz w:w="11900" w:h="16838" w:orient="portrait"/>
          <w:cols w:equalWidth="0" w:num="1">
            <w:col w:w="11240"/>
          </w:cols>
          <w:pgMar w:left="320" w:top="125" w:right="339" w:bottom="119" w:gutter="0" w:footer="0" w:header="0"/>
        </w:sectPr>
      </w:pPr>
    </w:p>
    <w:bookmarkStart w:id="33" w:name="page34"/>
    <w:bookmarkEnd w:id="33"/>
    <w:p>
      <w:pPr>
        <w:ind w:right="20" w:firstLine="648"/>
        <w:spacing w:after="0" w:line="277" w:lineRule="auto"/>
        <w:rPr>
          <w:sz w:val="20"/>
          <w:szCs w:val="20"/>
          <w:color w:val="auto"/>
        </w:rPr>
      </w:pPr>
      <w:r>
        <w:rPr>
          <w:rFonts w:ascii="Arial" w:cs="Arial" w:eastAsia="Arial" w:hAnsi="Arial"/>
          <w:sz w:val="18"/>
          <w:szCs w:val="18"/>
          <w:color w:val="auto"/>
        </w:rPr>
        <w:t>Sales and marketing expense increased by $0.9 million, or 10.1%, from 2018 to 2019. This increase was due to increases in personnel costs, share-based compensation expenses, duties and freight, and trade show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General and administrative expense increased by $2.0 million, or 5.0%, from 2018 to 2019. These increases were primarily due to an increase in share-based compensation expenses, depreciation expenses, insurance expenses and professional service fees, including legal expenses. These increases were partially offset by a decrease in personnel related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(4,299)</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(3,630)</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increased by $0.6 million, or 228.0% from 2018 to 2019 due to higher interest rates and larger cash balances during the year.</w:t>
      </w:r>
    </w:p>
    <w:p>
      <w:pPr>
        <w:spacing w:after="0" w:line="24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Interest expense increased by $4.3 million, or 388.7% from 2018 to 2019 due to higher debt balances, including convertible senior notes and higher interest rates during the year.</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Other income increased slightly from 2018 to 2019. This increase was primarily due to the receipt of government subsidies associated with our investments in new product development and for qualifying as a high-tech enterprise in China. These increases were partially offset by the decrease in foreign currency transaction gains.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w w:val="89"/>
              </w:rPr>
              <w:t>Years ended December 31,</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7,632</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(22,294)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w:t>
            </w: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income tax expense (benefit) consisted of U.S. income tax, state taxes, Taiwan and China income tax recorded during the periods. Our effective tax rate was affected by recurring items, such as tax rates in state and foreign jurisdictions and the relative amounts of income we earned in those jurisdictions.</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recorded a tax expense of $14.7 million for the year ended December 31, 2019 as compared to the tax benefit of $ 7.6 million for the year ended December 31, 2018. The income tax expense in the year ended December 31, 2019 was primarily related to the recognition of research and development credits, offset by the recognition a valuation allowance on our US and state deferred tax assets, and due to excess tax benefits attributable to share-based compensation, and as well as the tax rates in foreign jurisdictions. The income tax benefit recorded in the year ended December 31, 2018 was primarily related to the impact of changes to tax law, offset by the recognition of excess tax benefits attributable to share-based compensation as well as the recognition of research and development credits.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As of December 31, 2020, we had $28.6 million of unused borrowing capacity from all of our loan agreements. As of December 31, 2020, our cash, cash equivalents, restricted cash and short-term investments totaled $50.1 million. Cash and cash equivalents are held for working capital purposes and are invested primarily in money market or time deposit funds.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February 28, 2020, we entered into an Equity Distribution Agreement (the “Agreement”) with Raymond James &amp; Associates, Inc. (the “Sales Agent”) pursuant to which the Company may issue and sell shares of the Company’s common stock, par value $0.001 per share (the “Shares”) having an aggregate offering price of up to $55 million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ectPr>
          <w:pgSz w:w="11900" w:h="16838" w:orient="portrait"/>
          <w:cols w:equalWidth="0" w:num="1">
            <w:col w:w="11240"/>
          </w:cols>
          <w:pgMar w:left="320" w:top="125" w:right="339" w:bottom="0" w:gutter="0" w:footer="0" w:header="0"/>
        </w:sectPr>
      </w:pPr>
    </w:p>
    <w:bookmarkStart w:id="34" w:name="page35"/>
    <w:bookmarkEnd w:id="34"/>
    <w:p>
      <w:pPr>
        <w:ind w:right="80" w:firstLine="648"/>
        <w:spacing w:after="0" w:line="290"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2020, we commenced sales of common stock through an At-The-Market (ATM) Offering. The details of the shares of common stock sold through the ATM Offering through December 31, 2020 are as follows (in thousands, except shares and weighted average per share price):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140" w:type="dxa"/>
            <w:vAlign w:val="bottom"/>
          </w:tcPr>
          <w:p>
            <w:pPr>
              <w:spacing w:after="0"/>
              <w:rPr>
                <w:sz w:val="20"/>
                <w:szCs w:val="20"/>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Share Price</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8"/>
              </w:rPr>
              <w:t>Net Proceeds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May 2020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8.7387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923,160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9.5314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654,558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11.0942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689,936</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August 2020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13.652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89,988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2020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7.7575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1,189,861</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9,046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918,377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As of December 31, 2020, the total gross sales were $40.3 million and thus remaining amount of common stock we have available to sell under the ATM Offering is $14.7 million. The Company completed its ATM Offering in January 2021. Also refer to Note U “Subsequent Event” to the consolidated financial statements for further discussion of the Notes.</w:t>
      </w:r>
    </w:p>
    <w:p>
      <w:pPr>
        <w:spacing w:after="0" w:line="184"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L “Convertible Senior Notes” to the consolidated financial statements for further discussion of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(44,009)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(19,347)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(76,514)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47,441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r>
      <w:tr>
        <w:trPr>
          <w:trHeight w:val="20"/>
        </w:trPr>
        <w:tc>
          <w:tcPr>
            <w:tcW w:w="4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5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(16,914)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(25,944)</w:t>
            </w:r>
          </w:p>
        </w:tc>
      </w:tr>
      <w:tr>
        <w:trPr>
          <w:trHeight w:val="629"/>
        </w:trPr>
        <w:tc>
          <w:tcPr>
            <w:tcW w:w="470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44</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1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2020, net cash used in operating activities was $44.0 million. Net cash used in operating activities consisted of our net loss of $58.5 million, after the exclusion of non-cash items of $48.9 million, an increase in accounts receivable from our customers of $8.4 million and an increase in inventory of $23.7 million and decrease in accounts payable to our vendor of $3.3 million.</w:t>
      </w:r>
    </w:p>
    <w:p>
      <w:pPr>
        <w:spacing w:after="0" w:line="18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2019, net cash used in operating activities was $1.8 million. Net cash used in operating activities consisted of our net loss of $66.0 million, after the exclusion of non-cash items of $57.8 million, an increase in accounts receivable from our customers of $4.3 million and a decrease in accrued liabilities of $0.3 million. These cash decreases were offset by a decrease in inventory of $1.6 million, an increase in accounts payable to our vendors of $3.2 million, a decrease in prepaid tax of $1.0 million and a decrease in other current assets of $5.5 million.</w:t>
      </w:r>
    </w:p>
    <w:p>
      <w:pPr>
        <w:spacing w:after="0" w:line="17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2018, net cash provided by operating activities was $14.0 million. Net cash provided by operating activities consisted of our net loss of $2.1 million, after the exclusion of non-cash items of $38.5 million, an increase in accounts receivable from our customers of $29.3 million and an increase in accrued liabilities of $0.6 million. These cash increase were offset by an increase in inventory of $28.4 million, a decrease in account payable to our vendors of $13.7 million, a decrease in accrued income tax of $7.4 million and an increase in other current assets of $3.0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2020, net cash used in investing activities was $19.3 million. The net cash used consisted of spending on China factory construction, purchase and prepaid of additional property, plant and equipment of $19.1 million.</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2019, net cash used in investing activities was $32.1 million. The net cash used consisted of spending on China factory construction, purchase and prepaid of additional property, plant and equipment of $31.5 million.</w:t>
      </w:r>
    </w:p>
    <w:p>
      <w:pPr>
        <w:sectPr>
          <w:pgSz w:w="11900" w:h="16838" w:orient="portrait"/>
          <w:cols w:equalWidth="0" w:num="1">
            <w:col w:w="11240"/>
          </w:cols>
          <w:pgMar w:left="320" w:top="341" w:right="339" w:bottom="0" w:gutter="0" w:footer="0" w:header="0"/>
        </w:sectPr>
      </w:pPr>
    </w:p>
    <w:bookmarkStart w:id="35" w:name="page36"/>
    <w:bookmarkEnd w:id="35"/>
    <w:p>
      <w:pPr>
        <w:spacing w:after="0" w:line="33" w:lineRule="exact"/>
        <w:rPr>
          <w:sz w:val="20"/>
          <w:szCs w:val="20"/>
          <w:color w:val="auto"/>
        </w:rPr>
      </w:pPr>
    </w:p>
    <w:p>
      <w:pPr>
        <w:ind w:left="20" w:right="340" w:firstLine="648"/>
        <w:spacing w:after="0" w:line="277" w:lineRule="auto"/>
        <w:rPr>
          <w:sz w:val="20"/>
          <w:szCs w:val="20"/>
          <w:color w:val="auto"/>
        </w:rPr>
      </w:pPr>
      <w:r>
        <w:rPr>
          <w:rFonts w:ascii="Arial" w:cs="Arial" w:eastAsia="Arial" w:hAnsi="Arial"/>
          <w:sz w:val="18"/>
          <w:szCs w:val="18"/>
          <w:color w:val="auto"/>
        </w:rPr>
        <w:t>In 2018, net cash used in investing activities was $76.5 million. The net cash used consisted of spending on property, plant and equipment and land use rights of $77.4 million offset by sales proceeds from equipment of $0.7 million.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20" w:right="48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ind w:left="20" w:right="240" w:firstLine="648"/>
        <w:spacing w:after="0" w:line="342" w:lineRule="auto"/>
        <w:rPr>
          <w:sz w:val="20"/>
          <w:szCs w:val="20"/>
          <w:color w:val="auto"/>
        </w:rPr>
      </w:pPr>
      <w:r>
        <w:rPr>
          <w:rFonts w:ascii="Arial" w:cs="Arial" w:eastAsia="Arial" w:hAnsi="Arial"/>
          <w:sz w:val="16"/>
          <w:szCs w:val="16"/>
          <w:color w:val="auto"/>
        </w:rPr>
        <w:t>In 2020, our financing activities provided $47.4 million in cash. This increase in cash was due to $39.2 million of net proceeds from our At The Market (ATM) Offering, $6.2 million proceeds from PPP term loan, and $3.4 million net proceeds from acceptances payable and long-term debt.</w:t>
      </w:r>
    </w:p>
    <w:p>
      <w:pPr>
        <w:spacing w:after="0" w:line="124" w:lineRule="exact"/>
        <w:rPr>
          <w:sz w:val="20"/>
          <w:szCs w:val="20"/>
          <w:color w:val="auto"/>
        </w:rPr>
      </w:pPr>
    </w:p>
    <w:p>
      <w:pPr>
        <w:ind w:left="20" w:right="80" w:firstLine="648"/>
        <w:spacing w:after="0" w:line="263" w:lineRule="auto"/>
        <w:rPr>
          <w:sz w:val="20"/>
          <w:szCs w:val="20"/>
          <w:color w:val="auto"/>
        </w:rPr>
      </w:pPr>
      <w:r>
        <w:rPr>
          <w:rFonts w:ascii="Arial" w:cs="Arial" w:eastAsia="Arial" w:hAnsi="Arial"/>
          <w:sz w:val="18"/>
          <w:szCs w:val="18"/>
          <w:color w:val="auto"/>
        </w:rPr>
        <w:t>In 2019, our financing activities provided $42.6 million in cash. We received $76.4 million proceeds from the issuance of convertible senior notes offset by net bank loan and bank acceptance notes repayments of $32.9 million. These activities were offset by $0.9 million related to tax withholding associated with employee share-based compensation.</w:t>
      </w:r>
    </w:p>
    <w:p>
      <w:pPr>
        <w:spacing w:after="0" w:line="184" w:lineRule="exact"/>
        <w:rPr>
          <w:sz w:val="20"/>
          <w:szCs w:val="20"/>
          <w:color w:val="auto"/>
        </w:rPr>
      </w:pPr>
    </w:p>
    <w:p>
      <w:pPr>
        <w:ind w:left="20" w:right="160" w:firstLine="648"/>
        <w:spacing w:after="0" w:line="342" w:lineRule="auto"/>
        <w:rPr>
          <w:sz w:val="20"/>
          <w:szCs w:val="20"/>
          <w:color w:val="auto"/>
        </w:rPr>
      </w:pPr>
      <w:r>
        <w:rPr>
          <w:rFonts w:ascii="Arial" w:cs="Arial" w:eastAsia="Arial" w:hAnsi="Arial"/>
          <w:sz w:val="16"/>
          <w:szCs w:val="16"/>
          <w:color w:val="auto"/>
        </w:rPr>
        <w:t>In 2018, our financing activities provided $34.8 million in cash. We received $38.8 million in net borrowings associated with our bank loans and bank acceptance notes. These activities were offset by $4.1 million related to tax withholding associated with employee share-based compensation.</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and a PPP Term Note with Truist Bank. The line of credit contains financial covenants that may limit the amount and types of debt that we may incur. As of December 31, 2020, we were in compliance with these covenants.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Taiwan, we have a revolving credit facility with Taishin International Bank, and an equipment finance agreement with Chailease Finance Co., Ltd. for Prime World’s Taiwan Branch. In China, we have a revolving line of credit with China Merchants Bank Co., Ltd. and Shanghai Pudong Development Bank Co., Ltd and a credit facility with China Zheshang Bank Co., Ltd. for our China subsidiary, Global.</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2020, we had $28.6 million of unused borrowing capacity.</w:t>
      </w:r>
    </w:p>
    <w:p>
      <w:pPr>
        <w:spacing w:after="0" w:line="225" w:lineRule="exact"/>
        <w:rPr>
          <w:sz w:val="20"/>
          <w:szCs w:val="20"/>
          <w:color w:val="auto"/>
        </w:rPr>
      </w:pPr>
    </w:p>
    <w:p>
      <w:pPr>
        <w:ind w:left="20" w:right="80" w:firstLine="648"/>
        <w:spacing w:after="0" w:line="277" w:lineRule="auto"/>
        <w:rPr>
          <w:sz w:val="20"/>
          <w:szCs w:val="20"/>
          <w:color w:val="auto"/>
        </w:rPr>
      </w:pPr>
      <w:r>
        <w:rPr>
          <w:rFonts w:ascii="Arial" w:cs="Arial" w:eastAsia="Arial" w:hAnsi="Arial"/>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left="20" w:right="720" w:firstLine="648"/>
        <w:spacing w:after="0" w:line="277" w:lineRule="auto"/>
        <w:rPr>
          <w:sz w:val="20"/>
          <w:szCs w:val="20"/>
          <w:color w:val="auto"/>
        </w:rPr>
      </w:pPr>
      <w:r>
        <w:rPr>
          <w:rFonts w:ascii="Arial" w:cs="Arial" w:eastAsia="Arial" w:hAnsi="Arial"/>
          <w:sz w:val="18"/>
          <w:szCs w:val="18"/>
          <w:color w:val="auto"/>
        </w:rPr>
        <w:t>See Note K “Notes Payable and Long-term Debt” and Note L “Convertible Senior Notes” of our Consolidated Financial Statements for a description of our notes payable and long-term debt and convertible senior notes.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left="20" w:right="140" w:firstLine="648"/>
        <w:spacing w:after="0" w:line="296" w:lineRule="auto"/>
        <w:rPr>
          <w:sz w:val="20"/>
          <w:szCs w:val="20"/>
          <w:color w:val="auto"/>
        </w:rPr>
      </w:pPr>
      <w:r>
        <w:rPr>
          <w:rFonts w:ascii="Arial" w:cs="Arial" w:eastAsia="Arial" w:hAnsi="Arial"/>
          <w:sz w:val="16"/>
          <w:szCs w:val="16"/>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December 31, 2020, construction of the building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left="20" w:firstLine="648"/>
        <w:spacing w:after="0" w:line="272" w:lineRule="auto"/>
        <w:rPr>
          <w:sz w:val="20"/>
          <w:szCs w:val="20"/>
          <w:color w:val="auto"/>
        </w:rPr>
      </w:pPr>
      <w:r>
        <w:rPr>
          <w:rFonts w:ascii="Arial" w:cs="Arial" w:eastAsia="Arial" w:hAnsi="Arial"/>
          <w:sz w:val="17"/>
          <w:szCs w:val="17"/>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summarizes our contractual obligations as of December 31, 2020 (in thousands):</w:t>
      </w:r>
    </w:p>
    <w:p>
      <w:pPr>
        <w:sectPr>
          <w:pgSz w:w="11900" w:h="16872" w:orient="portrait"/>
          <w:cols w:equalWidth="0" w:num="1">
            <w:col w:w="11260"/>
          </w:cols>
          <w:pgMar w:left="30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payable and long-term debt</w:t>
      </w:r>
      <w:r>
        <w:rPr>
          <w:rFonts w:ascii="Arial" w:cs="Arial" w:eastAsia="Arial" w:hAnsi="Arial"/>
          <w:sz w:val="25"/>
          <w:szCs w:val="25"/>
          <w:color w:val="auto"/>
          <w:vertAlign w:val="superscript"/>
        </w:rPr>
        <w:t>(1)</w:t>
      </w:r>
    </w:p>
    <w:p>
      <w:pPr>
        <w:ind w:left="20"/>
        <w:spacing w:after="0" w:line="180" w:lineRule="auto"/>
        <w:rPr>
          <w:sz w:val="20"/>
          <w:szCs w:val="20"/>
          <w:color w:val="auto"/>
        </w:rPr>
      </w:pPr>
      <w:r>
        <w:rPr>
          <w:rFonts w:ascii="Arial" w:cs="Arial" w:eastAsia="Arial" w:hAnsi="Arial"/>
          <w:sz w:val="16"/>
          <w:szCs w:val="16"/>
          <w:color w:val="auto"/>
        </w:rPr>
        <w:t>Convertible senior notes</w:t>
      </w:r>
      <w:r>
        <w:rPr>
          <w:rFonts w:ascii="Arial" w:cs="Arial" w:eastAsia="Arial" w:hAnsi="Arial"/>
          <w:sz w:val="25"/>
          <w:szCs w:val="25"/>
          <w:color w:val="auto"/>
          <w:vertAlign w:val="superscript"/>
        </w:rPr>
        <w:t>(2)</w:t>
      </w:r>
    </w:p>
    <w:p>
      <w:pPr>
        <w:ind w:left="20"/>
        <w:spacing w:after="0" w:line="184" w:lineRule="auto"/>
        <w:rPr>
          <w:sz w:val="20"/>
          <w:szCs w:val="20"/>
          <w:color w:val="auto"/>
        </w:rPr>
      </w:pPr>
      <w:r>
        <w:rPr>
          <w:rFonts w:ascii="Arial" w:cs="Arial" w:eastAsia="Arial" w:hAnsi="Arial"/>
          <w:sz w:val="16"/>
          <w:szCs w:val="16"/>
          <w:color w:val="auto"/>
        </w:rPr>
        <w:t>Operating leases</w:t>
      </w:r>
      <w:r>
        <w:rPr>
          <w:rFonts w:ascii="Arial" w:cs="Arial" w:eastAsia="Arial" w:hAnsi="Arial"/>
          <w:sz w:val="26"/>
          <w:szCs w:val="26"/>
          <w:color w:val="auto"/>
          <w:vertAlign w:val="superscript"/>
        </w:rPr>
        <w:t>(3)</w:t>
      </w:r>
    </w:p>
    <w:p>
      <w:pPr>
        <w:ind w:left="20"/>
        <w:spacing w:after="0" w:line="185" w:lineRule="auto"/>
        <w:rPr>
          <w:sz w:val="20"/>
          <w:szCs w:val="20"/>
          <w:color w:val="auto"/>
        </w:rPr>
      </w:pPr>
      <w:r>
        <w:rPr>
          <w:rFonts w:ascii="Arial" w:cs="Arial" w:eastAsia="Arial" w:hAnsi="Arial"/>
          <w:sz w:val="18"/>
          <w:szCs w:val="18"/>
          <w:color w:val="auto"/>
        </w:rPr>
        <w:t>Financing leases</w:t>
      </w:r>
      <w:r>
        <w:rPr>
          <w:rFonts w:ascii="Arial" w:cs="Arial" w:eastAsia="Arial" w:hAnsi="Arial"/>
          <w:sz w:val="29"/>
          <w:szCs w:val="29"/>
          <w:color w:val="auto"/>
          <w:vertAlign w:val="superscript"/>
        </w:rPr>
        <w:t>(3)</w:t>
      </w:r>
    </w:p>
    <w:p>
      <w:pPr>
        <w:ind w:left="20"/>
        <w:spacing w:after="0"/>
        <w:rPr>
          <w:sz w:val="20"/>
          <w:szCs w:val="20"/>
          <w:color w:val="auto"/>
        </w:rPr>
      </w:pPr>
      <w:r>
        <w:rPr>
          <w:rFonts w:ascii="Arial" w:cs="Arial" w:eastAsia="Arial" w:hAnsi="Arial"/>
          <w:sz w:val="18"/>
          <w:szCs w:val="18"/>
          <w:color w:val="auto"/>
        </w:rPr>
        <w:t>Total commitments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Less than 1</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1-3 Years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 Years</w:t>
            </w:r>
          </w:p>
        </w:tc>
      </w:tr>
      <w:tr>
        <w:trPr>
          <w:trHeight w:val="195"/>
        </w:trPr>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68,029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54,125</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13,904</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93,279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81,204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4,190</w:t>
            </w: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172,032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68580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72" w:orient="portrait"/>
          <w:cols w:equalWidth="0" w:num="2">
            <w:col w:w="3920" w:space="720"/>
            <w:col w:w="6620"/>
          </w:cols>
          <w:pgMar w:left="300" w:top="125" w:right="339" w:bottom="0" w:gutter="0" w:footer="0" w:header="0"/>
          <w:type w:val="continuous"/>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 We have several loan and security agreements in China, Taiwan and the U.S. that provide various credit facilities, including lines of credit,</w:t>
      </w:r>
    </w:p>
    <w:p>
      <w:pPr>
        <w:sectPr>
          <w:pgSz w:w="11900" w:h="16872" w:orient="portrait"/>
          <w:cols w:equalWidth="0" w:num="1">
            <w:col w:w="11260"/>
          </w:cols>
          <w:pgMar w:left="300" w:top="125" w:right="339" w:bottom="0" w:gutter="0" w:footer="0" w:header="0"/>
          <w:type w:val="continuous"/>
        </w:sectPr>
      </w:pPr>
    </w:p>
    <w:bookmarkStart w:id="36" w:name="page37"/>
    <w:bookmarkEnd w:id="36"/>
    <w:p>
      <w:pPr>
        <w:ind w:left="980" w:right="60"/>
        <w:spacing w:after="0" w:line="258" w:lineRule="auto"/>
        <w:rPr>
          <w:sz w:val="20"/>
          <w:szCs w:val="20"/>
          <w:color w:val="auto"/>
        </w:rPr>
      </w:pPr>
      <w:r>
        <w:rPr>
          <w:rFonts w:ascii="Arial" w:cs="Arial" w:eastAsia="Arial" w:hAnsi="Arial"/>
          <w:sz w:val="18"/>
          <w:szCs w:val="18"/>
          <w:color w:val="auto"/>
        </w:rPr>
        <w:t>bank acceptance payable and term loans. The amount presented in the table represents the principal portion and estimated interest expense for the obligations.</w:t>
      </w:r>
    </w:p>
    <w:p>
      <w:pPr>
        <w:spacing w:after="0" w:line="1" w:lineRule="exact"/>
        <w:rPr>
          <w:sz w:val="20"/>
          <w:szCs w:val="20"/>
          <w:color w:val="auto"/>
        </w:rPr>
      </w:pPr>
    </w:p>
    <w:p>
      <w:pPr>
        <w:ind w:left="980" w:right="6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presented in the table represents the principal portion and estimated interest expense for the obligation.</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 in Taiwan and in the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During 2020, 2019 and 2018, we did not have any off-balance sheet arrangements that we believe have or are reasonably likely to have a current or future effect on our financial condition, changes in financial condition, revenues or expenses, results of operations, liquidity, capital expenditures or capital resources that would be material to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7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2020, 2019 or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2020, 2019 and 2018, we recorded excess and obsolete inventory reserve charges of $3.9 million, $6.8 million, and $7.2 million, respectively. For the years December 2020, 2019 and 2018, the direct inventory write-offs related to scrap, discontinued products and damaged inventories were $20.4 million, $13.4 million, and $12.3 million, respectively.</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income taxes</w:t>
      </w:r>
    </w:p>
    <w:p>
      <w:pPr>
        <w:sectPr>
          <w:pgSz w:w="11900" w:h="16838" w:orient="portrait"/>
          <w:cols w:equalWidth="0" w:num="1">
            <w:col w:w="11240"/>
          </w:cols>
          <w:pgMar w:left="320" w:top="125" w:right="339" w:bottom="0" w:gutter="0" w:footer="0" w:header="0"/>
          <w:type w:val="continuous"/>
        </w:sectPr>
      </w:pPr>
    </w:p>
    <w:bookmarkStart w:id="37" w:name="page38"/>
    <w:bookmarkEnd w:id="37"/>
    <w:p>
      <w:pPr>
        <w:spacing w:after="0" w:line="5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We account for income taxes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the basis of this evaluation, as of December 31, 2020, a valuation allowance of $10.6 million and $ 3.1 million has been recorded related to Taiwan and China deferred tax assets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8"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 of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B of our Consolidated Financial Statements for a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7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We are exposed to market risk due to the possibility of changing interest rates associated with certain debt instruments. As of December 31, 2020, our debt bears a variable rate of interest that is based on LIBOR or other interbank offered rates. The debt subject to variable rates is subject to fluctuation in the LIBOR or other interbank offered rates. As of December 31, 2020, we had not hedged our interest rate risk.</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December 31, 2020, an increase of 1.0% in each of our interest rates would have resulted in an increase of $0.4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7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year ended December 31, 2020, we recognized less than $0.1 million of exchange gains arising from foreign currency transactions and re-measurement of monetary assets and liabilities dominated in non-functional currency on the balance sheet date.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During the year ended December 31, 2020, 5.5% of our revenue was denominated in RMB and none of our revenue was denominated in NT dollars. In the year ended December 31, 2020, 22.2% of our operating expenses were denominated in RMB and 23.7% of our operating expenses were</w:t>
      </w:r>
    </w:p>
    <w:p>
      <w:pPr>
        <w:sectPr>
          <w:pgSz w:w="11900" w:h="16888" w:orient="portrait"/>
          <w:cols w:equalWidth="0" w:num="1">
            <w:col w:w="11240"/>
          </w:cols>
          <w:pgMar w:left="320" w:top="341" w:right="339" w:bottom="0" w:gutter="0" w:footer="0" w:header="0"/>
        </w:sectPr>
      </w:pPr>
    </w:p>
    <w:bookmarkStart w:id="38" w:name="page39"/>
    <w:bookmarkEnd w:id="38"/>
    <w:p>
      <w:pPr>
        <w:jc w:val="both"/>
        <w:ind w:right="40"/>
        <w:spacing w:after="0" w:line="263" w:lineRule="auto"/>
        <w:rPr>
          <w:sz w:val="20"/>
          <w:szCs w:val="20"/>
          <w:color w:val="auto"/>
        </w:rPr>
      </w:pPr>
      <w:r>
        <w:rPr>
          <w:rFonts w:ascii="Arial" w:cs="Arial" w:eastAsia="Arial" w:hAnsi="Arial"/>
          <w:sz w:val="18"/>
          <w:szCs w:val="18"/>
          <w:color w:val="auto"/>
        </w:rPr>
        <w:t>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2020, our operating expenses would have had been higher by $0.5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As of December 31, 2020, we held the U.S. dollar denominated liabilities net of assets of approximately $3.6 million in our China subsidiary and $17.7 million in our Taiwan branch. With respect to these U.S. dollar denominated net assets as of December 31, 2020, if exchange rates of RMB and NT dollars for U.S. dollars were 1% higher during the year ended December 31, 2020, our other operating expenses would have been reduced by $0.2 million. Any significant revaluation of the RMB and NT dollars may materially and adversely affect the cash flows, revenues, and net income (loss) as reported in U.S. dollars.</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F-35 of this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2020. Based upon that evaluation, our Chief Executive Officer and Chief Financial Officer concluded that, as of the end of the period covered in this report, our disclosure controls and procedures were effective.</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4"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w:t>
      </w:r>
    </w:p>
    <w:p>
      <w:pPr>
        <w:spacing w:after="0" w:line="32"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2020.</w:t>
      </w:r>
    </w:p>
    <w:p>
      <w:pPr>
        <w:spacing w:after="0" w:line="18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2020.</w:t>
      </w:r>
    </w:p>
    <w:p>
      <w:pPr>
        <w:spacing w:after="0" w:line="14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52"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w:t>
      </w:r>
    </w:p>
    <w:p>
      <w:pPr>
        <w:sectPr>
          <w:pgSz w:w="11900" w:h="16838" w:orient="portrait"/>
          <w:cols w:equalWidth="0" w:num="1">
            <w:col w:w="11220"/>
          </w:cols>
          <w:pgMar w:left="320" w:top="125" w:right="359" w:bottom="0" w:gutter="0" w:footer="0" w:header="0"/>
        </w:sectPr>
      </w:pPr>
    </w:p>
    <w:bookmarkStart w:id="39" w:name="page40"/>
    <w:bookmarkEnd w:id="39"/>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quarter that has materially affected, or is reasonably likely to materially affect, our internal control over financial reporting.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Applied Optoelectronics, Inc. (a Delaware corporation) and subsidiaries (the “Company”) as of December 31, 2020,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2020, and our report dated February 25, 2021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2021 Annual Meeting of Stockholders (our “Proxy Statement”), a copy of which will be filed with the Securities and Exchange Commission within 120 days after the end of our fiscal year ended December 31, 2020.</w:t>
      </w:r>
    </w:p>
    <w:p>
      <w:pPr>
        <w:sectPr>
          <w:pgSz w:w="11900" w:h="16936" w:orient="portrait"/>
          <w:cols w:equalWidth="0" w:num="1">
            <w:col w:w="11240"/>
          </w:cols>
          <w:pgMar w:left="320" w:top="125" w:right="339" w:bottom="0" w:gutter="0" w:footer="0" w:header="0"/>
        </w:sectPr>
      </w:pPr>
    </w:p>
    <w:bookmarkStart w:id="40" w:name="page41"/>
    <w:bookmarkEnd w:id="40"/>
    <w:p>
      <w:pPr>
        <w:ind w:right="60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our Proxy Statement.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70"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2020.</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“Summary Compensation Table,” “Director Compensation,” and “Compensation Committee Report” in our Proxy Statement.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8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information required regarding securities authorized for issuance under our equity compensation plans is incorporated herein by reference from the information contained in the section entitled “Equity Compensation Plan Information” in our Proxy Statement.</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our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(a)(1) The consolidated financial statements are listed on the Index to Consolidated Financial Statements to this report beginning on page F-1.</w:t>
      </w:r>
    </w:p>
    <w:p>
      <w:pPr>
        <w:spacing w:after="0" w:line="24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 See the Exhibit immediately following Item 16. Form 10-K Summary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20"/>
          </w:cols>
          <w:pgMar w:left="320" w:top="341" w:right="35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20"/>
          </w:tcPr>
          <w:p>
            <w:pPr>
              <w:jc w:val="right"/>
              <w:ind w:right="1620"/>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340" w:type="dxa"/>
            <w:vAlign w:val="bottom"/>
          </w:tcPr>
          <w:p>
            <w:pPr>
              <w:jc w:val="right"/>
              <w:ind w:right="170"/>
              <w:spacing w:after="0" w:line="190" w:lineRule="exact"/>
              <w:rPr>
                <w:sz w:val="20"/>
                <w:szCs w:val="20"/>
                <w:color w:val="auto"/>
              </w:rPr>
            </w:pPr>
            <w:r>
              <w:rPr>
                <w:rFonts w:ascii="Arial" w:cs="Arial" w:eastAsia="Arial" w:hAnsi="Arial"/>
                <w:sz w:val="18"/>
                <w:szCs w:val="18"/>
                <w:color w:val="auto"/>
              </w:rPr>
              <w:t>3.1</w:t>
            </w:r>
          </w:p>
        </w:tc>
        <w:tc>
          <w:tcPr>
            <w:tcW w:w="4540" w:type="dxa"/>
            <w:vAlign w:val="bottom"/>
            <w:gridSpan w:val="24"/>
          </w:tcPr>
          <w:p>
            <w:pPr>
              <w:spacing w:after="0" w:line="190"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Amended and Restated Certificate of Incorporation of the</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5"/>
              </w:rPr>
              <w:t>3.1</w:t>
            </w:r>
          </w:p>
        </w:tc>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w w:val="89"/>
              </w:rPr>
              <w:t>November 14, 2013</w:t>
            </w:r>
          </w:p>
        </w:tc>
      </w:tr>
      <w:tr>
        <w:trPr>
          <w:trHeight w:val="196"/>
        </w:trPr>
        <w:tc>
          <w:tcPr>
            <w:tcW w:w="1340" w:type="dxa"/>
            <w:vAlign w:val="bottom"/>
          </w:tcPr>
          <w:p>
            <w:pPr>
              <w:spacing w:after="0"/>
              <w:rPr>
                <w:sz w:val="17"/>
                <w:szCs w:val="17"/>
                <w:color w:val="auto"/>
              </w:rPr>
            </w:pPr>
          </w:p>
        </w:tc>
        <w:tc>
          <w:tcPr>
            <w:tcW w:w="4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registrant, as currently in effect</w:t>
              </w:r>
            </w:hyperlink>
          </w:p>
        </w:tc>
        <w:tc>
          <w:tcPr>
            <w:tcW w:w="42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34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4540" w:type="dxa"/>
            <w:vAlign w:val="bottom"/>
            <w:gridSpan w:val="24"/>
          </w:tcPr>
          <w:p>
            <w:pPr>
              <w:spacing w:after="0"/>
              <w:rPr>
                <w:rFonts w:ascii="Arial" w:cs="Arial" w:eastAsia="Arial" w:hAnsi="Arial"/>
                <w:sz w:val="18"/>
                <w:szCs w:val="18"/>
                <w:color w:val="0000EE"/>
                <w:w w:val="93"/>
              </w:rPr>
            </w:pPr>
            <w:hyperlink r:id="rId85">
              <w:r>
                <w:rPr>
                  <w:rFonts w:ascii="Arial" w:cs="Arial" w:eastAsia="Arial" w:hAnsi="Arial"/>
                  <w:sz w:val="18"/>
                  <w:szCs w:val="18"/>
                  <w:color w:val="0000EE"/>
                  <w:w w:val="93"/>
                </w:rPr>
                <w:t>Amended and Restated Bylaws of the registrant, as currently</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November 14, 2013</w:t>
            </w:r>
          </w:p>
        </w:tc>
      </w:tr>
      <w:tr>
        <w:trPr>
          <w:trHeight w:val="196"/>
        </w:trPr>
        <w:tc>
          <w:tcPr>
            <w:tcW w:w="1340" w:type="dxa"/>
            <w:vAlign w:val="bottom"/>
          </w:tcPr>
          <w:p>
            <w:pPr>
              <w:spacing w:after="0"/>
              <w:rPr>
                <w:sz w:val="17"/>
                <w:szCs w:val="17"/>
                <w:color w:val="auto"/>
              </w:rPr>
            </w:pPr>
          </w:p>
        </w:tc>
        <w:tc>
          <w:tcPr>
            <w:tcW w:w="43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in effect</w:t>
              </w:r>
            </w:hyperlink>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53"/>
        </w:trPr>
        <w:tc>
          <w:tcPr>
            <w:tcW w:w="134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4540" w:type="dxa"/>
            <w:vAlign w:val="bottom"/>
            <w:gridSpan w:val="24"/>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Common Stock Specimen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November 14, 2016</w:t>
            </w:r>
          </w:p>
        </w:tc>
      </w:tr>
      <w:tr>
        <w:trPr>
          <w:trHeight w:val="392"/>
        </w:trPr>
        <w:tc>
          <w:tcPr>
            <w:tcW w:w="5880" w:type="dxa"/>
            <w:vAlign w:val="bottom"/>
            <w:gridSpan w:val="25"/>
          </w:tcPr>
          <w:p>
            <w:pPr>
              <w:ind w:left="860"/>
              <w:spacing w:after="0"/>
              <w:rPr>
                <w:rFonts w:ascii="Arial" w:cs="Arial" w:eastAsia="Arial" w:hAnsi="Arial"/>
                <w:sz w:val="18"/>
                <w:szCs w:val="18"/>
                <w:color w:val="auto"/>
              </w:rPr>
            </w:pPr>
            <w:r>
              <w:rPr>
                <w:rFonts w:ascii="Arial" w:cs="Arial" w:eastAsia="Arial" w:hAnsi="Arial"/>
                <w:sz w:val="18"/>
                <w:szCs w:val="18"/>
                <w:color w:val="auto"/>
              </w:rPr>
              <w:t xml:space="preserve">4.2   </w:t>
            </w:r>
            <w:hyperlink r:id="rId87">
              <w:r>
                <w:rPr>
                  <w:rFonts w:ascii="Arial" w:cs="Arial" w:eastAsia="Arial" w:hAnsi="Arial"/>
                  <w:sz w:val="18"/>
                  <w:szCs w:val="18"/>
                  <w:color w:val="0000EE"/>
                </w:rPr>
                <w:t>Indenture, dated as of March 5, 2019 between Applied</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196"/>
        </w:trPr>
        <w:tc>
          <w:tcPr>
            <w:tcW w:w="134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Optoelectronics, Inc. and Wells Fargo Bank, National</w:t>
              </w:r>
            </w:hyperlink>
          </w:p>
        </w:tc>
        <w:tc>
          <w:tcPr>
            <w:tcW w:w="60" w:type="dxa"/>
            <w:vAlign w:val="bottom"/>
            <w:tcBorders>
              <w:top w:val="single" w:sz="8" w:color="0000EE"/>
            </w:tcBorders>
          </w:tcPr>
          <w:p>
            <w:pPr>
              <w:spacing w:after="0"/>
              <w:rPr>
                <w:sz w:val="17"/>
                <w:szCs w:val="17"/>
                <w:color w:val="auto"/>
              </w:rPr>
            </w:pPr>
          </w:p>
        </w:tc>
        <w:tc>
          <w:tcPr>
            <w:tcW w:w="640" w:type="dxa"/>
            <w:vAlign w:val="bottom"/>
            <w:gridSpan w:val="14"/>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40" w:type="dxa"/>
            <w:vAlign w:val="bottom"/>
            <w:gridSpan w:val="24"/>
          </w:tcPr>
          <w:p>
            <w:pPr>
              <w:spacing w:after="0"/>
              <w:rPr>
                <w:rFonts w:ascii="Arial" w:cs="Arial" w:eastAsia="Arial" w:hAnsi="Arial"/>
                <w:sz w:val="18"/>
                <w:szCs w:val="18"/>
                <w:u w:val="single" w:color="auto"/>
                <w:color w:val="0000EE"/>
                <w:w w:val="94"/>
              </w:rPr>
            </w:pPr>
            <w:hyperlink r:id="rId87">
              <w:r>
                <w:rPr>
                  <w:rFonts w:ascii="Arial" w:cs="Arial" w:eastAsia="Arial" w:hAnsi="Arial"/>
                  <w:sz w:val="18"/>
                  <w:szCs w:val="18"/>
                  <w:u w:val="single" w:color="auto"/>
                  <w:color w:val="0000EE"/>
                  <w:w w:val="94"/>
                </w:rPr>
                <w:t>Association, as trustee, paying agent, and conversion agent</w:t>
              </w:r>
            </w:hyperlink>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1"/>
        </w:trPr>
        <w:tc>
          <w:tcPr>
            <w:tcW w:w="5880" w:type="dxa"/>
            <w:vAlign w:val="bottom"/>
            <w:gridSpan w:val="25"/>
          </w:tcPr>
          <w:p>
            <w:pPr>
              <w:ind w:left="860"/>
              <w:spacing w:after="0"/>
              <w:rPr>
                <w:rFonts w:ascii="Arial" w:cs="Arial" w:eastAsia="Arial" w:hAnsi="Arial"/>
                <w:sz w:val="18"/>
                <w:szCs w:val="18"/>
                <w:color w:val="auto"/>
              </w:rPr>
            </w:pPr>
            <w:r>
              <w:rPr>
                <w:rFonts w:ascii="Arial" w:cs="Arial" w:eastAsia="Arial" w:hAnsi="Arial"/>
                <w:sz w:val="18"/>
                <w:szCs w:val="18"/>
                <w:color w:val="auto"/>
              </w:rPr>
              <w:t xml:space="preserve">4.3   </w:t>
            </w:r>
            <w:hyperlink r:id="rId87">
              <w:r>
                <w:rPr>
                  <w:rFonts w:ascii="Arial" w:cs="Arial" w:eastAsia="Arial" w:hAnsi="Arial"/>
                  <w:sz w:val="18"/>
                  <w:szCs w:val="18"/>
                  <w:color w:val="0000EE"/>
                </w:rPr>
                <w:t>Form of Note representing the Company’s 5.00%</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540" w:type="dxa"/>
            <w:vAlign w:val="bottom"/>
            <w:gridSpan w:val="24"/>
          </w:tcPr>
          <w:p>
            <w:pPr>
              <w:spacing w:after="0" w:line="196"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Convertible Senior Notes due 2024 (included as Exhibit A</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to the Indenture)</w:t>
              </w:r>
            </w:hyperlink>
          </w:p>
        </w:tc>
        <w:tc>
          <w:tcPr>
            <w:tcW w:w="3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53"/>
        </w:trPr>
        <w:tc>
          <w:tcPr>
            <w:tcW w:w="5880" w:type="dxa"/>
            <w:vAlign w:val="bottom"/>
            <w:gridSpan w:val="25"/>
          </w:tcPr>
          <w:p>
            <w:pPr>
              <w:ind w:left="860"/>
              <w:spacing w:after="0"/>
              <w:rPr>
                <w:rFonts w:ascii="Arial" w:cs="Arial" w:eastAsia="Arial" w:hAnsi="Arial"/>
                <w:sz w:val="18"/>
                <w:szCs w:val="18"/>
                <w:color w:val="auto"/>
              </w:rPr>
            </w:pPr>
            <w:r>
              <w:rPr>
                <w:rFonts w:ascii="Arial" w:cs="Arial" w:eastAsia="Arial" w:hAnsi="Arial"/>
                <w:sz w:val="18"/>
                <w:szCs w:val="18"/>
                <w:color w:val="auto"/>
              </w:rPr>
              <w:t xml:space="preserve">4.4   </w:t>
            </w:r>
            <w:hyperlink r:id="rId88">
              <w:r>
                <w:rPr>
                  <w:rFonts w:ascii="Arial" w:cs="Arial" w:eastAsia="Arial" w:hAnsi="Arial"/>
                  <w:sz w:val="18"/>
                  <w:szCs w:val="18"/>
                  <w:u w:val="single" w:color="auto"/>
                  <w:color w:val="0000EE"/>
                </w:rPr>
                <w:t>Description of Company’s Common Stock</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February 28, 2020</w:t>
            </w:r>
          </w:p>
        </w:tc>
      </w:tr>
      <w:tr>
        <w:trPr>
          <w:trHeight w:val="391"/>
        </w:trPr>
        <w:tc>
          <w:tcPr>
            <w:tcW w:w="134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4240" w:type="dxa"/>
            <w:vAlign w:val="bottom"/>
            <w:tcBorders>
              <w:bottom w:val="single" w:sz="8" w:color="0000EE"/>
            </w:tcBorders>
            <w:gridSpan w:val="20"/>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Indemnification Agreement between the registrant</w:t>
              </w:r>
            </w:hyperlink>
          </w:p>
        </w:tc>
        <w:tc>
          <w:tcPr>
            <w:tcW w:w="30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237"/>
        </w:trPr>
        <w:tc>
          <w:tcPr>
            <w:tcW w:w="1340" w:type="dxa"/>
            <w:vAlign w:val="bottom"/>
          </w:tcPr>
          <w:p>
            <w:pPr>
              <w:spacing w:after="0"/>
              <w:rPr>
                <w:sz w:val="20"/>
                <w:szCs w:val="20"/>
                <w:color w:val="auto"/>
              </w:rPr>
            </w:pPr>
          </w:p>
        </w:tc>
        <w:tc>
          <w:tcPr>
            <w:tcW w:w="4540" w:type="dxa"/>
            <w:vAlign w:val="bottom"/>
            <w:gridSpan w:val="24"/>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each of its Directors and certain of its Executive Officers</w:t>
              </w:r>
            </w:hyperlink>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4540" w:type="dxa"/>
            <w:vAlign w:val="bottom"/>
            <w:gridSpan w:val="24"/>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2004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10.2.1†</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Stock Option Agreement under 2004 Incentive</w:t>
              </w:r>
            </w:hyperlink>
          </w:p>
        </w:tc>
        <w:tc>
          <w:tcPr>
            <w:tcW w:w="540" w:type="dxa"/>
            <w:vAlign w:val="bottom"/>
            <w:gridSpan w:val="11"/>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10.4.1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r:id="rId91">
              <w:r>
                <w:rPr>
                  <w:rFonts w:ascii="Arial" w:cs="Arial" w:eastAsia="Arial" w:hAnsi="Arial"/>
                  <w:sz w:val="18"/>
                  <w:szCs w:val="18"/>
                  <w:color w:val="0000EE"/>
                  <w:w w:val="83"/>
                </w:rPr>
                <w:t>Share Plan</w:t>
              </w:r>
            </w:hyperlink>
          </w:p>
        </w:tc>
        <w:tc>
          <w:tcPr>
            <w:tcW w:w="3780" w:type="dxa"/>
            <w:vAlign w:val="bottom"/>
            <w:gridSpan w:val="21"/>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53"/>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4540" w:type="dxa"/>
            <w:vAlign w:val="bottom"/>
            <w:gridSpan w:val="24"/>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2006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43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4540" w:type="dxa"/>
            <w:vAlign w:val="bottom"/>
            <w:gridSpan w:val="24"/>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First Amendment to 2006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10.5.1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27, 2013</w:t>
            </w: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10.3.2†</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Stock Option Agreement under 2006 Incentive</w:t>
              </w:r>
            </w:hyperlink>
          </w:p>
        </w:tc>
        <w:tc>
          <w:tcPr>
            <w:tcW w:w="540" w:type="dxa"/>
            <w:vAlign w:val="bottom"/>
            <w:gridSpan w:val="11"/>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10.5.2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r:id="rId94">
              <w:r>
                <w:rPr>
                  <w:rFonts w:ascii="Arial" w:cs="Arial" w:eastAsia="Arial" w:hAnsi="Arial"/>
                  <w:sz w:val="18"/>
                  <w:szCs w:val="18"/>
                  <w:color w:val="0000EE"/>
                  <w:w w:val="83"/>
                </w:rPr>
                <w:t>Share Plan</w:t>
              </w:r>
            </w:hyperlink>
          </w:p>
        </w:tc>
        <w:tc>
          <w:tcPr>
            <w:tcW w:w="3780" w:type="dxa"/>
            <w:vAlign w:val="bottom"/>
            <w:gridSpan w:val="21"/>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53"/>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4540" w:type="dxa"/>
            <w:vAlign w:val="bottom"/>
            <w:gridSpan w:val="24"/>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Amended and Restated 2013 Equity Incentive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March 9, 2017</w:t>
            </w: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10.4.1†</w:t>
            </w:r>
          </w:p>
        </w:tc>
        <w:tc>
          <w:tcPr>
            <w:tcW w:w="4020" w:type="dxa"/>
            <w:vAlign w:val="bottom"/>
            <w:tcBorders>
              <w:bottom w:val="single" w:sz="8" w:color="0000EE"/>
            </w:tcBorders>
            <w:gridSpan w:val="14"/>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Restricted Stock Award Agreement under 2013</w:t>
              </w:r>
            </w:hyperlink>
          </w:p>
        </w:tc>
        <w:tc>
          <w:tcPr>
            <w:tcW w:w="520" w:type="dxa"/>
            <w:vAlign w:val="bottom"/>
            <w:gridSpan w:val="1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10.6.1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Equity Incentive Plan</w:t>
              </w:r>
            </w:hyperlink>
          </w:p>
        </w:tc>
        <w:tc>
          <w:tcPr>
            <w:tcW w:w="300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1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10.4.2†</w:t>
            </w:r>
          </w:p>
        </w:tc>
        <w:tc>
          <w:tcPr>
            <w:tcW w:w="3980" w:type="dxa"/>
            <w:vAlign w:val="bottom"/>
            <w:tcBorders>
              <w:bottom w:val="single" w:sz="8" w:color="0000EE"/>
            </w:tcBorders>
            <w:gridSpan w:val="12"/>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Form of Restricted Stock Unit Award Agreement under</w:t>
              </w:r>
            </w:hyperlink>
          </w:p>
        </w:tc>
        <w:tc>
          <w:tcPr>
            <w:tcW w:w="560" w:type="dxa"/>
            <w:vAlign w:val="bottom"/>
            <w:gridSpan w:val="1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4540" w:type="dxa"/>
            <w:vAlign w:val="bottom"/>
            <w:gridSpan w:val="2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2013 Equity Incentive Plan</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10.4.3†</w:t>
            </w:r>
          </w:p>
        </w:tc>
        <w:tc>
          <w:tcPr>
            <w:tcW w:w="4540" w:type="dxa"/>
            <w:vAlign w:val="bottom"/>
            <w:gridSpan w:val="24"/>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Form of Stock Appreciation Right Award Agreement under</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10.6.3</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4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2013 Equity Incentive Plan</w:t>
              </w:r>
            </w:hyperlink>
          </w:p>
        </w:tc>
        <w:tc>
          <w:tcPr>
            <w:tcW w:w="28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10.4.4†</w:t>
            </w:r>
          </w:p>
        </w:tc>
        <w:tc>
          <w:tcPr>
            <w:tcW w:w="4540" w:type="dxa"/>
            <w:vAlign w:val="bottom"/>
            <w:gridSpan w:val="24"/>
          </w:tcPr>
          <w:p>
            <w:pPr>
              <w:spacing w:after="0"/>
              <w:rPr>
                <w:rFonts w:ascii="Arial" w:cs="Arial" w:eastAsia="Arial" w:hAnsi="Arial"/>
                <w:sz w:val="18"/>
                <w:szCs w:val="18"/>
                <w:color w:val="0000EE"/>
              </w:rPr>
            </w:pPr>
            <w:hyperlink r:id="rId99">
              <w:r>
                <w:rPr>
                  <w:rFonts w:ascii="Arial" w:cs="Arial" w:eastAsia="Arial" w:hAnsi="Arial"/>
                  <w:sz w:val="18"/>
                  <w:szCs w:val="18"/>
                  <w:color w:val="0000EE"/>
                </w:rPr>
                <w:t>Form of Notice of Stock Option Award and Stock Option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10.6.4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237"/>
        </w:trPr>
        <w:tc>
          <w:tcPr>
            <w:tcW w:w="1340" w:type="dxa"/>
            <w:vAlign w:val="bottom"/>
          </w:tcPr>
          <w:p>
            <w:pPr>
              <w:spacing w:after="0"/>
              <w:rPr>
                <w:sz w:val="20"/>
                <w:szCs w:val="20"/>
                <w:color w:val="auto"/>
              </w:rPr>
            </w:pPr>
          </w:p>
        </w:tc>
        <w:tc>
          <w:tcPr>
            <w:tcW w:w="4100" w:type="dxa"/>
            <w:vAlign w:val="bottom"/>
            <w:tcBorders>
              <w:top w:val="single" w:sz="8" w:color="0000EE"/>
            </w:tcBorders>
            <w:gridSpan w:val="16"/>
          </w:tcPr>
          <w:p>
            <w:pPr>
              <w:spacing w:after="0"/>
              <w:rPr>
                <w:rFonts w:ascii="Arial" w:cs="Arial" w:eastAsia="Arial" w:hAnsi="Arial"/>
                <w:sz w:val="18"/>
                <w:szCs w:val="18"/>
                <w:u w:val="single" w:color="auto"/>
                <w:color w:val="0000EE"/>
                <w:w w:val="98"/>
              </w:rPr>
            </w:pPr>
            <w:hyperlink r:id="rId99">
              <w:r>
                <w:rPr>
                  <w:rFonts w:ascii="Arial" w:cs="Arial" w:eastAsia="Arial" w:hAnsi="Arial"/>
                  <w:sz w:val="18"/>
                  <w:szCs w:val="18"/>
                  <w:u w:val="single" w:color="auto"/>
                  <w:color w:val="0000EE"/>
                  <w:w w:val="98"/>
                </w:rPr>
                <w:t>Award Agreement under 2013 Equity Incentive Plan</w:t>
              </w:r>
            </w:hyperlink>
          </w:p>
        </w:tc>
        <w:tc>
          <w:tcPr>
            <w:tcW w:w="440" w:type="dxa"/>
            <w:vAlign w:val="bottom"/>
            <w:gridSpan w:val="8"/>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4540" w:type="dxa"/>
            <w:vAlign w:val="bottom"/>
            <w:gridSpan w:val="24"/>
          </w:tcPr>
          <w:p>
            <w:pPr>
              <w:spacing w:after="0"/>
              <w:rPr>
                <w:rFonts w:ascii="Arial" w:cs="Arial" w:eastAsia="Arial" w:hAnsi="Arial"/>
                <w:sz w:val="18"/>
                <w:szCs w:val="18"/>
                <w:color w:val="0000EE"/>
              </w:rPr>
            </w:pPr>
            <w:hyperlink r:id="rId100">
              <w:r>
                <w:rPr>
                  <w:rFonts w:ascii="Arial" w:cs="Arial" w:eastAsia="Arial" w:hAnsi="Arial"/>
                  <w:sz w:val="18"/>
                  <w:szCs w:val="18"/>
                  <w:color w:val="0000EE"/>
                </w:rPr>
                <w:t>Employment Agreement regarding Change of Control or</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Separation of Service between the registrant and Chih-</w:t>
              </w:r>
            </w:hyperlink>
          </w:p>
        </w:tc>
        <w:tc>
          <w:tcPr>
            <w:tcW w:w="140" w:type="dxa"/>
            <w:vAlign w:val="bottom"/>
            <w:tcBorders>
              <w:top w:val="single" w:sz="8" w:color="0000EE"/>
            </w:tcBorders>
            <w:gridSpan w:val="4"/>
          </w:tcPr>
          <w:p>
            <w:pPr>
              <w:spacing w:after="0"/>
              <w:rPr>
                <w:sz w:val="17"/>
                <w:szCs w:val="17"/>
                <w:color w:val="auto"/>
              </w:rPr>
            </w:pPr>
          </w:p>
        </w:tc>
        <w:tc>
          <w:tcPr>
            <w:tcW w:w="48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40" w:type="dxa"/>
            <w:vAlign w:val="bottom"/>
            <w:gridSpan w:val="24"/>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Hsiang (Thompson) Lin, dated January 28, 2007</w:t>
              </w:r>
            </w:hyperlink>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10.5.1†</w:t>
            </w:r>
          </w:p>
        </w:tc>
        <w:tc>
          <w:tcPr>
            <w:tcW w:w="4200" w:type="dxa"/>
            <w:vAlign w:val="bottom"/>
            <w:tcBorders>
              <w:bottom w:val="single" w:sz="8" w:color="0000EE"/>
            </w:tcBorders>
            <w:gridSpan w:val="19"/>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Amended and Restated Employment Agreement regarding</w:t>
              </w:r>
            </w:hyperlink>
          </w:p>
        </w:tc>
        <w:tc>
          <w:tcPr>
            <w:tcW w:w="34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10.12.1</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August 13, 2013</w:t>
            </w:r>
          </w:p>
        </w:tc>
      </w:tr>
      <w:tr>
        <w:trPr>
          <w:trHeight w:val="196"/>
        </w:trPr>
        <w:tc>
          <w:tcPr>
            <w:tcW w:w="134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Change of Control or Separation of Service between the</w:t>
              </w:r>
            </w:hyperlink>
          </w:p>
        </w:tc>
        <w:tc>
          <w:tcPr>
            <w:tcW w:w="5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40" w:type="dxa"/>
            <w:vAlign w:val="bottom"/>
            <w:gridSpan w:val="24"/>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registrant and Chih-Hsiang (Thompson) Lin, dated April 16,</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r:id="rId101">
              <w:r>
                <w:rPr>
                  <w:rFonts w:ascii="Arial" w:cs="Arial" w:eastAsia="Arial" w:hAnsi="Arial"/>
                  <w:sz w:val="18"/>
                  <w:szCs w:val="18"/>
                  <w:color w:val="0000EE"/>
                  <w:w w:val="79"/>
                </w:rPr>
                <w:t>2013</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1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 6†</w:t>
            </w:r>
          </w:p>
        </w:tc>
        <w:tc>
          <w:tcPr>
            <w:tcW w:w="4540" w:type="dxa"/>
            <w:vAlign w:val="bottom"/>
            <w:gridSpan w:val="24"/>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August 9, 2016</w:t>
            </w:r>
          </w:p>
        </w:tc>
      </w:tr>
      <w:tr>
        <w:trPr>
          <w:trHeight w:val="236"/>
        </w:trPr>
        <w:tc>
          <w:tcPr>
            <w:tcW w:w="1340" w:type="dxa"/>
            <w:vAlign w:val="bottom"/>
          </w:tcPr>
          <w:p>
            <w:pPr>
              <w:spacing w:after="0"/>
              <w:rPr>
                <w:sz w:val="20"/>
                <w:szCs w:val="20"/>
                <w:color w:val="auto"/>
              </w:rPr>
            </w:pPr>
          </w:p>
        </w:tc>
        <w:tc>
          <w:tcPr>
            <w:tcW w:w="406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Applied Optoelectronics, Inc. and Stefan J. Murry</w:t>
              </w:r>
            </w:hyperlink>
          </w:p>
        </w:tc>
        <w:tc>
          <w:tcPr>
            <w:tcW w:w="480" w:type="dxa"/>
            <w:vAlign w:val="bottom"/>
            <w:gridSpan w:val="9"/>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4540" w:type="dxa"/>
            <w:vAlign w:val="bottom"/>
            <w:gridSpan w:val="24"/>
          </w:tcPr>
          <w:p>
            <w:pPr>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August 9, 2016</w:t>
            </w:r>
          </w:p>
        </w:tc>
      </w:tr>
      <w:tr>
        <w:trPr>
          <w:trHeight w:val="236"/>
        </w:trPr>
        <w:tc>
          <w:tcPr>
            <w:tcW w:w="1340" w:type="dxa"/>
            <w:vAlign w:val="bottom"/>
          </w:tcPr>
          <w:p>
            <w:pPr>
              <w:spacing w:after="0"/>
              <w:rPr>
                <w:sz w:val="20"/>
                <w:szCs w:val="20"/>
                <w:color w:val="auto"/>
              </w:rPr>
            </w:pPr>
          </w:p>
        </w:tc>
        <w:tc>
          <w:tcPr>
            <w:tcW w:w="406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Applied Optoelectronics, Inc. and Mr. Joshua Yeh</w:t>
              </w:r>
            </w:hyperlink>
          </w:p>
        </w:tc>
        <w:tc>
          <w:tcPr>
            <w:tcW w:w="480" w:type="dxa"/>
            <w:vAlign w:val="bottom"/>
            <w:gridSpan w:val="9"/>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1"/>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4540" w:type="dxa"/>
            <w:vAlign w:val="bottom"/>
            <w:gridSpan w:val="24"/>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August 9, 2016</w:t>
            </w:r>
          </w:p>
        </w:tc>
      </w:tr>
      <w:tr>
        <w:trPr>
          <w:trHeight w:val="236"/>
        </w:trPr>
        <w:tc>
          <w:tcPr>
            <w:tcW w:w="1340" w:type="dxa"/>
            <w:vAlign w:val="bottom"/>
          </w:tcPr>
          <w:p>
            <w:pPr>
              <w:spacing w:after="0"/>
              <w:rPr>
                <w:sz w:val="20"/>
                <w:szCs w:val="20"/>
                <w:color w:val="auto"/>
              </w:rPr>
            </w:pPr>
          </w:p>
        </w:tc>
        <w:tc>
          <w:tcPr>
            <w:tcW w:w="406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Applied Optoelectronics, Inc. and Dr. Fred Chang</w:t>
              </w:r>
            </w:hyperlink>
          </w:p>
        </w:tc>
        <w:tc>
          <w:tcPr>
            <w:tcW w:w="480" w:type="dxa"/>
            <w:vAlign w:val="bottom"/>
            <w:gridSpan w:val="9"/>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2"/>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4540" w:type="dxa"/>
            <w:vAlign w:val="bottom"/>
            <w:gridSpan w:val="24"/>
          </w:tcPr>
          <w:p>
            <w:pPr>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February 28, 2018</w:t>
            </w:r>
          </w:p>
        </w:tc>
      </w:tr>
      <w:tr>
        <w:trPr>
          <w:trHeight w:val="236"/>
        </w:trPr>
        <w:tc>
          <w:tcPr>
            <w:tcW w:w="1340" w:type="dxa"/>
            <w:vAlign w:val="bottom"/>
          </w:tcPr>
          <w:p>
            <w:pPr>
              <w:spacing w:after="0"/>
              <w:rPr>
                <w:sz w:val="20"/>
                <w:szCs w:val="20"/>
                <w:color w:val="auto"/>
              </w:rPr>
            </w:pPr>
          </w:p>
        </w:tc>
        <w:tc>
          <w:tcPr>
            <w:tcW w:w="406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Applied Optoelectronics, Inc. and David C. Kuo</w:t>
              </w:r>
            </w:hyperlink>
          </w:p>
        </w:tc>
        <w:tc>
          <w:tcPr>
            <w:tcW w:w="480" w:type="dxa"/>
            <w:vAlign w:val="bottom"/>
            <w:gridSpan w:val="9"/>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4540" w:type="dxa"/>
            <w:vAlign w:val="bottom"/>
            <w:gridSpan w:val="24"/>
          </w:tcPr>
          <w:p>
            <w:pPr>
              <w:jc w:val="right"/>
              <w:ind w:right="160"/>
              <w:spacing w:after="0"/>
              <w:rPr>
                <w:sz w:val="20"/>
                <w:szCs w:val="20"/>
                <w:color w:val="auto"/>
              </w:rPr>
            </w:pPr>
            <w:r>
              <w:rPr>
                <w:rFonts w:ascii="Arial" w:cs="Arial" w:eastAsia="Arial" w:hAnsi="Arial"/>
                <w:sz w:val="18"/>
                <w:szCs w:val="18"/>
                <w:color w:val="auto"/>
              </w:rPr>
              <w:t>57</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r>
        <w:trPr>
          <w:trHeight w:val="567"/>
        </w:trPr>
        <w:tc>
          <w:tcPr>
            <w:tcW w:w="1340" w:type="dxa"/>
            <w:vAlign w:val="bottom"/>
          </w:tcPr>
          <w:p>
            <w:pPr>
              <w:jc w:val="right"/>
              <w:spacing w:after="0"/>
              <w:rPr>
                <w:rFonts w:ascii="Arial" w:cs="Arial" w:eastAsia="Arial" w:hAnsi="Arial"/>
                <w:sz w:val="18"/>
                <w:szCs w:val="18"/>
                <w:u w:val="single" w:color="auto"/>
                <w:color w:val="0000EE"/>
                <w:w w:val="88"/>
              </w:rPr>
            </w:pPr>
            <w:hyperlink w:anchor="page3">
              <w:r>
                <w:rPr>
                  <w:rFonts w:ascii="Arial" w:cs="Arial" w:eastAsia="Arial" w:hAnsi="Arial"/>
                  <w:sz w:val="18"/>
                  <w:szCs w:val="18"/>
                  <w:u w:val="single" w:color="auto"/>
                  <w:color w:val="0000EE"/>
                  <w:w w:val="88"/>
                </w:rPr>
                <w:t>Table of Contents</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4"/>
        </w:trPr>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0" w:type="dxa"/>
            <w:vAlign w:val="bottom"/>
            <w:gridSpan w:val="3"/>
          </w:tcPr>
          <w:p>
            <w:pPr>
              <w:ind w:left="660"/>
              <w:spacing w:after="0"/>
              <w:rPr>
                <w:sz w:val="20"/>
                <w:szCs w:val="20"/>
                <w:color w:val="auto"/>
              </w:rPr>
            </w:pPr>
            <w:r>
              <w:rPr>
                <w:rFonts w:ascii="Arial" w:cs="Arial" w:eastAsia="Arial" w:hAnsi="Arial"/>
                <w:sz w:val="18"/>
                <w:szCs w:val="18"/>
                <w:b w:val="1"/>
                <w:bCs w:val="1"/>
                <w:color w:val="auto"/>
              </w:rPr>
              <w:t>Incorporated By Reference</w:t>
            </w:r>
          </w:p>
        </w:tc>
      </w:tr>
      <w:tr>
        <w:trPr>
          <w:trHeight w:val="234"/>
        </w:trPr>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20"/>
          </w:tcPr>
          <w:p>
            <w:pPr>
              <w:jc w:val="right"/>
              <w:ind w:right="1660"/>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Form</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File No.</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-779145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880" w:type="dxa"/>
            <w:vAlign w:val="bottom"/>
            <w:gridSpan w:val="25"/>
          </w:tcPr>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108">
              <w:r>
                <w:rPr>
                  <w:rFonts w:ascii="Arial" w:cs="Arial" w:eastAsia="Arial" w:hAnsi="Arial"/>
                  <w:sz w:val="18"/>
                  <w:szCs w:val="18"/>
                  <w:color w:val="0000EE"/>
                </w:rPr>
                <w:t>Loan Agreement, dated September 28, 2017, between</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Applied Optoelectronics, Inc. and Branch Banking and</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Trust Company</w:t>
              </w:r>
            </w:hyperlink>
          </w:p>
        </w:tc>
        <w:tc>
          <w:tcPr>
            <w:tcW w:w="2740" w:type="dxa"/>
            <w:vAlign w:val="bottom"/>
            <w:tcBorders>
              <w:top w:val="single" w:sz="8" w:color="0000EE"/>
            </w:tcBorders>
            <w:gridSpan w:val="12"/>
          </w:tcPr>
          <w:p>
            <w:pPr>
              <w:spacing w:after="0"/>
              <w:rPr>
                <w:sz w:val="17"/>
                <w:szCs w:val="17"/>
                <w:color w:val="auto"/>
              </w:rPr>
            </w:pPr>
          </w:p>
        </w:tc>
        <w:tc>
          <w:tcPr>
            <w:tcW w:w="6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5880" w:type="dxa"/>
            <w:vAlign w:val="bottom"/>
            <w:gridSpan w:val="25"/>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10.10.1   </w:t>
            </w:r>
            <w:hyperlink r:id="rId109">
              <w:r>
                <w:rPr>
                  <w:rFonts w:ascii="Arial" w:cs="Arial" w:eastAsia="Arial" w:hAnsi="Arial"/>
                  <w:sz w:val="18"/>
                  <w:szCs w:val="18"/>
                  <w:color w:val="0000EE"/>
                </w:rPr>
                <w:t>Promissory Note, dated September 28, 2017, between</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001-36-83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Applied Optoelectronics, Inc. and Branch Banking and</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8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Trust Company</w:t>
              </w:r>
            </w:hyperlink>
          </w:p>
        </w:tc>
        <w:tc>
          <w:tcPr>
            <w:tcW w:w="6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5880" w:type="dxa"/>
            <w:vAlign w:val="bottom"/>
            <w:gridSpan w:val="25"/>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10.10.2   </w:t>
            </w:r>
            <w:hyperlink r:id="rId110">
              <w:r>
                <w:rPr>
                  <w:rFonts w:ascii="Arial" w:cs="Arial" w:eastAsia="Arial" w:hAnsi="Arial"/>
                  <w:sz w:val="18"/>
                  <w:szCs w:val="18"/>
                  <w:color w:val="0000EE"/>
                </w:rPr>
                <w:t>Addendum to the Promissory Note, dated September 28,</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001-36-83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10.3</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0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2017, between Applied Optoelectronics, Inc. and Branch</w:t>
              </w:r>
            </w:hyperlink>
          </w:p>
        </w:tc>
        <w:tc>
          <w:tcPr>
            <w:tcW w:w="4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Banking and Trust Company</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10.10.3</w:t>
            </w:r>
          </w:p>
        </w:tc>
        <w:tc>
          <w:tcPr>
            <w:tcW w:w="3980" w:type="dxa"/>
            <w:vAlign w:val="bottom"/>
            <w:tcBorders>
              <w:bottom w:val="single" w:sz="8" w:color="0000EE"/>
            </w:tcBorders>
            <w:gridSpan w:val="15"/>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BB&amp;T Security Agreement, dated September 28, 2017,</w:t>
              </w:r>
            </w:hyperlink>
          </w:p>
        </w:tc>
        <w:tc>
          <w:tcPr>
            <w:tcW w:w="58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10.4</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between Applied Optoelectronics, Inc. and Branch Banking</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and Trust Company</w:t>
              </w:r>
            </w:hyperlink>
          </w:p>
        </w:tc>
        <w:tc>
          <w:tcPr>
            <w:tcW w:w="312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10.10.4</w:t>
            </w:r>
          </w:p>
        </w:tc>
        <w:tc>
          <w:tcPr>
            <w:tcW w:w="4560" w:type="dxa"/>
            <w:vAlign w:val="bottom"/>
            <w:gridSpan w:val="24"/>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Trademark Security Agreement, dated September 28, 2017,</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20"/>
        </w:trPr>
        <w:tc>
          <w:tcPr>
            <w:tcW w:w="1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between Applied Optoelectronics, Inc. and Branch Banking</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and Trust Company</w:t>
              </w:r>
            </w:hyperlink>
          </w:p>
        </w:tc>
        <w:tc>
          <w:tcPr>
            <w:tcW w:w="312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10.10.5</w:t>
            </w:r>
          </w:p>
        </w:tc>
        <w:tc>
          <w:tcPr>
            <w:tcW w:w="4560" w:type="dxa"/>
            <w:vAlign w:val="bottom"/>
            <w:gridSpan w:val="2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Patent Security Agreement, dated September 28, 2017,</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10.6</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October 4, 2017</w:t>
            </w:r>
          </w:p>
        </w:tc>
      </w:tr>
      <w:tr>
        <w:trPr>
          <w:trHeight w:val="20"/>
        </w:trPr>
        <w:tc>
          <w:tcPr>
            <w:tcW w:w="1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between Applied Optoelectronics, Inc. and Branch Banking</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and Trust Company</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10.11</w:t>
            </w:r>
          </w:p>
        </w:tc>
        <w:tc>
          <w:tcPr>
            <w:tcW w:w="4560" w:type="dxa"/>
            <w:vAlign w:val="bottom"/>
            <w:gridSpan w:val="24"/>
          </w:tcPr>
          <w:p>
            <w:pPr>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Supply Agreement, effective November 8, 2017, between</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February 24, 2018</w:t>
            </w:r>
          </w:p>
        </w:tc>
      </w:tr>
      <w:tr>
        <w:trPr>
          <w:trHeight w:val="237"/>
        </w:trPr>
        <w:tc>
          <w:tcPr>
            <w:tcW w:w="1320" w:type="dxa"/>
            <w:vAlign w:val="bottom"/>
          </w:tcPr>
          <w:p>
            <w:pPr>
              <w:spacing w:after="0"/>
              <w:rPr>
                <w:sz w:val="20"/>
                <w:szCs w:val="20"/>
                <w:color w:val="auto"/>
              </w:rPr>
            </w:pPr>
          </w:p>
        </w:tc>
        <w:tc>
          <w:tcPr>
            <w:tcW w:w="414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Applied Optoelectronics, Inc. and Facebook, Inc.</w:t>
              </w:r>
            </w:hyperlink>
          </w:p>
        </w:tc>
        <w:tc>
          <w:tcPr>
            <w:tcW w:w="420" w:type="dxa"/>
            <w:vAlign w:val="bottom"/>
            <w:gridSpan w:val="5"/>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3980" w:type="dxa"/>
            <w:vAlign w:val="bottom"/>
            <w:tcBorders>
              <w:bottom w:val="single" w:sz="8" w:color="0000EE"/>
            </w:tcBorders>
            <w:gridSpan w:val="15"/>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Master Purchase Agreement, effective January 2, 2018,</w:t>
              </w:r>
            </w:hyperlink>
          </w:p>
        </w:tc>
        <w:tc>
          <w:tcPr>
            <w:tcW w:w="58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10.2</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February 21, 2018</w:t>
            </w:r>
          </w:p>
        </w:tc>
      </w:tr>
      <w:tr>
        <w:trPr>
          <w:trHeight w:val="237"/>
        </w:trPr>
        <w:tc>
          <w:tcPr>
            <w:tcW w:w="1320" w:type="dxa"/>
            <w:vAlign w:val="bottom"/>
          </w:tcPr>
          <w:p>
            <w:pPr>
              <w:spacing w:after="0"/>
              <w:rPr>
                <w:sz w:val="20"/>
                <w:szCs w:val="20"/>
                <w:color w:val="auto"/>
              </w:rPr>
            </w:pPr>
          </w:p>
        </w:tc>
        <w:tc>
          <w:tcPr>
            <w:tcW w:w="4560" w:type="dxa"/>
            <w:vAlign w:val="bottom"/>
            <w:gridSpan w:val="24"/>
          </w:tcPr>
          <w:p>
            <w:pPr>
              <w:spacing w:after="0"/>
              <w:rPr>
                <w:rFonts w:ascii="Arial" w:cs="Arial" w:eastAsia="Arial" w:hAnsi="Arial"/>
                <w:sz w:val="18"/>
                <w:szCs w:val="18"/>
                <w:u w:val="single" w:color="auto"/>
                <w:color w:val="0000EE"/>
                <w:w w:val="98"/>
              </w:rPr>
            </w:pPr>
            <w:hyperlink r:id="rId115">
              <w:r>
                <w:rPr>
                  <w:rFonts w:ascii="Arial" w:cs="Arial" w:eastAsia="Arial" w:hAnsi="Arial"/>
                  <w:sz w:val="18"/>
                  <w:szCs w:val="18"/>
                  <w:u w:val="single" w:color="auto"/>
                  <w:color w:val="0000EE"/>
                  <w:w w:val="98"/>
                </w:rPr>
                <w:t>between Applied Optoelectronics, Inc. and Facebook, Inc.</w:t>
              </w:r>
            </w:hyperlink>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1"/>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10.13</w:t>
            </w:r>
          </w:p>
        </w:tc>
        <w:tc>
          <w:tcPr>
            <w:tcW w:w="3500" w:type="dxa"/>
            <w:vAlign w:val="bottom"/>
            <w:tcBorders>
              <w:bottom w:val="single" w:sz="8" w:color="0000EE"/>
            </w:tcBorders>
            <w:gridSpan w:val="11"/>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Translation of Lease Agreement between Global</w:t>
              </w:r>
            </w:hyperlink>
          </w:p>
        </w:tc>
        <w:tc>
          <w:tcPr>
            <w:tcW w:w="106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88"/>
              </w:rPr>
              <w:t>10.30</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February 28, 2018</w:t>
            </w:r>
          </w:p>
        </w:tc>
      </w:tr>
      <w:tr>
        <w:trPr>
          <w:trHeight w:val="196"/>
        </w:trPr>
        <w:tc>
          <w:tcPr>
            <w:tcW w:w="1320" w:type="dxa"/>
            <w:vAlign w:val="bottom"/>
          </w:tcPr>
          <w:p>
            <w:pPr>
              <w:spacing w:after="0"/>
              <w:rPr>
                <w:sz w:val="17"/>
                <w:szCs w:val="17"/>
                <w:color w:val="auto"/>
              </w:rPr>
            </w:pPr>
          </w:p>
        </w:tc>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Technology, Inc. and the People’s Republic of China in</w:t>
              </w:r>
            </w:hyperlink>
          </w:p>
        </w:tc>
        <w:tc>
          <w:tcPr>
            <w:tcW w:w="58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1320" w:type="dxa"/>
            <w:vAlign w:val="bottom"/>
          </w:tcPr>
          <w:p>
            <w:pPr>
              <w:spacing w:after="0"/>
              <w:rPr>
                <w:sz w:val="20"/>
                <w:szCs w:val="20"/>
                <w:color w:val="auto"/>
              </w:rPr>
            </w:pPr>
          </w:p>
        </w:tc>
        <w:tc>
          <w:tcPr>
            <w:tcW w:w="4560" w:type="dxa"/>
            <w:vAlign w:val="bottom"/>
            <w:gridSpan w:val="24"/>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Zhejiang Province, Ningbo City, Land Resources Bureau</w:t>
              </w:r>
            </w:hyperlink>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1"/>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10.13.1</w:t>
            </w:r>
          </w:p>
        </w:tc>
        <w:tc>
          <w:tcPr>
            <w:tcW w:w="3980" w:type="dxa"/>
            <w:vAlign w:val="bottom"/>
            <w:tcBorders>
              <w:bottom w:val="single" w:sz="8" w:color="0000EE"/>
            </w:tcBorders>
            <w:gridSpan w:val="15"/>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Translation of Investment and Construction Agreement</w:t>
              </w:r>
            </w:hyperlink>
          </w:p>
        </w:tc>
        <w:tc>
          <w:tcPr>
            <w:tcW w:w="58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9"/>
              </w:rPr>
              <w:t>10.30.1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1"/>
              </w:rPr>
              <w:t>February 28, 2018</w:t>
            </w: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between Global Technology, Inc. and the People’s Republic</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of China in Zhejiang Province, Ningbo City, Land</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Resources Bureau</w:t>
              </w:r>
            </w:hyperlink>
          </w:p>
        </w:tc>
        <w:tc>
          <w:tcPr>
            <w:tcW w:w="9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10.14</w:t>
            </w:r>
          </w:p>
        </w:tc>
        <w:tc>
          <w:tcPr>
            <w:tcW w:w="4560" w:type="dxa"/>
            <w:vAlign w:val="bottom"/>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Translation of Construction Agreement between Global</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0"/>
              </w:rPr>
              <w:t>May 8, 2018</w:t>
            </w:r>
          </w:p>
        </w:tc>
      </w:tr>
      <w:tr>
        <w:trPr>
          <w:trHeight w:val="20"/>
        </w:trPr>
        <w:tc>
          <w:tcPr>
            <w:tcW w:w="1320" w:type="dxa"/>
            <w:vAlign w:val="bottom"/>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Technology, Inc. and Zhejiang Xinyu Construction Group</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Co., Ltd. dated February 8, 2018</w:t>
              </w:r>
            </w:hyperlink>
          </w:p>
        </w:tc>
        <w:tc>
          <w:tcPr>
            <w:tcW w:w="1800" w:type="dxa"/>
            <w:vAlign w:val="bottom"/>
            <w:tcBorders>
              <w:top w:val="single" w:sz="8" w:color="0000EE"/>
            </w:tcBorders>
            <w:gridSpan w:val="12"/>
          </w:tcPr>
          <w:p>
            <w:pPr>
              <w:spacing w:after="0"/>
              <w:rPr>
                <w:sz w:val="17"/>
                <w:szCs w:val="17"/>
                <w:color w:val="auto"/>
              </w:rPr>
            </w:pPr>
          </w:p>
        </w:tc>
        <w:tc>
          <w:tcPr>
            <w:tcW w:w="40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10.15</w:t>
            </w:r>
          </w:p>
        </w:tc>
        <w:tc>
          <w:tcPr>
            <w:tcW w:w="3980" w:type="dxa"/>
            <w:vAlign w:val="bottom"/>
            <w:tcBorders>
              <w:bottom w:val="single" w:sz="8" w:color="0000EE"/>
            </w:tcBorders>
            <w:gridSpan w:val="15"/>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First Amendment to Loan Agreement, dated March 30,</w:t>
              </w:r>
            </w:hyperlink>
          </w:p>
        </w:tc>
        <w:tc>
          <w:tcPr>
            <w:tcW w:w="58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2018, between Applied Optoelectronics, Inc. and Branch</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Banking and Trust Company</w:t>
              </w:r>
            </w:hyperlink>
          </w:p>
        </w:tc>
        <w:tc>
          <w:tcPr>
            <w:tcW w:w="2000" w:type="dxa"/>
            <w:vAlign w:val="bottom"/>
            <w:tcBorders>
              <w:top w:val="single" w:sz="8" w:color="0000EE"/>
            </w:tcBorders>
            <w:gridSpan w:val="10"/>
          </w:tcPr>
          <w:p>
            <w:pPr>
              <w:spacing w:after="0"/>
              <w:rPr>
                <w:sz w:val="17"/>
                <w:szCs w:val="17"/>
                <w:color w:val="auto"/>
              </w:rPr>
            </w:pPr>
          </w:p>
        </w:tc>
        <w:tc>
          <w:tcPr>
            <w:tcW w:w="4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10.15.1</w:t>
            </w:r>
          </w:p>
        </w:tc>
        <w:tc>
          <w:tcPr>
            <w:tcW w:w="4560" w:type="dxa"/>
            <w:vAlign w:val="bottom"/>
            <w:gridSpan w:val="2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60 million), dated</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10.2</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March 30, 2018, between Applied Optoelectronics, Inc. and</w:t>
              </w:r>
            </w:hyperlink>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Branch Banking and Trust Company</w:t>
              </w:r>
            </w:hyperlink>
          </w:p>
        </w:tc>
        <w:tc>
          <w:tcPr>
            <w:tcW w:w="192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10.15.2</w:t>
            </w:r>
          </w:p>
        </w:tc>
        <w:tc>
          <w:tcPr>
            <w:tcW w:w="4560" w:type="dxa"/>
            <w:vAlign w:val="bottom"/>
            <w:gridSpan w:val="24"/>
          </w:tcPr>
          <w:p>
            <w:pPr>
              <w:spacing w:after="0"/>
              <w:rPr>
                <w:rFonts w:ascii="Arial" w:cs="Arial" w:eastAsia="Arial" w:hAnsi="Arial"/>
                <w:sz w:val="18"/>
                <w:szCs w:val="18"/>
                <w:color w:val="0000EE"/>
              </w:rPr>
            </w:pPr>
            <w:hyperlink r:id="rId121">
              <w:r>
                <w:rPr>
                  <w:rFonts w:ascii="Arial" w:cs="Arial" w:eastAsia="Arial" w:hAnsi="Arial"/>
                  <w:sz w:val="18"/>
                  <w:szCs w:val="18"/>
                  <w:color w:val="0000EE"/>
                </w:rPr>
                <w:t xml:space="preserve">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26 million), dated March 30, 2018,</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10.3</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between Applied Optoelectronics, Inc. and Branch Banking</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and Trust Company</w:t>
              </w:r>
            </w:hyperlink>
          </w:p>
        </w:tc>
        <w:tc>
          <w:tcPr>
            <w:tcW w:w="312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10.15.3</w:t>
            </w:r>
          </w:p>
        </w:tc>
        <w:tc>
          <w:tcPr>
            <w:tcW w:w="4560" w:type="dxa"/>
            <w:vAlign w:val="bottom"/>
            <w:gridSpan w:val="24"/>
          </w:tcPr>
          <w:p>
            <w:pPr>
              <w:spacing w:after="0"/>
              <w:rPr>
                <w:rFonts w:ascii="Arial" w:cs="Arial" w:eastAsia="Arial" w:hAnsi="Arial"/>
                <w:sz w:val="18"/>
                <w:szCs w:val="18"/>
                <w:color w:val="0000EE"/>
              </w:rPr>
            </w:pPr>
            <w:hyperlink r:id="rId122">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26 million), dated</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10.4</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March 30, 2018, between Applied Optoelectronics, Inc. and</w:t>
              </w:r>
            </w:hyperlink>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Branch Banking and Trust Company</w:t>
              </w:r>
            </w:hyperlink>
          </w:p>
        </w:tc>
        <w:tc>
          <w:tcPr>
            <w:tcW w:w="192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10.15.4</w:t>
            </w:r>
          </w:p>
        </w:tc>
        <w:tc>
          <w:tcPr>
            <w:tcW w:w="4560" w:type="dxa"/>
            <w:vAlign w:val="bottom"/>
            <w:gridSpan w:val="24"/>
          </w:tcPr>
          <w:p>
            <w:pPr>
              <w:spacing w:after="0"/>
              <w:rPr>
                <w:rFonts w:ascii="Arial" w:cs="Arial" w:eastAsia="Arial" w:hAnsi="Arial"/>
                <w:sz w:val="18"/>
                <w:szCs w:val="18"/>
                <w:color w:val="0000EE"/>
              </w:rPr>
            </w:pPr>
            <w:hyperlink r:id="rId123">
              <w:r>
                <w:rPr>
                  <w:rFonts w:ascii="Arial" w:cs="Arial" w:eastAsia="Arial" w:hAnsi="Arial"/>
                  <w:sz w:val="18"/>
                  <w:szCs w:val="18"/>
                  <w:color w:val="0000EE"/>
                </w:rPr>
                <w:t xml:space="preserve">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21.5 million), dated March 30, 2018,</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between Applied Optoelectronics, Inc. and Branch Banking</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and Trust Company</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53"/>
        </w:trPr>
        <w:tc>
          <w:tcPr>
            <w:tcW w:w="132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sz w:val="24"/>
                <w:szCs w:val="24"/>
                <w:color w:val="auto"/>
              </w:rPr>
            </w:pPr>
          </w:p>
        </w:tc>
        <w:tc>
          <w:tcPr>
            <w:tcW w:w="3140" w:type="dxa"/>
            <w:vAlign w:val="bottom"/>
            <w:gridSpan w:val="20"/>
          </w:tcPr>
          <w:p>
            <w:pPr>
              <w:jc w:val="right"/>
              <w:ind w:right="160"/>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r>
        <w:trPr>
          <w:trHeight w:val="567"/>
        </w:trPr>
        <w:tc>
          <w:tcPr>
            <w:tcW w:w="1320" w:type="dxa"/>
            <w:vAlign w:val="bottom"/>
          </w:tcPr>
          <w:p>
            <w:pPr>
              <w:jc w:val="right"/>
              <w:spacing w:after="0"/>
              <w:rPr>
                <w:rFonts w:ascii="Arial" w:cs="Arial" w:eastAsia="Arial" w:hAnsi="Arial"/>
                <w:sz w:val="18"/>
                <w:szCs w:val="18"/>
                <w:u w:val="single" w:color="auto"/>
                <w:color w:val="0000EE"/>
                <w:w w:val="88"/>
              </w:rPr>
            </w:pPr>
            <w:hyperlink w:anchor="page3">
              <w:r>
                <w:rPr>
                  <w:rFonts w:ascii="Arial" w:cs="Arial" w:eastAsia="Arial" w:hAnsi="Arial"/>
                  <w:sz w:val="18"/>
                  <w:szCs w:val="18"/>
                  <w:u w:val="single" w:color="auto"/>
                  <w:color w:val="0000EE"/>
                  <w:w w:val="88"/>
                </w:rPr>
                <w:t>Table of Contents</w:t>
              </w:r>
            </w:hyperlink>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4"/>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Incorporated By Reference</w:t>
            </w:r>
          </w:p>
        </w:tc>
        <w:tc>
          <w:tcPr>
            <w:tcW w:w="1620" w:type="dxa"/>
            <w:vAlign w:val="bottom"/>
          </w:tcPr>
          <w:p>
            <w:pPr>
              <w:spacing w:after="0"/>
              <w:rPr>
                <w:sz w:val="24"/>
                <w:szCs w:val="24"/>
                <w:color w:val="auto"/>
              </w:rPr>
            </w:pPr>
          </w:p>
        </w:tc>
      </w:tr>
      <w:tr>
        <w:trPr>
          <w:trHeight w:val="220"/>
        </w:trPr>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21"/>
          </w:tcPr>
          <w:p>
            <w:pPr>
              <w:jc w:val="right"/>
              <w:ind w:right="1660"/>
              <w:spacing w:after="0"/>
              <w:rPr>
                <w:sz w:val="20"/>
                <w:szCs w:val="20"/>
                <w:color w:val="auto"/>
              </w:rPr>
            </w:pPr>
            <w:r>
              <w:rPr>
                <w:rFonts w:ascii="Arial" w:cs="Arial" w:eastAsia="Arial" w:hAnsi="Arial"/>
                <w:sz w:val="18"/>
                <w:szCs w:val="18"/>
                <w:b w:val="1"/>
                <w:bCs w:val="1"/>
                <w:color w:val="auto"/>
                <w:w w:val="96"/>
              </w:rPr>
              <w:t>Exhibit Description</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Form</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File No.</w:t>
            </w: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Exhibit</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5880" w:type="dxa"/>
            <w:vAlign w:val="bottom"/>
            <w:gridSpan w:val="25"/>
          </w:tcPr>
          <w:p>
            <w:pPr>
              <w:ind w:left="54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10.15.5   </w:t>
            </w:r>
            <w:hyperlink r:id="rId124">
              <w:r>
                <w:rPr>
                  <w:rFonts w:ascii="Arial" w:cs="Arial" w:eastAsia="Arial" w:hAnsi="Arial"/>
                  <w:sz w:val="18"/>
                  <w:szCs w:val="18"/>
                  <w:color w:val="0000EE"/>
                </w:rPr>
                <w:t>Addendum to the Promissory Note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w:t>
              </w:r>
              <w:r>
                <w:rPr>
                  <w:rFonts w:ascii="Arial" w:cs="Arial" w:eastAsia="Arial" w:hAnsi="Arial"/>
                  <w:sz w:val="18"/>
                  <w:szCs w:val="18"/>
                  <w:color w:val="0000EE"/>
                </w:rPr>
                <w:t>21.5 million), dated</w:t>
              </w:r>
            </w:hyperlink>
          </w:p>
        </w:tc>
        <w:tc>
          <w:tcPr>
            <w:tcW w:w="920" w:type="dxa"/>
            <w:vAlign w:val="bottom"/>
          </w:tcPr>
          <w:p>
            <w:pPr>
              <w:ind w:left="280"/>
              <w:spacing w:after="0" w:line="190" w:lineRule="exact"/>
              <w:rPr>
                <w:sz w:val="20"/>
                <w:szCs w:val="20"/>
                <w:color w:val="auto"/>
              </w:rPr>
            </w:pPr>
            <w:r>
              <w:rPr>
                <w:rFonts w:ascii="Arial" w:cs="Arial" w:eastAsia="Arial" w:hAnsi="Arial"/>
                <w:sz w:val="18"/>
                <w:szCs w:val="18"/>
                <w:color w:val="auto"/>
              </w:rPr>
              <w:t>8-K</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line="190" w:lineRule="exact"/>
              <w:rPr>
                <w:sz w:val="20"/>
                <w:szCs w:val="20"/>
                <w:color w:val="auto"/>
              </w:rPr>
            </w:pPr>
            <w:r>
              <w:rPr>
                <w:rFonts w:ascii="Arial" w:cs="Arial" w:eastAsia="Arial" w:hAnsi="Arial"/>
                <w:sz w:val="18"/>
                <w:szCs w:val="18"/>
                <w:color w:val="auto"/>
              </w:rPr>
              <w:t>10.6</w:t>
            </w:r>
          </w:p>
        </w:tc>
        <w:tc>
          <w:tcPr>
            <w:tcW w:w="1620" w:type="dxa"/>
            <w:vAlign w:val="bottom"/>
          </w:tcPr>
          <w:p>
            <w:pPr>
              <w:jc w:val="center"/>
              <w:ind w:right="190"/>
              <w:spacing w:after="0" w:line="190" w:lineRule="exact"/>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3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March 30, 2018, between Applied Optoelectronics, Inc. and</w:t>
              </w:r>
            </w:hyperlink>
          </w:p>
        </w:tc>
        <w:tc>
          <w:tcPr>
            <w:tcW w:w="2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560" w:type="dxa"/>
            <w:vAlign w:val="bottom"/>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Branch Banking and Trust Company</w:t>
              </w:r>
            </w:hyperlink>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620" w:type="dxa"/>
            <w:vAlign w:val="bottom"/>
            <w:gridSpan w:val="9"/>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5880" w:type="dxa"/>
            <w:vAlign w:val="bottom"/>
            <w:gridSpan w:val="25"/>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10.15.6   </w:t>
            </w:r>
            <w:hyperlink r:id="rId125">
              <w:r>
                <w:rPr>
                  <w:rFonts w:ascii="Arial" w:cs="Arial" w:eastAsia="Arial" w:hAnsi="Arial"/>
                  <w:sz w:val="18"/>
                  <w:szCs w:val="18"/>
                  <w:color w:val="0000EE"/>
                </w:rPr>
                <w:t>Note Modification Agreement, dated March 30, 2018,</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10.7</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3880" w:type="dxa"/>
            <w:vAlign w:val="bottom"/>
            <w:gridSpan w:val="14"/>
            <w:shd w:val="clear" w:color="auto" w:fill="0000EE"/>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4560" w:type="dxa"/>
            <w:vAlign w:val="bottom"/>
            <w:gridSpan w:val="24"/>
          </w:tcPr>
          <w:p>
            <w:pPr>
              <w:spacing w:after="0"/>
              <w:rPr>
                <w:rFonts w:ascii="Arial" w:cs="Arial" w:eastAsia="Arial" w:hAnsi="Arial"/>
                <w:sz w:val="18"/>
                <w:szCs w:val="18"/>
                <w:u w:val="single" w:color="auto"/>
                <w:color w:val="0000EE"/>
                <w:w w:val="96"/>
              </w:rPr>
            </w:pPr>
            <w:hyperlink r:id="rId125">
              <w:r>
                <w:rPr>
                  <w:rFonts w:ascii="Arial" w:cs="Arial" w:eastAsia="Arial" w:hAnsi="Arial"/>
                  <w:sz w:val="18"/>
                  <w:szCs w:val="18"/>
                  <w:u w:val="single" w:color="auto"/>
                  <w:color w:val="0000EE"/>
                  <w:w w:val="96"/>
                </w:rPr>
                <w:t>between Applied Optoelectronics, Inc. and Branch Banking</w:t>
              </w:r>
            </w:hyperlink>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-1602105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4580" w:type="dxa"/>
            <w:vAlign w:val="bottom"/>
            <w:gridSpan w:val="27"/>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and Trust Company</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10.15.7</w:t>
            </w:r>
          </w:p>
        </w:tc>
        <w:tc>
          <w:tcPr>
            <w:tcW w:w="3940" w:type="dxa"/>
            <w:vAlign w:val="bottom"/>
            <w:tcBorders>
              <w:bottom w:val="single" w:sz="8" w:color="0000EE"/>
            </w:tcBorders>
            <w:gridSpan w:val="10"/>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Assignment of Lease and Rent, dated March 30, 2018,</w:t>
              </w:r>
            </w:hyperlink>
          </w:p>
        </w:tc>
        <w:tc>
          <w:tcPr>
            <w:tcW w:w="640" w:type="dxa"/>
            <w:vAlign w:val="bottom"/>
            <w:gridSpan w:val="17"/>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10.8</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between Applied Optoelectronics, Inc. and Branch Banking</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and Trust Company</w:t>
              </w:r>
            </w:hyperlink>
          </w:p>
        </w:tc>
        <w:tc>
          <w:tcPr>
            <w:tcW w:w="2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10.15.8</w:t>
            </w:r>
          </w:p>
        </w:tc>
        <w:tc>
          <w:tcPr>
            <w:tcW w:w="4580" w:type="dxa"/>
            <w:vAlign w:val="bottom"/>
            <w:gridSpan w:val="27"/>
          </w:tcPr>
          <w:p>
            <w:pPr>
              <w:spacing w:after="0"/>
              <w:rPr>
                <w:rFonts w:ascii="Arial" w:cs="Arial" w:eastAsia="Arial" w:hAnsi="Arial"/>
                <w:sz w:val="18"/>
                <w:szCs w:val="18"/>
                <w:color w:val="0000EE"/>
                <w:w w:val="96"/>
              </w:rPr>
            </w:pPr>
            <w:hyperlink r:id="rId129">
              <w:r>
                <w:rPr>
                  <w:rFonts w:ascii="Arial" w:cs="Arial" w:eastAsia="Arial" w:hAnsi="Arial"/>
                  <w:sz w:val="18"/>
                  <w:szCs w:val="18"/>
                  <w:color w:val="0000EE"/>
                  <w:w w:val="96"/>
                </w:rPr>
                <w:t>Texas Deed of Trust and Security Agreement, dated March</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10.9</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30, 2018, between Applied Optoelectronics, Inc. and Branch</w:t>
              </w:r>
            </w:hyperlink>
          </w:p>
        </w:tc>
        <w:tc>
          <w:tcPr>
            <w:tcW w:w="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Banking and Trust Company</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10.15.9</w:t>
            </w:r>
          </w:p>
        </w:tc>
        <w:tc>
          <w:tcPr>
            <w:tcW w:w="4580" w:type="dxa"/>
            <w:vAlign w:val="bottom"/>
            <w:gridSpan w:val="27"/>
          </w:tcPr>
          <w:p>
            <w:pPr>
              <w:spacing w:after="0"/>
              <w:rPr>
                <w:rFonts w:ascii="Arial" w:cs="Arial" w:eastAsia="Arial" w:hAnsi="Arial"/>
                <w:sz w:val="18"/>
                <w:szCs w:val="18"/>
                <w:color w:val="0000EE"/>
              </w:rPr>
            </w:pPr>
            <w:hyperlink r:id="rId130">
              <w:r>
                <w:rPr>
                  <w:rFonts w:ascii="Arial" w:cs="Arial" w:eastAsia="Arial" w:hAnsi="Arial"/>
                  <w:sz w:val="18"/>
                  <w:szCs w:val="18"/>
                  <w:color w:val="0000EE"/>
                </w:rPr>
                <w:t>Environmental Certification and Indemnity Agreement,</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93"/>
              </w:rPr>
              <w:t>10.10</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6"/>
              </w:rPr>
              <w:t>April 5, 2018</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dated March 30, 2018, between Applied Optoelectronics,</w:t>
              </w:r>
            </w:hyperlink>
          </w:p>
        </w:tc>
        <w:tc>
          <w:tcPr>
            <w:tcW w:w="44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580" w:type="dxa"/>
            <w:vAlign w:val="bottom"/>
            <w:gridSpan w:val="27"/>
          </w:tcPr>
          <w:p>
            <w:pPr>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Inc. and Branch Banking and Trust Company</w:t>
              </w:r>
            </w:hyperlink>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4580" w:type="dxa"/>
            <w:vAlign w:val="bottom"/>
            <w:gridSpan w:val="27"/>
          </w:tcPr>
          <w:p>
            <w:pPr>
              <w:ind w:left="4240"/>
              <w:spacing w:after="0"/>
              <w:rPr>
                <w:sz w:val="20"/>
                <w:szCs w:val="20"/>
                <w:color w:val="auto"/>
              </w:rPr>
            </w:pPr>
            <w:r>
              <w:rPr>
                <w:rFonts w:ascii="Arial" w:cs="Arial" w:eastAsia="Arial" w:hAnsi="Arial"/>
                <w:sz w:val="18"/>
                <w:szCs w:val="18"/>
                <w:color w:val="auto"/>
              </w:rPr>
              <w:t>59</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r>
        <w:trPr>
          <w:trHeight w:val="567"/>
        </w:trPr>
        <w:tc>
          <w:tcPr>
            <w:tcW w:w="1300" w:type="dxa"/>
            <w:vAlign w:val="bottom"/>
          </w:tcPr>
          <w:p>
            <w:pPr>
              <w:jc w:val="right"/>
              <w:spacing w:after="0"/>
              <w:rPr>
                <w:rFonts w:ascii="Arial" w:cs="Arial" w:eastAsia="Arial" w:hAnsi="Arial"/>
                <w:sz w:val="18"/>
                <w:szCs w:val="18"/>
                <w:u w:val="single" w:color="auto"/>
                <w:color w:val="0000EE"/>
                <w:w w:val="88"/>
              </w:rPr>
            </w:pPr>
            <w:hyperlink w:anchor="page3">
              <w:r>
                <w:rPr>
                  <w:rFonts w:ascii="Arial" w:cs="Arial" w:eastAsia="Arial" w:hAnsi="Arial"/>
                  <w:sz w:val="18"/>
                  <w:szCs w:val="18"/>
                  <w:u w:val="single" w:color="auto"/>
                  <w:color w:val="0000EE"/>
                  <w:w w:val="88"/>
                </w:rPr>
                <w:t>Table of Contents</w:t>
              </w:r>
            </w:hyperlink>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ind w:left="700"/>
              <w:spacing w:after="0"/>
              <w:rPr>
                <w:sz w:val="20"/>
                <w:szCs w:val="20"/>
                <w:color w:val="auto"/>
              </w:rPr>
            </w:pPr>
            <w:r>
              <w:rPr>
                <w:rFonts w:ascii="Arial" w:cs="Arial" w:eastAsia="Arial" w:hAnsi="Arial"/>
                <w:sz w:val="18"/>
                <w:szCs w:val="18"/>
                <w:b w:val="1"/>
                <w:bCs w:val="1"/>
                <w:color w:val="auto"/>
                <w:w w:val="91"/>
              </w:rPr>
              <w:t>Incorporated By Reference</w:t>
            </w:r>
          </w:p>
        </w:tc>
        <w:tc>
          <w:tcPr>
            <w:tcW w:w="1620" w:type="dxa"/>
            <w:vAlign w:val="bottom"/>
          </w:tcPr>
          <w:p>
            <w:pPr>
              <w:spacing w:after="0"/>
              <w:rPr>
                <w:sz w:val="24"/>
                <w:szCs w:val="24"/>
                <w:color w:val="auto"/>
              </w:rPr>
            </w:pPr>
          </w:p>
        </w:tc>
      </w:tr>
      <w:tr>
        <w:trPr>
          <w:trHeight w:val="220"/>
        </w:trPr>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20" w:type="dxa"/>
            <w:vAlign w:val="bottom"/>
            <w:gridSpan w:val="25"/>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Pr>
          <w:p>
            <w:pPr>
              <w:ind w:left="180"/>
              <w:spacing w:after="0"/>
              <w:rPr>
                <w:sz w:val="20"/>
                <w:szCs w:val="20"/>
                <w:color w:val="auto"/>
              </w:rPr>
            </w:pPr>
            <w:r>
              <w:rPr>
                <w:rFonts w:ascii="Arial" w:cs="Arial" w:eastAsia="Arial" w:hAnsi="Arial"/>
                <w:sz w:val="18"/>
                <w:szCs w:val="18"/>
                <w:b w:val="1"/>
                <w:bCs w:val="1"/>
                <w:color w:val="auto"/>
              </w:rPr>
              <w:t>Form</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50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30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10.16</w:t>
            </w:r>
          </w:p>
        </w:tc>
        <w:tc>
          <w:tcPr>
            <w:tcW w:w="4300" w:type="dxa"/>
            <w:vAlign w:val="bottom"/>
            <w:tcBorders>
              <w:bottom w:val="single" w:sz="8" w:color="0000EE"/>
            </w:tcBorders>
            <w:gridSpan w:val="23"/>
          </w:tcPr>
          <w:p>
            <w:pPr>
              <w:spacing w:after="0" w:line="190"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First Amendment to Lease, dated October 8, 2018, between</w:t>
              </w:r>
            </w:hyperlink>
          </w:p>
        </w:tc>
        <w:tc>
          <w:tcPr>
            <w:tcW w:w="280" w:type="dxa"/>
            <w:vAlign w:val="bottom"/>
            <w:gridSpan w:val="4"/>
          </w:tcPr>
          <w:p>
            <w:pPr>
              <w:spacing w:after="0"/>
              <w:rPr>
                <w:sz w:val="16"/>
                <w:szCs w:val="16"/>
                <w:color w:val="auto"/>
              </w:rPr>
            </w:pPr>
          </w:p>
        </w:tc>
        <w:tc>
          <w:tcPr>
            <w:tcW w:w="920" w:type="dxa"/>
            <w:vAlign w:val="bottom"/>
          </w:tcPr>
          <w:p>
            <w:pPr>
              <w:ind w:left="280"/>
              <w:spacing w:after="0" w:line="190" w:lineRule="exact"/>
              <w:rPr>
                <w:sz w:val="20"/>
                <w:szCs w:val="20"/>
                <w:color w:val="auto"/>
              </w:rPr>
            </w:pPr>
            <w:r>
              <w:rPr>
                <w:rFonts w:ascii="Arial" w:cs="Arial" w:eastAsia="Arial" w:hAnsi="Arial"/>
                <w:sz w:val="18"/>
                <w:szCs w:val="18"/>
                <w:color w:val="auto"/>
              </w:rPr>
              <w:t>8-K</w:t>
            </w:r>
          </w:p>
        </w:tc>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line="190" w:lineRule="exact"/>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line="190" w:lineRule="exact"/>
              <w:rPr>
                <w:sz w:val="20"/>
                <w:szCs w:val="20"/>
                <w:color w:val="auto"/>
              </w:rPr>
            </w:pPr>
            <w:r>
              <w:rPr>
                <w:rFonts w:ascii="Arial" w:cs="Arial" w:eastAsia="Arial" w:hAnsi="Arial"/>
                <w:sz w:val="18"/>
                <w:szCs w:val="18"/>
                <w:color w:val="auto"/>
                <w:w w:val="90"/>
              </w:rPr>
              <w:t>October 12, 2018</w:t>
            </w: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Applied Optoelectronics, Inc. and GIG VAOI Breckinridge,</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LLC.</w:t>
              </w:r>
            </w:hyperlink>
          </w:p>
        </w:tc>
        <w:tc>
          <w:tcPr>
            <w:tcW w:w="2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4180" w:type="dxa"/>
            <w:vAlign w:val="bottom"/>
            <w:tcBorders>
              <w:bottom w:val="single" w:sz="8" w:color="0000EE"/>
            </w:tcBorders>
            <w:gridSpan w:val="18"/>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Translation of Purchase and Sale Contract, Finance Lease</w:t>
              </w:r>
            </w:hyperlink>
          </w:p>
        </w:tc>
        <w:tc>
          <w:tcPr>
            <w:tcW w:w="400" w:type="dxa"/>
            <w:vAlign w:val="bottom"/>
            <w:gridSpan w:val="9"/>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0"/>
              </w:rPr>
              <w:t>December 6, 2018</w:t>
            </w:r>
          </w:p>
        </w:tc>
      </w:tr>
      <w:tr>
        <w:trPr>
          <w:trHeight w:val="196"/>
        </w:trPr>
        <w:tc>
          <w:tcPr>
            <w:tcW w:w="1300" w:type="dxa"/>
            <w:vAlign w:val="bottom"/>
          </w:tcPr>
          <w:p>
            <w:pPr>
              <w:spacing w:after="0"/>
              <w:rPr>
                <w:sz w:val="17"/>
                <w:szCs w:val="17"/>
                <w:color w:val="auto"/>
              </w:rPr>
            </w:pPr>
          </w:p>
        </w:tc>
        <w:tc>
          <w:tcPr>
            <w:tcW w:w="44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Agreement and Promissory Note, dated November 29, 2018,</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between Prime World International Holdings, Ltd., and</w:t>
              </w:r>
            </w:hyperlink>
          </w:p>
        </w:tc>
        <w:tc>
          <w:tcPr>
            <w:tcW w:w="6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Chailease Finance Co., Ltd.</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4160" w:type="dxa"/>
            <w:vAlign w:val="bottom"/>
            <w:tcBorders>
              <w:bottom w:val="single" w:sz="8" w:color="0000EE"/>
            </w:tcBorders>
            <w:gridSpan w:val="17"/>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Translation of Purchase and Sale Contract, Finance Lease</w:t>
              </w:r>
            </w:hyperlink>
          </w:p>
        </w:tc>
        <w:tc>
          <w:tcPr>
            <w:tcW w:w="420" w:type="dxa"/>
            <w:vAlign w:val="bottom"/>
            <w:gridSpan w:val="10"/>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87"/>
              </w:rPr>
              <w:t>January 25, 2019</w:t>
            </w: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Agreement and Promissory Note, dated January 21,</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4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2019, between Prime World International Holdings, Ltd. and</w:t>
              </w:r>
            </w:hyperlink>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Chailease Finance Co., Ltd.</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10.19</w:t>
            </w:r>
          </w:p>
        </w:tc>
        <w:tc>
          <w:tcPr>
            <w:tcW w:w="4580" w:type="dxa"/>
            <w:vAlign w:val="bottom"/>
            <w:gridSpan w:val="27"/>
          </w:tcPr>
          <w:p>
            <w:pPr>
              <w:spacing w:after="0"/>
              <w:rPr>
                <w:rFonts w:ascii="Arial" w:cs="Arial" w:eastAsia="Arial" w:hAnsi="Arial"/>
                <w:sz w:val="18"/>
                <w:szCs w:val="18"/>
                <w:color w:val="0000EE"/>
                <w:w w:val="96"/>
              </w:rPr>
            </w:pPr>
            <w:hyperlink r:id="rId134">
              <w:r>
                <w:rPr>
                  <w:rFonts w:ascii="Arial" w:cs="Arial" w:eastAsia="Arial" w:hAnsi="Arial"/>
                  <w:sz w:val="18"/>
                  <w:szCs w:val="18"/>
                  <w:color w:val="0000EE"/>
                  <w:w w:val="96"/>
                </w:rPr>
                <w:t>Second Amendment to Loan Agreement, dated February 1,</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88"/>
              </w:rPr>
              <w:t>February 7, 2019</w:t>
            </w:r>
          </w:p>
        </w:tc>
      </w:tr>
      <w:tr>
        <w:trPr>
          <w:trHeight w:val="196"/>
        </w:trPr>
        <w:tc>
          <w:tcPr>
            <w:tcW w:w="13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2019, between Applied Optoelectronics, Inc. and Branch</w:t>
              </w:r>
            </w:hyperlink>
          </w:p>
        </w:tc>
        <w:tc>
          <w:tcPr>
            <w:tcW w:w="140" w:type="dxa"/>
            <w:vAlign w:val="bottom"/>
            <w:tcBorders>
              <w:top w:val="single" w:sz="8" w:color="0000EE"/>
            </w:tcBorders>
            <w:gridSpan w:val="6"/>
          </w:tcPr>
          <w:p>
            <w:pPr>
              <w:spacing w:after="0"/>
              <w:rPr>
                <w:sz w:val="17"/>
                <w:szCs w:val="17"/>
                <w:color w:val="auto"/>
              </w:rPr>
            </w:pPr>
          </w:p>
        </w:tc>
        <w:tc>
          <w:tcPr>
            <w:tcW w:w="3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Banking and Trust Company</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4580" w:type="dxa"/>
            <w:vAlign w:val="bottom"/>
            <w:gridSpan w:val="27"/>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Purchase Agreement, dated as of February 28, 2019 by and</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2"/>
              </w:rPr>
              <w:t>March 5, 2019</w:t>
            </w:r>
          </w:p>
        </w:tc>
      </w:tr>
      <w:tr>
        <w:trPr>
          <w:trHeight w:val="196"/>
        </w:trPr>
        <w:tc>
          <w:tcPr>
            <w:tcW w:w="130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among Applied Optoelectronics, Inc., Raymond James &amp;</w:t>
              </w:r>
            </w:hyperlink>
          </w:p>
        </w:tc>
        <w:tc>
          <w:tcPr>
            <w:tcW w:w="120" w:type="dxa"/>
            <w:vAlign w:val="bottom"/>
            <w:tcBorders>
              <w:top w:val="single" w:sz="8" w:color="0000EE"/>
            </w:tcBorders>
            <w:gridSpan w:val="5"/>
          </w:tcPr>
          <w:p>
            <w:pPr>
              <w:spacing w:after="0"/>
              <w:rPr>
                <w:sz w:val="17"/>
                <w:szCs w:val="17"/>
                <w:color w:val="auto"/>
              </w:rPr>
            </w:pPr>
          </w:p>
        </w:tc>
        <w:tc>
          <w:tcPr>
            <w:tcW w:w="3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580" w:type="dxa"/>
            <w:vAlign w:val="bottom"/>
            <w:gridSpan w:val="27"/>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Associates, Inc. and Cowen and Company, LLC</w:t>
              </w:r>
            </w:hyperlink>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1"/>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10.20.1</w:t>
            </w:r>
          </w:p>
        </w:tc>
        <w:tc>
          <w:tcPr>
            <w:tcW w:w="3960" w:type="dxa"/>
            <w:vAlign w:val="bottom"/>
            <w:tcBorders>
              <w:bottom w:val="single" w:sz="8" w:color="0000EE"/>
            </w:tcBorders>
            <w:gridSpan w:val="11"/>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Third Amendment to Loan Agreement, dated March 5,</w:t>
              </w:r>
            </w:hyperlink>
          </w:p>
        </w:tc>
        <w:tc>
          <w:tcPr>
            <w:tcW w:w="620" w:type="dxa"/>
            <w:vAlign w:val="bottom"/>
            <w:gridSpan w:val="16"/>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10.2</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2"/>
              </w:rPr>
              <w:t>March 5, 2019</w:t>
            </w:r>
          </w:p>
        </w:tc>
      </w:tr>
      <w:tr>
        <w:trPr>
          <w:trHeight w:val="196"/>
        </w:trPr>
        <w:tc>
          <w:tcPr>
            <w:tcW w:w="1300" w:type="dxa"/>
            <w:vAlign w:val="bottom"/>
          </w:tcPr>
          <w:p>
            <w:pPr>
              <w:spacing w:after="0"/>
              <w:rPr>
                <w:sz w:val="17"/>
                <w:szCs w:val="17"/>
                <w:color w:val="auto"/>
              </w:rPr>
            </w:pPr>
          </w:p>
        </w:tc>
        <w:tc>
          <w:tcPr>
            <w:tcW w:w="41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2019, between Applied Optoelectronics, Inc. and Branch</w:t>
              </w:r>
            </w:hyperlink>
          </w:p>
        </w:tc>
        <w:tc>
          <w:tcPr>
            <w:tcW w:w="4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Banking and Trust Company</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10.21</w:t>
            </w:r>
          </w:p>
        </w:tc>
        <w:tc>
          <w:tcPr>
            <w:tcW w:w="3920" w:type="dxa"/>
            <w:vAlign w:val="bottom"/>
            <w:tcBorders>
              <w:bottom w:val="single" w:sz="8" w:color="0000EE"/>
            </w:tcBorders>
            <w:gridSpan w:val="9"/>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Translation of Approval Notice between, Prime World</w:t>
              </w:r>
            </w:hyperlink>
          </w:p>
        </w:tc>
        <w:tc>
          <w:tcPr>
            <w:tcW w:w="660" w:type="dxa"/>
            <w:vAlign w:val="bottom"/>
            <w:gridSpan w:val="18"/>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5"/>
              </w:rPr>
              <w:t>April 17, 2019</w:t>
            </w:r>
          </w:p>
        </w:tc>
      </w:tr>
      <w:tr>
        <w:trPr>
          <w:trHeight w:val="196"/>
        </w:trPr>
        <w:tc>
          <w:tcPr>
            <w:tcW w:w="130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International Holdings, Ltd., and Far Eastern International</w:t>
              </w:r>
            </w:hyperlink>
          </w:p>
        </w:tc>
        <w:tc>
          <w:tcPr>
            <w:tcW w:w="3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Bank Co., Ltd., dated April 11, 2019</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10.21.1</w:t>
            </w:r>
          </w:p>
        </w:tc>
        <w:tc>
          <w:tcPr>
            <w:tcW w:w="3940" w:type="dxa"/>
            <w:vAlign w:val="bottom"/>
            <w:tcBorders>
              <w:bottom w:val="single" w:sz="8" w:color="0000EE"/>
            </w:tcBorders>
            <w:gridSpan w:val="10"/>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Translation of Comprehensive Credit Facilities Master</w:t>
              </w:r>
            </w:hyperlink>
          </w:p>
        </w:tc>
        <w:tc>
          <w:tcPr>
            <w:tcW w:w="640" w:type="dxa"/>
            <w:vAlign w:val="bottom"/>
            <w:gridSpan w:val="17"/>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10.2</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5"/>
              </w:rPr>
              <w:t>April 17, 2019</w:t>
            </w: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Agreement between, Prime World International Holdings,</w:t>
              </w:r>
            </w:hyperlink>
          </w:p>
        </w:tc>
        <w:tc>
          <w:tcPr>
            <w:tcW w:w="4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Ltd., and Far Eastern International Bank Co., Ltd., dated</w:t>
              </w:r>
            </w:hyperlink>
          </w:p>
        </w:tc>
        <w:tc>
          <w:tcPr>
            <w:tcW w:w="50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April 11, 2019</w:t>
              </w:r>
            </w:hyperlink>
          </w:p>
        </w:tc>
        <w:tc>
          <w:tcPr>
            <w:tcW w:w="352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10.21.2</w:t>
            </w:r>
          </w:p>
        </w:tc>
        <w:tc>
          <w:tcPr>
            <w:tcW w:w="4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Translation of Credit Terms / Financial Transaction Terms</w:t>
              </w:r>
            </w:hyperlink>
          </w:p>
        </w:tc>
        <w:tc>
          <w:tcPr>
            <w:tcW w:w="380" w:type="dxa"/>
            <w:vAlign w:val="bottom"/>
            <w:gridSpan w:val="8"/>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10.3</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5"/>
              </w:rPr>
              <w:t>April 17, 2019</w:t>
            </w: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Agreement between, Prime World International Holdings,</w:t>
              </w:r>
            </w:hyperlink>
          </w:p>
        </w:tc>
        <w:tc>
          <w:tcPr>
            <w:tcW w:w="4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Ltd., and Far Eastern International Bank Co., Ltd., dated</w:t>
              </w:r>
            </w:hyperlink>
          </w:p>
        </w:tc>
        <w:tc>
          <w:tcPr>
            <w:tcW w:w="500" w:type="dxa"/>
            <w:vAlign w:val="bottom"/>
            <w:gridSpan w:val="14"/>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April 11, 2019</w:t>
              </w:r>
            </w:hyperlink>
          </w:p>
        </w:tc>
        <w:tc>
          <w:tcPr>
            <w:tcW w:w="3520" w:type="dxa"/>
            <w:vAlign w:val="bottom"/>
            <w:gridSpan w:val="25"/>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10.21.3</w:t>
            </w:r>
          </w:p>
        </w:tc>
        <w:tc>
          <w:tcPr>
            <w:tcW w:w="4580" w:type="dxa"/>
            <w:vAlign w:val="bottom"/>
            <w:gridSpan w:val="27"/>
          </w:tcPr>
          <w:p>
            <w:pPr>
              <w:spacing w:after="0"/>
              <w:rPr>
                <w:rFonts w:ascii="Arial" w:cs="Arial" w:eastAsia="Arial" w:hAnsi="Arial"/>
                <w:sz w:val="18"/>
                <w:szCs w:val="18"/>
                <w:color w:val="0000EE"/>
              </w:rPr>
            </w:pPr>
            <w:hyperlink r:id="rId140">
              <w:r>
                <w:rPr>
                  <w:rFonts w:ascii="Arial" w:cs="Arial" w:eastAsia="Arial" w:hAnsi="Arial"/>
                  <w:sz w:val="18"/>
                  <w:szCs w:val="18"/>
                  <w:color w:val="0000EE"/>
                </w:rPr>
                <w:t>Translation of Promissory Note between, Prime World</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10.4</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5"/>
              </w:rPr>
              <w:t>April 17, 2019</w:t>
            </w:r>
          </w:p>
        </w:tc>
      </w:tr>
      <w:tr>
        <w:trPr>
          <w:trHeight w:val="20"/>
        </w:trPr>
        <w:tc>
          <w:tcPr>
            <w:tcW w:w="13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2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International Holdings, Ltd., and Far Eastern International</w:t>
              </w:r>
            </w:hyperlink>
          </w:p>
        </w:tc>
        <w:tc>
          <w:tcPr>
            <w:tcW w:w="3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Bank Co., Ltd., dated April 11, 2019</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10.22</w:t>
            </w:r>
          </w:p>
        </w:tc>
        <w:tc>
          <w:tcPr>
            <w:tcW w:w="4580" w:type="dxa"/>
            <w:vAlign w:val="bottom"/>
            <w:gridSpan w:val="27"/>
          </w:tcPr>
          <w:p>
            <w:pPr>
              <w:spacing w:after="0"/>
              <w:rPr>
                <w:rFonts w:ascii="Arial" w:cs="Arial" w:eastAsia="Arial" w:hAnsi="Arial"/>
                <w:sz w:val="18"/>
                <w:szCs w:val="18"/>
                <w:color w:val="0000EE"/>
              </w:rPr>
            </w:pPr>
            <w:hyperlink r:id="rId141">
              <w:r>
                <w:rPr>
                  <w:rFonts w:ascii="Arial" w:cs="Arial" w:eastAsia="Arial" w:hAnsi="Arial"/>
                  <w:sz w:val="18"/>
                  <w:szCs w:val="18"/>
                  <w:color w:val="0000EE"/>
                </w:rPr>
                <w:t>Translation of the Credit Granting Agreement, between</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5"/>
              </w:rPr>
              <w:t>April 25, 2019</w:t>
            </w:r>
          </w:p>
        </w:tc>
      </w:tr>
      <w:tr>
        <w:trPr>
          <w:trHeight w:val="20"/>
        </w:trPr>
        <w:tc>
          <w:tcPr>
            <w:tcW w:w="13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Global Technology, Inc. and China Merchants Bank Co.,</w:t>
              </w:r>
            </w:hyperlink>
          </w:p>
        </w:tc>
        <w:tc>
          <w:tcPr>
            <w:tcW w:w="4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Ltd., dated April 19, 2019</w:t>
              </w:r>
            </w:hyperlink>
          </w:p>
        </w:tc>
        <w:tc>
          <w:tcPr>
            <w:tcW w:w="2700" w:type="dxa"/>
            <w:vAlign w:val="bottom"/>
            <w:gridSpan w:val="23"/>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10.23</w:t>
            </w:r>
          </w:p>
        </w:tc>
        <w:tc>
          <w:tcPr>
            <w:tcW w:w="4580" w:type="dxa"/>
            <w:vAlign w:val="bottom"/>
            <w:gridSpan w:val="27"/>
          </w:tcPr>
          <w:p>
            <w:pPr>
              <w:spacing w:after="0"/>
              <w:rPr>
                <w:rFonts w:ascii="Arial" w:cs="Arial" w:eastAsia="Arial" w:hAnsi="Arial"/>
                <w:sz w:val="18"/>
                <w:szCs w:val="18"/>
                <w:color w:val="0000EE"/>
                <w:w w:val="97"/>
              </w:rPr>
            </w:pPr>
            <w:hyperlink r:id="rId142">
              <w:r>
                <w:rPr>
                  <w:rFonts w:ascii="Arial" w:cs="Arial" w:eastAsia="Arial" w:hAnsi="Arial"/>
                  <w:sz w:val="18"/>
                  <w:szCs w:val="18"/>
                  <w:color w:val="0000EE"/>
                  <w:w w:val="97"/>
                </w:rPr>
                <w:t>Translation of the Working Capital Loan Contract, between</w:t>
              </w:r>
            </w:hyperlink>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0"/>
              </w:rPr>
              <w:t>May 6, 2019</w:t>
            </w:r>
          </w:p>
        </w:tc>
      </w:tr>
      <w:tr>
        <w:trPr>
          <w:trHeight w:val="20"/>
        </w:trPr>
        <w:tc>
          <w:tcPr>
            <w:tcW w:w="1300" w:type="dxa"/>
            <w:vAlign w:val="bottom"/>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180" w:type="dxa"/>
            <w:vAlign w:val="bottom"/>
            <w:gridSpan w:val="8"/>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Global Technology, Inc. and Shanghai Pudong Development</w:t>
              </w:r>
            </w:hyperlink>
          </w:p>
        </w:tc>
        <w:tc>
          <w:tcPr>
            <w:tcW w:w="2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Bank Co., Ltd., dated April 30, 2019</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right"/>
              <w:ind w:right="130"/>
              <w:spacing w:after="0"/>
              <w:rPr>
                <w:sz w:val="20"/>
                <w:szCs w:val="20"/>
                <w:color w:val="auto"/>
              </w:rPr>
            </w:pPr>
            <w:r>
              <w:rPr>
                <w:rFonts w:ascii="Arial" w:cs="Arial" w:eastAsia="Arial" w:hAnsi="Arial"/>
                <w:sz w:val="18"/>
                <w:szCs w:val="18"/>
                <w:color w:val="auto"/>
              </w:rPr>
              <w:t>10.24</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Translation of the Working Capital Loan Contract (RMB</w:t>
              </w:r>
            </w:hyperlink>
          </w:p>
        </w:tc>
        <w:tc>
          <w:tcPr>
            <w:tcW w:w="480" w:type="dxa"/>
            <w:vAlign w:val="bottom"/>
            <w:gridSpan w:val="13"/>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00" w:type="dxa"/>
            <w:vAlign w:val="bottom"/>
          </w:tcPr>
          <w:p>
            <w:pPr>
              <w:jc w:val="center"/>
              <w:ind w:right="270"/>
              <w:spacing w:after="0"/>
              <w:rPr>
                <w:sz w:val="20"/>
                <w:szCs w:val="20"/>
                <w:color w:val="auto"/>
              </w:rPr>
            </w:pPr>
            <w:r>
              <w:rPr>
                <w:rFonts w:ascii="Arial" w:cs="Arial" w:eastAsia="Arial" w:hAnsi="Arial"/>
                <w:sz w:val="18"/>
                <w:szCs w:val="18"/>
                <w:color w:val="auto"/>
                <w:w w:val="85"/>
              </w:rPr>
              <w:t>10.1</w:t>
            </w: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3"/>
              </w:rPr>
              <w:t>May 13, 2019</w:t>
            </w:r>
          </w:p>
        </w:tc>
      </w:tr>
      <w:tr>
        <w:trPr>
          <w:trHeight w:val="196"/>
        </w:trPr>
        <w:tc>
          <w:tcPr>
            <w:tcW w:w="1300" w:type="dxa"/>
            <w:vAlign w:val="bottom"/>
          </w:tcPr>
          <w:p>
            <w:pPr>
              <w:spacing w:after="0"/>
              <w:rPr>
                <w:sz w:val="17"/>
                <w:szCs w:val="17"/>
                <w:color w:val="auto"/>
              </w:rPr>
            </w:pPr>
          </w:p>
        </w:tc>
        <w:tc>
          <w:tcPr>
            <w:tcW w:w="4580" w:type="dxa"/>
            <w:vAlign w:val="bottom"/>
            <w:gridSpan w:val="27"/>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30,000,000)</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 xml:space="preserve"> between Global Technology, Inc. and Shanghai</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6"/>
        </w:trPr>
        <w:tc>
          <w:tcPr>
            <w:tcW w:w="1300" w:type="dxa"/>
            <w:vAlign w:val="bottom"/>
          </w:tcPr>
          <w:p>
            <w:pPr>
              <w:spacing w:after="0"/>
              <w:rPr>
                <w:sz w:val="20"/>
                <w:szCs w:val="20"/>
                <w:color w:val="auto"/>
              </w:rPr>
            </w:pPr>
          </w:p>
        </w:tc>
        <w:tc>
          <w:tcPr>
            <w:tcW w:w="4360" w:type="dxa"/>
            <w:vAlign w:val="bottom"/>
            <w:tcBorders>
              <w:top w:val="single" w:sz="8" w:color="0000EE"/>
            </w:tcBorders>
            <w:gridSpan w:val="24"/>
          </w:tcPr>
          <w:p>
            <w:pPr>
              <w:spacing w:after="0"/>
              <w:rPr>
                <w:rFonts w:ascii="Arial" w:cs="Arial" w:eastAsia="Arial" w:hAnsi="Arial"/>
                <w:sz w:val="18"/>
                <w:szCs w:val="18"/>
                <w:u w:val="single" w:color="auto"/>
                <w:color w:val="0000EE"/>
                <w:w w:val="96"/>
              </w:rPr>
            </w:pPr>
            <w:hyperlink r:id="rId143">
              <w:r>
                <w:rPr>
                  <w:rFonts w:ascii="Arial" w:cs="Arial" w:eastAsia="Arial" w:hAnsi="Arial"/>
                  <w:sz w:val="18"/>
                  <w:szCs w:val="18"/>
                  <w:u w:val="single" w:color="auto"/>
                  <w:color w:val="0000EE"/>
                  <w:w w:val="96"/>
                </w:rPr>
                <w:t>Pudong Development Bank Co., Ltd., dated May 7, 2019</w:t>
              </w:r>
            </w:hyperlink>
          </w:p>
        </w:tc>
        <w:tc>
          <w:tcPr>
            <w:tcW w:w="220" w:type="dxa"/>
            <w:vAlign w:val="bottom"/>
            <w:gridSpan w:val="3"/>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-8322945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-8331835</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4" w:name="page45"/>
    <w:bookmarkEnd w:id="44"/>
    <w:tbl>
      <w:tblPr>
        <w:tblLayout w:type="fixed"/>
        <w:tblInd w:w="54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10.24.1</w:t>
            </w:r>
          </w:p>
        </w:tc>
        <w:tc>
          <w:tcPr>
            <w:tcW w:w="4640" w:type="dxa"/>
            <w:vAlign w:val="bottom"/>
            <w:gridSpan w:val="11"/>
          </w:tcPr>
          <w:p>
            <w:pPr>
              <w:spacing w:after="0"/>
              <w:rPr>
                <w:rFonts w:ascii="Arial" w:cs="Arial" w:eastAsia="Arial" w:hAnsi="Arial"/>
                <w:sz w:val="18"/>
                <w:szCs w:val="18"/>
                <w:color w:val="0000EE"/>
              </w:rPr>
            </w:pPr>
            <w:hyperlink r:id="rId146">
              <w:r>
                <w:rPr>
                  <w:rFonts w:ascii="Arial" w:cs="Arial" w:eastAsia="Arial" w:hAnsi="Arial"/>
                  <w:sz w:val="18"/>
                  <w:szCs w:val="18"/>
                  <w:color w:val="0000EE"/>
                </w:rPr>
                <w:t>Translation of the Working Capital Loan Contract (USD</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1480" w:type="dxa"/>
            <w:vAlign w:val="bottom"/>
          </w:tcPr>
          <w:p>
            <w:pPr>
              <w:ind w:left="460"/>
              <w:spacing w:after="0"/>
              <w:rPr>
                <w:sz w:val="20"/>
                <w:szCs w:val="20"/>
                <w:color w:val="auto"/>
              </w:rPr>
            </w:pPr>
            <w:r>
              <w:rPr>
                <w:rFonts w:ascii="Arial" w:cs="Arial" w:eastAsia="Arial" w:hAnsi="Arial"/>
                <w:sz w:val="18"/>
                <w:szCs w:val="18"/>
                <w:color w:val="auto"/>
                <w:w w:val="91"/>
              </w:rPr>
              <w:t>May 13, 2019</w:t>
            </w: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2,000,000)</w:t>
              </w:r>
              <w:r>
                <w:rPr>
                  <w:rFonts w:ascii="Arial" w:cs="Arial" w:eastAsia="Arial" w:hAnsi="Arial"/>
                  <w:sz w:val="18"/>
                  <w:szCs w:val="18"/>
                  <w:u w:val="single" w:color="auto"/>
                  <w:color w:val="0000EE"/>
                  <w:w w:val="98"/>
                </w:rPr>
                <w:t>,between</w:t>
              </w:r>
              <w:r>
                <w:rPr>
                  <w:rFonts w:ascii="Arial" w:cs="Arial" w:eastAsia="Arial" w:hAnsi="Arial"/>
                  <w:sz w:val="18"/>
                  <w:szCs w:val="18"/>
                  <w:color w:val="0000EE"/>
                  <w:w w:val="98"/>
                </w:rPr>
                <w:t xml:space="preserve"> Global Technology, Inc. and Shanghai</w:t>
              </w:r>
            </w:hyperlink>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220" w:type="dxa"/>
            <w:vAlign w:val="bottom"/>
            <w:tcBorders>
              <w:top w:val="single" w:sz="8" w:color="0000EE"/>
            </w:tcBorders>
            <w:gridSpan w:val="7"/>
          </w:tcPr>
          <w:p>
            <w:pPr>
              <w:spacing w:after="0"/>
              <w:rPr>
                <w:rFonts w:ascii="Arial" w:cs="Arial" w:eastAsia="Arial" w:hAnsi="Arial"/>
                <w:sz w:val="18"/>
                <w:szCs w:val="18"/>
                <w:u w:val="single" w:color="auto"/>
                <w:color w:val="0000EE"/>
                <w:w w:val="93"/>
              </w:rPr>
            </w:pPr>
            <w:hyperlink r:id="rId146">
              <w:r>
                <w:rPr>
                  <w:rFonts w:ascii="Arial" w:cs="Arial" w:eastAsia="Arial" w:hAnsi="Arial"/>
                  <w:sz w:val="18"/>
                  <w:szCs w:val="18"/>
                  <w:u w:val="single" w:color="auto"/>
                  <w:color w:val="0000EE"/>
                  <w:w w:val="93"/>
                </w:rPr>
                <w:t>Pudong Development Bank Co., Ltd., dated May 8, 2019</w:t>
              </w:r>
            </w:hyperlink>
          </w:p>
        </w:tc>
        <w:tc>
          <w:tcPr>
            <w:tcW w:w="420" w:type="dxa"/>
            <w:vAlign w:val="bottom"/>
            <w:gridSpan w:val="4"/>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10.25</w:t>
            </w:r>
          </w:p>
        </w:tc>
        <w:tc>
          <w:tcPr>
            <w:tcW w:w="4640" w:type="dxa"/>
            <w:vAlign w:val="bottom"/>
            <w:gridSpan w:val="11"/>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Translation of the Financing Credit Line Agreement, dated</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1480" w:type="dxa"/>
            <w:vAlign w:val="bottom"/>
          </w:tcPr>
          <w:p>
            <w:pPr>
              <w:ind w:left="460"/>
              <w:spacing w:after="0"/>
              <w:rPr>
                <w:sz w:val="20"/>
                <w:szCs w:val="20"/>
                <w:color w:val="auto"/>
              </w:rPr>
            </w:pPr>
            <w:r>
              <w:rPr>
                <w:rFonts w:ascii="Arial" w:cs="Arial" w:eastAsia="Arial" w:hAnsi="Arial"/>
                <w:sz w:val="18"/>
                <w:szCs w:val="18"/>
                <w:color w:val="auto"/>
                <w:w w:val="91"/>
              </w:rPr>
              <w:t>May 31, 2019</w:t>
            </w:r>
          </w:p>
        </w:tc>
      </w:tr>
      <w:tr>
        <w:trPr>
          <w:trHeight w:val="196"/>
        </w:trPr>
        <w:tc>
          <w:tcPr>
            <w:tcW w:w="7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May 24, 2019, between Global Technology, Inc. and</w:t>
              </w:r>
            </w:hyperlink>
          </w:p>
        </w:tc>
        <w:tc>
          <w:tcPr>
            <w:tcW w:w="440" w:type="dxa"/>
            <w:vAlign w:val="bottom"/>
            <w:tcBorders>
              <w:top w:val="single" w:sz="8" w:color="0000EE"/>
            </w:tcBorders>
            <w:gridSpan w:val="3"/>
          </w:tcPr>
          <w:p>
            <w:pPr>
              <w:spacing w:after="0"/>
              <w:rPr>
                <w:sz w:val="17"/>
                <w:szCs w:val="17"/>
                <w:color w:val="auto"/>
              </w:rPr>
            </w:pPr>
          </w:p>
        </w:tc>
        <w:tc>
          <w:tcPr>
            <w:tcW w:w="42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640" w:type="dxa"/>
            <w:vAlign w:val="bottom"/>
            <w:gridSpan w:val="11"/>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Shanghai Pudong Development Bank Co., Ltd.</w:t>
              </w:r>
            </w:hyperlink>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10.25.1</w:t>
            </w:r>
          </w:p>
        </w:tc>
        <w:tc>
          <w:tcPr>
            <w:tcW w:w="4180" w:type="dxa"/>
            <w:vAlign w:val="bottom"/>
            <w:tcBorders>
              <w:bottom w:val="single" w:sz="8" w:color="0000EE"/>
            </w:tcBorders>
            <w:gridSpan w:val="6"/>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Translation of the Maximum Mortgage Contract (Security</w:t>
              </w:r>
            </w:hyperlink>
          </w:p>
        </w:tc>
        <w:tc>
          <w:tcPr>
            <w:tcW w:w="460" w:type="dxa"/>
            <w:vAlign w:val="bottom"/>
            <w:gridSpan w:val="5"/>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1480" w:type="dxa"/>
            <w:vAlign w:val="bottom"/>
          </w:tcPr>
          <w:p>
            <w:pPr>
              <w:ind w:left="460"/>
              <w:spacing w:after="0"/>
              <w:rPr>
                <w:sz w:val="20"/>
                <w:szCs w:val="20"/>
                <w:color w:val="auto"/>
              </w:rPr>
            </w:pPr>
            <w:r>
              <w:rPr>
                <w:rFonts w:ascii="Arial" w:cs="Arial" w:eastAsia="Arial" w:hAnsi="Arial"/>
                <w:sz w:val="18"/>
                <w:szCs w:val="18"/>
                <w:color w:val="auto"/>
                <w:w w:val="91"/>
              </w:rPr>
              <w:t>May 31, 2019</w:t>
            </w:r>
          </w:p>
        </w:tc>
      </w:tr>
      <w:tr>
        <w:trPr>
          <w:trHeight w:val="196"/>
        </w:trPr>
        <w:tc>
          <w:tcPr>
            <w:tcW w:w="780" w:type="dxa"/>
            <w:vAlign w:val="bottom"/>
          </w:tcPr>
          <w:p>
            <w:pPr>
              <w:spacing w:after="0"/>
              <w:rPr>
                <w:sz w:val="17"/>
                <w:szCs w:val="17"/>
                <w:color w:val="auto"/>
              </w:rPr>
            </w:pPr>
          </w:p>
        </w:tc>
        <w:tc>
          <w:tcPr>
            <w:tcW w:w="36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Agreement), dated May 24, 2019, between Global</w:t>
              </w:r>
            </w:hyperlink>
          </w:p>
        </w:tc>
        <w:tc>
          <w:tcPr>
            <w:tcW w:w="102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Technology, Inc. and Shanghai Pudong Development Bank</w:t>
              </w:r>
            </w:hyperlink>
          </w:p>
        </w:tc>
        <w:tc>
          <w:tcPr>
            <w:tcW w:w="3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Co., Ltd.</w:t>
              </w:r>
            </w:hyperlink>
          </w:p>
        </w:tc>
        <w:tc>
          <w:tcPr>
            <w:tcW w:w="40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10.26</w:t>
            </w:r>
          </w:p>
        </w:tc>
        <w:tc>
          <w:tcPr>
            <w:tcW w:w="4640" w:type="dxa"/>
            <w:vAlign w:val="bottom"/>
            <w:gridSpan w:val="11"/>
          </w:tcPr>
          <w:p>
            <w:pPr>
              <w:spacing w:after="0"/>
              <w:rPr>
                <w:rFonts w:ascii="Arial" w:cs="Arial" w:eastAsia="Arial" w:hAnsi="Arial"/>
                <w:sz w:val="18"/>
                <w:szCs w:val="18"/>
                <w:color w:val="0000EE"/>
                <w:w w:val="98"/>
              </w:rPr>
            </w:pPr>
            <w:hyperlink r:id="rId149">
              <w:r>
                <w:rPr>
                  <w:rFonts w:ascii="Arial" w:cs="Arial" w:eastAsia="Arial" w:hAnsi="Arial"/>
                  <w:sz w:val="18"/>
                  <w:szCs w:val="18"/>
                  <w:color w:val="0000EE"/>
                  <w:w w:val="98"/>
                </w:rPr>
                <w:t xml:space="preserve">Translation of the Maximum Loan Contract </w:t>
              </w:r>
              <w:r>
                <w:rPr>
                  <w:rFonts w:ascii="Arial" w:cs="Arial" w:eastAsia="Arial" w:hAnsi="Arial"/>
                  <w:sz w:val="18"/>
                  <w:szCs w:val="18"/>
                  <w:u w:val="single" w:color="auto"/>
                  <w:color w:val="0000EE"/>
                  <w:w w:val="98"/>
                </w:rPr>
                <w:t>(¥</w:t>
              </w:r>
              <w:r>
                <w:rPr>
                  <w:rFonts w:ascii="Arial" w:cs="Arial" w:eastAsia="Arial" w:hAnsi="Arial"/>
                  <w:sz w:val="18"/>
                  <w:szCs w:val="18"/>
                  <w:color w:val="0000EE"/>
                  <w:w w:val="98"/>
                </w:rPr>
                <w:t>100M), dated</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1480" w:type="dxa"/>
            <w:vAlign w:val="bottom"/>
          </w:tcPr>
          <w:p>
            <w:pPr>
              <w:ind w:left="460"/>
              <w:spacing w:after="0"/>
              <w:rPr>
                <w:sz w:val="20"/>
                <w:szCs w:val="20"/>
                <w:color w:val="auto"/>
              </w:rPr>
            </w:pPr>
            <w:r>
              <w:rPr>
                <w:rFonts w:ascii="Arial" w:cs="Arial" w:eastAsia="Arial" w:hAnsi="Arial"/>
                <w:sz w:val="18"/>
                <w:szCs w:val="18"/>
                <w:color w:val="auto"/>
                <w:w w:val="87"/>
              </w:rPr>
              <w:t>June 27, 2019</w:t>
            </w:r>
          </w:p>
        </w:tc>
      </w:tr>
      <w:tr>
        <w:trPr>
          <w:trHeight w:val="196"/>
        </w:trPr>
        <w:tc>
          <w:tcPr>
            <w:tcW w:w="78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June 21, 2019, between Global Technology, Inc. and China</w:t>
              </w:r>
            </w:hyperlink>
          </w:p>
        </w:tc>
        <w:tc>
          <w:tcPr>
            <w:tcW w:w="40" w:type="dxa"/>
            <w:vAlign w:val="bottom"/>
            <w:tcBorders>
              <w:top w:val="single" w:sz="8" w:color="0000EE"/>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Zheshang Bank Co., Ltd</w:t>
              </w:r>
            </w:hyperlink>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1760" w:type="dxa"/>
            <w:vAlign w:val="bottom"/>
            <w:tcBorders>
              <w:top w:val="single" w:sz="8" w:color="0000EE"/>
            </w:tcBorders>
            <w:gridSpan w:val="2"/>
          </w:tcPr>
          <w:p>
            <w:pPr>
              <w:spacing w:after="0"/>
              <w:rPr>
                <w:sz w:val="24"/>
                <w:szCs w:val="24"/>
                <w:color w:val="auto"/>
              </w:rPr>
            </w:pPr>
          </w:p>
        </w:tc>
        <w:tc>
          <w:tcPr>
            <w:tcW w:w="2880" w:type="dxa"/>
            <w:vAlign w:val="bottom"/>
            <w:gridSpan w:val="9"/>
          </w:tcPr>
          <w:p>
            <w:pPr>
              <w:jc w:val="right"/>
              <w:ind w:right="240"/>
              <w:spacing w:after="0"/>
              <w:rPr>
                <w:sz w:val="20"/>
                <w:szCs w:val="20"/>
                <w:color w:val="auto"/>
              </w:rPr>
            </w:pPr>
            <w:r>
              <w:rPr>
                <w:rFonts w:ascii="Arial" w:cs="Arial" w:eastAsia="Arial" w:hAnsi="Arial"/>
                <w:sz w:val="18"/>
                <w:szCs w:val="18"/>
                <w:color w:val="auto"/>
              </w:rPr>
              <w:t>60</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10.26.1</w:t>
            </w:r>
          </w:p>
        </w:tc>
        <w:tc>
          <w:tcPr>
            <w:tcW w:w="4280" w:type="dxa"/>
            <w:vAlign w:val="bottom"/>
            <w:tcBorders>
              <w:bottom w:val="single" w:sz="8" w:color="0000EE"/>
            </w:tcBorders>
            <w:gridSpan w:val="21"/>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Translation of the Maximum Mortgage Contract (the “Real</w:t>
              </w:r>
            </w:hyperlink>
          </w:p>
        </w:tc>
        <w:tc>
          <w:tcPr>
            <w:tcW w:w="80" w:type="dxa"/>
            <w:vAlign w:val="bottom"/>
            <w:gridSpan w:val="3"/>
          </w:tcPr>
          <w:p>
            <w:pPr>
              <w:spacing w:after="0"/>
              <w:rPr>
                <w:sz w:val="17"/>
                <w:szCs w:val="17"/>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Estate Security Agreement”), dated June 21, 2019, between</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p>
        </w:tc>
        <w:tc>
          <w:tcPr>
            <w:tcW w:w="4360" w:type="dxa"/>
            <w:vAlign w:val="bottom"/>
            <w:gridSpan w:val="24"/>
          </w:tcPr>
          <w:p>
            <w:pPr>
              <w:spacing w:after="0"/>
              <w:rPr>
                <w:rFonts w:ascii="Arial" w:cs="Arial" w:eastAsia="Arial" w:hAnsi="Arial"/>
                <w:sz w:val="18"/>
                <w:szCs w:val="18"/>
                <w:u w:val="single" w:color="auto"/>
                <w:color w:val="0000EE"/>
                <w:w w:val="91"/>
              </w:rPr>
            </w:pPr>
            <w:hyperlink r:id="rId151">
              <w:r>
                <w:rPr>
                  <w:rFonts w:ascii="Arial" w:cs="Arial" w:eastAsia="Arial" w:hAnsi="Arial"/>
                  <w:sz w:val="18"/>
                  <w:szCs w:val="18"/>
                  <w:u w:val="single" w:color="auto"/>
                  <w:color w:val="0000EE"/>
                  <w:w w:val="91"/>
                </w:rPr>
                <w:t>Global Technology, Inc. and China Zheshang Bank Co., Ltd</w:t>
              </w:r>
            </w:hyperlink>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1"/>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10.26.2</w:t>
            </w:r>
          </w:p>
        </w:tc>
        <w:tc>
          <w:tcPr>
            <w:tcW w:w="4240" w:type="dxa"/>
            <w:vAlign w:val="bottom"/>
            <w:tcBorders>
              <w:bottom w:val="single" w:sz="8" w:color="0000EE"/>
            </w:tcBorders>
            <w:gridSpan w:val="20"/>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 xml:space="preserve">Translation of the Maximum Loan Contract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50M), dated</w:t>
              </w:r>
            </w:hyperlink>
          </w:p>
        </w:tc>
        <w:tc>
          <w:tcPr>
            <w:tcW w:w="120" w:type="dxa"/>
            <w:vAlign w:val="bottom"/>
            <w:gridSpan w:val="4"/>
          </w:tcPr>
          <w:p>
            <w:pPr>
              <w:spacing w:after="0"/>
              <w:rPr>
                <w:sz w:val="24"/>
                <w:szCs w:val="24"/>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196"/>
        </w:trPr>
        <w:tc>
          <w:tcPr>
            <w:tcW w:w="780" w:type="dxa"/>
            <w:vAlign w:val="bottom"/>
          </w:tcPr>
          <w:p>
            <w:pPr>
              <w:spacing w:after="0"/>
              <w:rPr>
                <w:sz w:val="17"/>
                <w:szCs w:val="17"/>
                <w:color w:val="auto"/>
              </w:rPr>
            </w:pPr>
          </w:p>
        </w:tc>
        <w:tc>
          <w:tcPr>
            <w:tcW w:w="42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June 21, 2019, between Global Technology, Inc. and China</w:t>
              </w:r>
            </w:hyperlink>
          </w:p>
        </w:tc>
        <w:tc>
          <w:tcPr>
            <w:tcW w:w="8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Zheshang Bank Co., Ltd</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10.26.3</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Translation of the Maximum Mortgage Contract (the</w:t>
              </w:r>
            </w:hyperlink>
          </w:p>
        </w:tc>
        <w:tc>
          <w:tcPr>
            <w:tcW w:w="560" w:type="dxa"/>
            <w:vAlign w:val="bottom"/>
            <w:gridSpan w:val="12"/>
          </w:tcPr>
          <w:p>
            <w:pPr>
              <w:spacing w:after="0"/>
              <w:rPr>
                <w:sz w:val="24"/>
                <w:szCs w:val="24"/>
                <w:color w:val="auto"/>
              </w:rPr>
            </w:pPr>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“Machinery and Equipment Security Agreement”), dated</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June 21, 2019, between Global Technology, Inc. and China</w:t>
              </w:r>
            </w:hyperlink>
          </w:p>
        </w:tc>
        <w:tc>
          <w:tcPr>
            <w:tcW w:w="8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Zheshang Bank Co., Ltd</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10.27</w:t>
            </w:r>
          </w:p>
        </w:tc>
        <w:tc>
          <w:tcPr>
            <w:tcW w:w="4360" w:type="dxa"/>
            <w:vAlign w:val="bottom"/>
            <w:gridSpan w:val="24"/>
          </w:tcPr>
          <w:p>
            <w:pP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Translation of the Approval Notice of Credit Line, dated</w:t>
              </w:r>
            </w:hyperlink>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July 8, 2019, between Prime World International Holdings</w:t>
              </w:r>
            </w:hyperlink>
          </w:p>
        </w:tc>
        <w:tc>
          <w:tcPr>
            <w:tcW w:w="14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Ltd. and Taishin International Bank</w:t>
              </w:r>
            </w:hyperlink>
          </w:p>
        </w:tc>
        <w:tc>
          <w:tcPr>
            <w:tcW w:w="1800" w:type="dxa"/>
            <w:vAlign w:val="bottom"/>
            <w:gridSpan w:val="17"/>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10.27.1</w:t>
            </w:r>
          </w:p>
        </w:tc>
        <w:tc>
          <w:tcPr>
            <w:tcW w:w="3700" w:type="dxa"/>
            <w:vAlign w:val="bottom"/>
            <w:tcBorders>
              <w:bottom w:val="single" w:sz="8" w:color="0000EE"/>
            </w:tcBorders>
            <w:gridSpan w:val="11"/>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Translation of the General Agreement for Financial</w:t>
              </w:r>
            </w:hyperlink>
          </w:p>
        </w:tc>
        <w:tc>
          <w:tcPr>
            <w:tcW w:w="660" w:type="dxa"/>
            <w:vAlign w:val="bottom"/>
            <w:gridSpan w:val="13"/>
          </w:tcPr>
          <w:p>
            <w:pPr>
              <w:spacing w:after="0"/>
              <w:rPr>
                <w:sz w:val="24"/>
                <w:szCs w:val="24"/>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196"/>
        </w:trPr>
        <w:tc>
          <w:tcPr>
            <w:tcW w:w="780" w:type="dxa"/>
            <w:vAlign w:val="bottom"/>
          </w:tcPr>
          <w:p>
            <w:pPr>
              <w:spacing w:after="0"/>
              <w:rPr>
                <w:sz w:val="17"/>
                <w:szCs w:val="17"/>
                <w:color w:val="auto"/>
              </w:rPr>
            </w:pPr>
          </w:p>
        </w:tc>
        <w:tc>
          <w:tcPr>
            <w:tcW w:w="40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Transaction, dated July 23, 2019, between Prime World</w:t>
              </w:r>
            </w:hyperlink>
          </w:p>
        </w:tc>
        <w:tc>
          <w:tcPr>
            <w:tcW w:w="30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360" w:type="dxa"/>
            <w:vAlign w:val="bottom"/>
            <w:gridSpan w:val="24"/>
          </w:tcPr>
          <w:p>
            <w:pPr>
              <w:spacing w:after="0"/>
              <w:rPr>
                <w:rFonts w:ascii="Arial" w:cs="Arial" w:eastAsia="Arial" w:hAnsi="Arial"/>
                <w:sz w:val="18"/>
                <w:szCs w:val="18"/>
                <w:u w:val="single" w:color="auto"/>
                <w:color w:val="0000EE"/>
                <w:w w:val="94"/>
              </w:rPr>
            </w:pPr>
            <w:hyperlink r:id="rId155">
              <w:r>
                <w:rPr>
                  <w:rFonts w:ascii="Arial" w:cs="Arial" w:eastAsia="Arial" w:hAnsi="Arial"/>
                  <w:sz w:val="18"/>
                  <w:szCs w:val="18"/>
                  <w:u w:val="single" w:color="auto"/>
                  <w:color w:val="0000EE"/>
                  <w:w w:val="94"/>
                </w:rPr>
                <w:t>International Holdings Ltd. and Taishin International Bank</w:t>
              </w:r>
            </w:hyperlink>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1"/>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10.27.2</w:t>
            </w:r>
          </w:p>
        </w:tc>
        <w:tc>
          <w:tcPr>
            <w:tcW w:w="4300" w:type="dxa"/>
            <w:vAlign w:val="bottom"/>
            <w:tcBorders>
              <w:bottom w:val="single" w:sz="8" w:color="0000EE"/>
            </w:tcBorders>
            <w:gridSpan w:val="22"/>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Translation of the Credit Facility Agreement, dated July 23,</w:t>
              </w:r>
            </w:hyperlink>
          </w:p>
        </w:tc>
        <w:tc>
          <w:tcPr>
            <w:tcW w:w="60" w:type="dxa"/>
            <w:vAlign w:val="bottom"/>
            <w:gridSpan w:val="2"/>
          </w:tcPr>
          <w:p>
            <w:pPr>
              <w:spacing w:after="0"/>
              <w:rPr>
                <w:sz w:val="24"/>
                <w:szCs w:val="24"/>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2019, between Prime World International Holdings Ltd. and</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Taishin International Bank</w:t>
              </w:r>
            </w:hyperlink>
          </w:p>
        </w:tc>
        <w:tc>
          <w:tcPr>
            <w:tcW w:w="240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10.27.3</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Translation of the Promissory Note, dated July 23, 2019,</w:t>
              </w:r>
            </w:hyperlink>
          </w:p>
        </w:tc>
        <w:tc>
          <w:tcPr>
            <w:tcW w:w="260" w:type="dxa"/>
            <w:vAlign w:val="bottom"/>
            <w:gridSpan w:val="9"/>
          </w:tcPr>
          <w:p>
            <w:pPr>
              <w:spacing w:after="0"/>
              <w:rPr>
                <w:sz w:val="24"/>
                <w:szCs w:val="24"/>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196"/>
        </w:trPr>
        <w:tc>
          <w:tcPr>
            <w:tcW w:w="780" w:type="dxa"/>
            <w:vAlign w:val="bottom"/>
          </w:tcPr>
          <w:p>
            <w:pPr>
              <w:spacing w:after="0"/>
              <w:rPr>
                <w:sz w:val="17"/>
                <w:szCs w:val="17"/>
                <w:color w:val="auto"/>
              </w:rPr>
            </w:pPr>
          </w:p>
        </w:tc>
        <w:tc>
          <w:tcPr>
            <w:tcW w:w="3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between Prime World International Holdings Ltd. and</w:t>
              </w:r>
            </w:hyperlink>
          </w:p>
        </w:tc>
        <w:tc>
          <w:tcPr>
            <w:tcW w:w="4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Taishin International Bank</w:t>
              </w:r>
            </w:hyperlink>
          </w:p>
        </w:tc>
        <w:tc>
          <w:tcPr>
            <w:tcW w:w="2440" w:type="dxa"/>
            <w:vAlign w:val="bottom"/>
            <w:gridSpan w:val="20"/>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5140" w:type="dxa"/>
            <w:vAlign w:val="bottom"/>
            <w:gridSpan w:val="25"/>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10.28** </w:t>
            </w:r>
            <w:hyperlink r:id="rId158">
              <w:r>
                <w:rPr>
                  <w:rFonts w:ascii="Arial" w:cs="Arial" w:eastAsia="Arial" w:hAnsi="Arial"/>
                  <w:sz w:val="18"/>
                  <w:szCs w:val="18"/>
                  <w:color w:val="0000EE"/>
                  <w:w w:val="94"/>
                </w:rPr>
                <w:t>Fourth Amendment to Loan Agreement, dated September</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30, 2019, between Applied Optoelectronics, Inc. and Branch</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Banking and Trust Company</w:t>
              </w:r>
            </w:hyperlink>
          </w:p>
        </w:tc>
        <w:tc>
          <w:tcPr>
            <w:tcW w:w="228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10.28.1</w:t>
            </w:r>
          </w:p>
        </w:tc>
        <w:tc>
          <w:tcPr>
            <w:tcW w:w="4360" w:type="dxa"/>
            <w:vAlign w:val="bottom"/>
            <w:gridSpan w:val="24"/>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Note Modification Agreement, dated September 30, 2019,</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196"/>
        </w:trPr>
        <w:tc>
          <w:tcPr>
            <w:tcW w:w="7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executed by Applied Optoelectronics, Inc.</w:t>
              </w:r>
            </w:hyperlink>
          </w:p>
        </w:tc>
        <w:tc>
          <w:tcPr>
            <w:tcW w:w="1140" w:type="dxa"/>
            <w:vAlign w:val="bottom"/>
            <w:tcBorders>
              <w:top w:val="single" w:sz="8" w:color="0000EE"/>
            </w:tcBorders>
            <w:gridSpan w:val="9"/>
          </w:tcPr>
          <w:p>
            <w:pPr>
              <w:spacing w:after="0"/>
              <w:rPr>
                <w:sz w:val="17"/>
                <w:szCs w:val="17"/>
                <w:color w:val="auto"/>
              </w:rPr>
            </w:pPr>
          </w:p>
        </w:tc>
        <w:tc>
          <w:tcPr>
            <w:tcW w:w="18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10.28.2</w:t>
            </w:r>
          </w:p>
        </w:tc>
        <w:tc>
          <w:tcPr>
            <w:tcW w:w="4360" w:type="dxa"/>
            <w:vAlign w:val="bottom"/>
            <w:gridSpan w:val="24"/>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Addendum To Promissory Note, dated September 30, 2019,</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196"/>
        </w:trPr>
        <w:tc>
          <w:tcPr>
            <w:tcW w:w="7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executed by Applied Optoelectronics, Inc.</w:t>
              </w:r>
            </w:hyperlink>
          </w:p>
        </w:tc>
        <w:tc>
          <w:tcPr>
            <w:tcW w:w="126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10.29</w:t>
            </w:r>
          </w:p>
        </w:tc>
        <w:tc>
          <w:tcPr>
            <w:tcW w:w="4360" w:type="dxa"/>
            <w:vAlign w:val="bottom"/>
            <w:gridSpan w:val="24"/>
          </w:tcPr>
          <w:p>
            <w:pPr>
              <w:spacing w:after="0"/>
              <w:rPr>
                <w:rFonts w:ascii="Arial" w:cs="Arial" w:eastAsia="Arial" w:hAnsi="Arial"/>
                <w:sz w:val="18"/>
                <w:szCs w:val="18"/>
                <w:color w:val="0000EE"/>
                <w:w w:val="94"/>
              </w:rPr>
            </w:pPr>
            <w:hyperlink r:id="rId161">
              <w:r>
                <w:rPr>
                  <w:rFonts w:ascii="Arial" w:cs="Arial" w:eastAsia="Arial" w:hAnsi="Arial"/>
                  <w:sz w:val="18"/>
                  <w:szCs w:val="18"/>
                  <w:color w:val="0000EE"/>
                  <w:w w:val="94"/>
                </w:rPr>
                <w:t>Second Amendment to Lease, dated November 11, 2019,</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November 18, 2019</w:t>
            </w:r>
          </w:p>
        </w:tc>
      </w:tr>
      <w:tr>
        <w:trPr>
          <w:trHeight w:val="196"/>
        </w:trPr>
        <w:tc>
          <w:tcPr>
            <w:tcW w:w="7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between Applied Optoelectronics, Inc. and ROIB2</w:t>
              </w:r>
            </w:hyperlink>
          </w:p>
        </w:tc>
        <w:tc>
          <w:tcPr>
            <w:tcW w:w="460" w:type="dxa"/>
            <w:vAlign w:val="bottom"/>
            <w:tcBorders>
              <w:top w:val="single" w:sz="8" w:color="0000EE"/>
            </w:tcBorders>
            <w:gridSpan w:val="5"/>
          </w:tcPr>
          <w:p>
            <w:pPr>
              <w:spacing w:after="0"/>
              <w:rPr>
                <w:sz w:val="17"/>
                <w:szCs w:val="17"/>
                <w:color w:val="auto"/>
              </w:rPr>
            </w:pPr>
          </w:p>
        </w:tc>
        <w:tc>
          <w:tcPr>
            <w:tcW w:w="26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Breckinridge, LLC.</w:t>
              </w:r>
            </w:hyperlink>
          </w:p>
        </w:tc>
        <w:tc>
          <w:tcPr>
            <w:tcW w:w="2940" w:type="dxa"/>
            <w:vAlign w:val="bottom"/>
            <w:gridSpan w:val="22"/>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10.30</w:t>
            </w:r>
          </w:p>
        </w:tc>
        <w:tc>
          <w:tcPr>
            <w:tcW w:w="4360" w:type="dxa"/>
            <w:vAlign w:val="bottom"/>
            <w:gridSpan w:val="24"/>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Paycheck Protection Program Loan Promissory Note, dated</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5"/>
              </w:rPr>
              <w:t>April 22, 2020</w:t>
            </w:r>
          </w:p>
        </w:tc>
      </w:tr>
      <w:tr>
        <w:trPr>
          <w:trHeight w:val="236"/>
        </w:trPr>
        <w:tc>
          <w:tcPr>
            <w:tcW w:w="780" w:type="dxa"/>
            <w:vAlign w:val="bottom"/>
          </w:tcPr>
          <w:p>
            <w:pPr>
              <w:spacing w:after="0"/>
              <w:rPr>
                <w:sz w:val="20"/>
                <w:szCs w:val="20"/>
                <w:color w:val="auto"/>
              </w:rPr>
            </w:pPr>
          </w:p>
        </w:tc>
        <w:tc>
          <w:tcPr>
            <w:tcW w:w="4280" w:type="dxa"/>
            <w:vAlign w:val="bottom"/>
            <w:tcBorders>
              <w:top w:val="single" w:sz="8" w:color="0000EE"/>
            </w:tcBorders>
            <w:gridSpan w:val="21"/>
          </w:tcPr>
          <w:p>
            <w:pPr>
              <w:spacing w:after="0"/>
              <w:rPr>
                <w:rFonts w:ascii="Arial" w:cs="Arial" w:eastAsia="Arial" w:hAnsi="Arial"/>
                <w:sz w:val="18"/>
                <w:szCs w:val="18"/>
                <w:u w:val="single" w:color="auto"/>
                <w:color w:val="0000EE"/>
                <w:w w:val="93"/>
              </w:rPr>
            </w:pPr>
            <w:hyperlink r:id="rId162">
              <w:r>
                <w:rPr>
                  <w:rFonts w:ascii="Arial" w:cs="Arial" w:eastAsia="Arial" w:hAnsi="Arial"/>
                  <w:sz w:val="18"/>
                  <w:szCs w:val="18"/>
                  <w:u w:val="single" w:color="auto"/>
                  <w:color w:val="0000EE"/>
                  <w:w w:val="93"/>
                </w:rPr>
                <w:t>April 17, 2020, executed by Applied Optoelectronics, Inc.</w:t>
              </w:r>
            </w:hyperlink>
          </w:p>
        </w:tc>
        <w:tc>
          <w:tcPr>
            <w:tcW w:w="80" w:type="dxa"/>
            <w:vAlign w:val="bottom"/>
            <w:gridSpan w:val="3"/>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10.31</w:t>
            </w:r>
          </w:p>
        </w:tc>
        <w:tc>
          <w:tcPr>
            <w:tcW w:w="4360" w:type="dxa"/>
            <w:vAlign w:val="bottom"/>
            <w:gridSpan w:val="24"/>
          </w:tcPr>
          <w:p>
            <w:pPr>
              <w:spacing w:after="0"/>
              <w:rPr>
                <w:rFonts w:ascii="Arial" w:cs="Arial" w:eastAsia="Arial" w:hAnsi="Arial"/>
                <w:sz w:val="18"/>
                <w:szCs w:val="18"/>
                <w:color w:val="0000EE"/>
              </w:rPr>
            </w:pPr>
            <w:hyperlink r:id="rId163">
              <w:r>
                <w:rPr>
                  <w:rFonts w:ascii="Arial" w:cs="Arial" w:eastAsia="Arial" w:hAnsi="Arial"/>
                  <w:sz w:val="18"/>
                  <w:szCs w:val="18"/>
                  <w:color w:val="0000EE"/>
                </w:rPr>
                <w:t>Translation of Amendment to the Finance Lease</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September 18, 2020</w:t>
            </w: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Agreements, dated September 15, 2020, between Prime</w:t>
              </w:r>
            </w:hyperlink>
          </w:p>
        </w:tc>
        <w:tc>
          <w:tcPr>
            <w:tcW w:w="30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360" w:type="dxa"/>
            <w:vAlign w:val="bottom"/>
            <w:gridSpan w:val="24"/>
          </w:tcPr>
          <w:p>
            <w:pPr>
              <w:spacing w:after="0" w:line="196"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World International Holdings Ltd., and Chailease Finance</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Co., Ltd.</w:t>
              </w:r>
            </w:hyperlink>
          </w:p>
        </w:tc>
        <w:tc>
          <w:tcPr>
            <w:tcW w:w="352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10.32</w:t>
            </w:r>
          </w:p>
        </w:tc>
        <w:tc>
          <w:tcPr>
            <w:tcW w:w="4360" w:type="dxa"/>
            <w:vAlign w:val="bottom"/>
            <w:gridSpan w:val="24"/>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Translation of the Credit Facility Agreement, dated October</w:t>
              </w:r>
            </w:hyperlink>
          </w:p>
        </w:tc>
        <w:tc>
          <w:tcPr>
            <w:tcW w:w="1140" w:type="dxa"/>
            <w:vAlign w:val="bottom"/>
          </w:tcPr>
          <w:p>
            <w:pPr>
              <w:jc w:val="center"/>
              <w:ind w:left="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October 13, 2020</w:t>
            </w:r>
          </w:p>
        </w:tc>
      </w:tr>
      <w:tr>
        <w:trPr>
          <w:trHeight w:val="196"/>
        </w:trPr>
        <w:tc>
          <w:tcPr>
            <w:tcW w:w="780" w:type="dxa"/>
            <w:vAlign w:val="bottom"/>
          </w:tcPr>
          <w:p>
            <w:pPr>
              <w:spacing w:after="0"/>
              <w:rPr>
                <w:sz w:val="17"/>
                <w:szCs w:val="17"/>
                <w:color w:val="auto"/>
              </w:rPr>
            </w:pPr>
          </w:p>
        </w:tc>
        <w:tc>
          <w:tcPr>
            <w:tcW w:w="430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7, 2020, between Prime World International Holdings Ltd.</w:t>
              </w:r>
            </w:hyperlink>
          </w:p>
        </w:tc>
        <w:tc>
          <w:tcPr>
            <w:tcW w:w="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and Taishin International Bank.</w:t>
              </w:r>
            </w:hyperlink>
          </w:p>
        </w:tc>
        <w:tc>
          <w:tcPr>
            <w:tcW w:w="1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ectPr>
          <w:pgSz w:w="11900" w:h="16838" w:orient="portrait"/>
          <w:cols w:equalWidth="0" w:num="1">
            <w:col w:w="11020"/>
          </w:cols>
          <w:pgMar w:left="320" w:top="324" w:right="559" w:bottom="0" w:gutter="0" w:footer="0" w:header="0"/>
        </w:sectPr>
      </w:pPr>
    </w:p>
    <w:bookmarkStart w:id="45" w:name="page46"/>
    <w:bookmarkEnd w:id="45"/>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10.32.1</w:t>
            </w:r>
          </w:p>
        </w:tc>
        <w:tc>
          <w:tcPr>
            <w:tcW w:w="4080" w:type="dxa"/>
            <w:vAlign w:val="bottom"/>
            <w:tcBorders>
              <w:bottom w:val="single" w:sz="8" w:color="0000EE"/>
            </w:tcBorders>
            <w:gridSpan w:val="5"/>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Translation of the Notice of Credit Line Approval, dated</w:t>
              </w:r>
            </w:hyperlink>
          </w:p>
        </w:tc>
        <w:tc>
          <w:tcPr>
            <w:tcW w:w="38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680" w:type="dxa"/>
            <w:vAlign w:val="bottom"/>
          </w:tcPr>
          <w:p>
            <w:pPr>
              <w:ind w:left="420"/>
              <w:spacing w:after="0"/>
              <w:rPr>
                <w:sz w:val="20"/>
                <w:szCs w:val="20"/>
                <w:color w:val="auto"/>
              </w:rPr>
            </w:pPr>
            <w:r>
              <w:rPr>
                <w:rFonts w:ascii="Arial" w:cs="Arial" w:eastAsia="Arial" w:hAnsi="Arial"/>
                <w:sz w:val="18"/>
                <w:szCs w:val="18"/>
                <w:color w:val="auto"/>
                <w:w w:val="89"/>
              </w:rPr>
              <w:t>October 13, 2020</w:t>
            </w:r>
          </w:p>
        </w:tc>
      </w:tr>
      <w:tr>
        <w:trPr>
          <w:trHeight w:val="196"/>
        </w:trPr>
        <w:tc>
          <w:tcPr>
            <w:tcW w:w="780" w:type="dxa"/>
            <w:vAlign w:val="bottom"/>
          </w:tcPr>
          <w:p>
            <w:pPr>
              <w:spacing w:after="0"/>
              <w:rPr>
                <w:sz w:val="17"/>
                <w:szCs w:val="17"/>
                <w:color w:val="auto"/>
              </w:rPr>
            </w:pPr>
          </w:p>
        </w:tc>
        <w:tc>
          <w:tcPr>
            <w:tcW w:w="12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August 24, 2020.</w:t>
              </w:r>
            </w:hyperlink>
          </w:p>
        </w:tc>
        <w:tc>
          <w:tcPr>
            <w:tcW w:w="322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10.33</w:t>
            </w:r>
          </w:p>
        </w:tc>
        <w:tc>
          <w:tcPr>
            <w:tcW w:w="4460" w:type="dxa"/>
            <w:vAlign w:val="bottom"/>
            <w:gridSpan w:val="6"/>
          </w:tcPr>
          <w:p>
            <w:pPr>
              <w:spacing w:after="0"/>
              <w:rPr>
                <w:rFonts w:ascii="Arial" w:cs="Arial" w:eastAsia="Arial" w:hAnsi="Arial"/>
                <w:sz w:val="18"/>
                <w:szCs w:val="18"/>
                <w:color w:val="0000EE"/>
              </w:rPr>
            </w:pPr>
            <w:hyperlink r:id="rId166">
              <w:r>
                <w:rPr>
                  <w:rFonts w:ascii="Arial" w:cs="Arial" w:eastAsia="Arial" w:hAnsi="Arial"/>
                  <w:sz w:val="18"/>
                  <w:szCs w:val="18"/>
                  <w:color w:val="0000EE"/>
                </w:rPr>
                <w:t>Translation of the Credit Granting Agreement, between</w:t>
              </w:r>
            </w:hyperlink>
          </w:p>
        </w:tc>
        <w:tc>
          <w:tcPr>
            <w:tcW w:w="1020" w:type="dxa"/>
            <w:vAlign w:val="bottom"/>
          </w:tcPr>
          <w:p>
            <w:pPr>
              <w:ind w:left="42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680" w:type="dxa"/>
            <w:vAlign w:val="bottom"/>
          </w:tcPr>
          <w:p>
            <w:pPr>
              <w:ind w:left="400"/>
              <w:spacing w:after="0"/>
              <w:rPr>
                <w:sz w:val="20"/>
                <w:szCs w:val="20"/>
                <w:color w:val="auto"/>
              </w:rPr>
            </w:pPr>
            <w:r>
              <w:rPr>
                <w:rFonts w:ascii="Arial" w:cs="Arial" w:eastAsia="Arial" w:hAnsi="Arial"/>
                <w:sz w:val="18"/>
                <w:szCs w:val="18"/>
                <w:color w:val="auto"/>
                <w:w w:val="90"/>
              </w:rPr>
              <w:t>October 22, 2020</w:t>
            </w:r>
          </w:p>
        </w:tc>
      </w:tr>
      <w:tr>
        <w:trPr>
          <w:trHeight w:val="20"/>
        </w:trPr>
        <w:tc>
          <w:tcPr>
            <w:tcW w:w="7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Global Technology Inc. and China Merchants Bank Co.,</w:t>
              </w:r>
            </w:hyperlink>
          </w:p>
        </w:tc>
        <w:tc>
          <w:tcPr>
            <w:tcW w:w="4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Ltd., dated October 19, 2020.</w:t>
              </w:r>
            </w:hyperlink>
          </w:p>
        </w:tc>
        <w:tc>
          <w:tcPr>
            <w:tcW w:w="234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29" w:lineRule="exact"/>
        <w:rPr>
          <w:sz w:val="20"/>
          <w:szCs w:val="20"/>
          <w:color w:val="auto"/>
        </w:rPr>
      </w:pPr>
    </w:p>
    <w:p>
      <w:pPr>
        <w:ind w:left="78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2">
        <w:r>
          <w:rPr>
            <w:rFonts w:ascii="Arial" w:cs="Arial" w:eastAsia="Arial" w:hAnsi="Arial"/>
            <w:sz w:val="16"/>
            <w:szCs w:val="16"/>
            <w:u w:val="single" w:color="auto"/>
            <w:color w:val="0000EE"/>
          </w:rPr>
          <w:t>Consent of Grant Thornton LLP</w:t>
        </w:r>
      </w:hyperlink>
    </w:p>
    <w:p>
      <w:pPr>
        <w:spacing w:after="0" w:line="225" w:lineRule="exact"/>
        <w:rPr>
          <w:sz w:val="20"/>
          <w:szCs w:val="20"/>
          <w:color w:val="auto"/>
        </w:rPr>
      </w:pPr>
    </w:p>
    <w:p>
      <w:pPr>
        <w:ind w:left="78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46">
        <w:r>
          <w:rPr>
            <w:rFonts w:ascii="Arial" w:cs="Arial" w:eastAsia="Arial" w:hAnsi="Arial"/>
            <w:sz w:val="16"/>
            <w:szCs w:val="16"/>
            <w:u w:val="single" w:color="auto"/>
            <w:color w:val="0000EE"/>
          </w:rPr>
          <w:t>Power of Attorney (see the signature page in this Annual</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Report on Form 10-K).</w:t>
        </w:r>
      </w:hyperlink>
    </w:p>
    <w:p>
      <w:pPr>
        <w:spacing w:after="0" w:line="211" w:lineRule="exact"/>
        <w:rPr>
          <w:sz w:val="20"/>
          <w:szCs w:val="20"/>
          <w:color w:val="auto"/>
        </w:rPr>
      </w:pPr>
    </w:p>
    <w:p>
      <w:pPr>
        <w:ind w:left="78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3">
        <w:r>
          <w:rPr>
            <w:rFonts w:ascii="Arial" w:cs="Arial" w:eastAsia="Arial" w:hAnsi="Arial"/>
            <w:sz w:val="16"/>
            <w:szCs w:val="16"/>
            <w:u w:val="single" w:color="auto"/>
            <w:color w:val="0000EE"/>
          </w:rPr>
          <w:t>Certification of Principal Executive Officer Required Under</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Rule 13a-14(a) and 15d-14(a) of the Securities Exchange</w:t>
        </w:r>
      </w:hyperlink>
    </w:p>
    <w:p>
      <w:pPr>
        <w:spacing w:after="0" w:line="9" w:lineRule="exact"/>
        <w:rPr>
          <w:sz w:val="20"/>
          <w:szCs w:val="20"/>
          <w:color w:val="auto"/>
        </w:rPr>
      </w:pPr>
    </w:p>
    <w:p>
      <w:pPr>
        <w:ind w:left="13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Act of 1934, as amended, as adopted pursuant to Section</w:t>
        </w:r>
      </w:hyperlink>
    </w:p>
    <w:p>
      <w:pPr>
        <w:spacing w:after="0" w:line="9" w:lineRule="exact"/>
        <w:rPr>
          <w:sz w:val="20"/>
          <w:szCs w:val="20"/>
          <w:color w:val="auto"/>
        </w:rPr>
      </w:pPr>
    </w:p>
    <w:p>
      <w:pPr>
        <w:ind w:left="13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302 of The Sarbanes-Oxley Act of 2002.</w:t>
        </w:r>
      </w:hyperlink>
    </w:p>
    <w:p>
      <w:pPr>
        <w:spacing w:after="0" w:line="211" w:lineRule="exact"/>
        <w:rPr>
          <w:sz w:val="20"/>
          <w:szCs w:val="20"/>
          <w:color w:val="auto"/>
        </w:rPr>
      </w:pPr>
    </w:p>
    <w:p>
      <w:pPr>
        <w:ind w:left="78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4">
        <w:r>
          <w:rPr>
            <w:rFonts w:ascii="Arial" w:cs="Arial" w:eastAsia="Arial" w:hAnsi="Arial"/>
            <w:sz w:val="16"/>
            <w:szCs w:val="16"/>
            <w:u w:val="single" w:color="auto"/>
            <w:color w:val="0000EE"/>
          </w:rPr>
          <w:t>Certification of Principal Financial Officer Required Under</w:t>
        </w:r>
      </w:hyperlink>
    </w:p>
    <w:p>
      <w:pPr>
        <w:spacing w:after="0" w:line="23" w:lineRule="exact"/>
        <w:rPr>
          <w:sz w:val="20"/>
          <w:szCs w:val="20"/>
          <w:color w:val="auto"/>
        </w:rPr>
      </w:pPr>
    </w:p>
    <w:p>
      <w:pPr>
        <w:ind w:left="13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Rule 13a-14(a) and 15d-14(a) of the Securities Exchange</w:t>
        </w:r>
      </w:hyperlink>
    </w:p>
    <w:p>
      <w:pPr>
        <w:spacing w:after="0" w:line="9" w:lineRule="exact"/>
        <w:rPr>
          <w:sz w:val="20"/>
          <w:szCs w:val="20"/>
          <w:color w:val="auto"/>
        </w:rPr>
      </w:pPr>
    </w:p>
    <w:p>
      <w:pPr>
        <w:ind w:left="13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Act of 1934, as amended, as adopted pursuant to Section</w:t>
        </w:r>
      </w:hyperlink>
    </w:p>
    <w:p>
      <w:pPr>
        <w:spacing w:after="0" w:line="9" w:lineRule="exact"/>
        <w:rPr>
          <w:sz w:val="20"/>
          <w:szCs w:val="20"/>
          <w:color w:val="auto"/>
        </w:rPr>
      </w:pPr>
    </w:p>
    <w:p>
      <w:pPr>
        <w:ind w:left="13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302 of The Sarbanes-Oxley Act of 2002.</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905" w:orient="portrait"/>
          <w:cols w:equalWidth="0" w:num="1">
            <w:col w:w="11240"/>
          </w:cols>
          <w:pgMar w:left="320" w:top="324"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firstLine="351"/>
        <w:spacing w:after="0" w:line="282" w:lineRule="auto"/>
        <w:rPr>
          <w:sz w:val="20"/>
          <w:szCs w:val="20"/>
          <w:color w:val="auto"/>
        </w:rPr>
      </w:pPr>
      <w:r>
        <w:rPr>
          <w:rFonts w:ascii="Arial" w:cs="Arial" w:eastAsia="Arial" w:hAnsi="Arial"/>
          <w:sz w:val="18"/>
          <w:szCs w:val="18"/>
          <w:b w:val="1"/>
          <w:bCs w:val="1"/>
          <w:color w:val="auto"/>
        </w:rPr>
        <w:t>Incorporated By Reference File No. 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Date</w:t>
      </w:r>
    </w:p>
    <w:p>
      <w:pPr>
        <w:spacing w:after="0" w:line="252" w:lineRule="exact"/>
        <w:rPr>
          <w:sz w:val="20"/>
          <w:szCs w:val="20"/>
          <w:color w:val="auto"/>
        </w:rPr>
      </w:pPr>
    </w:p>
    <w:p>
      <w:pPr>
        <w:sectPr>
          <w:pgSz w:w="11900" w:h="16905" w:orient="portrait"/>
          <w:cols w:equalWidth="0" w:num="5">
            <w:col w:w="2000" w:space="720"/>
            <w:col w:w="2620" w:space="720"/>
            <w:col w:w="440" w:space="660"/>
            <w:col w:w="2440" w:space="240"/>
            <w:col w:w="1400"/>
          </w:cols>
          <w:pgMar w:left="320" w:top="324" w:right="339" w:bottom="0" w:gutter="0" w:footer="0" w:header="0"/>
          <w:type w:val="continuous"/>
        </w:sectPr>
      </w:pPr>
    </w:p>
    <w:p>
      <w:pPr>
        <w:ind w:left="7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5">
        <w:r>
          <w:rPr>
            <w:rFonts w:ascii="Arial" w:cs="Arial" w:eastAsia="Arial" w:hAnsi="Arial"/>
            <w:sz w:val="16"/>
            <w:szCs w:val="16"/>
            <w:u w:val="single" w:color="auto"/>
            <w:color w:val="0000EE"/>
          </w:rPr>
          <w:t>Certification of Principal Executive Officer and Principal</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Financial Officer Required Under Rule 13a-14(a) and 15d-</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14(a) of the Securities Exchange Act of 1934, as amended,</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and 18 U.S.C. §1350 as adopted pursuant to Section 906 of</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The Sarbanes-Oxley Act of 2002.</w:t>
        </w:r>
      </w:hyperlink>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4280" w:type="dxa"/>
            <w:vAlign w:val="bottom"/>
          </w:tcPr>
          <w:p>
            <w:pPr>
              <w:ind w:left="12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1"/>
              </w:rPr>
              <w:t>101.PRE</w:t>
            </w:r>
          </w:p>
        </w:tc>
        <w:tc>
          <w:tcPr>
            <w:tcW w:w="4280" w:type="dxa"/>
            <w:vAlign w:val="bottom"/>
          </w:tcPr>
          <w:p>
            <w:pPr>
              <w:ind w:left="12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bl>
    <w:p>
      <w:pPr>
        <w:spacing w:after="0" w:line="202" w:lineRule="exact"/>
        <w:rPr>
          <w:sz w:val="20"/>
          <w:szCs w:val="20"/>
          <w:color w:val="auto"/>
        </w:rPr>
      </w:pPr>
    </w:p>
    <w:p>
      <w:pPr>
        <w:ind w:left="1300" w:right="5580" w:hanging="495"/>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granted for portions of this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February 25, 2021.</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APPLIED OPTOELECTRONICS,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CHIH-HSIANG (THOMPSON) LIN</w:t>
            </w:r>
          </w:p>
        </w:tc>
      </w:tr>
      <w:tr>
        <w:trPr>
          <w:trHeight w:val="195"/>
        </w:trPr>
        <w:tc>
          <w:tcPr>
            <w:tcW w:w="320" w:type="dxa"/>
            <w:vAlign w:val="bottom"/>
          </w:tcPr>
          <w:p>
            <w:pPr>
              <w:spacing w:after="0"/>
              <w:rPr>
                <w:sz w:val="16"/>
                <w:szCs w:val="16"/>
                <w:color w:val="auto"/>
              </w:rPr>
            </w:pPr>
          </w:p>
        </w:tc>
        <w:tc>
          <w:tcPr>
            <w:tcW w:w="5340" w:type="dxa"/>
            <w:vAlign w:val="bottom"/>
          </w:tcPr>
          <w:p>
            <w:pPr>
              <w:jc w:val="center"/>
              <w:spacing w:after="0" w:line="195" w:lineRule="exact"/>
              <w:rPr>
                <w:sz w:val="20"/>
                <w:szCs w:val="20"/>
                <w:color w:val="auto"/>
              </w:rPr>
            </w:pPr>
            <w:r>
              <w:rPr>
                <w:rFonts w:ascii="Arial" w:cs="Arial" w:eastAsia="Arial" w:hAnsi="Arial"/>
                <w:sz w:val="18"/>
                <w:szCs w:val="18"/>
                <w:color w:val="auto"/>
                <w:w w:val="97"/>
              </w:rPr>
              <w:t>CHIH-HSIANG (THOMPSON) LIN,</w:t>
            </w:r>
          </w:p>
        </w:tc>
      </w:tr>
      <w:tr>
        <w:trPr>
          <w:trHeight w:val="230"/>
        </w:trPr>
        <w:tc>
          <w:tcPr>
            <w:tcW w:w="3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 and</w:t>
            </w:r>
          </w:p>
        </w:tc>
      </w:tr>
    </w:tbl>
    <w:p>
      <w:pPr>
        <w:sectPr>
          <w:pgSz w:w="11900" w:h="16905" w:orient="portrait"/>
          <w:cols w:equalWidth="0" w:num="1">
            <w:col w:w="11240"/>
          </w:cols>
          <w:pgMar w:left="320" w:top="324" w:right="339" w:bottom="0" w:gutter="0" w:footer="0" w:header="0"/>
          <w:type w:val="continuous"/>
        </w:sectPr>
      </w:pPr>
    </w:p>
    <w:bookmarkStart w:id="46" w:name="page47"/>
    <w:bookmarkEnd w:id="46"/>
    <w:p>
      <w:pPr>
        <w:ind w:left="7280"/>
        <w:spacing w:after="0"/>
        <w:rPr>
          <w:sz w:val="20"/>
          <w:szCs w:val="20"/>
          <w:color w:val="auto"/>
        </w:rPr>
      </w:pPr>
      <w:r>
        <w:rPr>
          <w:rFonts w:ascii="Arial" w:cs="Arial" w:eastAsia="Arial" w:hAnsi="Arial"/>
          <w:sz w:val="18"/>
          <w:szCs w:val="18"/>
          <w:i w:val="1"/>
          <w:iCs w:val="1"/>
          <w:color w:val="auto"/>
        </w:rPr>
        <w:t>Chairman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Signature</w:t>
            </w:r>
          </w:p>
        </w:tc>
        <w:tc>
          <w:tcPr>
            <w:tcW w:w="620" w:type="dxa"/>
            <w:vAlign w:val="bottom"/>
          </w:tcPr>
          <w:p>
            <w:pPr>
              <w:spacing w:after="0"/>
              <w:rPr>
                <w:sz w:val="20"/>
                <w:szCs w:val="20"/>
                <w:color w:val="auto"/>
              </w:rPr>
            </w:pPr>
          </w:p>
        </w:tc>
        <w:tc>
          <w:tcPr>
            <w:tcW w:w="5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/s/ CHIH-HSIANG (THOMPSON) LIN</w:t>
            </w:r>
          </w:p>
        </w:tc>
        <w:tc>
          <w:tcPr>
            <w:tcW w:w="620" w:type="dxa"/>
            <w:vAlign w:val="bottom"/>
            <w:tcBorders>
              <w:bottom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00" w:type="dxa"/>
            <w:vAlign w:val="bottom"/>
          </w:tcPr>
          <w:p>
            <w:pPr>
              <w:jc w:val="center"/>
              <w:ind w:left="550"/>
              <w:spacing w:after="0" w:line="195" w:lineRule="exact"/>
              <w:rPr>
                <w:sz w:val="20"/>
                <w:szCs w:val="20"/>
                <w:color w:val="auto"/>
              </w:rPr>
            </w:pPr>
            <w:r>
              <w:rPr>
                <w:rFonts w:ascii="Arial" w:cs="Arial" w:eastAsia="Arial" w:hAnsi="Arial"/>
                <w:sz w:val="18"/>
                <w:szCs w:val="18"/>
                <w:color w:val="auto"/>
                <w:w w:val="97"/>
              </w:rPr>
              <w:t>CHIH-HSIANG (THOMPSON) LIN,</w:t>
            </w:r>
          </w:p>
        </w:tc>
        <w:tc>
          <w:tcPr>
            <w:tcW w:w="6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1"/>
              </w:rPr>
              <w:t>President, Chief Executive Officer and</w:t>
            </w:r>
          </w:p>
        </w:tc>
        <w:tc>
          <w:tcPr>
            <w:tcW w:w="620" w:type="dxa"/>
            <w:vAlign w:val="bottom"/>
          </w:tcPr>
          <w:p>
            <w:pPr>
              <w:spacing w:after="0"/>
              <w:rPr>
                <w:sz w:val="18"/>
                <w:szCs w:val="18"/>
                <w:color w:val="auto"/>
              </w:rPr>
            </w:pPr>
          </w:p>
        </w:tc>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216"/>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2"/>
              </w:rPr>
              <w:t>Chairman of the Board of Directors</w:t>
            </w:r>
          </w:p>
        </w:tc>
        <w:tc>
          <w:tcPr>
            <w:tcW w:w="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50"/>
              <w:spacing w:after="0"/>
              <w:rPr>
                <w:sz w:val="20"/>
                <w:szCs w:val="20"/>
                <w:color w:val="auto"/>
              </w:rPr>
            </w:pPr>
            <w:r>
              <w:rPr>
                <w:rFonts w:ascii="Arial" w:cs="Arial" w:eastAsia="Arial" w:hAnsi="Arial"/>
                <w:sz w:val="18"/>
                <w:szCs w:val="18"/>
                <w:i w:val="1"/>
                <w:iCs w:val="1"/>
                <w:color w:val="auto"/>
                <w:w w:val="93"/>
              </w:rPr>
              <w:t>(principal executive officer)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4"/>
              </w:rPr>
              <w:t>/s/ STEFAN J. MURRY</w:t>
            </w:r>
          </w:p>
        </w:tc>
        <w:tc>
          <w:tcPr>
            <w:tcW w:w="620" w:type="dxa"/>
            <w:vAlign w:val="bottom"/>
            <w:tcBorders>
              <w:bottom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00" w:type="dxa"/>
            <w:vAlign w:val="bottom"/>
          </w:tcPr>
          <w:p>
            <w:pPr>
              <w:jc w:val="center"/>
              <w:ind w:left="530"/>
              <w:spacing w:after="0" w:line="195" w:lineRule="exact"/>
              <w:rPr>
                <w:sz w:val="20"/>
                <w:szCs w:val="20"/>
                <w:color w:val="auto"/>
              </w:rPr>
            </w:pPr>
            <w:r>
              <w:rPr>
                <w:rFonts w:ascii="Arial" w:cs="Arial" w:eastAsia="Arial" w:hAnsi="Arial"/>
                <w:sz w:val="18"/>
                <w:szCs w:val="18"/>
                <w:color w:val="auto"/>
                <w:w w:val="92"/>
              </w:rPr>
              <w:t>STEFAN J. MURRY,</w:t>
            </w:r>
          </w:p>
        </w:tc>
        <w:tc>
          <w:tcPr>
            <w:tcW w:w="6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center"/>
              <w:ind w:left="550"/>
              <w:spacing w:after="0"/>
              <w:rPr>
                <w:sz w:val="20"/>
                <w:szCs w:val="20"/>
                <w:color w:val="auto"/>
              </w:rPr>
            </w:pPr>
            <w:r>
              <w:rPr>
                <w:rFonts w:ascii="Arial" w:cs="Arial" w:eastAsia="Arial" w:hAnsi="Arial"/>
                <w:sz w:val="18"/>
                <w:szCs w:val="18"/>
                <w:i w:val="1"/>
                <w:iCs w:val="1"/>
                <w:color w:val="auto"/>
                <w:w w:val="94"/>
              </w:rPr>
              <w:t>Chief Financial Officer</w:t>
            </w:r>
          </w:p>
        </w:tc>
        <w:tc>
          <w:tcPr>
            <w:tcW w:w="620" w:type="dxa"/>
            <w:vAlign w:val="bottom"/>
          </w:tcPr>
          <w:p>
            <w:pPr>
              <w:spacing w:after="0"/>
              <w:rPr>
                <w:sz w:val="18"/>
                <w:szCs w:val="18"/>
                <w:color w:val="auto"/>
              </w:rPr>
            </w:pPr>
          </w:p>
        </w:tc>
        <w:tc>
          <w:tcPr>
            <w:tcW w:w="5620" w:type="dxa"/>
            <w:vAlign w:val="bottom"/>
            <w:gridSpan w:val="2"/>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216"/>
        </w:trPr>
        <w:tc>
          <w:tcPr>
            <w:tcW w:w="5000" w:type="dxa"/>
            <w:vAlign w:val="bottom"/>
          </w:tcPr>
          <w:p>
            <w:pPr>
              <w:jc w:val="center"/>
              <w:ind w:left="550"/>
              <w:spacing w:after="0"/>
              <w:rPr>
                <w:sz w:val="20"/>
                <w:szCs w:val="20"/>
                <w:color w:val="auto"/>
              </w:rPr>
            </w:pPr>
            <w:r>
              <w:rPr>
                <w:rFonts w:ascii="Arial" w:cs="Arial" w:eastAsia="Arial" w:hAnsi="Arial"/>
                <w:sz w:val="18"/>
                <w:szCs w:val="18"/>
                <w:i w:val="1"/>
                <w:iCs w:val="1"/>
                <w:color w:val="auto"/>
                <w:w w:val="96"/>
              </w:rPr>
              <w:t>(principal financial officer and</w:t>
            </w:r>
          </w:p>
        </w:tc>
        <w:tc>
          <w:tcPr>
            <w:tcW w:w="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50"/>
              <w:spacing w:after="0"/>
              <w:rPr>
                <w:sz w:val="20"/>
                <w:szCs w:val="20"/>
                <w:color w:val="auto"/>
              </w:rPr>
            </w:pPr>
            <w:r>
              <w:rPr>
                <w:rFonts w:ascii="Arial" w:cs="Arial" w:eastAsia="Arial" w:hAnsi="Arial"/>
                <w:sz w:val="18"/>
                <w:szCs w:val="18"/>
                <w:i w:val="1"/>
                <w:iCs w:val="1"/>
                <w:color w:val="auto"/>
                <w:w w:val="94"/>
              </w:rPr>
              <w:t>principal accounting officer)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Signature</w:t>
            </w:r>
          </w:p>
        </w:tc>
        <w:tc>
          <w:tcPr>
            <w:tcW w:w="620" w:type="dxa"/>
            <w:vAlign w:val="bottom"/>
          </w:tcPr>
          <w:p>
            <w:pPr>
              <w:spacing w:after="0"/>
              <w:rPr>
                <w:sz w:val="24"/>
                <w:szCs w:val="24"/>
                <w:color w:val="auto"/>
              </w:rPr>
            </w:pPr>
          </w:p>
        </w:tc>
        <w:tc>
          <w:tcPr>
            <w:tcW w:w="5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rPr>
              <w:t>/s/ WILLIAM H. YEH</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50"/>
              <w:spacing w:after="0" w:line="195" w:lineRule="exact"/>
              <w:rPr>
                <w:sz w:val="20"/>
                <w:szCs w:val="20"/>
                <w:color w:val="auto"/>
              </w:rPr>
            </w:pPr>
            <w:r>
              <w:rPr>
                <w:rFonts w:ascii="Arial" w:cs="Arial" w:eastAsia="Arial" w:hAnsi="Arial"/>
                <w:sz w:val="18"/>
                <w:szCs w:val="18"/>
                <w:color w:val="auto"/>
              </w:rPr>
              <w:t>WILLIAM H. YEH,</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/s/ RICHARD B. BLACK</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50"/>
              <w:spacing w:after="0" w:line="195" w:lineRule="exact"/>
              <w:rPr>
                <w:sz w:val="20"/>
                <w:szCs w:val="20"/>
                <w:color w:val="auto"/>
              </w:rPr>
            </w:pPr>
            <w:r>
              <w:rPr>
                <w:rFonts w:ascii="Arial" w:cs="Arial" w:eastAsia="Arial" w:hAnsi="Arial"/>
                <w:sz w:val="18"/>
                <w:szCs w:val="18"/>
                <w:color w:val="auto"/>
                <w:w w:val="99"/>
              </w:rPr>
              <w:t>RICHARD B. BLACK,</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7"/>
              </w:rPr>
              <w:t>/s/ CHE-WEI LIN</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50"/>
              <w:spacing w:after="0" w:line="195" w:lineRule="exact"/>
              <w:rPr>
                <w:sz w:val="20"/>
                <w:szCs w:val="20"/>
                <w:color w:val="auto"/>
              </w:rPr>
            </w:pPr>
            <w:r>
              <w:rPr>
                <w:rFonts w:ascii="Arial" w:cs="Arial" w:eastAsia="Arial" w:hAnsi="Arial"/>
                <w:sz w:val="18"/>
                <w:szCs w:val="18"/>
                <w:color w:val="auto"/>
                <w:w w:val="99"/>
              </w:rPr>
              <w:t>CHE-WEI LIN,</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9"/>
              </w:rPr>
              <w:t>/s/ ALEX IGNATIEV</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30"/>
              <w:spacing w:after="0" w:line="195" w:lineRule="exact"/>
              <w:rPr>
                <w:sz w:val="20"/>
                <w:szCs w:val="20"/>
                <w:color w:val="auto"/>
              </w:rPr>
            </w:pPr>
            <w:r>
              <w:rPr>
                <w:rFonts w:ascii="Arial" w:cs="Arial" w:eastAsia="Arial" w:hAnsi="Arial"/>
                <w:sz w:val="18"/>
                <w:szCs w:val="18"/>
                <w:color w:val="auto"/>
                <w:w w:val="98"/>
              </w:rPr>
              <w:t>ALEX IGNATIEV,</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9"/>
              </w:rPr>
              <w:t>/s/ ELIZABETH LOBOA</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30"/>
              <w:spacing w:after="0" w:line="195" w:lineRule="exact"/>
              <w:rPr>
                <w:sz w:val="20"/>
                <w:szCs w:val="20"/>
                <w:color w:val="auto"/>
              </w:rPr>
            </w:pPr>
            <w:r>
              <w:rPr>
                <w:rFonts w:ascii="Arial" w:cs="Arial" w:eastAsia="Arial" w:hAnsi="Arial"/>
                <w:sz w:val="18"/>
                <w:szCs w:val="18"/>
                <w:color w:val="auto"/>
                <w:w w:val="99"/>
              </w:rPr>
              <w:t>ELIZABETH LOBOA,</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8"/>
              </w:rPr>
              <w:t>/s/ MIN-CHU (MIKE) CHEN</w:t>
            </w:r>
          </w:p>
        </w:tc>
        <w:tc>
          <w:tcPr>
            <w:tcW w:w="620" w:type="dxa"/>
            <w:vAlign w:val="bottom"/>
            <w:tcBorders>
              <w:bottom w:val="single" w:sz="8" w:color="auto"/>
            </w:tcBorders>
          </w:tcPr>
          <w:p>
            <w:pPr>
              <w:spacing w:after="0"/>
              <w:rPr>
                <w:sz w:val="24"/>
                <w:szCs w:val="24"/>
                <w:color w:val="auto"/>
              </w:rPr>
            </w:pPr>
          </w:p>
        </w:tc>
        <w:tc>
          <w:tcPr>
            <w:tcW w:w="5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25, 2021</w:t>
            </w:r>
          </w:p>
        </w:tc>
        <w:tc>
          <w:tcPr>
            <w:tcW w:w="0" w:type="dxa"/>
            <w:vAlign w:val="bottom"/>
          </w:tcPr>
          <w:p>
            <w:pPr>
              <w:spacing w:after="0"/>
              <w:rPr>
                <w:sz w:val="1"/>
                <w:szCs w:val="1"/>
                <w:color w:val="auto"/>
              </w:rPr>
            </w:pPr>
          </w:p>
        </w:tc>
      </w:tr>
      <w:tr>
        <w:trPr>
          <w:trHeight w:val="195"/>
        </w:trPr>
        <w:tc>
          <w:tcPr>
            <w:tcW w:w="5000" w:type="dxa"/>
            <w:vAlign w:val="bottom"/>
          </w:tcPr>
          <w:p>
            <w:pPr>
              <w:jc w:val="center"/>
              <w:ind w:left="550"/>
              <w:spacing w:after="0" w:line="195" w:lineRule="exact"/>
              <w:rPr>
                <w:sz w:val="20"/>
                <w:szCs w:val="20"/>
                <w:color w:val="auto"/>
              </w:rPr>
            </w:pPr>
            <w:r>
              <w:rPr>
                <w:rFonts w:ascii="Arial" w:cs="Arial" w:eastAsia="Arial" w:hAnsi="Arial"/>
                <w:sz w:val="18"/>
                <w:szCs w:val="18"/>
                <w:color w:val="auto"/>
                <w:w w:val="99"/>
              </w:rPr>
              <w:t>MIN-CHU (MIKE) CHEN,</w:t>
            </w:r>
          </w:p>
        </w:tc>
        <w:tc>
          <w:tcPr>
            <w:tcW w:w="62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jc w:val="center"/>
              <w:ind w:left="530"/>
              <w:spacing w:after="0"/>
              <w:rPr>
                <w:sz w:val="20"/>
                <w:szCs w:val="20"/>
                <w:color w:val="auto"/>
              </w:rPr>
            </w:pPr>
            <w:r>
              <w:rPr>
                <w:rFonts w:ascii="Arial" w:cs="Arial" w:eastAsia="Arial" w:hAnsi="Arial"/>
                <w:sz w:val="18"/>
                <w:szCs w:val="18"/>
                <w:i w:val="1"/>
                <w:iCs w:val="1"/>
                <w:color w:val="auto"/>
                <w:w w:val="98"/>
              </w:rPr>
              <w:t>Director</w:t>
            </w: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000" w:type="dxa"/>
            <w:vAlign w:val="bottom"/>
          </w:tcPr>
          <w:p>
            <w:pPr>
              <w:spacing w:after="0"/>
              <w:rPr>
                <w:sz w:val="24"/>
                <w:szCs w:val="24"/>
                <w:color w:val="auto"/>
              </w:rPr>
            </w:pPr>
          </w:p>
        </w:tc>
        <w:tc>
          <w:tcPr>
            <w:tcW w:w="5680" w:type="dxa"/>
            <w:vAlign w:val="bottom"/>
            <w:gridSpan w:val="2"/>
          </w:tcPr>
          <w:p>
            <w:pPr>
              <w:jc w:val="right"/>
              <w:ind w:right="487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5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00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Pages</w:t>
            </w:r>
          </w:p>
        </w:tc>
        <w:tc>
          <w:tcPr>
            <w:tcW w:w="0" w:type="dxa"/>
            <w:vAlign w:val="bottom"/>
          </w:tcPr>
          <w:p>
            <w:pPr>
              <w:spacing w:after="0"/>
              <w:rPr>
                <w:sz w:val="1"/>
                <w:szCs w:val="1"/>
                <w:color w:val="auto"/>
              </w:rPr>
            </w:pPr>
          </w:p>
        </w:tc>
      </w:tr>
      <w:tr>
        <w:trPr>
          <w:trHeight w:val="425"/>
        </w:trPr>
        <w:tc>
          <w:tcPr>
            <w:tcW w:w="500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432"/>
        </w:trPr>
        <w:tc>
          <w:tcPr>
            <w:tcW w:w="500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Balance Sheets</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432"/>
        </w:trPr>
        <w:tc>
          <w:tcPr>
            <w:tcW w:w="50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Operations</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432"/>
        </w:trPr>
        <w:tc>
          <w:tcPr>
            <w:tcW w:w="50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Comprehensive Income (Loss)</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432"/>
        </w:trPr>
        <w:tc>
          <w:tcPr>
            <w:tcW w:w="500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Stockholders’ Equity</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32"/>
        </w:trPr>
        <w:tc>
          <w:tcPr>
            <w:tcW w:w="500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Consolidated Statements of Cash Flows</w:t>
              </w:r>
            </w:hyperlink>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-2725420</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Notes to Consolidated Financial Statements</w:t>
              </w:r>
            </w:hyperlink>
          </w:p>
        </w:tc>
        <w:tc>
          <w:tcPr>
            <w:tcW w:w="4080" w:type="dxa"/>
            <w:vAlign w:val="bottom"/>
          </w:tcPr>
          <w:p>
            <w:pPr>
              <w:ind w:left="3840"/>
              <w:spacing w:after="0"/>
              <w:rPr>
                <w:sz w:val="20"/>
                <w:szCs w:val="20"/>
                <w:color w:val="auto"/>
              </w:rPr>
            </w:pPr>
            <w:r>
              <w:rPr>
                <w:rFonts w:ascii="Arial" w:cs="Arial" w:eastAsia="Arial" w:hAnsi="Arial"/>
                <w:sz w:val="18"/>
                <w:szCs w:val="18"/>
                <w:color w:val="auto"/>
                <w:w w:val="81"/>
              </w:rPr>
              <w:t>F-9</w:t>
            </w:r>
          </w:p>
        </w:tc>
      </w:tr>
    </w:tbl>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140" w:right="40"/>
        <w:spacing w:after="0" w:line="265" w:lineRule="auto"/>
        <w:rPr>
          <w:sz w:val="20"/>
          <w:szCs w:val="20"/>
          <w:color w:val="auto"/>
        </w:rPr>
      </w:pPr>
      <w:r>
        <w:rPr>
          <w:rFonts w:ascii="Arial" w:cs="Arial" w:eastAsia="Arial" w:hAnsi="Arial"/>
          <w:sz w:val="17"/>
          <w:szCs w:val="17"/>
          <w:color w:val="auto"/>
        </w:rPr>
        <w:t>We have audited the accompanying consolidated balance sheets of Applied Optoelectronics, Inc. (a Delaware corporation) and subsidiaries (the “Company”) as of December 31, 2020 and 2019, the related consolidated statements of operations, comprehensive income (loss), changes in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 w:lineRule="exact"/>
        <w:rPr>
          <w:sz w:val="20"/>
          <w:szCs w:val="20"/>
          <w:color w:val="auto"/>
        </w:rPr>
      </w:pPr>
    </w:p>
    <w:p>
      <w:pPr>
        <w:ind w:left="140" w:right="300"/>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February 25, 2021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140" w:right="40"/>
        <w:spacing w:after="0" w:line="250"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left="140"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left="140"/>
        <w:spacing w:after="0" w:line="271"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Inventory Reserve</w:t>
      </w:r>
    </w:p>
    <w:p>
      <w:pPr>
        <w:spacing w:after="0" w:line="225" w:lineRule="exact"/>
        <w:rPr>
          <w:sz w:val="20"/>
          <w:szCs w:val="20"/>
          <w:color w:val="auto"/>
        </w:rPr>
      </w:pPr>
    </w:p>
    <w:p>
      <w:pPr>
        <w:jc w:val="both"/>
        <w:ind w:left="140" w:right="80"/>
        <w:spacing w:after="0" w:line="279" w:lineRule="auto"/>
        <w:rPr>
          <w:sz w:val="20"/>
          <w:szCs w:val="20"/>
          <w:color w:val="auto"/>
        </w:rPr>
      </w:pPr>
      <w:r>
        <w:rPr>
          <w:rFonts w:ascii="Arial" w:cs="Arial" w:eastAsia="Arial" w:hAnsi="Arial"/>
          <w:sz w:val="17"/>
          <w:szCs w:val="17"/>
          <w:color w:val="auto"/>
        </w:rPr>
        <w:t>As described further in Note B to the financial statements, the Company's inventories are stated at the lower of cost or market. The Company assesses the valuation of its inventory on a periodic basis and provides an allowance based on several factors including products’ life span, historical changes in valuation and write-offs, and management’s estimates of future demand. One significant estimate and assumption that impacts the financial statements is inventory reserve. We identified the accounting for inventory reserve as a critical audit matter.</w:t>
      </w:r>
    </w:p>
    <w:p>
      <w:pPr>
        <w:spacing w:after="0" w:line="171" w:lineRule="exact"/>
        <w:rPr>
          <w:sz w:val="20"/>
          <w:szCs w:val="20"/>
          <w:color w:val="auto"/>
        </w:rPr>
      </w:pPr>
    </w:p>
    <w:p>
      <w:pPr>
        <w:ind w:left="140" w:right="20"/>
        <w:spacing w:after="0" w:line="255" w:lineRule="auto"/>
        <w:rPr>
          <w:sz w:val="20"/>
          <w:szCs w:val="20"/>
          <w:color w:val="auto"/>
        </w:rPr>
      </w:pPr>
      <w:r>
        <w:rPr>
          <w:rFonts w:ascii="Arial" w:cs="Arial" w:eastAsia="Arial" w:hAnsi="Arial"/>
          <w:sz w:val="18"/>
          <w:szCs w:val="18"/>
          <w:color w:val="auto"/>
        </w:rPr>
        <w:t>The principal considerations for our determination that accounting for inventory reserve is a critical audit matter are the judgments and estimates associated with management’s determination of lower of cost or market adjustments, due to the nature of the inputs and assumptions used in the process and are subject to estimation uncertainty and require auditor subjectivity in evaluating reasonableness. Management developed certain percentages that determine the extent of any lower of cost or market adjustments based on the age of the inventory. Such percentages were determined through analysis of the inventory to determine each product's lifespan, a review historical write-offs or scrapped inventory, and an assessment by product engineers of the possibility of obsolescence for each product.</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audit procedures related to the accounting for inventory reserve included the following:</w:t>
      </w:r>
    </w:p>
    <w:p>
      <w:pPr>
        <w:spacing w:after="0" w:line="225" w:lineRule="exact"/>
        <w:rPr>
          <w:sz w:val="20"/>
          <w:szCs w:val="20"/>
          <w:color w:val="auto"/>
        </w:rPr>
      </w:pPr>
    </w:p>
    <w:p>
      <w:pPr>
        <w:ind w:left="960" w:hanging="250"/>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assessed the qualifications and competence of management and evaluated the methodologies used to determine the inventory reserve;</w:t>
      </w:r>
    </w:p>
    <w:p>
      <w:pPr>
        <w:spacing w:after="0" w:line="248" w:lineRule="exact"/>
        <w:rPr>
          <w:rFonts w:ascii="Arial" w:cs="Arial" w:eastAsia="Arial" w:hAnsi="Arial"/>
          <w:sz w:val="16"/>
          <w:szCs w:val="16"/>
          <w:color w:val="auto"/>
        </w:rPr>
      </w:pPr>
    </w:p>
    <w:p>
      <w:pPr>
        <w:ind w:left="960" w:right="500" w:hanging="25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related to the accounting for the inventory reserve, including controls relating to management’s development of the reserve;</w:t>
      </w:r>
    </w:p>
    <w:p>
      <w:pPr>
        <w:spacing w:after="0" w:line="170" w:lineRule="exact"/>
        <w:rPr>
          <w:rFonts w:ascii="Arial" w:cs="Arial" w:eastAsia="Arial" w:hAnsi="Arial"/>
          <w:sz w:val="18"/>
          <w:szCs w:val="18"/>
          <w:color w:val="auto"/>
        </w:rPr>
      </w:pPr>
    </w:p>
    <w:p>
      <w:pPr>
        <w:ind w:left="960" w:hanging="25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recalculated the unit price and agreed such unit price to inventory details;</w:t>
      </w:r>
    </w:p>
    <w:p>
      <w:pPr>
        <w:spacing w:after="0" w:line="170" w:lineRule="exact"/>
        <w:rPr>
          <w:rFonts w:ascii="Arial" w:cs="Arial" w:eastAsia="Arial" w:hAnsi="Arial"/>
          <w:sz w:val="18"/>
          <w:szCs w:val="18"/>
          <w:color w:val="auto"/>
        </w:rPr>
      </w:pPr>
    </w:p>
    <w:p>
      <w:pPr>
        <w:ind w:left="960" w:right="540" w:hanging="25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selected inventory items to re-age;</w:t>
      </w:r>
    </w:p>
    <w:p>
      <w:pPr>
        <w:spacing w:after="0" w:line="170" w:lineRule="exact"/>
        <w:rPr>
          <w:rFonts w:ascii="Arial" w:cs="Arial" w:eastAsia="Arial" w:hAnsi="Arial"/>
          <w:sz w:val="18"/>
          <w:szCs w:val="18"/>
          <w:color w:val="auto"/>
        </w:rPr>
      </w:pPr>
    </w:p>
    <w:p>
      <w:pPr>
        <w:ind w:left="960" w:hanging="25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recalculated the inventory reserve;</w:t>
      </w:r>
    </w:p>
    <w:p>
      <w:pPr>
        <w:sectPr>
          <w:pgSz w:w="11900" w:h="16838" w:orient="portrait"/>
          <w:cols w:equalWidth="0" w:num="1">
            <w:col w:w="11100"/>
          </w:cols>
          <w:pgMar w:left="320" w:top="341" w:right="479" w:bottom="0" w:gutter="0" w:footer="0" w:header="0"/>
        </w:sectPr>
      </w:pPr>
    </w:p>
    <w:bookmarkStart w:id="48" w:name="page49"/>
    <w:bookmarkEnd w:id="48"/>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left="140" w:right="260"/>
        <w:spacing w:after="0" w:line="270" w:lineRule="auto"/>
        <w:rPr>
          <w:sz w:val="20"/>
          <w:szCs w:val="20"/>
          <w:color w:val="auto"/>
        </w:rPr>
      </w:pPr>
      <w:r>
        <w:rPr>
          <w:rFonts w:ascii="Arial" w:cs="Arial" w:eastAsia="Arial" w:hAnsi="Arial"/>
          <w:sz w:val="17"/>
          <w:szCs w:val="17"/>
          <w:color w:val="auto"/>
        </w:rPr>
        <w:t>As described further in Note B to the financial statements, The Company accounts for impairment of long-lived assets in accordance with ASC 360, Property, Plant and Equipment, (“ASC 360”). Long-lived assets consist primarily of property, plant and equipment, right-of-use assets and intangible assets.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If assets are determined not to be recoverable, the Company performs an analysis of the fair value of the asset group and will recognize an impairment loss when the fair value is less than the carrying amounts of such assets. The undiscounted future net cash flows, and any subsequent fair value determination, are based on assumptions and projections that require subjective judgments. We identified the long-lived assets impairment assessment and testing as a critical audit matter.</w:t>
      </w:r>
    </w:p>
    <w:p>
      <w:pPr>
        <w:spacing w:after="0" w:line="181" w:lineRule="exact"/>
        <w:rPr>
          <w:sz w:val="20"/>
          <w:szCs w:val="20"/>
          <w:color w:val="auto"/>
        </w:rPr>
      </w:pPr>
    </w:p>
    <w:p>
      <w:pPr>
        <w:ind w:left="140" w:right="340"/>
        <w:spacing w:after="0" w:line="271" w:lineRule="auto"/>
        <w:rPr>
          <w:sz w:val="20"/>
          <w:szCs w:val="20"/>
          <w:color w:val="auto"/>
        </w:rPr>
      </w:pPr>
      <w:r>
        <w:rPr>
          <w:rFonts w:ascii="Arial" w:cs="Arial" w:eastAsia="Arial" w:hAnsi="Arial"/>
          <w:sz w:val="17"/>
          <w:szCs w:val="17"/>
          <w:color w:val="auto"/>
        </w:rPr>
        <w:t>The principal consideration for our determination that the accounting for impairment of long-lived assets represents a critical audit matter is the judgments and assumptions associated with management’s determination of the recoverability of the long-lived assets including any subsequent fair value assessments. Auditing the undiscounted future net cash flows involved a high degree of subjectivity, auditor judgment and audit effort in evaluating management’s significant assumptions primarily due to the complexity of the cash flow models used, as well as the sensitivity of the underlying significant assumptions. The Company used an undiscounted cash flow model to assess the recoverability of the long-lived assets, which included assumptions such as revenue growth rates, operating expenses, earnings before interest, taxes, depreciation, and amortization (“EBITDA”) margins, capital expenditures asset grouping, forecasting period and future sales values. These significant assumptions are forward-looking and could be affected by future economic and market conditions.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audit procedures related to the accounting for impairment of long-lived assets included the following:</w:t>
      </w:r>
    </w:p>
    <w:p>
      <w:pPr>
        <w:spacing w:after="0" w:line="225" w:lineRule="exact"/>
        <w:rPr>
          <w:sz w:val="20"/>
          <w:szCs w:val="20"/>
          <w:color w:val="auto"/>
        </w:rPr>
      </w:pPr>
    </w:p>
    <w:p>
      <w:pPr>
        <w:ind w:left="960" w:right="400" w:hanging="25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assessed the qualifications and competence of management and evaluated the methodologies used to determine the fair value of long-lived assets;</w:t>
      </w:r>
    </w:p>
    <w:p>
      <w:pPr>
        <w:spacing w:after="0" w:line="170" w:lineRule="exact"/>
        <w:rPr>
          <w:rFonts w:ascii="Arial" w:cs="Arial" w:eastAsia="Arial" w:hAnsi="Arial"/>
          <w:sz w:val="18"/>
          <w:szCs w:val="18"/>
          <w:color w:val="auto"/>
        </w:rPr>
      </w:pPr>
    </w:p>
    <w:p>
      <w:pPr>
        <w:ind w:left="960" w:right="700" w:hanging="250"/>
        <w:spacing w:after="0" w:line="311"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tested the design and operating effectiveness of key controls related to the accounting for possible impairment, including controls relating to management’s development of forecasts for revenue growth rates, operating expenses, earnings before interest, taxes, depreciation, and amortization (“EBITDA”) margins, capital expenditures asset grouping, forecasting period and future sales values;</w:t>
      </w:r>
    </w:p>
    <w:p>
      <w:pPr>
        <w:spacing w:after="0" w:line="148" w:lineRule="exact"/>
        <w:rPr>
          <w:rFonts w:ascii="Arial" w:cs="Arial" w:eastAsia="Arial" w:hAnsi="Arial"/>
          <w:sz w:val="16"/>
          <w:szCs w:val="16"/>
          <w:color w:val="auto"/>
        </w:rPr>
      </w:pPr>
    </w:p>
    <w:p>
      <w:pPr>
        <w:ind w:left="960" w:right="260" w:hanging="250"/>
        <w:spacing w:after="0" w:line="259"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assumptions, including the testing of underlying source information and the mathematical accuracy of the calculations, used within the undiscounted cash-flow models to estimate the recoverability of long-lived assets which included assumptions such as, revenue growth rates, operating expenses, earnings before interest, taxes, depreciation, and amortization (“EBITDA”) margins, capital expenditures asset grouping, forecasting period and future sales values;</w:t>
      </w:r>
    </w:p>
    <w:p>
      <w:pPr>
        <w:spacing w:after="0" w:line="186" w:lineRule="exact"/>
        <w:rPr>
          <w:rFonts w:ascii="Arial" w:cs="Arial" w:eastAsia="Arial" w:hAnsi="Arial"/>
          <w:sz w:val="18"/>
          <w:szCs w:val="18"/>
          <w:color w:val="auto"/>
        </w:rPr>
      </w:pPr>
    </w:p>
    <w:p>
      <w:pPr>
        <w:ind w:left="960" w:hanging="250"/>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tested the Company’s ability to forecast future cash flows by reviewing actual results compared to amounts previously forecasted;</w:t>
      </w:r>
    </w:p>
    <w:p>
      <w:pPr>
        <w:spacing w:after="0" w:line="236" w:lineRule="exact"/>
        <w:rPr>
          <w:rFonts w:ascii="Arial" w:cs="Arial" w:eastAsia="Arial" w:hAnsi="Arial"/>
          <w:sz w:val="17"/>
          <w:szCs w:val="17"/>
          <w:color w:val="auto"/>
        </w:rPr>
      </w:pPr>
    </w:p>
    <w:p>
      <w:pPr>
        <w:ind w:left="960" w:hanging="250"/>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sensitivity of the undiscounted cash flows utilized in the recoverability 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000" w:type="dxa"/>
            <w:vAlign w:val="bottom"/>
          </w:tcPr>
          <w:p>
            <w:pPr>
              <w:jc w:val="center"/>
              <w:ind w:left="31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1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7,051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$62 and $30, respectively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85,028</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bl>
    <w:p>
      <w:pPr>
        <w:sectPr>
          <w:pgSz w:w="11900" w:h="16932" w:orient="portrait"/>
          <w:cols w:equalWidth="0" w:num="1">
            <w:col w:w="11240"/>
          </w:cols>
          <w:pgMar w:left="320" w:top="557" w:right="3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192,804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248,444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Land use rights, net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right of use asset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Financing right of use asset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7,287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480,805</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466,825</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32,828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acceptance payable</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lease liability - operating</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liability - financing</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16,552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77,041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lease liability - operating</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7,983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lease liability - financing</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202,914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193,031</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9"/>
              </w:rPr>
              <w:t>Preferred Stock; 5,000 shares authorized at $0.001 par value; no shares issued and outstanding at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December 31, 2020 and December 31, 2019,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25,110 and 20,104 shares issued and</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December 31, 2020 and December 31, 2019, respectively</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303,401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(88,509)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(30,057)</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480,805</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466,825</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234,623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190,872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267,465</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184,082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144,671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179,692</w:t>
            </w: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87,773</w:t>
            </w:r>
          </w:p>
        </w:tc>
      </w:tr>
      <w:tr>
        <w:trPr>
          <w:trHeight w:val="210"/>
        </w:trPr>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49,903</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14,087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9,141</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39,497</w:t>
            </w:r>
          </w:p>
        </w:tc>
      </w:tr>
      <w:tr>
        <w:trPr>
          <w:trHeight w:val="20"/>
        </w:trPr>
        <w:tc>
          <w:tcPr>
            <w:tcW w:w="53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99,383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94,948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98,541</w:t>
            </w: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(10,768)</w:t>
            </w:r>
          </w:p>
        </w:tc>
      </w:tr>
      <w:tr>
        <w:trPr>
          <w:trHeight w:val="209"/>
        </w:trPr>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(5,635)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0"/>
        </w:trPr>
        <w:tc>
          <w:tcPr>
            <w:tcW w:w="53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(2,382)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(7,228)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7,632</w:t>
            </w: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(58,452)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r>
      <w:tr>
        <w:trPr>
          <w:trHeight w:val="197"/>
        </w:trPr>
        <w:tc>
          <w:tcPr>
            <w:tcW w:w="53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loss per share</w:t>
            </w:r>
          </w:p>
        </w:tc>
        <w:tc>
          <w:tcPr>
            <w:tcW w:w="9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16"/>
        </w:trPr>
        <w:tc>
          <w:tcPr>
            <w:tcW w:w="5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21,866,630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19,982,363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19,646,646</w:t>
            </w: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21,866,630</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19,982,363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19,646,646</w:t>
            </w:r>
          </w:p>
        </w:tc>
      </w:tr>
    </w:tbl>
    <w:p>
      <w:pPr>
        <w:sectPr>
          <w:pgSz w:w="11900" w:h="16838" w:orient="portrait"/>
          <w:cols w:equalWidth="0" w:num="1">
            <w:col w:w="11240"/>
          </w:cols>
          <w:pgMar w:left="320" w:top="140" w:right="339" w:bottom="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Applied Optoelectronics, Inc. and Subsidiaries CONSOLIDATED STATEMENTS OF COMPREHENSIVE INCOME (LOSS)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(58,452)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Gain/(Loss) on foreign currency translation adjustment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11,260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(9,141)</w:t>
            </w: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(47,192)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(11,287)</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2019 and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214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Preferred Stock</w:t>
            </w:r>
          </w:p>
        </w:tc>
        <w:tc>
          <w:tcPr>
            <w:tcW w:w="2040" w:type="dxa"/>
            <w:vAlign w:val="bottom"/>
            <w:gridSpan w:val="6"/>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6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204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60" w:type="dxa"/>
            <w:vAlign w:val="bottom"/>
          </w:tcPr>
          <w:p>
            <w:pPr>
              <w:spacing w:after="0"/>
              <w:rPr>
                <w:sz w:val="16"/>
                <w:szCs w:val="16"/>
                <w:color w:val="auto"/>
              </w:rPr>
            </w:pPr>
          </w:p>
        </w:tc>
        <w:tc>
          <w:tcPr>
            <w:tcW w:w="8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Number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paid-in</w:t>
            </w:r>
          </w:p>
        </w:tc>
        <w:tc>
          <w:tcPr>
            <w:tcW w:w="136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5"/>
              </w:rPr>
              <w:t>comprehensive</w:t>
            </w:r>
          </w:p>
        </w:tc>
        <w:tc>
          <w:tcPr>
            <w:tcW w:w="80" w:type="dxa"/>
            <w:vAlign w:val="bottom"/>
          </w:tcPr>
          <w:p>
            <w:pPr>
              <w:spacing w:after="0"/>
              <w:rPr>
                <w:sz w:val="16"/>
                <w:szCs w:val="16"/>
                <w:color w:val="auto"/>
              </w:rPr>
            </w:pPr>
          </w:p>
        </w:tc>
        <w:tc>
          <w:tcPr>
            <w:tcW w:w="12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of 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2"/>
              </w:rPr>
              <w:t>of 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gain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285,376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333,276</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previously unrecognized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tax benefits</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292,480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35,992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329,094</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(66,049)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(66,049)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303,401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(30,057)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273,794</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Public offering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common stock, net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39,306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39,310</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(58,452)</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rPr>
              <w:t>December 31, 2020</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354,685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11,690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(88,509)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277,891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(58,452)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(66,049)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Adjustments to reconcile net loss to net cash provided by 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Allowance of bad debt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24,733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29,698</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7,348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13,046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11,120</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gain (loss)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trade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29,316</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(23,674)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(28,403)</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(2,939)</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Operating right of use asset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(13,714)</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(7,390)</w:t>
            </w: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by 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(44,009)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14,029</w:t>
            </w:r>
          </w:p>
        </w:tc>
      </w:tr>
      <w:tr>
        <w:trPr>
          <w:trHeight w:val="210"/>
        </w:trPr>
        <w:tc>
          <w:tcPr>
            <w:tcW w:w="6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(15,795)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(28,789)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(71,854)</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land use rights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(5,591)</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Proceeds from disposal of equipment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prepaid for equipment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(19,347)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(76,514)</w:t>
            </w:r>
          </w:p>
        </w:tc>
      </w:tr>
      <w:tr>
        <w:trPr>
          <w:trHeight w:val="210"/>
        </w:trPr>
        <w:tc>
          <w:tcPr>
            <w:tcW w:w="6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6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Proceeds from issuance of notes payable and long-term debt, net of debt issuance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47,849</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(5,233)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(3,133)</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95,730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155,078</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(96,006)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(88,299)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(165,569)</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bank acceptance payable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39,958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w:t>
            </w: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Repayments of bank acceptance payable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(31,338)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(11,952)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Proceeds from issuance of convertible senior notes, net of debt issuance costs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Principal payments of financing lease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02"/>
        </w:trPr>
        <w:tc>
          <w:tcPr>
            <w:tcW w:w="6160" w:type="dxa"/>
            <w:vAlign w:val="bottom"/>
          </w:tcPr>
          <w:p>
            <w:pPr>
              <w:ind w:left="180"/>
              <w:spacing w:after="0" w:line="201" w:lineRule="exact"/>
              <w:rPr>
                <w:sz w:val="20"/>
                <w:szCs w:val="20"/>
                <w:color w:val="auto"/>
              </w:rPr>
            </w:pPr>
            <w:r>
              <w:rPr>
                <w:rFonts w:ascii="Arial" w:cs="Arial" w:eastAsia="Arial" w:hAnsi="Arial"/>
                <w:sz w:val="18"/>
                <w:szCs w:val="18"/>
                <w:color w:val="auto"/>
                <w:w w:val="99"/>
              </w:rPr>
              <w:t>Payments of tax withholding on behalf of employees related to share-based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(1,080)</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(4,137)</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39,203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47,441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34,803</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0"/>
        </w:trPr>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(16,914)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(25,944)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67,028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83,948</w:t>
            </w:r>
          </w:p>
        </w:tc>
      </w:tr>
      <w:tr>
        <w:trPr>
          <w:trHeight w:val="20"/>
        </w:trPr>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50,114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67,028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58,004</w:t>
            </w: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Cash paid (received) for:</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40"/>
              <w:spacing w:after="0"/>
              <w:rPr>
                <w:sz w:val="20"/>
                <w:szCs w:val="20"/>
                <w:color w:val="auto"/>
              </w:rPr>
            </w:pPr>
            <w:r>
              <w:rPr>
                <w:rFonts w:ascii="Arial" w:cs="Arial" w:eastAsia="Arial" w:hAnsi="Arial"/>
                <w:sz w:val="18"/>
                <w:szCs w:val="18"/>
                <w:color w:val="auto"/>
                <w:w w:val="95"/>
              </w:rPr>
              <w:t>Net change in accounts payable related to property and equipment additions</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3,869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(1,151)</w:t>
            </w:r>
          </w:p>
        </w:tc>
      </w:tr>
      <w:tr>
        <w:trPr>
          <w:trHeight w:val="202"/>
        </w:trPr>
        <w:tc>
          <w:tcPr>
            <w:tcW w:w="6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Net change in deposits and prepaid for equipment related to property and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equipment additions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6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40" w:firstLine="648"/>
        <w:spacing w:after="0" w:line="263"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4"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The Company considers all highly liquid securities with an original maturity of ninety days or less from the date of purchase to be cash equivalents. Cash in foreign accounts was approximately $10.7 million and $15.1 million at December 31, 2020 and 2019, respectively.</w:t>
      </w:r>
    </w:p>
    <w:p>
      <w:pPr>
        <w:spacing w:after="0" w:line="12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2020, approximately $38.7 million of U.S. deposits were not covered by FDIC insurance. The Company has not experienced any losses and believes it is not exposed to any significant risk with such accounts.</w:t>
      </w:r>
    </w:p>
    <w:p>
      <w:pPr>
        <w:spacing w:after="0" w:line="15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includes guarantee deposits for customs duties and compensating balances associated with credit facilities.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8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2020, 2019 and 2018, its top five customers represented 73.3%, 80.7%, and 85.7% of its revenue, respectively. In 2020, Microsoft and Amazon represented 38.3% and 11.5% of its revenue, respectively. In 2019, Microsoft, Amazon, Facebook and Cisco represented 32.2%, 24.0%, 10.9%, and 10.0% of its revenue, respectively. The five largest receivable balances for customers represented an aggregate of 64.6% and 82.0% of total accounts receivable at December 31, 2020 and 2019, respectively. As of December 31, 2020, Microsoft and Amazon represented 20.9% and 8.5% of total accounts receivable, respectively. As of December 31, 2019, Microsoft and Amazon represented 32.0%, and 33.0% of total accounts receivable, respectively. No other customer represented greater than ten percent of revenue in 2020, 2019 or 2018 had greater than ten percent of total accounts receivable at December 31, 2020 or 2019.</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8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ind w:left="1820"/>
              <w:spacing w:after="0"/>
              <w:rPr>
                <w:sz w:val="20"/>
                <w:szCs w:val="20"/>
                <w:color w:val="auto"/>
              </w:rPr>
            </w:pPr>
            <w:r>
              <w:rPr>
                <w:rFonts w:ascii="Arial" w:cs="Arial" w:eastAsia="Arial" w:hAnsi="Arial"/>
                <w:sz w:val="18"/>
                <w:szCs w:val="18"/>
                <w:b w:val="1"/>
                <w:bCs w:val="1"/>
                <w:color w:val="auto"/>
              </w:rPr>
              <w:t>Useful lives (in years)</w:t>
            </w:r>
          </w:p>
        </w:tc>
      </w:tr>
      <w:tr>
        <w:trPr>
          <w:trHeight w:val="210"/>
        </w:trPr>
        <w:tc>
          <w:tcPr>
            <w:tcW w:w="5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Land improvements</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w:t>
            </w:r>
          </w:p>
        </w:tc>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3</w:t>
            </w:r>
          </w:p>
        </w:tc>
        <w:tc>
          <w:tcPr>
            <w:tcW w:w="5520" w:type="dxa"/>
            <w:vAlign w:val="bottom"/>
          </w:tcPr>
          <w:p>
            <w:pPr>
              <w:ind w:left="40"/>
              <w:spacing w:after="0"/>
              <w:rPr>
                <w:sz w:val="20"/>
                <w:szCs w:val="20"/>
                <w:color w:val="auto"/>
              </w:rPr>
            </w:pPr>
            <w:r>
              <w:rPr>
                <w:rFonts w:ascii="Arial" w:cs="Arial" w:eastAsia="Arial" w:hAnsi="Arial"/>
                <w:sz w:val="18"/>
                <w:szCs w:val="18"/>
                <w:color w:val="auto"/>
              </w:rPr>
              <w:t>- 7</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w:t>
            </w:r>
          </w:p>
        </w:tc>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w:t>
            </w:r>
          </w:p>
        </w:tc>
        <w:tc>
          <w:tcPr>
            <w:tcW w:w="100" w:type="dxa"/>
            <w:vAlign w:val="bottom"/>
            <w:shd w:val="clear" w:color="auto" w:fill="CCEEFF"/>
          </w:tcPr>
          <w:p>
            <w:pPr>
              <w:spacing w:after="0"/>
              <w:rPr>
                <w:sz w:val="18"/>
                <w:szCs w:val="18"/>
                <w:color w:val="auto"/>
              </w:rPr>
            </w:pPr>
          </w:p>
        </w:tc>
      </w:tr>
      <w:tr>
        <w:trPr>
          <w:trHeight w:val="202"/>
        </w:trPr>
        <w:tc>
          <w:tcPr>
            <w:tcW w:w="5400" w:type="dxa"/>
            <w:vAlign w:val="bottom"/>
          </w:tcPr>
          <w:p>
            <w:pPr>
              <w:spacing w:after="0"/>
              <w:rPr>
                <w:sz w:val="17"/>
                <w:szCs w:val="17"/>
                <w:color w:val="auto"/>
              </w:rPr>
            </w:pPr>
          </w:p>
        </w:tc>
        <w:tc>
          <w:tcPr>
            <w:tcW w:w="5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The shorter of the life of the applicable lease or the useful life of the</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40" w:type="dxa"/>
            <w:vAlign w:val="bottom"/>
            <w:gridSpan w:val="3"/>
          </w:tcPr>
          <w:p>
            <w:pPr>
              <w:ind w:left="120"/>
              <w:spacing w:after="0"/>
              <w:rPr>
                <w:sz w:val="20"/>
                <w:szCs w:val="20"/>
                <w:color w:val="auto"/>
              </w:rPr>
            </w:pPr>
            <w:r>
              <w:rPr>
                <w:rFonts w:ascii="Arial" w:cs="Arial" w:eastAsia="Arial" w:hAnsi="Arial"/>
                <w:sz w:val="18"/>
                <w:szCs w:val="18"/>
                <w:color w:val="auto"/>
              </w:rPr>
              <w:t>improvement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w:t>
            </w: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8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Intangible assets consist of intellectual property that is stated at cost less accumulated amortization. As of December 31, 2020, the Company had 295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w:t>
      </w:r>
      <w:r>
        <w:rPr>
          <w:rFonts w:ascii="Arial" w:cs="Arial" w:eastAsia="Arial" w:hAnsi="Arial"/>
          <w:sz w:val="16"/>
          <w:szCs w:val="16"/>
          <w:color w:val="auto"/>
        </w:rPr>
        <w:t xml:space="preserve"> </w:t>
      </w:r>
      <w:r>
        <w:rPr>
          <w:rFonts w:ascii="Arial" w:cs="Arial" w:eastAsia="Arial" w:hAnsi="Arial"/>
          <w:sz w:val="16"/>
          <w:szCs w:val="16"/>
          <w:i w:val="1"/>
          <w:iCs w:val="1"/>
          <w:color w:val="auto"/>
        </w:rPr>
        <w:t>and Equipment</w:t>
      </w:r>
      <w:r>
        <w:rPr>
          <w:rFonts w:ascii="Arial" w:cs="Arial" w:eastAsia="Arial" w:hAnsi="Arial"/>
          <w:sz w:val="16"/>
          <w:szCs w:val="16"/>
          <w:color w:val="auto"/>
        </w:rPr>
        <w:t>, (“ASC 360”). Long-lived assets consist primarily of property, plant and equipment, right-of-use assets and intangible assets.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2020, 2019 or 2018.</w:t>
      </w:r>
    </w:p>
    <w:p>
      <w:pPr>
        <w:spacing w:after="0" w:line="168"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(“ASC 220”) establishes rules for reporting and display of comprehensive income and its components.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ASC 220 requires that unrealized gains and losses on the Company’s foreign currency translation adjustments be included in comprehensive income (loss).</w:t>
      </w:r>
    </w:p>
    <w:p>
      <w:pPr>
        <w:spacing w:after="0" w:line="23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49"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Specifically, the Company recognizes revenue when obligations under the terms of a contract with its customer are satisfied; generally this occurs with the transfer of control of products or services.</w:t>
      </w:r>
    </w:p>
    <w:p>
      <w:pPr>
        <w:spacing w:after="0" w:line="18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2020 and 2019, the amount of accrued warranty was $0.7 million and $0.8 million, respectively. Changes in products warranty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Warranty costs incurred</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warranty</w:t>
            </w: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tcPr>
          <w:p>
            <w:pPr>
              <w:spacing w:after="0"/>
              <w:rPr>
                <w:sz w:val="20"/>
                <w:szCs w:val="20"/>
                <w:color w:val="auto"/>
              </w:rPr>
            </w:pPr>
            <w:r>
              <w:rPr>
                <w:rFonts w:ascii="Arial" w:cs="Arial" w:eastAsia="Arial" w:hAnsi="Arial"/>
                <w:sz w:val="18"/>
                <w:szCs w:val="18"/>
                <w:color w:val="auto"/>
              </w:rPr>
              <w:t>Ending Balance, December 31</w:t>
            </w:r>
          </w:p>
        </w:tc>
        <w:tc>
          <w:tcPr>
            <w:tcW w:w="3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17.</w:t>
            </w:r>
          </w:p>
        </w:tc>
        <w:tc>
          <w:tcPr>
            <w:tcW w:w="38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Advertising Costs</w:t>
            </w:r>
          </w:p>
        </w:tc>
        <w:tc>
          <w:tcPr>
            <w:tcW w:w="2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$0.4 million, $0.5 million, and $0.5 million for the years ended December 31, 2020,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Research and development costs are charged to operations as incurred. The Company receives reimbursement for certain development costs, which are capitalized when incurred, up to the reimbursable amount.</w:t>
      </w:r>
    </w:p>
    <w:p>
      <w:pPr>
        <w:spacing w:after="0" w:line="1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right="580" w:firstLine="648"/>
        <w:spacing w:after="0" w:line="342" w:lineRule="auto"/>
        <w:rPr>
          <w:sz w:val="20"/>
          <w:szCs w:val="20"/>
          <w:color w:val="auto"/>
        </w:rPr>
      </w:pPr>
      <w:r>
        <w:rPr>
          <w:rFonts w:ascii="Arial" w:cs="Arial" w:eastAsia="Arial" w:hAnsi="Arial"/>
          <w:sz w:val="16"/>
          <w:szCs w:val="16"/>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spacing w:after="0" w:line="12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7" w:lineRule="exact"/>
        <w:rPr>
          <w:sz w:val="20"/>
          <w:szCs w:val="20"/>
          <w:color w:val="auto"/>
        </w:rPr>
      </w:pPr>
    </w:p>
    <w:p>
      <w:pPr>
        <w:jc w:val="both"/>
        <w:ind w:right="720" w:firstLine="648"/>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2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Global Intangible Low-taxed Income Provisions ("GILTI")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 the base broadening provisions of the U.S. Tax Cuts and Jobs Act of 2017 (“the 2017 Act”)</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is the global intangible low-taxed income provisions ("GILTI"). In accordance with guidance issued by the FASB staff, the Company has adopted an accounting policy to treat any GILTI inclusions as a period cost if and when incurred. Thus, for the fiscal years ended December 31, 2020, December 31, 2019, and December 31, 2018, deferred taxes were computed without consideration of the possible future impact of the GILTI provisions, and any current year impact was recorded as a part of the current portion of income tax expense.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Recent Accounting Pronouncements Adopted in 2020</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Accounting Standards Board ("FASB") issued Accounting Standards Update ("ASU") </w:t>
      </w:r>
      <w:r>
        <w:rPr>
          <w:rFonts w:ascii="Arial" w:cs="Arial" w:eastAsia="Arial" w:hAnsi="Arial"/>
          <w:sz w:val="17"/>
          <w:szCs w:val="17"/>
          <w:i w:val="1"/>
          <w:iCs w:val="1"/>
          <w:color w:val="auto"/>
        </w:rPr>
        <w:t>2016</w:t>
      </w:r>
      <w:r>
        <w:rPr>
          <w:rFonts w:ascii="Arial" w:cs="Arial" w:eastAsia="Arial" w:hAnsi="Arial"/>
          <w:sz w:val="17"/>
          <w:szCs w:val="17"/>
          <w:color w:val="auto"/>
        </w:rPr>
        <w:t>-</w:t>
      </w:r>
      <w:r>
        <w:rPr>
          <w:rFonts w:ascii="Arial" w:cs="Arial" w:eastAsia="Arial" w:hAnsi="Arial"/>
          <w:sz w:val="17"/>
          <w:szCs w:val="17"/>
          <w:i w:val="1"/>
          <w:iCs w:val="1"/>
          <w:color w:val="auto"/>
        </w:rPr>
        <w:t>13</w:t>
      </w:r>
      <w:r>
        <w:rPr>
          <w:rFonts w:ascii="Arial" w:cs="Arial" w:eastAsia="Arial" w:hAnsi="Arial"/>
          <w:sz w:val="17"/>
          <w:szCs w:val="17"/>
          <w:color w:val="auto"/>
        </w:rPr>
        <w:t xml:space="preserve"> Financial Instruments - Credit Losses, Measurement of Credit Losses on Financial Instruments, which changes the way entities measure credit losses for most financial assets and certain other instruments that are </w:t>
      </w:r>
      <w:r>
        <w:rPr>
          <w:rFonts w:ascii="Arial" w:cs="Arial" w:eastAsia="Arial" w:hAnsi="Arial"/>
          <w:sz w:val="17"/>
          <w:szCs w:val="17"/>
          <w:i w:val="1"/>
          <w:iCs w:val="1"/>
          <w:color w:val="auto"/>
        </w:rPr>
        <w:t>not</w:t>
      </w:r>
      <w:r>
        <w:rPr>
          <w:rFonts w:ascii="Arial" w:cs="Arial" w:eastAsia="Arial" w:hAnsi="Arial"/>
          <w:sz w:val="17"/>
          <w:szCs w:val="17"/>
          <w:color w:val="auto"/>
        </w:rPr>
        <w:t xml:space="preserve"> measured at fair value through net earnings. The Company adopted this ASU as of </w:t>
      </w:r>
      <w:r>
        <w:rPr>
          <w:rFonts w:ascii="Arial" w:cs="Arial" w:eastAsia="Arial" w:hAnsi="Arial"/>
          <w:sz w:val="17"/>
          <w:szCs w:val="17"/>
          <w:i w:val="1"/>
          <w:iCs w:val="1"/>
          <w:color w:val="auto"/>
        </w:rPr>
        <w:t>January 1, 2020.</w:t>
      </w:r>
      <w:r>
        <w:rPr>
          <w:rFonts w:ascii="Arial" w:cs="Arial" w:eastAsia="Arial" w:hAnsi="Arial"/>
          <w:sz w:val="17"/>
          <w:szCs w:val="17"/>
          <w:color w:val="auto"/>
        </w:rPr>
        <w:t xml:space="preserve"> The adoption of the new standard did </w:t>
      </w:r>
      <w:r>
        <w:rPr>
          <w:rFonts w:ascii="Arial" w:cs="Arial" w:eastAsia="Arial" w:hAnsi="Arial"/>
          <w:sz w:val="17"/>
          <w:szCs w:val="17"/>
          <w:i w:val="1"/>
          <w:iCs w:val="1"/>
          <w:color w:val="auto"/>
        </w:rPr>
        <w:t>not</w:t>
      </w:r>
      <w:r>
        <w:rPr>
          <w:rFonts w:ascii="Arial" w:cs="Arial" w:eastAsia="Arial" w:hAnsi="Arial"/>
          <w:sz w:val="17"/>
          <w:szCs w:val="17"/>
          <w:color w:val="auto"/>
        </w:rPr>
        <w:t xml:space="preserve"> have a material impact on the Company's condensed consolidated financial statements as current processes for estimating expected credit losses for trade receivables align with the expected credit loss model. The Company estimates its allowance for credit losses based on historical collection trends, the age of outstanding receivables, geographical location of the customer, existing economic conditions and reasonable forecasts. If events or changes in circumstances indicate that specific receivable balances </w:t>
      </w:r>
      <w:r>
        <w:rPr>
          <w:rFonts w:ascii="Arial" w:cs="Arial" w:eastAsia="Arial" w:hAnsi="Arial"/>
          <w:sz w:val="17"/>
          <w:szCs w:val="17"/>
          <w:i w:val="1"/>
          <w:iCs w:val="1"/>
          <w:color w:val="auto"/>
        </w:rPr>
        <w:t>may</w:t>
      </w:r>
      <w:r>
        <w:rPr>
          <w:rFonts w:ascii="Arial" w:cs="Arial" w:eastAsia="Arial" w:hAnsi="Arial"/>
          <w:sz w:val="17"/>
          <w:szCs w:val="17"/>
          <w:color w:val="auto"/>
        </w:rPr>
        <w:t xml:space="preserve"> be impaired, further consideration is given to the collectability of those balances and the allowance is adjusted accordingly.</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March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2020</w:t>
      </w:r>
      <w:r>
        <w:rPr>
          <w:rFonts w:ascii="Arial" w:cs="Arial" w:eastAsia="Arial" w:hAnsi="Arial"/>
          <w:sz w:val="18"/>
          <w:szCs w:val="18"/>
          <w:color w:val="auto"/>
        </w:rPr>
        <w:t>-</w:t>
      </w:r>
      <w:r>
        <w:rPr>
          <w:rFonts w:ascii="Arial" w:cs="Arial" w:eastAsia="Arial" w:hAnsi="Arial"/>
          <w:sz w:val="18"/>
          <w:szCs w:val="18"/>
          <w:i w:val="1"/>
          <w:iCs w:val="1"/>
          <w:color w:val="auto"/>
        </w:rPr>
        <w:t>03,</w:t>
      </w:r>
      <w:r>
        <w:rPr>
          <w:rFonts w:ascii="Arial" w:cs="Arial" w:eastAsia="Arial" w:hAnsi="Arial"/>
          <w:sz w:val="18"/>
          <w:szCs w:val="18"/>
          <w:color w:val="auto"/>
        </w:rPr>
        <w:t xml:space="preserve"> “Codification Improvements to Financial Instruments”, which improves and clarifies various financial instruments topics. This ASU includes </w:t>
      </w:r>
      <w:r>
        <w:rPr>
          <w:rFonts w:ascii="Arial" w:cs="Arial" w:eastAsia="Arial" w:hAnsi="Arial"/>
          <w:sz w:val="18"/>
          <w:szCs w:val="18"/>
          <w:i w:val="1"/>
          <w:iCs w:val="1"/>
          <w:color w:val="auto"/>
        </w:rPr>
        <w:t>seven</w:t>
      </w:r>
      <w:r>
        <w:rPr>
          <w:rFonts w:ascii="Arial" w:cs="Arial" w:eastAsia="Arial" w:hAnsi="Arial"/>
          <w:sz w:val="18"/>
          <w:szCs w:val="18"/>
          <w:color w:val="auto"/>
        </w:rPr>
        <w:t xml:space="preserve"> different issues that describe the areas of improvement and the related amendments to GAAP, and is intended to make the standards easier to understand and apply by eliminating inconsistencies and providing clarifications. The Company adopted ASU </w:t>
      </w:r>
      <w:r>
        <w:rPr>
          <w:rFonts w:ascii="Arial" w:cs="Arial" w:eastAsia="Arial" w:hAnsi="Arial"/>
          <w:sz w:val="18"/>
          <w:szCs w:val="18"/>
          <w:i w:val="1"/>
          <w:iCs w:val="1"/>
          <w:color w:val="auto"/>
        </w:rPr>
        <w:t>2020</w:t>
      </w:r>
      <w:r>
        <w:rPr>
          <w:rFonts w:ascii="Arial" w:cs="Arial" w:eastAsia="Arial" w:hAnsi="Arial"/>
          <w:sz w:val="18"/>
          <w:szCs w:val="18"/>
          <w:color w:val="auto"/>
        </w:rPr>
        <w:t>-</w:t>
      </w:r>
      <w:r>
        <w:rPr>
          <w:rFonts w:ascii="Arial" w:cs="Arial" w:eastAsia="Arial" w:hAnsi="Arial"/>
          <w:sz w:val="18"/>
          <w:szCs w:val="18"/>
          <w:i w:val="1"/>
          <w:iCs w:val="1"/>
          <w:color w:val="auto"/>
        </w:rPr>
        <w:t xml:space="preserve">03 </w:t>
      </w:r>
      <w:r>
        <w:rPr>
          <w:rFonts w:ascii="Arial" w:cs="Arial" w:eastAsia="Arial" w:hAnsi="Arial"/>
          <w:sz w:val="18"/>
          <w:szCs w:val="18"/>
          <w:color w:val="auto"/>
        </w:rPr>
        <w:t>upon issuance, which did</w:t>
      </w:r>
      <w:r>
        <w:rPr>
          <w:rFonts w:ascii="Arial" w:cs="Arial" w:eastAsia="Arial" w:hAnsi="Arial"/>
          <w:sz w:val="18"/>
          <w:szCs w:val="18"/>
          <w:i w:val="1"/>
          <w:iCs w:val="1"/>
          <w:color w:val="auto"/>
        </w:rPr>
        <w:t xml:space="preserve"> not </w:t>
      </w:r>
      <w:r>
        <w:rPr>
          <w:rFonts w:ascii="Arial" w:cs="Arial" w:eastAsia="Arial" w:hAnsi="Arial"/>
          <w:sz w:val="18"/>
          <w:szCs w:val="18"/>
          <w:color w:val="auto"/>
        </w:rPr>
        <w:t>have a material effect on the Company’s current financial position, results of operations or financial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December 2019</w:t>
      </w:r>
      <w:r>
        <w:rPr>
          <w:rFonts w:ascii="Arial" w:cs="Arial" w:eastAsia="Arial" w:hAnsi="Arial"/>
          <w:sz w:val="16"/>
          <w:szCs w:val="16"/>
          <w:i w:val="1"/>
          <w:iCs w:val="1"/>
          <w:color w:val="auto"/>
        </w:rPr>
        <w:t>,</w:t>
      </w:r>
      <w:r>
        <w:rPr>
          <w:rFonts w:ascii="Arial" w:cs="Arial" w:eastAsia="Arial" w:hAnsi="Arial"/>
          <w:sz w:val="16"/>
          <w:szCs w:val="16"/>
          <w:color w:val="auto"/>
        </w:rPr>
        <w:t xml:space="preserve"> the FASB issued ASU </w:t>
      </w:r>
      <w:r>
        <w:rPr>
          <w:rFonts w:ascii="Arial" w:cs="Arial" w:eastAsia="Arial" w:hAnsi="Arial"/>
          <w:sz w:val="16"/>
          <w:szCs w:val="16"/>
          <w:i w:val="1"/>
          <w:iCs w:val="1"/>
          <w:color w:val="auto"/>
        </w:rPr>
        <w:t>2019</w:t>
      </w:r>
      <w:r>
        <w:rPr>
          <w:rFonts w:ascii="Arial" w:cs="Arial" w:eastAsia="Arial" w:hAnsi="Arial"/>
          <w:sz w:val="16"/>
          <w:szCs w:val="16"/>
          <w:color w:val="auto"/>
        </w:rPr>
        <w:t>-</w:t>
      </w:r>
      <w:r>
        <w:rPr>
          <w:rFonts w:ascii="Arial" w:cs="Arial" w:eastAsia="Arial" w:hAnsi="Arial"/>
          <w:sz w:val="16"/>
          <w:szCs w:val="16"/>
          <w:i w:val="1"/>
          <w:iCs w:val="1"/>
          <w:color w:val="auto"/>
        </w:rPr>
        <w:t>12,</w:t>
      </w:r>
      <w:r>
        <w:rPr>
          <w:rFonts w:ascii="Arial" w:cs="Arial" w:eastAsia="Arial" w:hAnsi="Arial"/>
          <w:sz w:val="16"/>
          <w:szCs w:val="16"/>
          <w:color w:val="auto"/>
        </w:rPr>
        <w:t xml:space="preserve"> “Income Taxes (Topic </w:t>
      </w:r>
      <w:r>
        <w:rPr>
          <w:rFonts w:ascii="Arial" w:cs="Arial" w:eastAsia="Arial" w:hAnsi="Arial"/>
          <w:sz w:val="16"/>
          <w:szCs w:val="16"/>
          <w:i w:val="1"/>
          <w:iCs w:val="1"/>
          <w:color w:val="auto"/>
        </w:rPr>
        <w:t>740</w:t>
      </w:r>
      <w:r>
        <w:rPr>
          <w:rFonts w:ascii="Arial" w:cs="Arial" w:eastAsia="Arial" w:hAnsi="Arial"/>
          <w:sz w:val="16"/>
          <w:szCs w:val="16"/>
          <w:color w:val="auto"/>
        </w:rPr>
        <w:t>): Simplifying the Accounting for Income Taxes”</w:t>
      </w:r>
      <w:r>
        <w:rPr>
          <w:rFonts w:ascii="Arial" w:cs="Arial" w:eastAsia="Arial" w:hAnsi="Arial"/>
          <w:sz w:val="16"/>
          <w:szCs w:val="16"/>
          <w:i w:val="1"/>
          <w:iCs w:val="1"/>
          <w:color w:val="auto"/>
        </w:rPr>
        <w:t>.</w:t>
      </w:r>
      <w:r>
        <w:rPr>
          <w:rFonts w:ascii="Arial" w:cs="Arial" w:eastAsia="Arial" w:hAnsi="Arial"/>
          <w:sz w:val="16"/>
          <w:szCs w:val="16"/>
          <w:color w:val="auto"/>
        </w:rPr>
        <w:t xml:space="preserve"> The Accounting Standards Codification (“ASC”) aims to identify, evaluate, and improve areas of GAAP for which cost and complexity can be reduced while maintaining or improving the usefulness of the information provided to users of financial statements. The Company adopted ASU </w:t>
      </w:r>
      <w:r>
        <w:rPr>
          <w:rFonts w:ascii="Arial" w:cs="Arial" w:eastAsia="Arial" w:hAnsi="Arial"/>
          <w:sz w:val="16"/>
          <w:szCs w:val="16"/>
          <w:i w:val="1"/>
          <w:iCs w:val="1"/>
          <w:color w:val="auto"/>
        </w:rPr>
        <w:t>2019-12</w:t>
      </w:r>
      <w:r>
        <w:rPr>
          <w:rFonts w:ascii="Arial" w:cs="Arial" w:eastAsia="Arial" w:hAnsi="Arial"/>
          <w:sz w:val="16"/>
          <w:szCs w:val="16"/>
          <w:color w:val="auto"/>
        </w:rPr>
        <w:t xml:space="preserve"> as of December 31, 2020, which did </w:t>
      </w:r>
      <w:r>
        <w:rPr>
          <w:rFonts w:ascii="Arial" w:cs="Arial" w:eastAsia="Arial" w:hAnsi="Arial"/>
          <w:sz w:val="16"/>
          <w:szCs w:val="16"/>
          <w:i w:val="1"/>
          <w:iCs w:val="1"/>
          <w:color w:val="auto"/>
        </w:rPr>
        <w:t>not</w:t>
      </w:r>
      <w:r>
        <w:rPr>
          <w:rFonts w:ascii="Arial" w:cs="Arial" w:eastAsia="Arial" w:hAnsi="Arial"/>
          <w:sz w:val="16"/>
          <w:szCs w:val="16"/>
          <w:color w:val="auto"/>
        </w:rPr>
        <w:t xml:space="preserve"> have a material effect on the Company’s current financial position, results of operations or financial statement disclosures.</w:t>
      </w:r>
    </w:p>
    <w:p>
      <w:pPr>
        <w:spacing w:after="0" w:line="15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In August 2020, the Securities and Exchange Commission (the “SEC”) issued a new rule that modernizes the disclosure requirements in Regulation S-K, </w:t>
      </w:r>
      <w:r>
        <w:rPr>
          <w:rFonts w:ascii="Arial" w:cs="Arial" w:eastAsia="Arial" w:hAnsi="Arial"/>
          <w:sz w:val="18"/>
          <w:szCs w:val="18"/>
          <w:i w:val="1"/>
          <w:iCs w:val="1"/>
          <w:color w:val="auto"/>
        </w:rPr>
        <w:t>Item 101 “Description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Item 103 “Legal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105 “Risk Factors”</w:t>
      </w:r>
      <w:r>
        <w:rPr>
          <w:rFonts w:ascii="Arial" w:cs="Arial" w:eastAsia="Arial" w:hAnsi="Arial"/>
          <w:sz w:val="18"/>
          <w:szCs w:val="18"/>
          <w:color w:val="auto"/>
        </w:rPr>
        <w:t>. The intent of this rule was to improve the readability of disclosures, reduce repetition, and eliminate immaterial information, thereby simplifying compliance for registrants and making disclosures more meaningful for investors. While most of the changes involved reducing or eliminating previously required disclosures, the rule expanded the disclosure requirements related to human capital and more specifically, any human capital measures or objectives that management focuses on in managing the business. The final rule was effective thirty days after its date of publication in the Federal Register. The Company evaluated this SEC final rule, which was adopted and incorporated in this filing, and it did not have a material impact on this current SEC filing nor is it expected to have a material impact on future SEC filings.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7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March 2020</w:t>
      </w:r>
      <w:r>
        <w:rPr>
          <w:rFonts w:ascii="Arial" w:cs="Arial" w:eastAsia="Arial" w:hAnsi="Arial"/>
          <w:sz w:val="16"/>
          <w:szCs w:val="16"/>
          <w:i w:val="1"/>
          <w:iCs w:val="1"/>
          <w:color w:val="auto"/>
        </w:rPr>
        <w:t>,</w:t>
      </w:r>
      <w:r>
        <w:rPr>
          <w:rFonts w:ascii="Arial" w:cs="Arial" w:eastAsia="Arial" w:hAnsi="Arial"/>
          <w:sz w:val="16"/>
          <w:szCs w:val="16"/>
          <w:color w:val="auto"/>
        </w:rPr>
        <w:t xml:space="preserve"> the FASB issued ASU </w:t>
      </w:r>
      <w:r>
        <w:rPr>
          <w:rFonts w:ascii="Arial" w:cs="Arial" w:eastAsia="Arial" w:hAnsi="Arial"/>
          <w:sz w:val="16"/>
          <w:szCs w:val="16"/>
          <w:i w:val="1"/>
          <w:iCs w:val="1"/>
          <w:color w:val="auto"/>
        </w:rPr>
        <w:t>2020</w:t>
      </w:r>
      <w:r>
        <w:rPr>
          <w:rFonts w:ascii="Arial" w:cs="Arial" w:eastAsia="Arial" w:hAnsi="Arial"/>
          <w:sz w:val="16"/>
          <w:szCs w:val="16"/>
          <w:color w:val="auto"/>
        </w:rPr>
        <w:t>-</w:t>
      </w:r>
      <w:r>
        <w:rPr>
          <w:rFonts w:ascii="Arial" w:cs="Arial" w:eastAsia="Arial" w:hAnsi="Arial"/>
          <w:sz w:val="16"/>
          <w:szCs w:val="16"/>
          <w:i w:val="1"/>
          <w:iCs w:val="1"/>
          <w:color w:val="auto"/>
        </w:rPr>
        <w:t>04,</w:t>
      </w:r>
      <w:r>
        <w:rPr>
          <w:rFonts w:ascii="Arial" w:cs="Arial" w:eastAsia="Arial" w:hAnsi="Arial"/>
          <w:sz w:val="16"/>
          <w:szCs w:val="16"/>
          <w:color w:val="auto"/>
        </w:rPr>
        <w:t xml:space="preserve"> “Reference Rate Reform (Topic </w:t>
      </w:r>
      <w:r>
        <w:rPr>
          <w:rFonts w:ascii="Arial" w:cs="Arial" w:eastAsia="Arial" w:hAnsi="Arial"/>
          <w:sz w:val="16"/>
          <w:szCs w:val="16"/>
          <w:i w:val="1"/>
          <w:iCs w:val="1"/>
          <w:color w:val="auto"/>
        </w:rPr>
        <w:t>848</w:t>
      </w:r>
      <w:r>
        <w:rPr>
          <w:rFonts w:ascii="Arial" w:cs="Arial" w:eastAsia="Arial" w:hAnsi="Arial"/>
          <w:sz w:val="16"/>
          <w:szCs w:val="16"/>
          <w:color w:val="auto"/>
        </w:rPr>
        <w:t xml:space="preserve">):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ASU is effective beginning on </w:t>
      </w:r>
      <w:r>
        <w:rPr>
          <w:rFonts w:ascii="Arial" w:cs="Arial" w:eastAsia="Arial" w:hAnsi="Arial"/>
          <w:sz w:val="16"/>
          <w:szCs w:val="16"/>
          <w:i w:val="1"/>
          <w:iCs w:val="1"/>
          <w:color w:val="auto"/>
        </w:rPr>
        <w:t>March 12, 2020,</w:t>
      </w:r>
      <w:r>
        <w:rPr>
          <w:rFonts w:ascii="Arial" w:cs="Arial" w:eastAsia="Arial" w:hAnsi="Arial"/>
          <w:sz w:val="16"/>
          <w:szCs w:val="16"/>
          <w:color w:val="auto"/>
        </w:rPr>
        <w:t xml:space="preserve"> and the Company </w:t>
      </w:r>
      <w:r>
        <w:rPr>
          <w:rFonts w:ascii="Arial" w:cs="Arial" w:eastAsia="Arial" w:hAnsi="Arial"/>
          <w:sz w:val="16"/>
          <w:szCs w:val="16"/>
          <w:i w:val="1"/>
          <w:iCs w:val="1"/>
          <w:color w:val="auto"/>
        </w:rPr>
        <w:t>may</w:t>
      </w:r>
      <w:r>
        <w:rPr>
          <w:rFonts w:ascii="Arial" w:cs="Arial" w:eastAsia="Arial" w:hAnsi="Arial"/>
          <w:sz w:val="16"/>
          <w:szCs w:val="16"/>
          <w:color w:val="auto"/>
        </w:rPr>
        <w:t xml:space="preserve"> elect to apply the amendments prospectively through </w:t>
      </w:r>
      <w:r>
        <w:rPr>
          <w:rFonts w:ascii="Arial" w:cs="Arial" w:eastAsia="Arial" w:hAnsi="Arial"/>
          <w:sz w:val="16"/>
          <w:szCs w:val="16"/>
          <w:i w:val="1"/>
          <w:iCs w:val="1"/>
          <w:color w:val="auto"/>
        </w:rPr>
        <w:t>December 31, 2022.</w:t>
      </w:r>
      <w:r>
        <w:rPr>
          <w:rFonts w:ascii="Arial" w:cs="Arial" w:eastAsia="Arial" w:hAnsi="Arial"/>
          <w:sz w:val="16"/>
          <w:szCs w:val="16"/>
          <w:color w:val="auto"/>
        </w:rPr>
        <w:t xml:space="preserve"> The Company is currently assessing the impact of this pronouncement to the financial statements.</w:t>
      </w:r>
    </w:p>
    <w:p>
      <w:pPr>
        <w:spacing w:after="0" w:line="16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August 2020</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w:t>
      </w:r>
      <w:r>
        <w:rPr>
          <w:rFonts w:ascii="Arial" w:cs="Arial" w:eastAsia="Arial" w:hAnsi="Arial"/>
          <w:sz w:val="17"/>
          <w:szCs w:val="17"/>
          <w:i w:val="1"/>
          <w:iCs w:val="1"/>
          <w:color w:val="auto"/>
        </w:rPr>
        <w:t>2020</w:t>
      </w:r>
      <w:r>
        <w:rPr>
          <w:rFonts w:ascii="Arial" w:cs="Arial" w:eastAsia="Arial" w:hAnsi="Arial"/>
          <w:sz w:val="17"/>
          <w:szCs w:val="17"/>
          <w:color w:val="auto"/>
        </w:rPr>
        <w:t>-</w:t>
      </w:r>
      <w:r>
        <w:rPr>
          <w:rFonts w:ascii="Arial" w:cs="Arial" w:eastAsia="Arial" w:hAnsi="Arial"/>
          <w:sz w:val="17"/>
          <w:szCs w:val="17"/>
          <w:i w:val="1"/>
          <w:iCs w:val="1"/>
          <w:color w:val="auto"/>
        </w:rPr>
        <w:t>06,</w:t>
      </w:r>
      <w:r>
        <w:rPr>
          <w:rFonts w:ascii="Arial" w:cs="Arial" w:eastAsia="Arial" w:hAnsi="Arial"/>
          <w:sz w:val="17"/>
          <w:szCs w:val="17"/>
          <w:color w:val="auto"/>
        </w:rPr>
        <w:t xml:space="preserve"> “Debt - Debt with Conversion and Other Options (Subtopic </w:t>
      </w:r>
      <w:r>
        <w:rPr>
          <w:rFonts w:ascii="Arial" w:cs="Arial" w:eastAsia="Arial" w:hAnsi="Arial"/>
          <w:sz w:val="17"/>
          <w:szCs w:val="17"/>
          <w:i w:val="1"/>
          <w:iCs w:val="1"/>
          <w:color w:val="auto"/>
        </w:rPr>
        <w:t>470</w:t>
      </w:r>
      <w:r>
        <w:rPr>
          <w:rFonts w:ascii="Arial" w:cs="Arial" w:eastAsia="Arial" w:hAnsi="Arial"/>
          <w:sz w:val="17"/>
          <w:szCs w:val="17"/>
          <w:color w:val="auto"/>
        </w:rPr>
        <w:t>-</w:t>
      </w:r>
      <w:r>
        <w:rPr>
          <w:rFonts w:ascii="Arial" w:cs="Arial" w:eastAsia="Arial" w:hAnsi="Arial"/>
          <w:sz w:val="17"/>
          <w:szCs w:val="17"/>
          <w:i w:val="1"/>
          <w:iCs w:val="1"/>
          <w:color w:val="auto"/>
        </w:rPr>
        <w:t>20</w:t>
      </w:r>
      <w:r>
        <w:rPr>
          <w:rFonts w:ascii="Arial" w:cs="Arial" w:eastAsia="Arial" w:hAnsi="Arial"/>
          <w:sz w:val="17"/>
          <w:szCs w:val="17"/>
          <w:color w:val="auto"/>
        </w:rPr>
        <w:t xml:space="preserve">)” and “Derivatives and Hedging - Contracts in Entities Own Equity” (Subtopic </w:t>
      </w:r>
      <w:r>
        <w:rPr>
          <w:rFonts w:ascii="Arial" w:cs="Arial" w:eastAsia="Arial" w:hAnsi="Arial"/>
          <w:sz w:val="17"/>
          <w:szCs w:val="17"/>
          <w:i w:val="1"/>
          <w:iCs w:val="1"/>
          <w:color w:val="auto"/>
        </w:rPr>
        <w:t>815</w:t>
      </w:r>
      <w:r>
        <w:rPr>
          <w:rFonts w:ascii="Arial" w:cs="Arial" w:eastAsia="Arial" w:hAnsi="Arial"/>
          <w:sz w:val="17"/>
          <w:szCs w:val="17"/>
          <w:color w:val="auto"/>
        </w:rPr>
        <w:t>-</w:t>
      </w:r>
      <w:r>
        <w:rPr>
          <w:rFonts w:ascii="Arial" w:cs="Arial" w:eastAsia="Arial" w:hAnsi="Arial"/>
          <w:sz w:val="17"/>
          <w:szCs w:val="17"/>
          <w:i w:val="1"/>
          <w:iCs w:val="1"/>
          <w:color w:val="auto"/>
        </w:rPr>
        <w:t>40</w:t>
      </w:r>
      <w:r>
        <w:rPr>
          <w:rFonts w:ascii="Arial" w:cs="Arial" w:eastAsia="Arial" w:hAnsi="Arial"/>
          <w:sz w:val="17"/>
          <w:szCs w:val="17"/>
          <w:color w:val="auto"/>
        </w:rPr>
        <w:t xml:space="preserve">). This ASU simplifies accounting for convertible instruments by eliminating </w:t>
      </w:r>
      <w:r>
        <w:rPr>
          <w:rFonts w:ascii="Arial" w:cs="Arial" w:eastAsia="Arial" w:hAnsi="Arial"/>
          <w:sz w:val="17"/>
          <w:szCs w:val="17"/>
          <w:i w:val="1"/>
          <w:iCs w:val="1"/>
          <w:color w:val="auto"/>
        </w:rPr>
        <w:t>two</w:t>
      </w:r>
      <w:r>
        <w:rPr>
          <w:rFonts w:ascii="Arial" w:cs="Arial" w:eastAsia="Arial" w:hAnsi="Arial"/>
          <w:sz w:val="17"/>
          <w:szCs w:val="17"/>
          <w:color w:val="auto"/>
        </w:rPr>
        <w:t xml:space="preserve"> of the </w:t>
      </w:r>
      <w:r>
        <w:rPr>
          <w:rFonts w:ascii="Arial" w:cs="Arial" w:eastAsia="Arial" w:hAnsi="Arial"/>
          <w:sz w:val="17"/>
          <w:szCs w:val="17"/>
          <w:i w:val="1"/>
          <w:iCs w:val="1"/>
          <w:color w:val="auto"/>
        </w:rPr>
        <w:t xml:space="preserve">three </w:t>
      </w:r>
      <w:r>
        <w:rPr>
          <w:rFonts w:ascii="Arial" w:cs="Arial" w:eastAsia="Arial" w:hAnsi="Arial"/>
          <w:sz w:val="17"/>
          <w:szCs w:val="17"/>
          <w:color w:val="auto"/>
        </w:rPr>
        <w:t>models in ASC</w:t>
      </w:r>
      <w:r>
        <w:rPr>
          <w:rFonts w:ascii="Arial" w:cs="Arial" w:eastAsia="Arial" w:hAnsi="Arial"/>
          <w:sz w:val="17"/>
          <w:szCs w:val="17"/>
          <w:i w:val="1"/>
          <w:iCs w:val="1"/>
          <w:color w:val="auto"/>
        </w:rPr>
        <w:t xml:space="preserve"> 470</w:t>
      </w:r>
      <w:r>
        <w:rPr>
          <w:rFonts w:ascii="Arial" w:cs="Arial" w:eastAsia="Arial" w:hAnsi="Arial"/>
          <w:sz w:val="17"/>
          <w:szCs w:val="17"/>
          <w:color w:val="auto"/>
        </w:rPr>
        <w:t>-</w:t>
      </w:r>
      <w:r>
        <w:rPr>
          <w:rFonts w:ascii="Arial" w:cs="Arial" w:eastAsia="Arial" w:hAnsi="Arial"/>
          <w:sz w:val="17"/>
          <w:szCs w:val="17"/>
          <w:i w:val="1"/>
          <w:iCs w:val="1"/>
          <w:color w:val="auto"/>
        </w:rPr>
        <w:t xml:space="preserve">20 </w:t>
      </w:r>
      <w:r>
        <w:rPr>
          <w:rFonts w:ascii="Arial" w:cs="Arial" w:eastAsia="Arial" w:hAnsi="Arial"/>
          <w:sz w:val="17"/>
          <w:szCs w:val="17"/>
          <w:color w:val="auto"/>
        </w:rPr>
        <w:t>that requires separating embedded conversion features from convertible instruments. The guidance is effective for fiscal years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beginning after </w:t>
      </w:r>
      <w:r>
        <w:rPr>
          <w:rFonts w:ascii="Arial" w:cs="Arial" w:eastAsia="Arial" w:hAnsi="Arial"/>
          <w:sz w:val="17"/>
          <w:szCs w:val="17"/>
          <w:i w:val="1"/>
          <w:iCs w:val="1"/>
          <w:color w:val="auto"/>
        </w:rPr>
        <w:t>December 15, 2021.</w:t>
      </w:r>
      <w:r>
        <w:rPr>
          <w:rFonts w:ascii="Arial" w:cs="Arial" w:eastAsia="Arial" w:hAnsi="Arial"/>
          <w:sz w:val="17"/>
          <w:szCs w:val="17"/>
          <w:color w:val="auto"/>
        </w:rPr>
        <w:t xml:space="preserve"> The Company is currently assessing the impact of this pronouncement to the financial statements.</w:t>
      </w:r>
    </w:p>
    <w:p>
      <w:pPr>
        <w:spacing w:after="0" w:line="17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November 2020, the SEC issued a new rule that modernizes and simplifies various aspects and financial disclosure requirements in Regulation S-K, specifically related to </w:t>
      </w:r>
      <w:r>
        <w:rPr>
          <w:rFonts w:ascii="Arial" w:cs="Arial" w:eastAsia="Arial" w:hAnsi="Arial"/>
          <w:sz w:val="17"/>
          <w:szCs w:val="17"/>
          <w:i w:val="1"/>
          <w:iCs w:val="1"/>
          <w:color w:val="auto"/>
        </w:rPr>
        <w:t>Item 301 “Selected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Item 302 “Supplementary Financial Information” and Item 303 “Management’s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(“MD&amp;A”). The intent of this new rule is to (i) eliminate duplicative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(ii) enhance and promote more principles-based MD&amp;A disclosures with the objective of making them more meaningful for investors, all while (iii) simplifying the compliance requirements and efforts for registrants, by providing them with the flexibility to present management’s perspective on the registrant’s financial condition and results of operations. While most of the changes involve reducing or eliminating previously required information and disclosures, the rule does expand the disclosure requirements surrounding certain aspects of the various items in Regulation S-K discussed above. The final rule was published in the Federal Register on January 11, 2021, is effective thirty days after its publication date, or February 10, 2021, and registrants are required to comply with this final rule in the registrant’s first fiscal year ending on or after the date that is 210 days after the publication date. The Company is currently assessing the impact of this new SEC rule.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its historic accounting under Revenue Recognition ("Topic 605").</w:t>
      </w:r>
    </w:p>
    <w:p>
      <w:pPr>
        <w:spacing w:after="0" w:line="15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R, "Segments and Geographic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1"/>
              </w:rPr>
              <w:t>Years ended December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8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200,236</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37,944</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37,328</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51,699</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234,623</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190,872</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267,465</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D—OPERATING LEASES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includes or excludes from the calculation of the lease liability of the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December 31,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1,247</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bl>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1,351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1,325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Right-of-use assets obtained in exchange for new operating lease liabilities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w w:val="97"/>
              </w:rPr>
              <w:t>Right-of-use assets obtained in exchange for new finance lease liabilities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0"/>
                <w:szCs w:val="20"/>
                <w:color w:val="auto"/>
              </w:rPr>
            </w:pPr>
          </w:p>
        </w:tc>
      </w:tr>
      <w:tr>
        <w:trPr>
          <w:trHeight w:val="877"/>
        </w:trPr>
        <w:tc>
          <w:tcPr>
            <w:tcW w:w="1120" w:type="dxa"/>
            <w:vAlign w:val="bottom"/>
          </w:tcPr>
          <w:p>
            <w:pPr>
              <w:spacing w:after="0"/>
              <w:rPr>
                <w:sz w:val="24"/>
                <w:szCs w:val="24"/>
                <w:color w:val="auto"/>
              </w:rPr>
            </w:pPr>
          </w:p>
        </w:tc>
        <w:tc>
          <w:tcPr>
            <w:tcW w:w="5680" w:type="dxa"/>
            <w:vAlign w:val="bottom"/>
          </w:tcPr>
          <w:p>
            <w:pPr>
              <w:ind w:left="4320"/>
              <w:spacing w:after="0"/>
              <w:rPr>
                <w:sz w:val="20"/>
                <w:szCs w:val="20"/>
                <w:color w:val="auto"/>
              </w:rPr>
            </w:pPr>
            <w:r>
              <w:rPr>
                <w:rFonts w:ascii="Arial" w:cs="Arial" w:eastAsia="Arial" w:hAnsi="Arial"/>
                <w:sz w:val="18"/>
                <w:szCs w:val="18"/>
                <w:color w:val="auto"/>
              </w:rPr>
              <w:t>F- 16</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E—CASH, CASH EQUIVALENTS AND 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associated with certain credit facilities. As of December 31, 2020 and 2019, there was $4.9 million and $1.9 million of restricted cash required for bank acceptance notes issued to vendors, respectively. There was $0.5 million and $4.2 million certificate of deposit associated with credit facilities with a bank in China as of December 31, 2020 and 2019 respectively.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F—EARNINGS PER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(58,452)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(66,049)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21,867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19,647</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Effect of dilutive options and restricted stock units</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21,867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200" w:lineRule="exact"/>
        <w:rPr>
          <w:sz w:val="20"/>
          <w:szCs w:val="20"/>
          <w:color w:val="auto"/>
        </w:rPr>
      </w:pPr>
    </w:p>
    <w:p>
      <w:pPr>
        <w:spacing w:after="0" w:line="20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diluted net loss per share as their effect would have been antidilutive (in thousands):</w:t>
      </w:r>
    </w:p>
    <w:p>
      <w:pPr>
        <w:spacing w:after="0" w:line="166"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7360" w:type="dxa"/>
            <w:vAlign w:val="bottom"/>
            <w:gridSpan w:val="2"/>
          </w:tcPr>
          <w:p>
            <w:pPr>
              <w:ind w:left="560"/>
              <w:spacing w:after="0"/>
              <w:rPr>
                <w:sz w:val="20"/>
                <w:szCs w:val="20"/>
                <w:color w:val="auto"/>
              </w:rPr>
            </w:pPr>
            <w:r>
              <w:rPr>
                <w:rFonts w:ascii="Arial" w:cs="Arial" w:eastAsia="Arial" w:hAnsi="Arial"/>
                <w:sz w:val="18"/>
                <w:szCs w:val="18"/>
                <w:color w:val="auto"/>
              </w:rPr>
              <w:t>Total antidilutive shares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7800" w:type="dxa"/>
            <w:vAlign w:val="bottom"/>
            <w:gridSpan w:val="2"/>
          </w:tcPr>
          <w:p>
            <w:pPr>
              <w:ind w:left="4860"/>
              <w:spacing w:after="0"/>
              <w:rPr>
                <w:sz w:val="20"/>
                <w:szCs w:val="20"/>
                <w:color w:val="auto"/>
              </w:rPr>
            </w:pPr>
            <w:r>
              <w:rPr>
                <w:rFonts w:ascii="Arial" w:cs="Arial" w:eastAsia="Arial" w:hAnsi="Arial"/>
                <w:sz w:val="18"/>
                <w:szCs w:val="18"/>
                <w:color w:val="auto"/>
              </w:rPr>
              <w:t>F- 17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and 2019, inventories consisted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15,570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52,544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50,787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18,671</w:t>
            </w:r>
          </w:p>
        </w:tc>
      </w:tr>
      <w:tr>
        <w:trPr>
          <w:trHeight w:val="20"/>
        </w:trPr>
        <w:tc>
          <w:tcPr>
            <w:tcW w:w="6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110,397</w:t>
            </w:r>
          </w:p>
        </w:tc>
        <w:tc>
          <w:tcPr>
            <w:tcW w:w="1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85,028</w:t>
            </w:r>
          </w:p>
        </w:tc>
      </w:tr>
      <w:tr>
        <w:trPr>
          <w:trHeight w:val="20"/>
        </w:trPr>
        <w:tc>
          <w:tcPr>
            <w:tcW w:w="6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the years ended December 31, 2020, 2019 and 2018, the lower of cost or market reserve adjustment expensed for inventory was $3.9 million, $6.8 million, and $7.2 million, respectively. For the years December 31, 2020, 2019 and 2018, the direct inventory write-offs related to scrap, discontinued products, and damaged inventories were $20.4 million, $13.4 million, and $12.3 million, respectively.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H—PROPERTY, PLANT AND EQUIPMENT</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Arial" w:cs="Arial" w:eastAsia="Arial" w:hAnsi="Arial"/>
                <w:sz w:val="18"/>
                <w:szCs w:val="18"/>
                <w:color w:val="auto"/>
                <w:w w:val="95"/>
              </w:rPr>
              <w:t>Property, plant and equipment consisted of the following for the periods indicated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83,846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237,464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338,385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(116,979)</w:t>
            </w:r>
          </w:p>
        </w:tc>
      </w:tr>
      <w:tr>
        <w:trPr>
          <w:trHeight w:val="210"/>
        </w:trPr>
        <w:tc>
          <w:tcPr>
            <w:tcW w:w="8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221,406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25,937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252,984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248,444</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the years ended December 31, 2020, 2019 and 2018, depreciation expense of property, plant and equipment was $24.2 million, $23.5 million, and $29.2 million, respectively. For the years December 31, 2020, 2019 and 2018, the capitalized interest was $0.4 million, $0.2 million and $0.0 million, respectively.</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As of December 31, 2020, the Company concluded that its continued loss history constitutes a triggering event as described in ASC 360-10-35-21,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8,158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8,179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2019</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7,638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7,655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the years ended December 31, 2020, 2019 and 2018, amortization expense for intangible assets, included in general and administrative expenses on the income statement, was $0.5 million each year. The remaining weighted average amortization period for intangible assets is approximately 7 years.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5"/>
              </w:rPr>
              <w:t>At December 31, 2020,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J—FAIR VALUE OF FINANCIAL INSTRUMENTS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remaining</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assets (Level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inputs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43,425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r>
      <w:tr>
        <w:trPr>
          <w:trHeight w:val="20"/>
        </w:trPr>
        <w:tc>
          <w:tcPr>
            <w:tcW w:w="37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50,114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50,114</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70,225</w:t>
            </w:r>
          </w:p>
        </w:tc>
      </w:tr>
      <w:tr>
        <w:trPr>
          <w:trHeight w:val="20"/>
        </w:trPr>
        <w:tc>
          <w:tcPr>
            <w:tcW w:w="374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Total liabilities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86,085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86,085</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2340" w:type="dxa"/>
            <w:vAlign w:val="bottom"/>
            <w:gridSpan w:val="2"/>
          </w:tcPr>
          <w:p>
            <w:pPr>
              <w:jc w:val="right"/>
              <w:ind w:right="170"/>
              <w:spacing w:after="0"/>
              <w:rPr>
                <w:sz w:val="20"/>
                <w:szCs w:val="20"/>
                <w:color w:val="auto"/>
              </w:rPr>
            </w:pPr>
            <w:r>
              <w:rPr>
                <w:rFonts w:ascii="Arial" w:cs="Arial" w:eastAsia="Arial" w:hAnsi="Arial"/>
                <w:sz w:val="18"/>
                <w:szCs w:val="18"/>
                <w:color w:val="auto"/>
              </w:rPr>
              <w:t>F- 19</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Quoted prices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active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markets for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remaining</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assets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59,977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0"/>
        </w:trPr>
        <w:tc>
          <w:tcPr>
            <w:tcW w:w="6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77,191</w:t>
            </w:r>
          </w:p>
        </w:tc>
      </w:tr>
      <w:tr>
        <w:trPr>
          <w:trHeight w:val="20"/>
        </w:trPr>
        <w:tc>
          <w:tcPr>
            <w:tcW w:w="6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83,501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83,501</w:t>
            </w:r>
          </w:p>
        </w:tc>
      </w:tr>
      <w:tr>
        <w:trPr>
          <w:trHeight w:val="20"/>
        </w:trPr>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5"/>
        </w:trPr>
        <w:tc>
          <w:tcPr>
            <w:tcW w:w="8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7"/>
              </w:rPr>
              <w:t>Revolving line of credit with a Taiwan bank up to $3,336 with 2.2% interest, maturing October 16, 2020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w w:val="97"/>
              </w:rPr>
              <w:t>Revolving line of credit with a Taiwan bank up to $3,436 with 2.2% interest, maturing January 31, 2021</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3.5% interest, maturing January 21,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w:t>
            </w: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8"/>
              </w:rPr>
              <w:t>Revolving line of credit with a Taiwan bank up to $2,668 with interest of 1.7%, maturing April 11, 2020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$8,917 with interest ranging from 4.5%, maturing October</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15, 2021</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$25,449 with interest from 3.01% to 4.57%, maturing May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24, 2024</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49,985</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debt issuance costs, net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(38,265)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(33,371)</w:t>
            </w: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Acceptance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660" w:right="100" w:hanging="647"/>
        <w:spacing w:after="0" w:line="500" w:lineRule="auto"/>
        <w:rPr>
          <w:sz w:val="20"/>
          <w:szCs w:val="20"/>
          <w:color w:val="auto"/>
        </w:rPr>
      </w:pPr>
      <w:r>
        <w:rPr>
          <w:rFonts w:ascii="Arial" w:cs="Arial" w:eastAsia="Arial" w:hAnsi="Arial"/>
          <w:sz w:val="18"/>
          <w:szCs w:val="18"/>
          <w:color w:val="auto"/>
        </w:rPr>
        <w:t>Bank acceptance notes issued to vendors with a zero percent interest rate</w:t>
      </w:r>
      <w:r>
        <w:rPr>
          <w:sz w:val="20"/>
          <w:szCs w:val="20"/>
          <w:color w:val="auto"/>
        </w:rPr>
        <w:t xml:space="preserve"> </w:t>
      </w:r>
      <w:r>
        <w:rPr>
          <w:rFonts w:ascii="Arial" w:cs="Arial" w:eastAsia="Arial" w:hAnsi="Arial"/>
          <w:sz w:val="18"/>
          <w:szCs w:val="18"/>
          <w:color w:val="auto"/>
        </w:rPr>
        <w:t>$ 15,860 $ 6,310 The current portion of long-term debt is the amount payable within one year of the balance sheet date of December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years ending December 31 (in thousands):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38,265</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13,904</w:t>
            </w:r>
          </w:p>
        </w:tc>
      </w:tr>
      <w:tr>
        <w:trPr>
          <w:trHeight w:val="20"/>
        </w:trPr>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52,169</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84" w:lineRule="exact"/>
        <w:rPr>
          <w:sz w:val="20"/>
          <w:szCs w:val="20"/>
          <w:color w:val="auto"/>
        </w:rPr>
      </w:pPr>
    </w:p>
    <w:p>
      <w:pPr>
        <w:ind w:right="20" w:firstLine="630"/>
        <w:spacing w:after="0" w:line="296" w:lineRule="auto"/>
        <w:rPr>
          <w:sz w:val="20"/>
          <w:szCs w:val="20"/>
          <w:color w:val="auto"/>
        </w:rPr>
      </w:pPr>
      <w:r>
        <w:rPr>
          <w:rFonts w:ascii="Arial" w:cs="Arial" w:eastAsia="Arial" w:hAnsi="Arial"/>
          <w:sz w:val="16"/>
          <w:szCs w:val="16"/>
          <w:color w:val="auto"/>
        </w:rPr>
        <w:t>On February 1, 2019, the Company executed a Second Amendment to Loan Agreement (the "Second Amendment") with BB&amp;T. The original loan agreement with BB&amp;T,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September 30, 2019, requires the Company to provide BB&amp;T monthly financial statements and allows additional unfinanced capital expenditures.</w:t>
      </w:r>
    </w:p>
    <w:p>
      <w:pPr>
        <w:spacing w:after="0" w:line="161"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On March 5, 2019, the Company executed a Third Amendment to Loan Agreement (the “Third Amendment”) with BB&amp;T pursuant to which the Company has established a revolving credit line used for working capital purposes. The Third Amendment, among other things: (i) contemplates the issuance of the Notes (as defined in Note L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BB&amp;T.</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BB&amp;T.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BB&amp;T,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BB&amp;T from the most recent loan base report and otherwise in the sole discretion of BB&amp;T after consideration of collections.</w:t>
      </w:r>
    </w:p>
    <w:p>
      <w:pPr>
        <w:spacing w:after="0" w:line="17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2020, the Company was in compliance with all covenants under the Loan Agreement. As of December 31, 2020, $18.7 million was outstanding under the Line of Credit.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will make 18 equal monthly payments of principal and interest with the final payment due in April 2022. The PPP Term Note may be accelerated upon the occurrence of an event of default. The PPP Term Note is unsecured and guaranteed by the United States Small Business Administration ("SBA"). The Company applied for forgiveness of the principal amount of the PPP Term Note on September 14, 2020 and currently expects the application to get approved. The forgiveness application is being reviewed and approved by Truist Bank. Under current SBA guidelines, due to the size of the loan we anticipate a further review by the SBA upon completion of the review by Truist Bank. The timing of the completion of the review by SBA is currently uncertain. Until such time as the forgiveness assessment has been completed by the SBA, the Company will not be required to make any payments under the terms of the PPP Term Note.</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December 31, 2020, $1.9 million was outstanding under the Equipment Finance Agreement.</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January 21, 2019, Prime World entered into a Second Purchase and Sale Contract (the “Second Sales Contract”), Promissory Note, and a second Equipment Finance Agreement with Chailease in connection with certain equipment. Pursuant to the Second Sales Contract, Prime World sold certain equipment to Chailease for a purchase price of NT$267,333,186, or approximately $8.7 million. Simultaneously, Prime World financed the equipment back from Chailease for a term of three-years, pursuant to the Second Equipment Finance Agreement. Prime World is obligated to pay an initial monthly payment of NT$67,333,186, or approximately $2.2 million, thereafter the monthly payments range from NT$5,570,167, or approximately $0.2 million to NT$6,082,131, or approximately $0.2 million. Based on the monthly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December 31, 2020, $2.1 million was outstanding under the Second Equipment Finance Agreement.</w:t>
      </w:r>
    </w:p>
    <w:p>
      <w:pPr>
        <w:spacing w:after="0" w:line="185" w:lineRule="exact"/>
        <w:rPr>
          <w:sz w:val="20"/>
          <w:szCs w:val="20"/>
          <w:color w:val="auto"/>
        </w:rPr>
      </w:pPr>
    </w:p>
    <w:p>
      <w:pPr>
        <w:ind w:right="20" w:firstLine="693"/>
        <w:spacing w:after="0" w:line="269" w:lineRule="auto"/>
        <w:rPr>
          <w:sz w:val="20"/>
          <w:szCs w:val="20"/>
          <w:color w:val="auto"/>
        </w:rPr>
      </w:pPr>
      <w:r>
        <w:rPr>
          <w:rFonts w:ascii="Arial" w:cs="Arial" w:eastAsia="Arial" w:hAnsi="Arial"/>
          <w:sz w:val="17"/>
          <w:szCs w:val="17"/>
          <w:color w:val="auto"/>
        </w:rPr>
        <w:t>On September 15, 2020, Prime World entered into an Amendment to the Sale Contract and Second Sales Contract (the “Amendment”) with Chailease Finance Co., Ltd. (“Chailease”). The Amendment amends the Sales Contract, dated November 29, 2018 and the Second Sales Contract, dated January 21, 2019 (hereafter collectively referred to as the “Original Sales Contracts”). Pursuant to the Amendment, Prime World agrees to pay Chailease NT$22,311,381, or approximately $0.8 million for certain leased equipment listed in the Amendment (the “Leased Equipment”). This payment will include all outstanding lease payments, costs and expenses; simultaneously, Chailease agrees to transfer title of such Leased Equipment back to Prime World. Regarding all other equipment contemplated in the Original Sales Contracts but not listed in the Amendment, pursuant to the terms and conditions made under the Original Sales Contracts, Prime World is obligated to pay Chailease monthly lease payments which total NT$159,027,448, or approximately $5.5 million (the “Lease Payments”). The Lease Payments will begin on September 21, 2020 with the last Lease Payment due on January 21, 2022, title of all other equipment contemplated under the Original Sales Contracts but not listed in the Amendment will transfer to Prime World upon completion of the Lease Payments and expiration of the Original Sales Contracts.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NT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a promissory note executed between Prime World and Far Eastern. On </w:t>
      </w:r>
      <w:r>
        <w:rPr>
          <w:rFonts w:ascii="Arial" w:cs="Arial" w:eastAsia="Arial" w:hAnsi="Arial"/>
          <w:sz w:val="17"/>
          <w:szCs w:val="17"/>
          <w:i w:val="1"/>
          <w:iCs w:val="1"/>
          <w:color w:val="auto"/>
        </w:rPr>
        <w:t>April 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2020, </w:t>
      </w:r>
      <w:r>
        <w:rPr>
          <w:rFonts w:ascii="Arial" w:cs="Arial" w:eastAsia="Arial" w:hAnsi="Arial"/>
          <w:sz w:val="17"/>
          <w:szCs w:val="17"/>
          <w:color w:val="auto"/>
        </w:rPr>
        <w:t>Prime World repaid the Far Eastern Credit Facility without penalty and terminated the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2019, Prime World entered into a one-year revolving credit facility totaling NT$100 million, or approximately $3.3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“NT$100M Credit Line”) and $1 million (the “US$1M Credit Line”) with Taishin International Bank in Taiwan ("Taishin"). Borrowing under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the borrowing under the US$1M Credit Line will be strictly used for spot transactions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foreign exchange market. The NT$100M Credit Line and US$1M Credit Line are collectively referred to as the “Taishin Credit Facility”. On July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NT$100M Credit Line with Taishin was extended for three (3) months until October 16, 2020. The term of each draw shall be either 90 or 120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Borrowings under the NT$100M Credit Line will bear interest at a rate of 2.25% for 90 day draws and 2.2% for 120 day draws;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US$1M Credit Line will bear interest equal to the Taishin’s foreign exchange rate effective on the day of the applicable draw. At the end of the draw 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Prime World will make payment for all principal and accrued interest. Prime World’s obligations under the Taishin Credit Facility will be secured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executed between Prime World and Taishin. The agreements for the Taishin Credit Facility contain representations and warranties,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events of default applicable to Prime World that are customary for agreements of this type. The NT$100M Credit Line and the US$1M Credit Line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have been replaced by the new Credit Line on October 7, 2020.</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October 7, 2020, Prime World entered into a revolving credit facility totaling NT$100 million, or approximately $3.44 million (the “NT$100M Credit Line”) and $1 million USD (the “US$1M Credit Line”) with Taishin International Bank in Taiwan (“Taishin”). Borrowing under the NT$100M Credit Line will be used for short-term working capital; borrowing under the US$1M Credit Line will be strictly used for spot transactions in the foreign exchange market. The NT$100M Credit Line and US$1M Credit Line are collectively referred to as the “Credit Facility”. Prime World may draw upon the Credit Facility from October 7, 2020 through January 31, 2021. The term of each draw under the NT$100M Credit Line shall be either 90 or 120 days and will bear interest at a rate of 2.15% for each draw; borrowings under the US$1M Credit Line will bear interest equal to Taishin’s foreign exchange rate effective on the day of the applicable draw. At the end of the draw term Prime World will make payment for all principal and accrued interest. Prime World’s obligations under the Credit Facility will be secured by a promissory note between Prime World and Taishin. As of December 31, 2020, $1.8 million was outstanding under the Taishin Credit Facility.</w:t>
      </w:r>
    </w:p>
    <w:p>
      <w:pPr>
        <w:spacing w:after="0" w:line="19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the China Merchants Credit Line was extended for twelve (12)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The China Merchants Credit Line has been replaced by the new Credit Line on October 19, 2020.</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April 30, 2019, the Company’s China subsidiary, Global, entered into a one-year credit facility totaling 9,900,000 RMB, or approximately $1.5 million, (the “SPD ¥9.9M Credit Facility”), with Shanghai Pudong Development Bank Co.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9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Borrowing under the SPD ¥30M Credit Facility will mature on May 7, 2020 and will bear interest equal to the Bank’s published twelve (12) month prime loan rate in effect on the date of the draw, plus 0.2475%. As of the execution of the Credit Facility agreement, the Bank’s published 12 months prime loan rate is 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8, 2019, the Company’s China subsidiary, Global, entered into a six-month credit facility totaling 2,000,000 USD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has been replaced by the SPD Credit Line on May 24, 2019.</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December 31, 2020, $11.6 million was outstanding under the SPD Credit Line and the outstanding balance of bank acceptance notes issued to vendors was $15.9 million.</w:t>
      </w:r>
    </w:p>
    <w:p>
      <w:pPr>
        <w:spacing w:after="0" w:line="168"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On June 21, 2019, the Company’s China subsidiary, Global, entered into an 18 month credit facility totaling 100,000,000 RMB (the “¥100M Credit Facility”), or approximately $14.1 million, with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As of December 31, 2020, there was no outstanding balance under the ¥100M Credit Facility.</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 Facility”), or approximately $7.1 million, with China Zheshang Bank Co., Ltd., in Ningbo City, China (“CZB”). Borrowing under the ¥50M Credit Facility will be used by Global for general corporate purposes. Global may draw upon the ¥50M Credit Facility from June 21, 2019 until June 20, 2022 (the “¥50M Credit Period”). During the ¥50M Credit Period, Global may request to draw upon the Credit Facility on an as-needed basis; however, draws under the ¥50M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¥50M Credit Facility will be secured by machinery and equipment owned by Global and mortgaged to CZB under the terms of the Machinery and Equipment Security Agreement. As of December 31, 2020, $7.5 million was outstanding under the ¥50M Credit Facility and there was no outstanding balance of bank acceptance notes issued to vendors under this facility.</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October 19, 2020, the Company’s China subsidiary, Global entered into a twelve (12) month revolving line of credit agreement, totaling 60,000,000 RMB, or approximately $8.91 million (the “Credit Line”), with China Merchants Bank Co., Ltd., in Ningbo, China (“China Merchants”). The Credit Line will be used by Global for general corporate purposes. Global may draw upon the Credit Line from October 16, 2020 until October 15, 2021 (the “Credit Period”). During the Credit Period, Global may request to draw upon the Credit Line on an as-needed basis; however, the amount of available credit under the Credit Line and the approval of each draw may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Credit Line is unsecured. As of December 31, 2020, $2.3 million was outstanding under the China Merchants Credit Line and there was no outstanding balance of bank acceptance notes issued to vendors under this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and 2019, the Company had $28.7 million and $48.8 million of unused borrowing capacity,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0.14% and 1.76% at December 31, 2020 and 2019, respectively.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2020 and 2019, there was $5.4 million and $6.1 million of restricted cash, investments or security deposit associated mainly with the loan facilities,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the carrying value of the Notes for the periods indicated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2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r>
      <w:tr>
        <w:trPr>
          <w:trHeight w:val="20"/>
        </w:trPr>
        <w:tc>
          <w:tcPr>
            <w:tcW w:w="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77,854</w:t>
            </w:r>
          </w:p>
        </w:tc>
      </w:tr>
      <w:tr>
        <w:trPr>
          <w:trHeight w:val="20"/>
        </w:trPr>
        <w:tc>
          <w:tcPr>
            <w:tcW w:w="26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Pursuant to the guidance in ASC 815-40,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w:t>
      </w:r>
      <w:r>
        <w:rPr>
          <w:rFonts w:ascii="Arial" w:cs="Arial" w:eastAsia="Arial" w:hAnsi="Arial"/>
          <w:sz w:val="16"/>
          <w:szCs w:val="16"/>
          <w:i w:val="1"/>
          <w:iCs w:val="1"/>
          <w:color w:val="auto"/>
        </w:rPr>
        <w: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left="180" w:right="80" w:firstLine="495"/>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4,025</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3,276</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r>
      <w:tr>
        <w:trPr>
          <w:trHeight w:val="20"/>
        </w:trPr>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4,856</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3,957</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56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11,009</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state and local taxes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interest</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shipping and tariff expenses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other</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17,864</w:t>
            </w:r>
          </w:p>
        </w:tc>
      </w:tr>
      <w:tr>
        <w:trPr>
          <w:trHeight w:val="655"/>
        </w:trPr>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N—OTHER INCOME AND EXPENSE</w:t>
            </w:r>
          </w:p>
        </w:tc>
        <w:tc>
          <w:tcPr>
            <w:tcW w:w="13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20" w:type="dxa"/>
            <w:vAlign w:val="bottom"/>
            <w:gridSpan w:val="5"/>
          </w:tcPr>
          <w:p>
            <w:pPr>
              <w:ind w:left="660"/>
              <w:spacing w:after="0"/>
              <w:rPr>
                <w:sz w:val="20"/>
                <w:szCs w:val="20"/>
                <w:color w:val="auto"/>
              </w:rPr>
            </w:pPr>
            <w:r>
              <w:rPr>
                <w:rFonts w:ascii="Arial" w:cs="Arial" w:eastAsia="Arial" w:hAnsi="Arial"/>
                <w:sz w:val="18"/>
                <w:szCs w:val="18"/>
                <w:color w:val="auto"/>
                <w:w w:val="98"/>
              </w:rPr>
              <w:t>Other income and expense consisted of the following for the periods indicated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w:t>
            </w:r>
          </w:p>
        </w:tc>
        <w:tc>
          <w:tcPr>
            <w:tcW w:w="23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2,708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3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the Company’s loss from operations before income taxes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w w:val="98"/>
              </w:rPr>
              <w:t>Years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(20,288)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(35,279)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(30,936)</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(16,108)</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r>
      <w:tr>
        <w:trPr>
          <w:trHeight w:val="20"/>
        </w:trPr>
        <w:tc>
          <w:tcPr>
            <w:tcW w:w="3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taxes</w:t>
            </w:r>
          </w:p>
        </w:tc>
        <w:tc>
          <w:tcPr>
            <w:tcW w:w="34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(51,224)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(51,387)</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w:t>
            </w:r>
          </w:p>
        </w:tc>
      </w:tr>
      <w:tr>
        <w:trPr>
          <w:trHeight w:val="412"/>
        </w:trPr>
        <w:tc>
          <w:tcPr>
            <w:tcW w:w="382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ind w:left="1620"/>
              <w:spacing w:after="0"/>
              <w:rPr>
                <w:sz w:val="20"/>
                <w:szCs w:val="20"/>
                <w:color w:val="auto"/>
              </w:rPr>
            </w:pPr>
            <w:r>
              <w:rPr>
                <w:rFonts w:ascii="Arial" w:cs="Arial" w:eastAsia="Arial" w:hAnsi="Arial"/>
                <w:sz w:val="18"/>
                <w:szCs w:val="18"/>
                <w:color w:val="auto"/>
              </w:rPr>
              <w:t>F- 26</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600" w:type="dxa"/>
            <w:vAlign w:val="bottom"/>
            <w:gridSpan w:val="8"/>
          </w:tcPr>
          <w:p>
            <w:pPr>
              <w:ind w:left="660"/>
              <w:spacing w:after="0"/>
              <w:rPr>
                <w:sz w:val="20"/>
                <w:szCs w:val="20"/>
                <w:color w:val="auto"/>
              </w:rPr>
            </w:pPr>
            <w:r>
              <w:rPr>
                <w:rFonts w:ascii="Arial" w:cs="Arial" w:eastAsia="Arial" w:hAnsi="Arial"/>
                <w:sz w:val="18"/>
                <w:szCs w:val="18"/>
                <w:color w:val="auto"/>
                <w:w w:val="99"/>
              </w:rPr>
              <w:t>The provision for income tax expense (benefit) for the years ended December 31, was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Current:</w:t>
            </w:r>
          </w:p>
        </w:tc>
        <w:tc>
          <w:tcPr>
            <w:tcW w:w="2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r>
      <w:tr>
        <w:trPr>
          <w:trHeight w:val="20"/>
        </w:trPr>
        <w:tc>
          <w:tcPr>
            <w:tcW w:w="420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Federal</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16,375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(6,391)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7,357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(2,731)</w:t>
            </w:r>
          </w:p>
        </w:tc>
      </w:tr>
      <w:tr>
        <w:trPr>
          <w:trHeight w:val="20"/>
        </w:trPr>
        <w:tc>
          <w:tcPr>
            <w:tcW w:w="4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(9,061)</w:t>
            </w:r>
          </w:p>
        </w:tc>
      </w:tr>
      <w:tr>
        <w:trPr>
          <w:trHeight w:val="216"/>
        </w:trPr>
        <w:tc>
          <w:tcPr>
            <w:tcW w:w="4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(7,632)</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 carryforward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31,526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Inventory reserves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2,241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2,385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AMT credit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Unrealized gains and losses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Foreign tax credit</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4,599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4,599</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1,784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1,641</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784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52,290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40,609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(43,462)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(25,736)</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(7,402)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(6,180)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(8,828)</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(7,586)</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The Company has a U.S. net operating loss carry forward of approximately $87.0 million, $32.7 million of which, if unused, expires between 2026 and 2032 and $54.3 million of which, can be carried forward indefinitely. The Company has U.S. and state research and development tax credits of $9.0 million, which, if unused, expire between 2028 and 2040. In addition, the Company has foreign tax credits of $4.6 million, which, if unused, will expire in 2028. Utilization of U.S. net operating losses and tax credit carry forwards are subject to an annual limitation due to the ownership change limitations set forth in Internal Revenue Code Section 382. As of December 31, 2020, the Company had Taiwan net operating loss carry forwards of approximately $51.4 million and China net operating loss carry forwards of approximately $16.0 million. The carryforward period for the Taiwan net operating loss carry forwards is ten years, and the expiration period begins 2028. The carryforward period for China net operating loss carry forwards is five years, and the expiration period begins 2024.</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2020. Such objective evidence limits the ability to consider other subjective evidence, such as our projections for future growth.</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the basis of this evaluation, as of December 31, 2020 and December 31, 2019, a valuation allowance of $43.5 million and $25.7 million, respectively, has been recorded to recognize only the portion of the deferred tax asset that is more likely than not to be realized. During the years ended December 31, 2020 and 2019, the valuation allowance increased by $17.7 million and $25.7 million, respectively, primarily due to recording a valuation allowance in certain jurisdictions and an increase in deferred tax assets with a full valuation allowance.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 in the deferred tax valuation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Change charged to expense/(income)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17,137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25,736</w:t>
            </w:r>
          </w:p>
        </w:tc>
        <w:tc>
          <w:tcPr>
            <w:tcW w:w="340" w:type="dxa"/>
            <w:vAlign w:val="bottom"/>
          </w:tcPr>
          <w:p>
            <w:pPr>
              <w:spacing w:after="0"/>
              <w:rPr>
                <w:sz w:val="18"/>
                <w:szCs w:val="18"/>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charged to currency translation adjustment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Ending Balance, December 31</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43,462</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25,736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reconciliation of the U.S. federal income tax rate of 21%, 21% and 21% for the years ended December 31, 2020, 2019 and 2018, respectively, to the Company’s effective income tax rate follows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taxes at statutory rate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(10,775)</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(10,791)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Non-deductible/non-taxable items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1,132</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962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differences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1,153</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Foreign permanent differences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17,137</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25,736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rates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w w:val="97"/>
              </w:rPr>
              <w:t>Transition tax adjustment, net of foreign tax credits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Alternative Minimum Tax</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other</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r>
      <w:tr>
        <w:trPr>
          <w:trHeight w:val="20"/>
        </w:trPr>
        <w:tc>
          <w:tcPr>
            <w:tcW w:w="3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14,662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(7,632)</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Company's provision for income taxes in 2020 was lower than 2019 primarily due to the recognition of a valuation allowance on the deferred tax assets, along with excess tax expense from stock-based compensation, partially offset by differences in pre-tax income and recording research and development credits.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provision for income taxes in 2019 was higher than in 2018 primarily due to the recognition of a valuation allowance on our US and state deferred tax assets, along with excess tax excess tax expense from stock-based compensation, partially offset by differences in pre-tax income and recording research and development credits.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wholly owned subsidiary, Prime World is a tax-exempt entity under the Income Tax Code of the British Virgin Islands.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2014, and 2017, Global Technology, Inc. renewed its National high-tech enterprise certificate and therefore extended its three-year tax preferential status through November 2020. In December 2020, Global Technology, Inc. again renewed its National high-tech enterprise certificate and therefore extended its three-year tax preferential status from December 2020 until December 2023. This tax holiday reduced its 2020, 2019 and 2018 income tax provision by approximately $1.4, $1.0, and $0.5 million respectively. This tax holiday reduced its fiscal 2020, 2019 and 2018 diluted earnings per share by approximately $0.05, $0.05 and $0.03 respectively. Effective January 1, 2016, China expanded the scope of the National high-tech enterprise to include additional deductions for qualifying research and development.</w:t>
      </w:r>
    </w:p>
    <w:p>
      <w:pPr>
        <w:spacing w:after="0" w:line="18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As of December 31, 2020, 2019 and 2018, the total amount of unrecognized tax benefit was $0.2 million, $0.2 million, and $0.2 million, respectively. The following is a tabular reconciliation of the total amounts of unrecognized tax benefits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29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29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4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940" w:type="dxa"/>
            <w:vAlign w:val="bottom"/>
            <w:gridSpan w:val="2"/>
          </w:tcPr>
          <w:p>
            <w:pPr>
              <w:jc w:val="right"/>
              <w:ind w:right="1470"/>
              <w:spacing w:after="0"/>
              <w:rPr>
                <w:sz w:val="20"/>
                <w:szCs w:val="20"/>
                <w:color w:val="auto"/>
              </w:rPr>
            </w:pPr>
            <w:r>
              <w:rPr>
                <w:rFonts w:ascii="Arial" w:cs="Arial" w:eastAsia="Arial" w:hAnsi="Arial"/>
                <w:sz w:val="18"/>
                <w:szCs w:val="18"/>
                <w:color w:val="auto"/>
              </w:rPr>
              <w:t>F- 28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2020 as a result of net operating losses. During 2019 or 2018, the Company also accrued no penalties or interest.</w:t>
      </w:r>
    </w:p>
    <w:p>
      <w:pPr>
        <w:spacing w:after="0" w:line="184"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2017 through 2019.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2010 forward for various foreign jurisdictions.</w:t>
      </w:r>
    </w:p>
    <w:p>
      <w:pPr>
        <w:spacing w:after="0" w:line="15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 Tax Act significantly changed how the U.S. taxes corporations. The U.S. Tax Act requires complex computations to be performed that were not previously required by U.S. tax law, significant judgments to be made in interpretation of the provisions of the U.S. Tax Act, significant estimates in calculations, and the preparation and analysis of information not previously relevant or regularly produced. The U.S. Treasury Department, the IRS, and other standard-setting bodies will continue to interpret or issue guidance on how provisions of the U.S. Tax Act will be applied or otherwise administered. As future guidance is issued, the Company may make adjustments to amounts that we have previously recorded that may materially impact our provision for income taxes in the period in which the adjustments are made.</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tax payments, establishing a credit for the retention of certain employees, relaxing limitations on the deductibility of interest, updating the definition of qualified improvement property, modification of the utilization limitations on net operating losses, and the ability to accelerate timing of refundable AMT credits. This legislation currently has no material impact to income tax expense on the Company’s financial statements. The Company continues to monitor additional guidance issued by the U.S. Treasury Department, the Internal Revenue Services and others.</w:t>
      </w:r>
    </w:p>
    <w:p>
      <w:pPr>
        <w:spacing w:after="0" w:line="16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December 31, 2020, the company has accumulated undistributed earnings generated by foreign subsidiaries of approximately $5 million. Because $5 million of such earnings have previously been subject to the one-time transition tax on foreign earnings required by the 2017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 future U.S. cash generation to be sufficient to meet future U.S. cash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1998 Share Incentive Plan</w:t>
      </w:r>
    </w:p>
    <w:p>
      <w:pPr>
        <w:spacing w:after="0" w:line="258" w:lineRule="exact"/>
        <w:rPr>
          <w:rFonts w:ascii="MS PGothic" w:cs="MS PGothic" w:eastAsia="MS PGothic" w:hAnsi="MS PGothic"/>
          <w:sz w:val="22"/>
          <w:szCs w:val="22"/>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2000 Share Incentive Plan</w:t>
      </w:r>
    </w:p>
    <w:p>
      <w:pPr>
        <w:spacing w:after="0" w:line="231" w:lineRule="exact"/>
        <w:rPr>
          <w:rFonts w:ascii="MS PGothic" w:cs="MS PGothic" w:eastAsia="MS PGothic" w:hAnsi="MS PGothic"/>
          <w:sz w:val="22"/>
          <w:szCs w:val="22"/>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2004 Share Incentive Plan</w:t>
      </w:r>
    </w:p>
    <w:p>
      <w:pPr>
        <w:spacing w:after="0" w:line="231" w:lineRule="exact"/>
        <w:rPr>
          <w:rFonts w:ascii="MS PGothic" w:cs="MS PGothic" w:eastAsia="MS PGothic" w:hAnsi="MS PGothic"/>
          <w:sz w:val="22"/>
          <w:szCs w:val="22"/>
          <w:color w:val="auto"/>
        </w:rPr>
      </w:pPr>
    </w:p>
    <w:p>
      <w:pPr>
        <w:ind w:left="1300" w:hanging="320"/>
        <w:spacing w:after="0"/>
        <w:tabs>
          <w:tab w:leader="none" w:pos="130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the 2006 Share Incentive Plan</w:t>
      </w:r>
    </w:p>
    <w:p>
      <w:pPr>
        <w:spacing w:after="0" w:line="252" w:lineRule="exact"/>
        <w:rPr>
          <w:rFonts w:ascii="MS PGothic" w:cs="MS PGothic" w:eastAsia="MS PGothic" w:hAnsi="MS PGothic"/>
          <w:sz w:val="18"/>
          <w:szCs w:val="18"/>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Amended and Restated 2013 Equity Incentive Plan (“2013 Plan”)</w:t>
      </w:r>
    </w:p>
    <w:p>
      <w:pPr>
        <w:spacing w:after="0" w:line="23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10.29</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5.41</w:t>
            </w: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December 31, 2020</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5.41</w:t>
            </w: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2.67</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w:t>
            </w:r>
          </w:p>
        </w:tc>
      </w:tr>
      <w:tr>
        <w:trPr>
          <w:trHeight w:val="197"/>
        </w:trPr>
        <w:tc>
          <w:tcPr>
            <w:tcW w:w="32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5.41</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2.67</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was no unrecognized stock option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98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11,279</w:t>
            </w:r>
          </w:p>
        </w:tc>
      </w:tr>
    </w:tbl>
    <w:p>
      <w:pPr>
        <w:spacing w:after="0" w:line="18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aggregate intrinsic value of RSUs and RSAs outstanding at December 31, 2020 was $11.3 million. Unrecognized compensation expense related to these RSUs and RSAs at December 31, 2020 was $16.9 million. This expense is expected to be recognized over 2.35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 and expense is adjusted as forfeitures occur.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years ended December 31,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Share-Based compensation - by expense type:</w:t>
            </w: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2,812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8,106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6,981</w:t>
            </w:r>
          </w:p>
        </w:tc>
      </w:tr>
      <w:tr>
        <w:trPr>
          <w:trHeight w:val="20"/>
        </w:trPr>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13,046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w:t>
            </w:r>
          </w:p>
        </w:tc>
      </w:tr>
      <w:tr>
        <w:trPr>
          <w:trHeight w:val="413"/>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Share-Based compensation - by award type:</w:t>
            </w:r>
          </w:p>
        </w:tc>
        <w:tc>
          <w:tcPr>
            <w:tcW w:w="194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4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13,046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11,108</w:t>
            </w:r>
          </w:p>
        </w:tc>
      </w:tr>
      <w:tr>
        <w:trPr>
          <w:trHeight w:val="20"/>
        </w:trPr>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13,046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w:t>
            </w:r>
          </w:p>
        </w:tc>
      </w:tr>
      <w:tr>
        <w:trPr>
          <w:trHeight w:val="413"/>
        </w:trPr>
        <w:tc>
          <w:tcPr>
            <w:tcW w:w="43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ind w:left="1060"/>
              <w:spacing w:after="0"/>
              <w:rPr>
                <w:sz w:val="20"/>
                <w:szCs w:val="20"/>
                <w:color w:val="auto"/>
              </w:rPr>
            </w:pPr>
            <w:r>
              <w:rPr>
                <w:rFonts w:ascii="Arial" w:cs="Arial" w:eastAsia="Arial" w:hAnsi="Arial"/>
                <w:sz w:val="18"/>
                <w:szCs w:val="18"/>
                <w:color w:val="auto"/>
              </w:rPr>
              <w:t>F- 31</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45,000,000 shares of common stock, all of which have been designated voting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Amended and Restated Certificate of Incorporation authorizes the issuance of up to 5,000,000 shares of preferred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“Second ATM Offering”) from time to time through Raymond James &amp; Associates, Inc. On November 22, 2016, the Company commenced sales of common stock through the Second ATM Offering. The Company completed its Second ATM Offering in March 2017 and sold 1.6 million shares of common stock at a weighted average price of $31.55 per share, providing proceeds of $48.8 million, net of expenses and underwriting discounts and commissions. On October 24, 2019, the Company filed a Registration Statement on Form S-3 with the Securities and Exchange Commission effective January 9, 2020, providing for the public offer and sale of certain securities of the Company from time to time, at its discretion, up to an aggregate amount of $250 million. In connection with such Form S-3, on February 28, 2020, the Company entered into an Equity Distribution Agreement with Raymond James &amp; Associates, Inc. pursuant to which the Company may issue and sell shares of the Company’s stock having an aggregate offering price of up to $55.0 million (the “Third ATM Offering”) from time to time through Raymond James &amp; Associates, Inc. As of December 31, 2020, the Company sold 4.5 million shares of common stock at a weighted average price of $9.00 per share, providing proceeds of $39.4 million, net of expenses and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R—SEGMENT AND GEOGRAPHIC INFORMATION</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15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18,380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9,795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10,795</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131,076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97,776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113,547</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85,167</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83,301</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143,123</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234,623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190,872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267,465</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As of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90,999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94,507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88,815</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71,080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73,816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65,451</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108,575</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97,687</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89,736</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270,654</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266,010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244,002</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serves four primary markets, the internet data center, CATV, telecom and FTTH markets. Of the Company’s total revenues in 2020, the Company earned $173.4 million, or 73.9%, from the internet data center market, $37.9 million, or 16.2%, from the CATV market, $21.1 million, or</w:t>
      </w:r>
    </w:p>
    <w:p>
      <w:pPr>
        <w:ind w:right="180"/>
        <w:spacing w:after="0" w:line="253" w:lineRule="auto"/>
        <w:rPr>
          <w:sz w:val="20"/>
          <w:szCs w:val="20"/>
          <w:color w:val="auto"/>
        </w:rPr>
      </w:pPr>
      <w:r>
        <w:rPr>
          <w:rFonts w:ascii="Arial" w:cs="Arial" w:eastAsia="Arial" w:hAnsi="Arial"/>
          <w:sz w:val="18"/>
          <w:szCs w:val="18"/>
          <w:color w:val="auto"/>
        </w:rPr>
        <w:t>9.0%, from the telecom market and $0.1 million, or 0.0%, from the FTTH market. Of the Company’s total revenues in 2019, the Company earned $143.6 million, or 75.2%, from the internet data center market, $37.3 million, or 19.6%, from the CATV market, $8.4 million, or 4.4%, from the telecom market and $0.2 million, or 0.1%, from the FTTH market. Of the Company’s total revenues in 2018, the Company earned $200.2 million, or 74.9%, from the internet data center market, $51.7 million, or 19.3%, from the CATV market, $13.2 million, or 4.9%, from the telecom market and $0.8 million, or 0.3%, from the FTTH market.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S—EMPLOYEE BENEFIT PLANS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$0.8 million to the 401(k) plan for each of the years ended December 31, 2020, 2019 and 2018.</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$1.2 million, $0.7 million, and $0.9 million for the years ended December 31, 2020, 2019 and 2018, respectively.</w:t>
      </w:r>
    </w:p>
    <w:p>
      <w:pPr>
        <w:spacing w:after="0" w:line="17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Employees Prime World’s Taiwan branch participate in a pension program under the Taiwan Labor Pension Act. Pension expense for the Prime World’s Taiwan branch was $0.8 million, $0.8 million, and $0.9 million for the years ended December 31, 2020, 2019 and 2018, respectively.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$1.4 million, $1.3 million, and $1.1 million, respectively, for the years ended December 31, 2020, 2019 and 2018, respectively.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December 31, 2020, the approximate minimum rental commitments under noncancellable leases in excess of one year that expire at varying dates through 2029 were as follows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1,247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4,190</w:t>
            </w:r>
          </w:p>
        </w:tc>
      </w:tr>
      <w:tr>
        <w:trPr>
          <w:trHeight w:val="20"/>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10,724</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Company has also entered into employment and indemnification agreements with one other executive officer. This agreement provides that if his employment is terminated as a result of a change of control of the Company, the Company will be required to pay a severance payment in an amount equal to six months of his annual base salary and other additional compensation due under the terms of the agreements.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w:t>
      </w:r>
      <w:r>
        <w:rPr>
          <w:rFonts w:ascii="Arial" w:cs="Arial" w:eastAsia="Arial" w:hAnsi="Arial"/>
          <w:sz w:val="16"/>
          <w:szCs w:val="16"/>
          <w:color w:val="auto"/>
        </w:rPr>
        <w:t xml:space="preserve"> </w:t>
      </w:r>
      <w:r>
        <w:rPr>
          <w:rFonts w:ascii="Arial" w:cs="Arial" w:eastAsia="Arial" w:hAnsi="Arial"/>
          <w:sz w:val="16"/>
          <w:szCs w:val="16"/>
          <w:i w:val="1"/>
          <w:iCs w:val="1"/>
          <w:color w:val="auto"/>
        </w:rPr>
        <w:t>Abouzied v. Applied Optoelectronics, Inc., Chih-Hsiang (Thompson) Lin, and Stefan J. Murry, et al.</w:t>
      </w:r>
      <w:r>
        <w:rPr>
          <w:rFonts w:ascii="Arial" w:cs="Arial" w:eastAsia="Arial" w:hAnsi="Arial"/>
          <w:sz w:val="16"/>
          <w:szCs w:val="16"/>
          <w:color w:val="auto"/>
        </w:rPr>
        <w:t>, Case No. 4:17-cv-02399. The complaint in this matter</w:t>
      </w:r>
      <w:r>
        <w:rPr>
          <w:rFonts w:ascii="Arial" w:cs="Arial" w:eastAsia="Arial" w:hAnsi="Arial"/>
          <w:sz w:val="16"/>
          <w:szCs w:val="16"/>
          <w:i w:val="1"/>
          <w:iCs w:val="1"/>
          <w:color w:val="auto"/>
        </w:rPr>
        <w:t xml:space="preserve"> </w:t>
      </w:r>
      <w:r>
        <w:rPr>
          <w:rFonts w:ascii="Arial" w:cs="Arial" w:eastAsia="Arial" w:hAnsi="Arial"/>
          <w:sz w:val="16"/>
          <w:szCs w:val="16"/>
          <w:color w:val="auto"/>
        </w:rPr>
        <w:t>seeks class action status on behalf of our shareholders, alleging 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we filed written objections on November 27, 2019. On December 11, 2019, Plaintiffs filed a response in opposition to our objections, and on December 16, 2019, we filed our reply brief. The court entered an order adopting the Magistrate Judge’s Memorandum and Recommendation over our objections on December 20, 2019. Thereafter, on January 3, 2020, we filed a petition for permission to appeal the class certification order to the Fifth Circuit Court of Appeals. Plaintiffs filed an answer in opposition to our petition on January 13, 2020, and we filed a reply brief in further support of the petition for permission to appeal on January 21, 2020. On January 23, 2020, we filed an unopposed motion in the Fifth Circuit requesting that the court stay further proceedings to allow the parties to conduct settlement negotiations. The Fifth Circuit entered an order granting the motion on January 24, 2020, and subsequently extended the stay by joint motion of the parties. On June 2, 2020, the parties reached an agreement in principle to settle the matter pursuant to a mediator’s recommendation. On June 4, 2020, the parties filed a Joint Motion to Stay All Deadlines and Notice of Settlement with the Court, in order to allow the parties to finalize their settlement and file a motion for preliminary approval with the court no later than August 3, 2020.</w:t>
      </w:r>
    </w:p>
    <w:p>
      <w:pPr>
        <w:spacing w:after="0" w:line="39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On August 3, 2020, the parties filed a Stipulation of Settlement with the Court. The Stipulation of Settlement contemplates—among other things and contingent upon Court approval of the settlement and customary terms and conditions—settlement of the action, a release of all claims made in the action, and dismissal of the claims made in the action with prejudice. As consideration for entering into the settlement, Plaintiffs will receive for distribution to the members of the class they purport to represent (in accordance with the terms of the Stipulation of Settlement) a payment of $15.5 million funded by AOI’s applicable directors’ and officers’ insurance policies. On October 20, 2020, Plaintiffs filed motions with the Court seeking final approval of the class action settlement and an award of attorneys’ fees to be paid out of the $15.5 million settlement fund. On November 24, 2020, the Court held a settlement hearing at which it approved the settlement. That same day, the Court entered its Final Order and Judgment terminating the case. Additional information regarding the settlement can be obtained by reviewing the settlement documents publicly filed with the Court in the matter. On December 7, 2020, following resolution of the district court case, the Fifth Circuit dismissed, without prejudice, our petition for permission to appeal the class certification order.</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After taking into account all currently available information, the advice of our counsel, and the extent and currently-expected availability of our existing insurance coverage, we believe that the outcome of this matter will not have a material adverse effect on our overall financial condition, results of operations or cash flows, and we have not recorded any accrual with regard to this matter.</w:t>
      </w:r>
    </w:p>
    <w:p>
      <w:pPr>
        <w:spacing w:after="0" w:line="200" w:lineRule="exact"/>
        <w:rPr>
          <w:sz w:val="20"/>
          <w:szCs w:val="20"/>
          <w:color w:val="auto"/>
        </w:rPr>
      </w:pPr>
    </w:p>
    <w:p>
      <w:pPr>
        <w:spacing w:after="0" w:line="20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 Applied Optoelectronics, Inc. v. Chih-Hsiang (“Thompson”)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w:t>
      </w:r>
      <w:r>
        <w:rPr>
          <w:rFonts w:ascii="Arial" w:cs="Arial" w:eastAsia="Arial" w:hAnsi="Arial"/>
          <w:sz w:val="16"/>
          <w:szCs w:val="16"/>
          <w:i w:val="1"/>
          <w:iCs w:val="1"/>
          <w:color w:val="auto"/>
        </w:rPr>
        <w:t>Abouzied</w:t>
      </w:r>
      <w:r>
        <w:rPr>
          <w:rFonts w:ascii="Arial" w:cs="Arial" w:eastAsia="Arial" w:hAnsi="Arial"/>
          <w:sz w:val="16"/>
          <w:szCs w:val="16"/>
          <w:color w:val="auto"/>
        </w:rPr>
        <w:t xml:space="preserve"> Securities Class Action. On December 18, 2018, a second derivative complaint was filed styled </w:t>
      </w:r>
      <w:r>
        <w:rPr>
          <w:rFonts w:ascii="Arial" w:cs="Arial" w:eastAsia="Arial" w:hAnsi="Arial"/>
          <w:sz w:val="16"/>
          <w:szCs w:val="16"/>
          <w:i w:val="1"/>
          <w:iCs w:val="1"/>
          <w:color w:val="auto"/>
        </w:rPr>
        <w:t>Yiu Kwong Ng v. Chih-Hsiang (“Thompson”) Lin, Stefan J. Murry, William H. Yeh, Alex Ignatiev, Richard B.</w:t>
      </w:r>
      <w:r>
        <w:rPr>
          <w:rFonts w:ascii="Arial" w:cs="Arial" w:eastAsia="Arial" w:hAnsi="Arial"/>
          <w:sz w:val="16"/>
          <w:szCs w:val="16"/>
          <w:color w:val="auto"/>
        </w:rPr>
        <w:t xml:space="preserve"> </w:t>
      </w:r>
      <w:r>
        <w:rPr>
          <w:rFonts w:ascii="Arial" w:cs="Arial" w:eastAsia="Arial" w:hAnsi="Arial"/>
          <w:sz w:val="16"/>
          <w:szCs w:val="16"/>
          <w:i w:val="1"/>
          <w:iCs w:val="1"/>
          <w:color w:val="auto"/>
        </w:rPr>
        <w:t>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 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December 2, 2020. On December 2, 2020, Defendants filed their motion to dismiss the consolidated derivative complaint. On December 7, 2020, Plaintiffs filed a notice alerting the Court that they were intending to file an amended complaint, which was subsequently filed by Plaintiffs on January 13, 2021. Defendants intend to file a motion to dismiss Plaintiffs’ amended consolidated derivative complaint, the deadline for which is March 1, 2021. Plaintiffs’ reply brief must be filed 21 days after Defendants file their motion to dismiss. The complaint requests unspecified damages and other relief. At this stage, we are not yet able to determine the likelihood of loss, if any, arising from this matter.</w:t>
      </w:r>
    </w:p>
    <w:p>
      <w:pPr>
        <w:sectPr>
          <w:pgSz w:w="11900" w:h="16838" w:orient="portrait"/>
          <w:cols w:equalWidth="0" w:num="1">
            <w:col w:w="11240"/>
          </w:cols>
          <w:pgMar w:left="320" w:top="368" w:right="339" w:bottom="284"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2021, the Company repaid its revolving bank line of credit of $17.8 million.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January 2021, the Company completed its ATM Offering and sold 1.5 million shares at a weighted average price of $10.20 per share, providing proceeds of $14.5 million, net of expenses and underwriting discounts and commissions.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V—SELECTED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a summary of the Company’s quarterly financial information for each of the four quarters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r>
      <w:tr>
        <w:trPr>
          <w:trHeight w:val="210"/>
        </w:trPr>
        <w:tc>
          <w:tcPr>
            <w:tcW w:w="39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40,467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76,608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52,326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goods sold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34,129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51,486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57,418</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41,049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13,736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19,190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39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3,430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3,230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24,132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24,844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25,969</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24,438</w:t>
            </w:r>
          </w:p>
        </w:tc>
      </w:tr>
      <w:tr>
        <w:trPr>
          <w:trHeight w:val="216"/>
        </w:trPr>
        <w:tc>
          <w:tcPr>
            <w:tcW w:w="39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(17,794)</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(11,108)</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(6,779)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(13,161)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loss before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(18,846)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(11,576)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(7,367)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(9,616)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(13,439)</w:t>
            </w:r>
          </w:p>
        </w:tc>
      </w:tr>
      <w:tr>
        <w:trPr>
          <w:trHeight w:val="216"/>
        </w:trPr>
        <w:tc>
          <w:tcPr>
            <w:tcW w:w="39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432"/>
        </w:trPr>
        <w:tc>
          <w:tcPr>
            <w:tcW w:w="3900" w:type="dxa"/>
            <w:vAlign w:val="bottom"/>
          </w:tcPr>
          <w:p>
            <w:pPr>
              <w:spacing w:after="0"/>
              <w:rPr>
                <w:sz w:val="24"/>
                <w:szCs w:val="24"/>
                <w:color w:val="auto"/>
              </w:rPr>
            </w:pP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F- 35</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4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Second</w:t>
            </w:r>
          </w:p>
        </w:tc>
        <w:tc>
          <w:tcPr>
            <w:tcW w:w="16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r>
      <w:tr>
        <w:trPr>
          <w:trHeight w:val="210"/>
        </w:trPr>
        <w:tc>
          <w:tcPr>
            <w:tcW w:w="4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46,084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48,658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goods sold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40,368</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32,873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34,108</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37,322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12,351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16"/>
        </w:trPr>
        <w:tc>
          <w:tcPr>
            <w:tcW w:w="4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10,597</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2,331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2,518</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2,615</w:t>
            </w: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24,220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24,366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22,972</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23,390</w:t>
            </w:r>
          </w:p>
        </w:tc>
      </w:tr>
      <w:tr>
        <w:trPr>
          <w:trHeight w:val="216"/>
        </w:trPr>
        <w:tc>
          <w:tcPr>
            <w:tcW w:w="4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(11,869)</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(13,828)</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(10,996)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(12,054)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before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(12,948)</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(14,557)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(10,720)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(13,163)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(10,474)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(11,366)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(35,430)</w:t>
            </w:r>
          </w:p>
        </w:tc>
      </w:tr>
      <w:tr>
        <w:trPr>
          <w:trHeight w:val="216"/>
        </w:trPr>
        <w:tc>
          <w:tcPr>
            <w:tcW w:w="4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648"/>
        </w:trPr>
        <w:tc>
          <w:tcPr>
            <w:tcW w:w="4180" w:type="dxa"/>
            <w:vAlign w:val="bottom"/>
          </w:tcPr>
          <w:p>
            <w:pPr>
              <w:spacing w:after="0"/>
              <w:rPr>
                <w:sz w:val="24"/>
                <w:szCs w:val="24"/>
                <w:color w:val="auto"/>
              </w:rPr>
            </w:pPr>
          </w:p>
        </w:tc>
        <w:tc>
          <w:tcPr>
            <w:tcW w:w="1820" w:type="dxa"/>
            <w:vAlign w:val="bottom"/>
            <w:gridSpan w:val="3"/>
          </w:tcPr>
          <w:p>
            <w:pPr>
              <w:jc w:val="right"/>
              <w:ind w:right="200"/>
              <w:spacing w:after="0"/>
              <w:rPr>
                <w:sz w:val="20"/>
                <w:szCs w:val="20"/>
                <w:color w:val="auto"/>
              </w:rPr>
            </w:pPr>
            <w:r>
              <w:rPr>
                <w:rFonts w:ascii="Arial" w:cs="Arial" w:eastAsia="Arial" w:hAnsi="Arial"/>
                <w:sz w:val="18"/>
                <w:szCs w:val="18"/>
                <w:color w:val="auto"/>
              </w:rPr>
              <w:t>F-36</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25, 2021, with respect to the consolidated financial statements and internal control over financial reporting included in the Annual Report of Applied Optoelectronics, Inc. on Form 10-K for the year ended December 31, 2020. We consent to the incorporation by reference of said reports in the Registration Statements of Applied Optoelectronics, Inc. on Form S-3 (File No. 333-234310) and on Forms S-8 (File No. 333-192407, File No. 333-217871, File No. 333-223347, File No. 333-230243 and File No. 333-236831).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160" w:firstLine="424"/>
        <w:spacing w:after="0" w:line="342" w:lineRule="auto"/>
        <w:tabs>
          <w:tab w:leader="none" w:pos="5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24"/>
        <w:spacing w:after="0" w:line="277" w:lineRule="auto"/>
        <w:tabs>
          <w:tab w:leader="none" w:pos="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24"/>
        <w:spacing w:after="0" w:line="263" w:lineRule="auto"/>
        <w:tabs>
          <w:tab w:leader="none" w:pos="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420" w:right="80" w:hanging="7"/>
        <w:spacing w:after="0" w:line="263" w:lineRule="auto"/>
        <w:tabs>
          <w:tab w:leader="none" w:pos="6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20" w:right="300" w:hanging="7"/>
        <w:spacing w:after="0" w:line="263" w:lineRule="auto"/>
        <w:tabs>
          <w:tab w:leader="none" w:pos="6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right="880" w:hanging="7"/>
        <w:spacing w:after="0" w:line="342" w:lineRule="auto"/>
        <w:tabs>
          <w:tab w:leader="none" w:pos="65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420" w:right="320" w:hanging="7"/>
        <w:spacing w:after="0" w:line="263" w:lineRule="auto"/>
        <w:tabs>
          <w:tab w:leader="none" w:pos="6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0" w:firstLine="424"/>
        <w:spacing w:after="0" w:line="308"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420" w:right="280" w:hanging="7"/>
        <w:spacing w:after="0" w:line="277" w:lineRule="auto"/>
        <w:tabs>
          <w:tab w:leader="none" w:pos="6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220" w:hanging="7"/>
        <w:spacing w:after="0" w:line="277"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160" w:firstLine="424"/>
        <w:spacing w:after="0" w:line="342"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24"/>
        <w:spacing w:after="0" w:line="277" w:lineRule="auto"/>
        <w:tabs>
          <w:tab w:leader="none" w:pos="5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24"/>
        <w:spacing w:after="0" w:line="263" w:lineRule="auto"/>
        <w:tabs>
          <w:tab w:leader="none" w:pos="5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20" w:hanging="6"/>
        <w:spacing w:after="0" w:line="263" w:lineRule="auto"/>
        <w:tabs>
          <w:tab w:leader="none" w:pos="7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00" w:right="220" w:hanging="6"/>
        <w:spacing w:after="0" w:line="263"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800" w:hanging="6"/>
        <w:spacing w:after="0" w:line="342" w:lineRule="auto"/>
        <w:tabs>
          <w:tab w:leader="none" w:pos="74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00" w:right="240" w:hanging="6"/>
        <w:spacing w:after="0" w:line="263"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24"/>
        <w:spacing w:after="0" w:line="308"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0" w:hanging="6"/>
        <w:spacing w:after="0" w:line="277" w:lineRule="auto"/>
        <w:tabs>
          <w:tab w:leader="none" w:pos="7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140" w:hanging="6"/>
        <w:spacing w:after="0" w:line="277"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87" w:lineRule="exact"/>
        <w:rPr>
          <w:sz w:val="20"/>
          <w:szCs w:val="20"/>
          <w:color w:val="auto"/>
        </w:rPr>
      </w:pPr>
    </w:p>
    <w:p>
      <w:pPr>
        <w:ind w:right="120" w:firstLine="424"/>
        <w:spacing w:after="0" w:line="277"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2020,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00" w:firstLine="424"/>
        <w:spacing w:after="0" w:line="277"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25th day of February,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 Chih-Hsiang (Thompson) Lin</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/s/ Stefan J. Murry</w:t>
            </w: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30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28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2"/>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2"/>
    </w:lvl>
  </w:abstractNum>
  <w:abstractNum w:abstractNumId="30">
    <w:nsid w:val="6DE91B18"/>
    <w:multiLevelType w:val="hybridMultilevel"/>
    <w:lvl w:ilvl="0">
      <w:lvlJc w:val="left"/>
      <w:lvlText w:val="(%1)"/>
      <w:numFmt w:val="lowerRoman"/>
      <w:start w:val="2"/>
    </w:lvl>
  </w:abstractNum>
  <w:abstractNum w:abstractNumId="31">
    <w:nsid w:val="38437FDB"/>
    <w:multiLevelType w:val="hybridMultilevel"/>
    <w:lvl w:ilvl="0">
      <w:lvlJc w:val="left"/>
      <w:lvlText w:val="%1."/>
      <w:numFmt w:val="lowerLetter"/>
      <w:start w:val="3"/>
    </w:lvl>
  </w:abstractNum>
  <w:abstractNum w:abstractNumId="32">
    <w:nsid w:val="7644A45C"/>
    <w:multiLevelType w:val="hybridMultilevel"/>
    <w:lvl w:ilvl="0">
      <w:lvlJc w:val="left"/>
      <w:lvlText w:val="*"/>
      <w:numFmt w:val="bullet"/>
      <w:start w:val="1"/>
    </w:lvl>
    <w:lvl w:ilvl="1">
      <w:lvlJc w:val="left"/>
      <w:lvlText w:val="%2"/>
      <w:numFmt w:val="decimal"/>
      <w:start w:val="104"/>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2"/>
    </w:lvl>
  </w:abstractNum>
  <w:abstractNum w:abstractNumId="38">
    <w:nsid w:val="1BA026FA"/>
    <w:multiLevelType w:val="hybridMultilevel"/>
    <w:lvl w:ilvl="0">
      <w:lvlJc w:val="left"/>
      <w:lvlText w:val="%1."/>
      <w:numFmt w:val="decimal"/>
      <w:start w:val="3"/>
    </w:lvl>
  </w:abstractNum>
  <w:abstractNum w:abstractNumId="39">
    <w:nsid w:val="79A1DEAA"/>
    <w:multiLevelType w:val="hybridMultilevel"/>
    <w:lvl w:ilvl="0">
      <w:lvlJc w:val="left"/>
      <w:lvlText w:val="%1."/>
      <w:numFmt w:val="decimal"/>
      <w:start w:val="4"/>
    </w:lvl>
  </w:abstractNum>
  <w:abstractNum w:abstractNumId="40">
    <w:nsid w:val="75C6C33A"/>
    <w:multiLevelType w:val="hybridMultilevel"/>
    <w:lvl w:ilvl="0">
      <w:lvlJc w:val="left"/>
      <w:lvlText w:val="%1."/>
      <w:numFmt w:val="decimal"/>
      <w:start w:val="5"/>
    </w:lvl>
  </w:abstractNum>
  <w:abstractNum w:abstractNumId="41">
    <w:nsid w:val="12E685FB"/>
    <w:multiLevelType w:val="hybridMultilevel"/>
    <w:lvl w:ilvl="0">
      <w:lvlJc w:val="left"/>
      <w:lvlText w:val="%1."/>
      <w:numFmt w:val="decimal"/>
      <w:start w:val="6"/>
    </w:lvl>
  </w:abstractNum>
  <w:abstractNum w:abstractNumId="42">
    <w:nsid w:val="70C6A529"/>
    <w:multiLevelType w:val="hybridMultilevel"/>
    <w:lvl w:ilvl="0">
      <w:lvlJc w:val="left"/>
      <w:lvlText w:val="%1."/>
      <w:numFmt w:val="decimal"/>
      <w:start w:val="8"/>
    </w:lvl>
  </w:abstractNum>
  <w:abstractNum w:abstractNumId="43">
    <w:nsid w:val="520EEDD1"/>
    <w:multiLevelType w:val="hybridMultilevel"/>
    <w:lvl w:ilvl="0">
      <w:lvlJc w:val="left"/>
      <w:lvlText w:val="%1."/>
      <w:numFmt w:val="decimal"/>
      <w:start w:val="9"/>
    </w:lvl>
  </w:abstractNum>
  <w:abstractNum w:abstractNumId="44">
    <w:nsid w:val="374A3FE6"/>
    <w:multiLevelType w:val="hybridMultilevel"/>
    <w:lvl w:ilvl="0">
      <w:lvlJc w:val="left"/>
      <w:lvlText w:val="%1."/>
      <w:numFmt w:val="decimal"/>
      <w:start w:val="10"/>
    </w:lvl>
  </w:abstractNum>
  <w:abstractNum w:abstractNumId="45">
    <w:nsid w:val="4F4EF005"/>
    <w:multiLevelType w:val="hybridMultilevel"/>
    <w:lvl w:ilvl="0">
      <w:lvlJc w:val="left"/>
      <w:lvlText w:val="%1."/>
      <w:numFmt w:val="decimal"/>
      <w:start w:val="11"/>
    </w:lvl>
  </w:abstractNum>
  <w:abstractNum w:abstractNumId="46">
    <w:nsid w:val="23F9C13C"/>
    <w:multiLevelType w:val="hybridMultilevel"/>
    <w:lvl w:ilvl="0">
      <w:lvlJc w:val="left"/>
      <w:lvlText w:val="%1."/>
      <w:numFmt w:val="decimal"/>
      <w:start w:val="12"/>
    </w:lvl>
  </w:abstractNum>
  <w:abstractNum w:abstractNumId="47">
    <w:nsid w:val="649BB77C"/>
    <w:multiLevelType w:val="hybridMultilevel"/>
    <w:lvl w:ilvl="0">
      <w:lvlJc w:val="left"/>
      <w:lvlText w:val="%1."/>
      <w:numFmt w:val="decimal"/>
      <w:start w:val="13"/>
    </w:lvl>
  </w:abstractNum>
  <w:abstractNum w:abstractNumId="48">
    <w:nsid w:val="275AC794"/>
    <w:multiLevelType w:val="hybridMultilevel"/>
    <w:lvl w:ilvl="0">
      <w:lvlJc w:val="left"/>
      <w:lvlText w:val="%1."/>
      <w:numFmt w:val="decimal"/>
      <w:start w:val="14"/>
    </w:lvl>
  </w:abstractNum>
  <w:abstractNum w:abstractNumId="49">
    <w:nsid w:val="39386575"/>
    <w:multiLevelType w:val="hybridMultilevel"/>
    <w:lvl w:ilvl="0">
      <w:lvlJc w:val="left"/>
      <w:lvlText w:val="%1."/>
      <w:numFmt w:val="decimal"/>
      <w:start w:val="15"/>
    </w:lvl>
  </w:abstractNum>
  <w:abstractNum w:abstractNumId="50">
    <w:nsid w:val="1CF10FD8"/>
    <w:multiLevelType w:val="hybridMultilevel"/>
    <w:lvl w:ilvl="0">
      <w:lvlJc w:val="left"/>
      <w:lvlText w:val="%1."/>
      <w:numFmt w:val="decimal"/>
      <w:start w:val="16"/>
    </w:lvl>
  </w:abstractNum>
  <w:abstractNum w:abstractNumId="51">
    <w:nsid w:val="180115BE"/>
    <w:multiLevelType w:val="hybridMultilevel"/>
    <w:lvl w:ilvl="0">
      <w:lvlJc w:val="left"/>
      <w:lvlText w:val="%1."/>
      <w:numFmt w:val="decimal"/>
      <w:start w:val="18"/>
    </w:lvl>
  </w:abstractNum>
  <w:abstractNum w:abstractNumId="52">
    <w:nsid w:val="235BA861"/>
    <w:multiLevelType w:val="hybridMultilevel"/>
    <w:lvl w:ilvl="0">
      <w:lvlJc w:val="left"/>
      <w:lvlText w:val="%1."/>
      <w:numFmt w:val="decimal"/>
      <w:start w:val="19"/>
    </w:lvl>
  </w:abstractNum>
  <w:abstractNum w:abstractNumId="53">
    <w:nsid w:val="47398C89"/>
    <w:multiLevelType w:val="hybridMultilevel"/>
    <w:lvl w:ilvl="0">
      <w:lvlJc w:val="left"/>
      <w:lvlText w:val="%1."/>
      <w:numFmt w:val="decimal"/>
      <w:start w:val="20"/>
    </w:lvl>
  </w:abstractNum>
  <w:abstractNum w:abstractNumId="54">
    <w:nsid w:val="354FE9F9"/>
    <w:multiLevelType w:val="hybridMultilevel"/>
    <w:lvl w:ilvl="0">
      <w:lvlJc w:val="left"/>
      <w:lvlText w:val="%1."/>
      <w:numFmt w:val="decimal"/>
      <w:start w:val="21"/>
    </w:lvl>
  </w:abstractNum>
  <w:abstractNum w:abstractNumId="55">
    <w:nsid w:val="15B5AF5C"/>
    <w:multiLevelType w:val="hybridMultilevel"/>
    <w:lvl w:ilvl="0">
      <w:lvlJc w:val="left"/>
      <w:lvlText w:val="%1."/>
      <w:numFmt w:val="decimal"/>
      <w:start w:val="22"/>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44" Type="http://schemas.openxmlformats.org/officeDocument/2006/relationships/image" Target="media/image81.png"/><Relationship Id="rId145" Type="http://schemas.openxmlformats.org/officeDocument/2006/relationships/image" Target="media/image82.png"/><Relationship Id="rId150" Type="http://schemas.openxmlformats.org/officeDocument/2006/relationships/image" Target="media/image83.png"/><Relationship Id="rId167" Type="http://schemas.openxmlformats.org/officeDocument/2006/relationships/image" Target="media/image84.png"/><Relationship Id="rId168" Type="http://schemas.openxmlformats.org/officeDocument/2006/relationships/image" Target="media/image85.png"/><Relationship Id="rId169" Type="http://schemas.openxmlformats.org/officeDocument/2006/relationships/image" Target="media/image86.png"/><Relationship Id="rId170" Type="http://schemas.openxmlformats.org/officeDocument/2006/relationships/image" Target="media/image87.png"/><Relationship Id="rId171" Type="http://schemas.openxmlformats.org/officeDocument/2006/relationships/image" Target="media/image88.png"/><Relationship Id="rId172" Type="http://schemas.openxmlformats.org/officeDocument/2006/relationships/image" Target="media/image89.png"/><Relationship Id="rId173" Type="http://schemas.openxmlformats.org/officeDocument/2006/relationships/image" Target="media/image90.png"/><Relationship Id="rId174" Type="http://schemas.openxmlformats.org/officeDocument/2006/relationships/image" Target="media/image91.png"/><Relationship Id="rId175" Type="http://schemas.openxmlformats.org/officeDocument/2006/relationships/image" Target="media/image92.png"/><Relationship Id="rId176" Type="http://schemas.openxmlformats.org/officeDocument/2006/relationships/image" Target="media/image93.png"/><Relationship Id="rId177" Type="http://schemas.openxmlformats.org/officeDocument/2006/relationships/image" Target="media/image94.png"/><Relationship Id="rId178" Type="http://schemas.openxmlformats.org/officeDocument/2006/relationships/image" Target="media/image95.png"/><Relationship Id="rId179" Type="http://schemas.openxmlformats.org/officeDocument/2006/relationships/image" Target="media/image96.png"/><Relationship Id="rId180" Type="http://schemas.openxmlformats.org/officeDocument/2006/relationships/image" Target="media/image97.png"/><Relationship Id="rId181" Type="http://schemas.openxmlformats.org/officeDocument/2006/relationships/image" Target="media/image98.png"/><Relationship Id="rId182" Type="http://schemas.openxmlformats.org/officeDocument/2006/relationships/image" Target="media/image99.png"/><Relationship Id="rId183" Type="http://schemas.openxmlformats.org/officeDocument/2006/relationships/image" Target="media/image100.png"/><Relationship Id="rId184" Type="http://schemas.openxmlformats.org/officeDocument/2006/relationships/image" Target="media/image101.png"/><Relationship Id="rId185" Type="http://schemas.openxmlformats.org/officeDocument/2006/relationships/image" Target="media/image102.png"/><Relationship Id="rId186" Type="http://schemas.openxmlformats.org/officeDocument/2006/relationships/image" Target="media/image103.png"/><Relationship Id="rId187" Type="http://schemas.openxmlformats.org/officeDocument/2006/relationships/image" Target="media/image104.png"/><Relationship Id="rId188" Type="http://schemas.openxmlformats.org/officeDocument/2006/relationships/image" Target="media/image105.png"/><Relationship Id="rId189" Type="http://schemas.openxmlformats.org/officeDocument/2006/relationships/image" Target="media/image106.png"/><Relationship Id="rId190" Type="http://schemas.openxmlformats.org/officeDocument/2006/relationships/image" Target="media/image107.png"/><Relationship Id="rId191" Type="http://schemas.openxmlformats.org/officeDocument/2006/relationships/image" Target="media/image108.png"/><Relationship Id="rId192" Type="http://schemas.openxmlformats.org/officeDocument/2006/relationships/image" Target="media/image109.png"/><Relationship Id="rId193" Type="http://schemas.openxmlformats.org/officeDocument/2006/relationships/image" Target="media/image110.png"/><Relationship Id="rId194"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98" Type="http://schemas.openxmlformats.org/officeDocument/2006/relationships/image" Target="media/image115.png"/><Relationship Id="rId199" Type="http://schemas.openxmlformats.org/officeDocument/2006/relationships/image" Target="media/image116.png"/><Relationship Id="rId200" Type="http://schemas.openxmlformats.org/officeDocument/2006/relationships/image" Target="media/image117.png"/><Relationship Id="rId201" Type="http://schemas.openxmlformats.org/officeDocument/2006/relationships/image" Target="media/image118.png"/><Relationship Id="rId202" Type="http://schemas.openxmlformats.org/officeDocument/2006/relationships/image" Target="media/image119.png"/><Relationship Id="rId84" Type="http://schemas.openxmlformats.org/officeDocument/2006/relationships/hyperlink" Target="http://www.sec.gov/Archives/edgar/data/1158114/000101968713004306/aaoi_10q-ex0301.htm" TargetMode="External"/><Relationship Id="rId85" Type="http://schemas.openxmlformats.org/officeDocument/2006/relationships/hyperlink" Target="http://www.sec.gov/Archives/edgar/data/1158114/000101968713004306/aaoi_10q-ex0302.htm" TargetMode="External"/><Relationship Id="rId86" Type="http://schemas.openxmlformats.org/officeDocument/2006/relationships/hyperlink" Target="http://www.sec.gov/Archives/edgar/data/1158114/000110465916157015/a16-21428_1ex4d1.htm" TargetMode="External"/><Relationship Id="rId87" Type="http://schemas.openxmlformats.org/officeDocument/2006/relationships/hyperlink" Target="http://www.sec.gov/Archives/edgar/data/1158114/000110465919012900/a19-4821_4ex4d1.htm" TargetMode="External"/><Relationship Id="rId88" Type="http://schemas.openxmlformats.org/officeDocument/2006/relationships/hyperlink" Target="http://www.sec.gov/Archives/edgar/data/1158114/000143774920003909/ex_173490.htm" TargetMode="External"/><Relationship Id="rId89" Type="http://schemas.openxmlformats.org/officeDocument/2006/relationships/hyperlink" Target="http://www.sec.gov/Archives/edgar/data/1158114/000104746913008409/a2216044zex-10_1.htm" TargetMode="External"/><Relationship Id="rId90" Type="http://schemas.openxmlformats.org/officeDocument/2006/relationships/hyperlink" Target="http://www.sec.gov/Archives/edgar/data/1158114/000104746913008409/a2216044zex-10_4.htm" TargetMode="External"/><Relationship Id="rId91" Type="http://schemas.openxmlformats.org/officeDocument/2006/relationships/hyperlink" Target="http://www.sec.gov/Archives/edgar/data/1158114/000104746913008409/a2216044zex-10_41.htm" TargetMode="External"/><Relationship Id="rId92" Type="http://schemas.openxmlformats.org/officeDocument/2006/relationships/hyperlink" Target="http://www.sec.gov/Archives/edgar/data/1158114/000104746913008409/a2216044zex-10_6.htm" TargetMode="External"/><Relationship Id="rId93" Type="http://schemas.openxmlformats.org/officeDocument/2006/relationships/hyperlink" Target="http://www.sec.gov/Archives/edgar/data/1158114/000104746913008695/a2216477zex-10_51.htm" TargetMode="External"/><Relationship Id="rId94" Type="http://schemas.openxmlformats.org/officeDocument/2006/relationships/hyperlink" Target="http://www.sec.gov/Archives/edgar/data/1158114/000104746913008409/a2216044zex-10_52.htm" TargetMode="External"/><Relationship Id="rId95" Type="http://schemas.openxmlformats.org/officeDocument/2006/relationships/hyperlink" Target="http://www.sec.gov/Archives/edgar/data/1158114/000155837017001556/aaoi-20161231ex10640a0a4.htm" TargetMode="External"/><Relationship Id="rId96" Type="http://schemas.openxmlformats.org/officeDocument/2006/relationships/hyperlink" Target="http://www.sec.gov/Archives/edgar/data/1158114/000104746913008409/a2216044zex-10_61.htm" TargetMode="External"/><Relationship Id="rId97" Type="http://schemas.openxmlformats.org/officeDocument/2006/relationships/hyperlink" Target="http://www.sec.gov/Archives/edgar/data/1158114/000104746913008409/a2216044zex-10_62.htm" TargetMode="External"/><Relationship Id="rId98" Type="http://schemas.openxmlformats.org/officeDocument/2006/relationships/hyperlink" Target="http://www.sec.gov/Archives/edgar/data/1158114/000104746913008409/a2216044zex-10_63.htm" TargetMode="External"/><Relationship Id="rId99" Type="http://schemas.openxmlformats.org/officeDocument/2006/relationships/hyperlink" Target="http://www.sec.gov/Archives/edgar/data/1158114/000104746913008409/a2216044zex-10_64.htm" TargetMode="External"/><Relationship Id="rId100" Type="http://schemas.openxmlformats.org/officeDocument/2006/relationships/hyperlink" Target="http://www.sec.gov/Archives/edgar/data/1158114/000104746913008409/a2216044zex-10_12.htm" TargetMode="External"/><Relationship Id="rId101" Type="http://schemas.openxmlformats.org/officeDocument/2006/relationships/hyperlink" Target="http://www.sec.gov/Archives/edgar/data/1158114/000104746913008409/a2216044zex-10_121.htm" TargetMode="External"/><Relationship Id="rId102" Type="http://schemas.openxmlformats.org/officeDocument/2006/relationships/hyperlink" Target="http://www.sec.gov/Archives/edgar/data/1158114/000101968716007125/applied_ex1020.htm" TargetMode="External"/><Relationship Id="rId103" Type="http://schemas.openxmlformats.org/officeDocument/2006/relationships/hyperlink" Target="http://www.sec.gov/Archives/edgar/data/1158114/000101968716007125/applied_ex1021.htm" TargetMode="External"/><Relationship Id="rId104" Type="http://schemas.openxmlformats.org/officeDocument/2006/relationships/hyperlink" Target="http://www.sec.gov/Archives/edgar/data/1158114/000101968716007125/applied_ex1022.htm" TargetMode="External"/><Relationship Id="rId105" Type="http://schemas.openxmlformats.org/officeDocument/2006/relationships/hyperlink" Target="http://www.sec.gov/Archives/edgar/data/1158114/000155837018001271/aaoi-20171231ex1098811b1.htm" TargetMode="External"/><Relationship Id="rId108" Type="http://schemas.openxmlformats.org/officeDocument/2006/relationships/hyperlink" Target="http://www.sec.gov/Archives/edgar/data/1158114/000168316817002573/ao_ex1001.htm" TargetMode="External"/><Relationship Id="rId109" Type="http://schemas.openxmlformats.org/officeDocument/2006/relationships/hyperlink" Target="http://www.sec.gov/Archives/edgar/data/1158114/000168316817002573/ao_ex1002.htm" TargetMode="External"/><Relationship Id="rId110" Type="http://schemas.openxmlformats.org/officeDocument/2006/relationships/hyperlink" Target="http://www.sec.gov/Archives/edgar/data/1158114/000168316817002573/ao_ex1003.htm" TargetMode="External"/><Relationship Id="rId111" Type="http://schemas.openxmlformats.org/officeDocument/2006/relationships/hyperlink" Target="http://www.sec.gov/Archives/edgar/data/1158114/000168316817002573/ao_ex1004.htm" TargetMode="External"/><Relationship Id="rId112" Type="http://schemas.openxmlformats.org/officeDocument/2006/relationships/hyperlink" Target="http://www.sec.gov/Archives/edgar/data/1158114/000168316817002573/ao_ex1005.htm" TargetMode="External"/><Relationship Id="rId113" Type="http://schemas.openxmlformats.org/officeDocument/2006/relationships/hyperlink" Target="http://www.sec.gov/Archives/edgar/data/1158114/000168316817002573/ao_ex1006.htm" TargetMode="External"/><Relationship Id="rId114" Type="http://schemas.openxmlformats.org/officeDocument/2006/relationships/hyperlink" Target="http://www.sec.gov/Archives/edgar/data/1158114/000168316818000488/appliedopto_ex1001.htm" TargetMode="External"/><Relationship Id="rId115" Type="http://schemas.openxmlformats.org/officeDocument/2006/relationships/hyperlink" Target="http://www.sec.gov/Archives/edgar/data/1158114/000168316818000488/appliedopto_ex1002.htm" TargetMode="External"/><Relationship Id="rId116" Type="http://schemas.openxmlformats.org/officeDocument/2006/relationships/hyperlink" Target="http://www.sec.gov/Archives/edgar/data/1158114/000155837018001271/aaoi-20171231ex10309e615.htm" TargetMode="External"/><Relationship Id="rId117" Type="http://schemas.openxmlformats.org/officeDocument/2006/relationships/hyperlink" Target="http://www.sec.gov/Archives/edgar/data/1158114/000155837018001271/aaoi-20171231ex103012e87.htm" TargetMode="External"/><Relationship Id="rId118" Type="http://schemas.openxmlformats.org/officeDocument/2006/relationships/hyperlink" Target="http://www.sec.gov/Archives/edgar/data/1158114/000155837018004322/aaoi-20180331ex105416272.htm" TargetMode="External"/><Relationship Id="rId119" Type="http://schemas.openxmlformats.org/officeDocument/2006/relationships/hyperlink" Target="http://www.sec.gov/Archives/edgar/data/1158114/000168316818000934/appliedopto_8k-ex1001.htm" TargetMode="External"/><Relationship Id="rId120" Type="http://schemas.openxmlformats.org/officeDocument/2006/relationships/hyperlink" Target="http://www.sec.gov/Archives/edgar/data/1158114/000168316818000934/appliedopto_8k-ex1002.htm" TargetMode="External"/><Relationship Id="rId121" Type="http://schemas.openxmlformats.org/officeDocument/2006/relationships/hyperlink" Target="http://www.sec.gov/Archives/edgar/data/1158114/000168316818000934/appliedopto_8k-ex1003.htm" TargetMode="External"/><Relationship Id="rId122" Type="http://schemas.openxmlformats.org/officeDocument/2006/relationships/hyperlink" Target="http://www.sec.gov/Archives/edgar/data/1158114/000168316818000934/appliedopto_8k-ex1004.htm" TargetMode="External"/><Relationship Id="rId123" Type="http://schemas.openxmlformats.org/officeDocument/2006/relationships/hyperlink" Target="http://www.sec.gov/Archives/edgar/data/1158114/000168316818000934/appliedopto_8k-ex1005.htm" TargetMode="External"/><Relationship Id="rId124" Type="http://schemas.openxmlformats.org/officeDocument/2006/relationships/hyperlink" Target="http://www.sec.gov/Archives/edgar/data/1158114/000168316818000934/appliedopto_8k-ex1006.htm" TargetMode="External"/><Relationship Id="rId125" Type="http://schemas.openxmlformats.org/officeDocument/2006/relationships/hyperlink" Target="http://www.sec.gov/Archives/edgar/data/1158114/000168316818000934/appliedopto_8k-ex1007.htm" TargetMode="External"/><Relationship Id="rId128" Type="http://schemas.openxmlformats.org/officeDocument/2006/relationships/hyperlink" Target="http://www.sec.gov/Archives/edgar/data/1158114/000168316818000934/appliedopto_8k-ex1008.htm" TargetMode="External"/><Relationship Id="rId129" Type="http://schemas.openxmlformats.org/officeDocument/2006/relationships/hyperlink" Target="http://www.sec.gov/Archives/edgar/data/1158114/000168316818000934/appliedopto_8k-ex1009.htm" TargetMode="External"/><Relationship Id="rId130" Type="http://schemas.openxmlformats.org/officeDocument/2006/relationships/hyperlink" Target="http://www.sec.gov/Archives/edgar/data/1158114/000168316818000934/appliedopto_8k-ex1010.htm" TargetMode="External"/><Relationship Id="rId131" Type="http://schemas.openxmlformats.org/officeDocument/2006/relationships/hyperlink" Target="http://www.sec.gov/Archives/edgar/data/1158114/000168316818003035/appliedopto_ex1001.htm" TargetMode="External"/><Relationship Id="rId132" Type="http://schemas.openxmlformats.org/officeDocument/2006/relationships/hyperlink" Target="http://www.sec.gov/Archives/edgar/data/1158114/000168316818003627/applied_8k-ex1001.htm" TargetMode="External"/><Relationship Id="rId133" Type="http://schemas.openxmlformats.org/officeDocument/2006/relationships/hyperlink" Target="http://www.sec.gov/Archives/edgar/data/1158114/000168316819000203/applied_ex1001.htm" TargetMode="External"/><Relationship Id="rId134" Type="http://schemas.openxmlformats.org/officeDocument/2006/relationships/hyperlink" Target="http://www.sec.gov/Archives/edgar/data/1158114/000168316819000287/applied_ex1001.htm" TargetMode="External"/><Relationship Id="rId135" Type="http://schemas.openxmlformats.org/officeDocument/2006/relationships/hyperlink" Target="http://www.sec.gov/Archives/edgar/data/1158114/000110465919012900/a19-4821_4ex10d1.htm" TargetMode="External"/><Relationship Id="rId136" Type="http://schemas.openxmlformats.org/officeDocument/2006/relationships/hyperlink" Target="http://www.sec.gov/Archives/edgar/data/1158114/000110465919012900/a19-4821_4ex10d2.htm" TargetMode="External"/><Relationship Id="rId137" Type="http://schemas.openxmlformats.org/officeDocument/2006/relationships/hyperlink" Target="http://www.sec.gov/Archives/edgar/data/1158114/000168316819001100/aaoi_8k-ex1001.htm" TargetMode="External"/><Relationship Id="rId138" Type="http://schemas.openxmlformats.org/officeDocument/2006/relationships/hyperlink" Target="http://www.sec.gov/Archives/edgar/data/1158114/000168316819001100/aaoi_8k-ex1002.htm" TargetMode="External"/><Relationship Id="rId139" Type="http://schemas.openxmlformats.org/officeDocument/2006/relationships/hyperlink" Target="http://www.sec.gov/Archives/edgar/data/1158114/000168316819001100/aaoi_8k-ex1003.htm" TargetMode="External"/><Relationship Id="rId140" Type="http://schemas.openxmlformats.org/officeDocument/2006/relationships/hyperlink" Target="http://www.sec.gov/Archives/edgar/data/1158114/000168316819001100/aaoi_8k-ex1004.htm" TargetMode="External"/><Relationship Id="rId141" Type="http://schemas.openxmlformats.org/officeDocument/2006/relationships/hyperlink" Target="http://www.sec.gov/Archives/edgar/data/1158114/000168316819001188/aaoi_ex1001.htm" TargetMode="External"/><Relationship Id="rId142" Type="http://schemas.openxmlformats.org/officeDocument/2006/relationships/hyperlink" Target="http://www.sec.gov/Archives/edgar/data/1158114/000168316819001379/applied_8k-1001.htm" TargetMode="External"/><Relationship Id="rId143" Type="http://schemas.openxmlformats.org/officeDocument/2006/relationships/hyperlink" Target="http://www.sec.gov/Archives/edgar/data/1158114/000168316819001485/aaoi_8k-ex1001.htm" TargetMode="External"/><Relationship Id="rId146" Type="http://schemas.openxmlformats.org/officeDocument/2006/relationships/hyperlink" Target="http://www.sec.gov/Archives/edgar/data/1158114/000168316819001485/aaoi_8k-ex1002.htm" TargetMode="External"/><Relationship Id="rId147" Type="http://schemas.openxmlformats.org/officeDocument/2006/relationships/hyperlink" Target="http://www.sec.gov/Archives/edgar/data/1158114/000168316819001761/appliedopto_ex1001.htm" TargetMode="External"/><Relationship Id="rId148" Type="http://schemas.openxmlformats.org/officeDocument/2006/relationships/hyperlink" Target="http://www.sec.gov/Archives/edgar/data/1158114/000168316819001761/appliedopto_ex1002.htm" TargetMode="External"/><Relationship Id="rId149" Type="http://schemas.openxmlformats.org/officeDocument/2006/relationships/hyperlink" Target="http://www.sec.gov/Archives/edgar/data/1158114/000168316819002034/appliedopto_ex1001.htm" TargetMode="External"/><Relationship Id="rId151" Type="http://schemas.openxmlformats.org/officeDocument/2006/relationships/hyperlink" Target="http://www.sec.gov/Archives/edgar/data/1158114/000168316819002034/appliedopto_ex1002.htm" TargetMode="External"/><Relationship Id="rId152" Type="http://schemas.openxmlformats.org/officeDocument/2006/relationships/hyperlink" Target="http://www.sec.gov/Archives/edgar/data/1158114/000168316819002034/appliedopto_ex1003.htm" TargetMode="External"/><Relationship Id="rId153" Type="http://schemas.openxmlformats.org/officeDocument/2006/relationships/hyperlink" Target="http://www.sec.gov/Archives/edgar/data/1158114/000168316819002034/appliedopto_ex1004.htm" TargetMode="External"/><Relationship Id="rId154" Type="http://schemas.openxmlformats.org/officeDocument/2006/relationships/hyperlink" Target="http://www.sec.gov/Archives/edgar/data/1158114/000155837019007685/aaoi-20190630ex1011018df.htm" TargetMode="External"/><Relationship Id="rId155" Type="http://schemas.openxmlformats.org/officeDocument/2006/relationships/hyperlink" Target="http://www.sec.gov/Archives/edgar/data/1158114/000155837019007685/aaoi-20190630ex1012c18ae.htm" TargetMode="External"/><Relationship Id="rId156" Type="http://schemas.openxmlformats.org/officeDocument/2006/relationships/hyperlink" Target="http://www.sec.gov/Archives/edgar/data/1158114/000155837019007685/aaoi-20190630ex10135090a.htm" TargetMode="External"/><Relationship Id="rId157" Type="http://schemas.openxmlformats.org/officeDocument/2006/relationships/hyperlink" Target="http://www.sec.gov/Archives/edgar/data/1158114/000155837019007685/aaoi-20190630ex10144a251.htm" TargetMode="External"/><Relationship Id="rId158" Type="http://schemas.openxmlformats.org/officeDocument/2006/relationships/hyperlink" Target="http://www.sec.gov/Archives/edgar/data/1158114/000168316819003174/appliedopto_ex1001.htm" TargetMode="External"/><Relationship Id="rId159" Type="http://schemas.openxmlformats.org/officeDocument/2006/relationships/hyperlink" Target="http://www.sec.gov/Archives/edgar/data/1158114/000168316819003174/appliedopto_ex1002.htm" TargetMode="External"/><Relationship Id="rId160" Type="http://schemas.openxmlformats.org/officeDocument/2006/relationships/hyperlink" Target="http://www.sec.gov/Archives/edgar/data/1158114/000168316819003174/appliedopto_ex1003.htm" TargetMode="External"/><Relationship Id="rId161" Type="http://schemas.openxmlformats.org/officeDocument/2006/relationships/hyperlink" Target="http://www.sec.gov/Archives/edgar/data/1158114/000168316819003720/aaoi_ex1001.htm" TargetMode="External"/><Relationship Id="rId162" Type="http://schemas.openxmlformats.org/officeDocument/2006/relationships/hyperlink" Target="http://www.sec.gov/Archives/edgar/data/1158114/000168316820001257/appliedopto_ex1001.htm" TargetMode="External"/><Relationship Id="rId163" Type="http://schemas.openxmlformats.org/officeDocument/2006/relationships/hyperlink" Target="http://www.sec.gov/Archives/edgar/data/1158114/000168316820003194/appliedopto_ex1001.htm" TargetMode="External"/><Relationship Id="rId164" Type="http://schemas.openxmlformats.org/officeDocument/2006/relationships/hyperlink" Target="http://www.sec.gov/Archives/edgar/data/1158114/000168316820003426/appliedopto_ex1001.htm" TargetMode="External"/><Relationship Id="rId165" Type="http://schemas.openxmlformats.org/officeDocument/2006/relationships/hyperlink" Target="http://www.sec.gov/Archives/edgar/data/1158114/000168316820003426/appliedopto_ex1002.htm" TargetMode="External"/><Relationship Id="rId166" Type="http://schemas.openxmlformats.org/officeDocument/2006/relationships/hyperlink" Target="http://www.sec.gov/Archives/edgar/data/1158114/000168316820003515/appliedopt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2021-02-25T15:44:32Z</dcterms:created>
  <dcterms:modified xsi:type="dcterms:W3CDTF">2021-02-25T15:44:32Z</dcterms:modified>
</cp:coreProperties>
</file>