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900" w:right="1680" w:hanging="3892"/>
        <w:spacing w:after="0" w:line="490" w:lineRule="auto"/>
        <w:tabs>
          <w:tab w:leader="none" w:pos="58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280" w:space="720"/>
            <w:col w:w="4180" w:space="720"/>
            <w:col w:w="2240" w:space="720"/>
            <w:col w:w="56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229" w:right="239" w:bottom="1440" w:gutter="0" w:footer="0" w:header="0"/>
          <w:type w:val="continuous"/>
        </w:sectPr>
      </w:pPr>
    </w:p>
    <w:p>
      <w:pPr>
        <w:spacing w:after="0" w:line="16" w:lineRule="exact"/>
        <w:rPr>
          <w:sz w:val="24"/>
          <w:szCs w:val="24"/>
          <w:color w:val="auto"/>
        </w:rPr>
      </w:pPr>
    </w:p>
    <w:p>
      <w:pPr>
        <w:ind w:left="4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5, 2015 there were 14,940,596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Condensed Consolidated Balance Sheets as of March 31, 2015 and December 31, 2014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Condensed Consolidated Statements of Operations for the Three Months ended March 31, 2015 and 2014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0080" w:type="dxa"/>
            <w:vAlign w:val="bottom"/>
            <w:gridSpan w:val="3"/>
            <w:shd w:val="clear" w:color="auto" w:fill="EEEEEE"/>
          </w:tcPr>
          <w:p>
            <w:pPr>
              <w:ind w:left="140"/>
              <w:spacing w:after="0" w:line="201" w:lineRule="exact"/>
              <w:rPr>
                <w:sz w:val="20"/>
                <w:szCs w:val="20"/>
                <w:color w:val="auto"/>
              </w:rPr>
            </w:pPr>
            <w:r>
              <w:rPr>
                <w:rFonts w:ascii="Arial" w:cs="Arial" w:eastAsia="Arial" w:hAnsi="Arial"/>
                <w:sz w:val="18"/>
                <w:szCs w:val="18"/>
                <w:color w:val="auto"/>
                <w:w w:val="98"/>
              </w:rPr>
              <w:t>Condensed Consolidated Statements of Comprehensive Income (Loss) for the Three Months Ended March 31, 2015 and 2014</w:t>
            </w:r>
          </w:p>
        </w:tc>
        <w:tc>
          <w:tcPr>
            <w:tcW w:w="5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(Unaudited)</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Condensed Consolidated Statements of Cash Flows for the Three Months ended March 31, 2015 and 2014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gridSpan w:val="3"/>
          </w:tcPr>
          <w:p>
            <w:pPr>
              <w:ind w:left="488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March 31, 2015</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December 31, 2014</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9,909</w:t>
            </w: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32,175</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8,190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8,189</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Accounts receivable - trade,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29,962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31,589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43,565</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33,780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7,814</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6,017</w:t>
            </w:r>
          </w:p>
        </w:tc>
        <w:tc>
          <w:tcPr>
            <w:tcW w:w="80" w:type="dxa"/>
            <w:vAlign w:val="bottom"/>
            <w:shd w:val="clear" w:color="auto" w:fill="EEEEEE"/>
          </w:tcPr>
          <w:p>
            <w:pPr>
              <w:spacing w:after="0"/>
              <w:rPr>
                <w:sz w:val="19"/>
                <w:szCs w:val="19"/>
                <w:color w:val="auto"/>
              </w:rPr>
            </w:pPr>
          </w:p>
        </w:tc>
      </w:tr>
      <w:tr>
        <w:trPr>
          <w:trHeight w:val="210"/>
        </w:trPr>
        <w:tc>
          <w:tcPr>
            <w:tcW w:w="77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101,139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restricted for construction in progress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8,993</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69,512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64,808</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Land use rights, net</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920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3,828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3,833</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1,823</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EEEEEE"/>
          </w:tcPr>
          <w:p>
            <w:pPr>
              <w:spacing w:after="0"/>
              <w:rPr>
                <w:sz w:val="19"/>
                <w:szCs w:val="19"/>
                <w:color w:val="auto"/>
              </w:rPr>
            </w:pPr>
          </w:p>
        </w:tc>
      </w:tr>
      <w:tr>
        <w:trPr>
          <w:trHeight w:val="263"/>
        </w:trPr>
        <w:tc>
          <w:tcPr>
            <w:tcW w:w="778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186,215</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183,670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Current portion of notes payable and long-term debt</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18,721</w:t>
            </w: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9,591</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25,301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30,799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Bank acceptance payable</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1,445</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6,318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6,940</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51,785</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48,601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Notes payable and long-term debt, less current portion</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18,773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19,057</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long term liabilities</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EEEEEE"/>
          </w:tcPr>
          <w:p>
            <w:pPr>
              <w:spacing w:after="0"/>
              <w:rPr>
                <w:sz w:val="19"/>
                <w:szCs w:val="19"/>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71,308</w:t>
            </w:r>
          </w:p>
        </w:tc>
        <w:tc>
          <w:tcPr>
            <w:tcW w:w="3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68,658</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7780" w:type="dxa"/>
            <w:vAlign w:val="bottom"/>
          </w:tcPr>
          <w:p>
            <w:pPr>
              <w:ind w:left="300"/>
              <w:spacing w:after="0" w:line="201" w:lineRule="exact"/>
              <w:rPr>
                <w:sz w:val="20"/>
                <w:szCs w:val="20"/>
                <w:color w:val="auto"/>
              </w:rPr>
            </w:pPr>
            <w:r>
              <w:rPr>
                <w:rFonts w:ascii="Arial" w:cs="Arial" w:eastAsia="Arial" w:hAnsi="Arial"/>
                <w:sz w:val="18"/>
                <w:szCs w:val="18"/>
                <w:color w:val="auto"/>
                <w:w w:val="94"/>
              </w:rPr>
              <w:t>Preferred Stock: 5,000 shares authorized; no shares issued and outstanding at March 31, 2015 and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780" w:type="dxa"/>
            <w:vAlign w:val="bottom"/>
          </w:tcPr>
          <w:p>
            <w:pPr>
              <w:ind w:left="440"/>
              <w:spacing w:after="0"/>
              <w:rPr>
                <w:sz w:val="20"/>
                <w:szCs w:val="20"/>
                <w:color w:val="auto"/>
              </w:rPr>
            </w:pPr>
            <w:r>
              <w:rPr>
                <w:rFonts w:ascii="Arial" w:cs="Arial" w:eastAsia="Arial" w:hAnsi="Arial"/>
                <w:sz w:val="18"/>
                <w:szCs w:val="18"/>
                <w:color w:val="auto"/>
              </w:rPr>
              <w:t>December 31, 2014, $0.001 par value</w:t>
            </w:r>
          </w:p>
        </w:tc>
        <w:tc>
          <w:tcPr>
            <w:tcW w:w="14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8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2"/>
              </w:rPr>
              <w:t>Common Stock: 45,000 shares authorized; 14,893 shares issued and outstanding at March 31, 2015,</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78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4"/>
              </w:rPr>
              <w:t>$0.001 par value; 14,824 shares issued and outstanding at December 31, 2014, $0.001 par value</w:t>
            </w:r>
          </w:p>
        </w:tc>
        <w:tc>
          <w:tcPr>
            <w:tcW w:w="140" w:type="dxa"/>
            <w:vAlign w:val="bottom"/>
            <w:shd w:val="clear" w:color="auto" w:fill="EEEEEE"/>
          </w:tcPr>
          <w:p>
            <w:pPr>
              <w:spacing w:after="0"/>
              <w:rPr>
                <w:sz w:val="20"/>
                <w:szCs w:val="20"/>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EEEEEE"/>
          </w:tcPr>
          <w:p>
            <w:pPr>
              <w:spacing w:after="0"/>
              <w:rPr>
                <w:sz w:val="20"/>
                <w:szCs w:val="20"/>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192,705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192,112</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Accumulated other comprehensive gain</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1,902</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1,925</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3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(79,715)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(79,040)</w:t>
            </w:r>
          </w:p>
        </w:tc>
      </w:tr>
      <w:tr>
        <w:trPr>
          <w:trHeight w:val="210"/>
        </w:trPr>
        <w:tc>
          <w:tcPr>
            <w:tcW w:w="778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114,907</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115,012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778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186,215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 Mar 31,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30,234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24,859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20,183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16,206</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10,051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4,805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5,003</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(1,316</w:t>
            </w:r>
          </w:p>
        </w:tc>
        <w:tc>
          <w:tcPr>
            <w:tcW w:w="200" w:type="dxa"/>
            <w:vAlign w:val="bottom"/>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(0.05)</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14,844,211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12,792,322</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14,844,211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13,787,580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120" w:type="dxa"/>
            <w:vAlign w:val="bottom"/>
            <w:tcBorders>
              <w:top w:val="single" w:sz="8" w:color="auto"/>
            </w:tcBorders>
            <w:shd w:val="clear" w:color="auto" w:fill="EEEEEE"/>
          </w:tcPr>
          <w:p>
            <w:pPr>
              <w:jc w:val="right"/>
              <w:ind w:right="95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1120" w:type="dxa"/>
            <w:vAlign w:val="bottom"/>
            <w:tcBorders>
              <w:top w:val="single" w:sz="8" w:color="auto"/>
              <w:bottom w:val="single" w:sz="8" w:color="auto"/>
            </w:tcBorders>
            <w:shd w:val="clear" w:color="auto" w:fill="EEEEEE"/>
          </w:tcPr>
          <w:p>
            <w:pPr>
              <w:jc w:val="right"/>
              <w:ind w:right="95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100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12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Provision for obsolete inventory</w:t>
            </w: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2,034</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Loss on disposal of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Share-based compensation and warrant expense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1,643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Bank acceptance receivable</w:t>
            </w: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2"/>
              </w:rPr>
              <w:t>(10,543)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(1,764)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(5,263)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30"/>
        </w:trPr>
        <w:tc>
          <w:tcPr>
            <w:tcW w:w="778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(13,798</w:t>
            </w:r>
          </w:p>
        </w:tc>
        <w:tc>
          <w:tcPr>
            <w:tcW w:w="160" w:type="dxa"/>
            <w:vAlign w:val="bottom"/>
            <w:tcBorders>
              <w:top w:val="single" w:sz="8" w:color="EEEEEE"/>
            </w:tcBorders>
            <w:shd w:val="clear" w:color="auto" w:fill="EEEEEE"/>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short-term investments</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Change in restricted cash for construction in progress</w:t>
            </w:r>
          </w:p>
        </w:tc>
        <w:tc>
          <w:tcPr>
            <w:tcW w:w="10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(8,993)_</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(6,333)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Proceeds from disposal of equipment</w:t>
            </w: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Deposits and deferred charges</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(16,407</w:t>
            </w:r>
          </w:p>
        </w:tc>
        <w:tc>
          <w:tcPr>
            <w:tcW w:w="160" w:type="dxa"/>
            <w:vAlign w:val="bottom"/>
            <w:tcBorders>
              <w:top w:val="single" w:sz="8" w:color="EEEEEE"/>
            </w:tcBorders>
            <w:shd w:val="clear" w:color="auto" w:fill="EEEEEE"/>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notes payable and long-term debt</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Principal payments of long-term debt and notes payable</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line of credit borrowings</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25,091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Repayments of line of credit borrowings</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(16,253)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(14,954)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bank acceptance payable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Repayments of bank acceptance payable</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notes payable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Arial" w:cs="Arial" w:eastAsia="Arial" w:hAnsi="Arial"/>
                <w:sz w:val="18"/>
                <w:szCs w:val="18"/>
                <w:color w:val="auto"/>
              </w:rPr>
              <w:t>Proceeds from common stock offering, net</w:t>
            </w:r>
          </w:p>
        </w:tc>
        <w:tc>
          <w:tcPr>
            <w:tcW w:w="10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45,671</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8,215</w:t>
            </w: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39,780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Borders>
              <w:bottom w:val="single" w:sz="8" w:color="EEEEEE"/>
            </w:tcBorders>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EEEEEE"/>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(22,266)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30,405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32,175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22,006</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top w:val="single" w:sz="8" w:color="auto"/>
              <w:bottom w:val="single" w:sz="8" w:color="auto"/>
            </w:tcBorders>
            <w:shd w:val="clear" w:color="auto" w:fill="EEEEEE"/>
          </w:tcPr>
          <w:p>
            <w:pPr>
              <w:jc w:val="right"/>
              <w:ind w:right="84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9,909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52,411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for:</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2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1000" w:type="dxa"/>
            <w:vAlign w:val="bottom"/>
            <w:shd w:val="clear" w:color="auto" w:fill="EEEEEE"/>
          </w:tcPr>
          <w:p>
            <w:pPr>
              <w:jc w:val="right"/>
              <w:ind w:right="841"/>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8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Purchase of intangible assets with notes payable</w:t>
            </w:r>
          </w:p>
        </w:tc>
        <w:tc>
          <w:tcPr>
            <w:tcW w:w="1000" w:type="dxa"/>
            <w:vAlign w:val="bottom"/>
            <w:shd w:val="clear" w:color="auto" w:fill="EEEEEE"/>
          </w:tcPr>
          <w:p>
            <w:pPr>
              <w:jc w:val="right"/>
              <w:ind w:right="84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8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left="280" w:right="272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cable television, fiber-to-the-home and internet data centers.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has manufacturing and research and development facilities in all three of its locations, located in the U.S., Taiwan and China. At its corporate headquarters and manufacturing facilities in Sugar Land, Texas, the Company primarily manufactures lasers and laser components and performs research and development activities for laser component products. The Company operates a division in Taipei, Taiwan that primarily manufactures transceivers for both the data center and fiber-to-the-home (“FTTH”) markets and performs research and development activities for the transceiver products. The Company operates in Ningbo, China through its wholly-owned subsidiary Prime World International Holdings, Ltd. (incorporated in the British Virgin Islands), the sole parent of Global Technology, Inc. (incorporated in the People’s Republic of China). Through Global Technology, the Company primarily manufactures Cable TV Broadband (“CATV”) systems and equipment and performs research and development activities for the CATV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condensed consolidated financial statements of the Company, as of March 31, 2015 and December 31, 2014 and for the three months ended March 31, 2015 and March 31, 2014, have been prepared in accordance with the instructions on Form 10-Q pursuant to the rules and regulations of the Securities and Exchange Commission (“SEC”). In accordance with those rules and regulations, the Company has omitted certain information and notes normally provided in the Company’s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but does not include all disclosures required by U.S. generally accepted accounting principles (“GAAP”). These condensed consolidated financial statements should be read in conjunction with the Consolidated Financial Statements and Notes thereto included in the Company’s Annual Report on Form 10-K (“Annual Report”) for the fiscal year ended December 31, 2014. The results of operations for the three months ended March 31, 2015 are not necessarily indicative of the results expected for the entire fiscal year. All significant intercompany accounts and transactions have been eliminated.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31, 2015, as compared to the significant accounting policies described in its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2014-09”). The standard provides companies with a single model for use in accounting for revenue arising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and supersedes current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ASU 2014-09 is effective for annual reporting periods beginning after December 15, 2016. Early adoption is not permitted. The guidance permits companies to either apply the requirements retrospectively to all prior periods presented, or apply the requirements in the year of adoption, through a cumulative adjustment. The Company is in the process of evaluating the impact of adoption on its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b w:val="1"/>
                <w:bCs w:val="1"/>
                <w:color w:val="auto"/>
                <w:w w:val="96"/>
              </w:rPr>
              <w:t>As of March 31, 2015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6"/>
              </w:rPr>
              <w:t>As of December 31, 2014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240" w:type="dxa"/>
            <w:vAlign w:val="bottom"/>
          </w:tcPr>
          <w:p>
            <w:pPr>
              <w:ind w:left="160"/>
              <w:spacing w:after="0"/>
              <w:rPr>
                <w:sz w:val="20"/>
                <w:szCs w:val="20"/>
                <w:color w:val="auto"/>
              </w:rPr>
            </w:pPr>
            <w:r>
              <w:rPr>
                <w:rFonts w:ascii="Arial" w:cs="Arial" w:eastAsia="Arial" w:hAnsi="Arial"/>
                <w:sz w:val="18"/>
                <w:szCs w:val="18"/>
                <w:color w:val="auto"/>
                <w:w w:val="95"/>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9,909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9,909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32,175</w:t>
            </w:r>
          </w:p>
        </w:tc>
      </w:tr>
      <w:tr>
        <w:trPr>
          <w:trHeight w:val="216"/>
        </w:trPr>
        <w:tc>
          <w:tcPr>
            <w:tcW w:w="2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10,041</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10,041</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2240" w:type="dxa"/>
            <w:vAlign w:val="bottom"/>
          </w:tcPr>
          <w:p>
            <w:pPr>
              <w:ind w:left="160"/>
              <w:spacing w:after="0"/>
              <w:rPr>
                <w:sz w:val="20"/>
                <w:szCs w:val="20"/>
                <w:color w:val="auto"/>
              </w:rPr>
            </w:pPr>
            <w:r>
              <w:rPr>
                <w:rFonts w:ascii="Arial" w:cs="Arial" w:eastAsia="Arial" w:hAnsi="Arial"/>
                <w:sz w:val="18"/>
                <w:szCs w:val="18"/>
                <w:color w:val="auto"/>
              </w:rPr>
              <w:t>Short 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8,189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8,189</w:t>
            </w:r>
          </w:p>
        </w:tc>
      </w:tr>
      <w:tr>
        <w:trPr>
          <w:trHeight w:val="230"/>
        </w:trPr>
        <w:tc>
          <w:tcPr>
            <w:tcW w:w="2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Notes receivable</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651</w:t>
            </w:r>
          </w:p>
        </w:tc>
        <w:tc>
          <w:tcPr>
            <w:tcW w:w="820" w:type="dxa"/>
            <w:vAlign w:val="bottom"/>
            <w:shd w:val="clear" w:color="auto" w:fill="EEEEEE"/>
          </w:tcPr>
          <w:p>
            <w:pPr>
              <w:spacing w:after="0"/>
              <w:rPr>
                <w:sz w:val="19"/>
                <w:szCs w:val="19"/>
                <w:color w:val="auto"/>
              </w:rPr>
            </w:pPr>
          </w:p>
        </w:tc>
        <w:tc>
          <w:tcPr>
            <w:tcW w:w="3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EEEEEE"/>
          </w:tcPr>
          <w:p>
            <w:pPr>
              <w:spacing w:after="0"/>
              <w:rPr>
                <w:sz w:val="19"/>
                <w:szCs w:val="19"/>
                <w:color w:val="auto"/>
              </w:rPr>
            </w:pPr>
          </w:p>
        </w:tc>
        <w:tc>
          <w:tcPr>
            <w:tcW w:w="9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980</w:t>
            </w:r>
          </w:p>
        </w:tc>
      </w:tr>
      <w:tr>
        <w:trPr>
          <w:trHeight w:val="263"/>
        </w:trPr>
        <w:tc>
          <w:tcPr>
            <w:tcW w:w="2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28,140</w:t>
            </w:r>
          </w:p>
        </w:tc>
        <w:tc>
          <w:tcPr>
            <w:tcW w:w="1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bottom w:val="single" w:sz="8" w:color="EEEEEE"/>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28,791</w:t>
            </w:r>
          </w:p>
        </w:tc>
        <w:tc>
          <w:tcPr>
            <w:tcW w:w="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40,873</w:t>
            </w:r>
          </w:p>
        </w:tc>
        <w:tc>
          <w:tcPr>
            <w:tcW w:w="2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41,853</w:t>
            </w:r>
          </w:p>
        </w:tc>
        <w:tc>
          <w:tcPr>
            <w:tcW w:w="100" w:type="dxa"/>
            <w:vAlign w:val="bottom"/>
            <w:tcBorders>
              <w:bottom w:val="single" w:sz="8" w:color="EEEEEE"/>
            </w:tcBorders>
          </w:tcPr>
          <w:p>
            <w:pPr>
              <w:spacing w:after="0"/>
              <w:rPr>
                <w:sz w:val="22"/>
                <w:szCs w:val="22"/>
                <w:color w:val="auto"/>
              </w:rPr>
            </w:pPr>
          </w:p>
        </w:tc>
      </w:tr>
      <w:tr>
        <w:trPr>
          <w:trHeight w:val="197"/>
        </w:trPr>
        <w:tc>
          <w:tcPr>
            <w:tcW w:w="224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2240" w:type="dxa"/>
            <w:vAlign w:val="bottom"/>
          </w:tcPr>
          <w:p>
            <w:pPr>
              <w:ind w:left="160"/>
              <w:spacing w:after="0"/>
              <w:rPr>
                <w:sz w:val="20"/>
                <w:szCs w:val="20"/>
                <w:color w:val="auto"/>
              </w:rPr>
            </w:pPr>
            <w:r>
              <w:rPr>
                <w:rFonts w:ascii="Arial" w:cs="Arial" w:eastAsia="Arial" w:hAnsi="Arial"/>
                <w:sz w:val="18"/>
                <w:szCs w:val="18"/>
                <w:color w:val="auto"/>
                <w:w w:val="99"/>
              </w:rPr>
              <w:t>Bank acceptance payable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1,445</w:t>
            </w:r>
          </w:p>
        </w:tc>
        <w:tc>
          <w:tcPr>
            <w:tcW w:w="8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r>
      <w:tr>
        <w:trPr>
          <w:trHeight w:val="223"/>
        </w:trPr>
        <w:tc>
          <w:tcPr>
            <w:tcW w:w="2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restricted stock units/awards and warrants outstanding during the period. In periods with net losses, normally dilutive shares become anti-dilutive, and therefore for those periods basic and dilutive earnings per share are the same.</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Numerator:</w:t>
            </w:r>
          </w:p>
        </w:tc>
        <w:tc>
          <w:tcPr>
            <w:tcW w:w="2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12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1"/>
              </w:rPr>
              <w:t>Weighted average shares used to compute net income (loss) per share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14,844</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12,792</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Effective of dilutive options and warrants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14,844</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13,788</w:t>
            </w: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(0.05)</w:t>
            </w:r>
          </w:p>
        </w:tc>
        <w:tc>
          <w:tcPr>
            <w:tcW w:w="122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2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648"/>
        </w:trPr>
        <w:tc>
          <w:tcPr>
            <w:tcW w:w="63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ind w:right="28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income (loss) per share as their effect would have been anti-dilutive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Employee stock options</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Restricted stock units/awards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auto"/>
              <w:bottom w:val="single" w:sz="8" w:color="auto"/>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Inventory</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gridSpan w:val="2"/>
          </w:tcPr>
          <w:p>
            <w:pPr>
              <w:ind w:left="660"/>
              <w:spacing w:after="0"/>
              <w:rPr>
                <w:sz w:val="20"/>
                <w:szCs w:val="20"/>
                <w:color w:val="auto"/>
              </w:rPr>
            </w:pPr>
            <w:r>
              <w:rPr>
                <w:rFonts w:ascii="Arial" w:cs="Arial" w:eastAsia="Arial" w:hAnsi="Arial"/>
                <w:sz w:val="18"/>
                <w:szCs w:val="18"/>
                <w:color w:val="auto"/>
                <w:w w:val="95"/>
              </w:rPr>
              <w:t>Inventories consist of the following for the periods indicated (in thousands):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March 31, 2015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16,615</w:t>
            </w:r>
          </w:p>
        </w:tc>
        <w:tc>
          <w:tcPr>
            <w:tcW w:w="320" w:type="dxa"/>
            <w:vAlign w:val="bottom"/>
            <w:tcBorders>
              <w:top w:val="single" w:sz="8" w:color="EEEEEE"/>
            </w:tcBorders>
            <w:gridSpan w:val="2"/>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EEEEEE"/>
          </w:tcPr>
          <w:p>
            <w:pPr>
              <w:spacing w:after="0"/>
              <w:rPr>
                <w:sz w:val="19"/>
                <w:szCs w:val="19"/>
                <w:color w:val="auto"/>
              </w:rPr>
            </w:pPr>
          </w:p>
        </w:tc>
        <w:tc>
          <w:tcPr>
            <w:tcW w:w="20" w:type="dxa"/>
            <w:vAlign w:val="bottom"/>
            <w:tcBorders>
              <w:bottom w:val="single" w:sz="8" w:color="auto"/>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5,986</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43,565</w:t>
            </w:r>
          </w:p>
        </w:tc>
        <w:tc>
          <w:tcPr>
            <w:tcW w:w="320" w:type="dxa"/>
            <w:vAlign w:val="bottom"/>
            <w:gridSpan w:val="2"/>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33,780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lower of cost or market adjustment expensed for inventory for the three months ended March 31, 2015 and 2014 was $0.6 million and $0.3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March 31,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 2014</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25,056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65,384</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61,529</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5,372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EEEEEE"/>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98,161</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84,748</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(35,519)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(32,412)</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62,642</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52,336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5,769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1,101</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the three months ended March 31, 2015 and 2014, depreciation expense of property, plant and equipment was $1.9 million and $1.2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2015</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Gross Amount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amortization</w:t>
            </w:r>
          </w:p>
        </w:tc>
        <w:tc>
          <w:tcPr>
            <w:tcW w:w="186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Intangible assets, net</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1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Patents</w:t>
            </w:r>
          </w:p>
        </w:tc>
        <w:tc>
          <w:tcPr>
            <w:tcW w:w="1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5,062</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Borders>
              <w:top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Trademarks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1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intangible assets</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5,076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6"/>
        </w:trPr>
        <w:tc>
          <w:tcPr>
            <w:tcW w:w="5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9" w:name="page10"/>
    <w:bookmarkEnd w:id="9"/>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 2014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Gross Amount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amortization</w:t>
            </w:r>
          </w:p>
        </w:tc>
        <w:tc>
          <w:tcPr>
            <w:tcW w:w="186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Intangible assets, net</w:t>
            </w:r>
          </w:p>
        </w:tc>
      </w:tr>
      <w:tr>
        <w:trPr>
          <w:trHeight w:val="210"/>
        </w:trPr>
        <w:tc>
          <w:tcPr>
            <w:tcW w:w="31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Patents</w:t>
            </w:r>
          </w:p>
        </w:tc>
        <w:tc>
          <w:tcPr>
            <w:tcW w:w="1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4,968</w:t>
            </w: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3,827</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Trademarks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23"/>
        </w:trPr>
        <w:tc>
          <w:tcPr>
            <w:tcW w:w="31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intangible assets</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4,982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spacing w:after="0"/>
              <w:rPr>
                <w:sz w:val="19"/>
                <w:szCs w:val="19"/>
                <w:color w:val="auto"/>
              </w:rPr>
            </w:pP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three months ended March 31, 2015 and 2014, amortization expense for intangible assets, included in general and administrative expenses on the income statement, was $100,000 and $69,000, respectively. The remaining weighted average amortization period for intangible assets is approximately 10 years.</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2014 the Company acquired an intangible asset from an unrelated company in the form of a license to various patents related to transceiver product technology. The weighted-average amortization period for the license is 10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 2015</w:t>
            </w:r>
          </w:p>
        </w:tc>
        <w:tc>
          <w:tcPr>
            <w:tcW w:w="16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2014</w:t>
            </w:r>
          </w:p>
        </w:tc>
        <w:tc>
          <w:tcPr>
            <w:tcW w:w="0" w:type="dxa"/>
            <w:vAlign w:val="bottom"/>
          </w:tcPr>
          <w:p>
            <w:pPr>
              <w:spacing w:after="0"/>
              <w:rPr>
                <w:sz w:val="1"/>
                <w:szCs w:val="1"/>
                <w:color w:val="auto"/>
              </w:rPr>
            </w:pPr>
          </w:p>
        </w:tc>
      </w:tr>
      <w:tr>
        <w:trPr>
          <w:trHeight w:val="182"/>
        </w:trPr>
        <w:tc>
          <w:tcPr>
            <w:tcW w:w="754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5"/>
              </w:rPr>
              <w:t>Revolving line of credit with a U.S. bank up to $15,000 with interest at LIBOR plus 2.75%, maturing</w:t>
            </w:r>
          </w:p>
        </w:tc>
        <w:tc>
          <w:tcPr>
            <w:tcW w:w="24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146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580" w:type="dxa"/>
            <w:vAlign w:val="bottom"/>
            <w:tcBorders>
              <w:top w:val="single" w:sz="8" w:color="auto"/>
            </w:tcBorders>
            <w:shd w:val="clear" w:color="auto" w:fill="EEEEEE"/>
          </w:tcPr>
          <w:p>
            <w:pPr>
              <w:spacing w:after="0"/>
              <w:rPr>
                <w:sz w:val="15"/>
                <w:szCs w:val="15"/>
                <w:color w:val="auto"/>
              </w:rPr>
            </w:pPr>
          </w:p>
        </w:tc>
        <w:tc>
          <w:tcPr>
            <w:tcW w:w="100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July 15, 2017</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7"/>
              </w:rPr>
              <w:t>Term loan with a U.S. bank with monthly payments of principal and interest at LIBOR plus 2.75%,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maturing July 31, 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4,906</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Revolving line of credit with a Taiwan bank up to $3,000 with interest based on the bank’s corporate</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rate index+ 1.5%, or 2.40% maturing on November 15, 2015</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2,769</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2"/>
              </w:rPr>
              <w:t>Revolving line of credit with a Taiwan bank up to $4,000 with interest at LIBOR plus 1.2% maturing 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February 6, 2016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3,642</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2"/>
              </w:rPr>
              <w:t>Revolving line of credit with a Taiwan bank up to $3,000 with interest at LIBOR plus 1.7% maturing on</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February 6, 2016</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2,351</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3"/>
              </w:rPr>
              <w:t>Revolving line of credit with a Taiwan bank up to $4,000 with interest at Taiwan Time Deposit Interest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Rate Index plus 0.41% or LIBOR plus 1.28% maturing on November 27, 2015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3,572</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Note payable to a finance company due in monthly installments with 4.95% interest, maturing July 30,</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7"/>
              </w:rPr>
              <w:t>Revolving line of credit with a China bank up to $3,200 with interest ranged from 0.76% to 1.66%,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which mature in April and May 2015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2,557</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Revolving line of credit with a China bank up to $7,200 with interest at 108% of China Prime rate, or</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5.79%, maturing March 17, 2016</w:t>
            </w:r>
          </w:p>
        </w:tc>
        <w:tc>
          <w:tcPr>
            <w:tcW w:w="2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2,442</w:t>
            </w:r>
          </w:p>
        </w:tc>
        <w:tc>
          <w:tcPr>
            <w:tcW w:w="160" w:type="dxa"/>
            <w:vAlign w:val="bottom"/>
            <w:shd w:val="clear" w:color="auto" w:fill="EEEEEE"/>
          </w:tcPr>
          <w:p>
            <w:pPr>
              <w:spacing w:after="0"/>
              <w:rPr>
                <w:sz w:val="21"/>
                <w:szCs w:val="21"/>
                <w:color w:val="auto"/>
              </w:rPr>
            </w:pPr>
          </w:p>
        </w:tc>
        <w:tc>
          <w:tcPr>
            <w:tcW w:w="5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(18,721)</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Long term portion</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Bank Acceptance Notes Payable</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4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EEEEEE"/>
          </w:tcPr>
          <w:p>
            <w:pPr>
              <w:spacing w:after="0" w:line="195" w:lineRule="exact"/>
              <w:rPr>
                <w:sz w:val="20"/>
                <w:szCs w:val="20"/>
                <w:color w:val="auto"/>
              </w:rPr>
            </w:pPr>
            <w:r>
              <w:rPr>
                <w:rFonts w:ascii="Arial" w:cs="Arial" w:eastAsia="Arial" w:hAnsi="Arial"/>
                <w:sz w:val="18"/>
                <w:szCs w:val="18"/>
                <w:color w:val="auto"/>
                <w:w w:val="93"/>
              </w:rPr>
              <w:t>Bank acceptance notes issued to vendors with a zero percent interest rate, a 30% guarantee deposit</w:t>
            </w: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4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 $434, and maturity dates ranging from April 2015 to September 2015</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1,445</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648"/>
        </w:trPr>
        <w:tc>
          <w:tcPr>
            <w:tcW w:w="754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10" w:name="page11"/>
    <w:bookmarkEnd w:id="10"/>
    <w:p>
      <w:pPr>
        <w:ind w:right="30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March 31, 2015. The one-month LIBOR rate was 0.15% on March 31,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notes payable and long-term debt are as follows for the future one-year periods ending March 31 (in thousands):</w:t>
      </w:r>
    </w:p>
    <w:p>
      <w:pPr>
        <w:spacing w:after="0" w:line="240"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2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8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18,721</w:t>
            </w:r>
          </w:p>
        </w:tc>
        <w:tc>
          <w:tcPr>
            <w:tcW w:w="120" w:type="dxa"/>
            <w:vAlign w:val="bottom"/>
            <w:shd w:val="clear" w:color="auto" w:fill="EEEEEE"/>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16,132</w:t>
            </w:r>
          </w:p>
        </w:tc>
        <w:tc>
          <w:tcPr>
            <w:tcW w:w="120" w:type="dxa"/>
            <w:vAlign w:val="bottom"/>
          </w:tcPr>
          <w:p>
            <w:pPr>
              <w:spacing w:after="0"/>
              <w:rPr>
                <w:sz w:val="18"/>
                <w:szCs w:val="18"/>
                <w:color w:val="auto"/>
              </w:rPr>
            </w:pPr>
          </w:p>
        </w:tc>
      </w:tr>
      <w:tr>
        <w:trPr>
          <w:trHeight w:val="216"/>
        </w:trPr>
        <w:tc>
          <w:tcPr>
            <w:tcW w:w="202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8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EEEEEE"/>
          </w:tcPr>
          <w:p>
            <w:pPr>
              <w:spacing w:after="0"/>
              <w:rPr>
                <w:sz w:val="18"/>
                <w:szCs w:val="18"/>
                <w:color w:val="auto"/>
              </w:rPr>
            </w:pPr>
          </w:p>
        </w:tc>
      </w:tr>
      <w:tr>
        <w:trPr>
          <w:trHeight w:val="230"/>
        </w:trPr>
        <w:tc>
          <w:tcPr>
            <w:tcW w:w="20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2019 thereafter</w:t>
            </w:r>
          </w:p>
        </w:tc>
        <w:tc>
          <w:tcPr>
            <w:tcW w:w="80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EEEEEE"/>
            </w:tcBorders>
          </w:tcPr>
          <w:p>
            <w:pPr>
              <w:spacing w:after="0"/>
              <w:rPr>
                <w:sz w:val="19"/>
                <w:szCs w:val="19"/>
                <w:color w:val="auto"/>
              </w:rPr>
            </w:pPr>
          </w:p>
        </w:tc>
      </w:tr>
      <w:tr>
        <w:trPr>
          <w:trHeight w:val="223"/>
        </w:trPr>
        <w:tc>
          <w:tcPr>
            <w:tcW w:w="20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outstanding</w:t>
            </w:r>
          </w:p>
        </w:tc>
        <w:tc>
          <w:tcPr>
            <w:tcW w:w="800" w:type="dxa"/>
            <w:vAlign w:val="bottom"/>
            <w:tcBorders>
              <w:bottom w:val="single" w:sz="8" w:color="EEEEEE"/>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37,494</w:t>
            </w:r>
          </w:p>
        </w:tc>
        <w:tc>
          <w:tcPr>
            <w:tcW w:w="120" w:type="dxa"/>
            <w:vAlign w:val="bottom"/>
            <w:tcBorders>
              <w:bottom w:val="single" w:sz="8" w:color="EEEEEE"/>
            </w:tcBorders>
            <w:shd w:val="clear" w:color="auto" w:fill="EEEEEE"/>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loan and security agreement in the U.S. with East West Bank included a $15.0 million revolving line of credit which matures on July 15, 2017. Also included with the same bank is a term loan of up to $5.0 million with monthly payments of principal and interest that matures on July 31, 2019. The interest rate on these loans is the LIBOR Borrowing Rate plus 2.75%. As of March 31, 2015, $15.0 million was outstanding under the revolving line of credit and $4.9 million was outstanding under the term loan.</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January 26, 2015, the Company entered into a construction loan agreement with East West Bank for up to $22.0 million dollars to finance the construction of its campus expansion plan in Sugar Land, Texas.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loan agreement, the loan bears interest, at an annual rate based on the one-month LIBOR Borrowing Rate plus 2.75%. As of March 31, there were no amounts outstanding under this loan agreement.</w:t>
      </w:r>
    </w:p>
    <w:p>
      <w:pPr>
        <w:spacing w:after="0" w:line="192"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loan and security agreements with East West Bank require the Company to maintain certain financial covenants, including a minimum current ratio and minimum annual EBITDA. As of March 31, 2015, the Company was in compliance with all covenants contained in these agreements.</w:t>
      </w:r>
    </w:p>
    <w:p>
      <w:pPr>
        <w:spacing w:after="0" w:line="1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January 6, 2015, the Company’s Taiwan location entered into a Credit Facility with CTBC Bank Co. Ltd. in Taipei, Taiwan for 90 million New Taiwan dollar ($3.0 million USD), one year revolving credit facility. Its obligations under the Credit Facility are unsecured. Borrowings under the Credit Facility will bear interest at a rate based on the Bank’s corporate interest rate index plus 1.5%, adjusted monthly. As of the execution of the Credit Facility the Bank’s corporate interest rate swap index is 0.91%. As of March 31, 2015, $2.8 million was outstanding under this credit facility.</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March 9, 2015, the Company’s Taiwan location renewed its $4.0 million, one year revolving credit facility agreement, originally dated December 31, 2013, with E. Sun Commercial Bank. Its obligations under the credit facility are secured by our $4.0 million cash deposit in a one-year CD with such bank and mature on February 6, 2016. The revolving line of credit bears interest at a rate equal to 1.78% for New Taiwan dollar borrowings and LIBOR plus 2.0% and a 0.10% service fee for U.S. dollar borrowings. As of March 31, 2015, $3.6 million was outstanding under this credit facility.</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9, 2015, the Company’s Taiwan location entered into an additional credit facility agreement with E. Sun Commercial Bank for a $3.0 million, one year revolving, unsecured credit facility, maturing on February 6, 2016. Borrowings under this credit facility will bear interest at a rate not less than the LIBOR borrowing rate plus 1.7%, divided by 0.946, and will also incur a 0.5% service fee. As of March 31, 2015, there are $2.4 million outstanding under this credit facility.</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March 25, 2015, the Company’s Taiwan location renewed its $4.0 million, one year revolving credit facility agreement, originally dated December 31, 2013, with Mega International Commercial Bank. Obligations under the credit facility are secured by a $4.0 million cash deposit in a one-year CD with such bank and mature on November 27, 2015. Borrowings under this credit facility will bear interest at a rate not less than the LIBOR borrowing rate plus 1.0%, divided by 0.946 for U.S. dollar borrowings, New Taiwan dollar borrowings interest will bear at a rate equal to the Bank’s base lending rate plus 0.76% and all other currency borrowings interest will bear at a rate equal to the Bank’s base lending rate plus 1.0% divided by 0.946. The current Bank base lending rate is 2.875%. As of March 31, 2015, $3.6 million was outstanding under this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Taiwan location had an outstanding note payable balance of $0.3 million with a financing company that matures on July 31, 2015.</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right="140" w:firstLine="648"/>
        <w:spacing w:after="0" w:line="259" w:lineRule="auto"/>
        <w:rPr>
          <w:sz w:val="20"/>
          <w:szCs w:val="20"/>
          <w:color w:val="auto"/>
        </w:rPr>
      </w:pPr>
      <w:r>
        <w:rPr>
          <w:rFonts w:ascii="Arial" w:cs="Arial" w:eastAsia="Arial" w:hAnsi="Arial"/>
          <w:sz w:val="18"/>
          <w:szCs w:val="18"/>
          <w:color w:val="auto"/>
        </w:rPr>
        <w:t>As of March 31, 2015, the Company’s China subsidiary had credit facilities with China Construction Bank totaling $10.4 million, one line is U.S. currency based and the other is RMB currency based. As of March 31, 2015, the Company had a U.S. currency based loan of $2.6 million outstanding under various notes with three-month terms, maturing from April 2015 to May 2015. There was $2.4 million outstanding under the RMB currency based credit facility as of March 31, 2015, with a maturity date of March 17,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the Company had $32.1 million of unused borrowing capacity.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17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3,160</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Accrued income taxes</w:t>
            </w:r>
          </w:p>
        </w:tc>
        <w:tc>
          <w:tcPr>
            <w:tcW w:w="1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Advance payments</w:t>
            </w:r>
          </w:p>
        </w:tc>
        <w:tc>
          <w:tcPr>
            <w:tcW w:w="1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761</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Accrued other</w:t>
            </w:r>
          </w:p>
        </w:tc>
        <w:tc>
          <w:tcPr>
            <w:tcW w:w="170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1,602</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Unrealized foreign exchange gain (loss)</w:t>
            </w:r>
          </w:p>
        </w:tc>
        <w:tc>
          <w:tcPr>
            <w:tcW w:w="13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ind w:right="97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ind w:right="105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Realized foreign exchange gain (loss)</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Government subsidy income</w:t>
            </w:r>
          </w:p>
        </w:tc>
        <w:tc>
          <w:tcPr>
            <w:tcW w:w="13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non-operating gain (loss)</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Gain (loss) on disposal of assets</w:t>
            </w:r>
          </w:p>
        </w:tc>
        <w:tc>
          <w:tcPr>
            <w:tcW w:w="1300" w:type="dxa"/>
            <w:vAlign w:val="bottom"/>
            <w:shd w:val="clear" w:color="auto" w:fill="EEEEEE"/>
          </w:tcPr>
          <w:p>
            <w:pPr>
              <w:spacing w:after="0"/>
              <w:rPr>
                <w:sz w:val="19"/>
                <w:szCs w:val="19"/>
                <w:color w:val="auto"/>
              </w:rPr>
            </w:pPr>
          </w:p>
        </w:tc>
        <w:tc>
          <w:tcPr>
            <w:tcW w:w="11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EEEEEE"/>
          </w:tcPr>
          <w:p>
            <w:pPr>
              <w:spacing w:after="0"/>
              <w:rPr>
                <w:sz w:val="19"/>
                <w:szCs w:val="19"/>
                <w:color w:val="auto"/>
              </w:rPr>
            </w:pPr>
          </w:p>
        </w:tc>
        <w:tc>
          <w:tcPr>
            <w:tcW w:w="11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issues stock options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restrictive stock awards (“RSAs”) and restrictive stock units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660"/>
              <w:spacing w:after="0"/>
              <w:rPr>
                <w:sz w:val="20"/>
                <w:szCs w:val="20"/>
                <w:color w:val="auto"/>
              </w:rPr>
            </w:pPr>
            <w:r>
              <w:rPr>
                <w:rFonts w:ascii="Arial" w:cs="Arial" w:eastAsia="Arial" w:hAnsi="Arial"/>
                <w:sz w:val="18"/>
                <w:szCs w:val="18"/>
                <w:color w:val="auto"/>
                <w:w w:val="96"/>
              </w:rPr>
              <w:t>The following is a summary of option activity:</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Average Fair</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41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December 31, 2014</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1,423</w:t>
            </w:r>
          </w:p>
        </w:tc>
        <w:tc>
          <w:tcPr>
            <w:tcW w:w="2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ind w:left="880"/>
              <w:spacing w:after="0"/>
              <w:rPr>
                <w:sz w:val="20"/>
                <w:szCs w:val="20"/>
                <w:color w:val="auto"/>
              </w:rPr>
            </w:pPr>
            <w:r>
              <w:rPr>
                <w:rFonts w:ascii="Arial" w:cs="Arial" w:eastAsia="Arial" w:hAnsi="Arial"/>
                <w:sz w:val="18"/>
                <w:szCs w:val="18"/>
                <w:color w:val="auto"/>
                <w:w w:val="79"/>
              </w:rPr>
              <w:t>8.96</w:t>
            </w:r>
          </w:p>
        </w:tc>
        <w:tc>
          <w:tcPr>
            <w:tcW w:w="2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ind w:left="88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5.32</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3"/>
        </w:trPr>
        <w:tc>
          <w:tcPr>
            <w:tcW w:w="41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Outstanding, March 31, 2015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2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EEEEEE"/>
            </w:tcBorders>
            <w:gridSpan w:val="2"/>
          </w:tcPr>
          <w:p>
            <w:pPr>
              <w:ind w:left="88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4.47</w:t>
            </w:r>
          </w:p>
        </w:tc>
        <w:tc>
          <w:tcPr>
            <w:tcW w:w="13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7.852</w:t>
            </w:r>
          </w:p>
        </w:tc>
        <w:tc>
          <w:tcPr>
            <w:tcW w:w="26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Exercisable, March 31, 2015</w:t>
            </w:r>
          </w:p>
        </w:tc>
        <w:tc>
          <w:tcPr>
            <w:tcW w:w="12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687</w:t>
            </w:r>
          </w:p>
        </w:tc>
        <w:tc>
          <w:tcPr>
            <w:tcW w:w="2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EEEEEE"/>
            </w:tcBorders>
            <w:gridSpan w:val="2"/>
            <w:shd w:val="clear" w:color="auto" w:fill="EEEEEE"/>
          </w:tcPr>
          <w:p>
            <w:pPr>
              <w:ind w:left="880"/>
              <w:spacing w:after="0" w:line="196" w:lineRule="exact"/>
              <w:rPr>
                <w:sz w:val="20"/>
                <w:szCs w:val="20"/>
                <w:color w:val="auto"/>
              </w:rPr>
            </w:pPr>
            <w:r>
              <w:rPr>
                <w:rFonts w:ascii="Arial" w:cs="Arial" w:eastAsia="Arial" w:hAnsi="Arial"/>
                <w:sz w:val="18"/>
                <w:szCs w:val="18"/>
                <w:color w:val="auto"/>
              </w:rPr>
              <w:t>8.20</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EEEEEE"/>
            </w:tcBorders>
            <w:gridSpan w:val="2"/>
            <w:shd w:val="clear" w:color="auto" w:fill="EEEEEE"/>
          </w:tcPr>
          <w:p>
            <w:pPr>
              <w:jc w:val="right"/>
              <w:ind w:right="220"/>
              <w:spacing w:after="0" w:line="196" w:lineRule="exact"/>
              <w:rPr>
                <w:sz w:val="20"/>
                <w:szCs w:val="20"/>
                <w:color w:val="auto"/>
              </w:rPr>
            </w:pPr>
            <w:r>
              <w:rPr>
                <w:rFonts w:ascii="Arial" w:cs="Arial" w:eastAsia="Arial" w:hAnsi="Arial"/>
                <w:sz w:val="18"/>
                <w:szCs w:val="18"/>
                <w:color w:val="auto"/>
              </w:rPr>
              <w:t>3.69</w:t>
            </w:r>
          </w:p>
        </w:tc>
        <w:tc>
          <w:tcPr>
            <w:tcW w:w="134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7.357</w:t>
            </w:r>
          </w:p>
        </w:tc>
        <w:tc>
          <w:tcPr>
            <w:tcW w:w="26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vMerge w:val="restart"/>
          </w:tcPr>
          <w:p>
            <w:pPr>
              <w:ind w:left="880"/>
              <w:spacing w:after="0"/>
              <w:rPr>
                <w:sz w:val="20"/>
                <w:szCs w:val="20"/>
                <w:color w:val="auto"/>
              </w:rPr>
            </w:pPr>
            <w:r>
              <w:rPr>
                <w:rFonts w:ascii="Arial" w:cs="Arial" w:eastAsia="Arial" w:hAnsi="Arial"/>
                <w:sz w:val="18"/>
                <w:szCs w:val="18"/>
                <w:color w:val="auto"/>
              </w:rPr>
              <w:t>8.91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4.43</w:t>
            </w: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7.823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w:t>
            </w:r>
          </w:p>
        </w:tc>
        <w:tc>
          <w:tcPr>
            <w:tcW w:w="2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March 31, 2015, there was approximately $3.2 million of unrecognized stock option expense, net of estimated forfeitures, which is expected to be recognized over 2.37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Restricted Stock Units/Awards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The following is a summary of RSU/RSA activity:</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Weighted Average</w:t>
            </w:r>
          </w:p>
        </w:tc>
        <w:tc>
          <w:tcPr>
            <w:tcW w:w="32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Number 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December 31, 2014</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18.22</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Exercised/Released</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Cancelled/Forfeited</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March 31, 2015</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10.31</w:t>
            </w:r>
          </w:p>
        </w:tc>
        <w:tc>
          <w:tcPr>
            <w:tcW w:w="680" w:type="dxa"/>
            <w:vAlign w:val="bottom"/>
            <w:tcBorders>
              <w:top w:val="single" w:sz="8" w:color="EEEEEE"/>
              <w:bottom w:val="single" w:sz="8" w:color="EEEEEE"/>
            </w:tcBorders>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Arial" w:cs="Arial" w:eastAsia="Arial" w:hAnsi="Arial"/>
                <w:sz w:val="18"/>
                <w:szCs w:val="18"/>
                <w:color w:val="auto"/>
              </w:rPr>
              <w:t>Exercisable, March 31, 2015</w:t>
            </w: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18.20</w:t>
            </w:r>
          </w:p>
        </w:tc>
        <w:tc>
          <w:tcPr>
            <w:tcW w:w="6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540" w:type="dxa"/>
            <w:vAlign w:val="bottom"/>
            <w:tcBorders>
              <w:bottom w:val="single" w:sz="8" w:color="EEEEEE"/>
            </w:tcBorders>
            <w:vMerge w:val="continue"/>
          </w:tcPr>
          <w:p>
            <w:pPr>
              <w:spacing w:after="0"/>
              <w:rPr>
                <w:sz w:val="20"/>
                <w:szCs w:val="20"/>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gridSpan w:val="2"/>
            <w:vMerge w:val="continue"/>
          </w:tcPr>
          <w:p>
            <w:pPr>
              <w:spacing w:after="0"/>
              <w:rPr>
                <w:sz w:val="20"/>
                <w:szCs w:val="20"/>
                <w:color w:val="auto"/>
              </w:rPr>
            </w:pPr>
          </w:p>
        </w:tc>
        <w:tc>
          <w:tcPr>
            <w:tcW w:w="1520" w:type="dxa"/>
            <w:vAlign w:val="bottom"/>
            <w:tcBorders>
              <w:bottom w:val="single" w:sz="8" w:color="EEEEEE"/>
            </w:tcBorders>
            <w:vMerge w:val="continue"/>
          </w:tcPr>
          <w:p>
            <w:pPr>
              <w:spacing w:after="0"/>
              <w:rPr>
                <w:sz w:val="20"/>
                <w:szCs w:val="20"/>
                <w:color w:val="auto"/>
              </w:rPr>
            </w:pPr>
          </w:p>
        </w:tc>
        <w:tc>
          <w:tcPr>
            <w:tcW w:w="680" w:type="dxa"/>
            <w:vAlign w:val="bottom"/>
            <w:tcBorders>
              <w:bottom w:val="single" w:sz="8" w:color="EEEEEE"/>
            </w:tcBorders>
            <w:gridSpan w:val="2"/>
            <w:vMerge w:val="continue"/>
          </w:tcPr>
          <w:p>
            <w:pPr>
              <w:spacing w:after="0"/>
              <w:rPr>
                <w:sz w:val="20"/>
                <w:szCs w:val="20"/>
                <w:color w:val="auto"/>
              </w:rPr>
            </w:pPr>
          </w:p>
        </w:tc>
        <w:tc>
          <w:tcPr>
            <w:tcW w:w="1300" w:type="dxa"/>
            <w:vAlign w:val="bottom"/>
            <w:tcBorders>
              <w:bottom w:val="single" w:sz="8" w:color="EEEEEE"/>
            </w:tcBorders>
            <w:vMerge w:val="continue"/>
          </w:tcPr>
          <w:p>
            <w:pPr>
              <w:spacing w:after="0"/>
              <w:rPr>
                <w:sz w:val="20"/>
                <w:szCs w:val="20"/>
                <w:color w:val="auto"/>
              </w:rPr>
            </w:pP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354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Vested and expected to vest</w:t>
            </w:r>
          </w:p>
        </w:tc>
        <w:tc>
          <w:tcPr>
            <w:tcW w:w="15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137</w:t>
            </w:r>
          </w:p>
        </w:tc>
        <w:tc>
          <w:tcPr>
            <w:tcW w:w="1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10.35</w:t>
            </w:r>
          </w:p>
        </w:tc>
        <w:tc>
          <w:tcPr>
            <w:tcW w:w="680" w:type="dxa"/>
            <w:vAlign w:val="bottom"/>
            <w:tcBorders>
              <w:bottom w:val="single" w:sz="8" w:color="EEEEEE"/>
            </w:tcBorders>
            <w:gridSpan w:val="2"/>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1,908</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March 31, 2015 was $1.0 million of unrecognized compensation expense related to these RSU’s and RSA’s. This expense is expected to be recognized over 3.81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19"/>
                <w:szCs w:val="19"/>
                <w:color w:val="auto"/>
              </w:rPr>
            </w:pPr>
          </w:p>
        </w:tc>
        <w:tc>
          <w:tcPr>
            <w:tcW w:w="15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Share-Based compensation - by expense type</w:t>
            </w:r>
          </w:p>
        </w:tc>
        <w:tc>
          <w:tcPr>
            <w:tcW w:w="16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2760" w:type="dxa"/>
            <w:vAlign w:val="bottom"/>
            <w:gridSpan w:val="2"/>
          </w:tcPr>
          <w:p>
            <w:pPr>
              <w:jc w:val="right"/>
              <w:ind w:right="97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520" w:type="dxa"/>
            <w:vAlign w:val="bottom"/>
            <w:gridSpan w:val="2"/>
          </w:tcPr>
          <w:p>
            <w:pPr>
              <w:jc w:val="right"/>
              <w:ind w:right="106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Borders>
              <w:bottom w:val="single" w:sz="8" w:color="auto"/>
            </w:tcBorders>
          </w:tcPr>
          <w:p>
            <w:pPr>
              <w:jc w:val="right"/>
              <w:ind w:right="97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ind w:right="10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20" w:type="dxa"/>
            <w:vAlign w:val="bottom"/>
            <w:vMerge w:val="restart"/>
          </w:tcPr>
          <w:p>
            <w:pPr>
              <w:jc w:val="right"/>
              <w:ind w:right="750"/>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19"/>
                <w:szCs w:val="19"/>
                <w:color w:val="auto"/>
              </w:rPr>
            </w:pPr>
          </w:p>
        </w:tc>
        <w:tc>
          <w:tcPr>
            <w:tcW w:w="15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Share-Based compensation - by award type</w:t>
            </w:r>
          </w:p>
        </w:tc>
        <w:tc>
          <w:tcPr>
            <w:tcW w:w="11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Employee stock options</w:t>
            </w:r>
          </w:p>
        </w:tc>
        <w:tc>
          <w:tcPr>
            <w:tcW w:w="2320" w:type="dxa"/>
            <w:vAlign w:val="bottom"/>
            <w:gridSpan w:val="2"/>
          </w:tcPr>
          <w:p>
            <w:pPr>
              <w:jc w:val="right"/>
              <w:ind w:right="97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385</w:t>
            </w:r>
          </w:p>
        </w:tc>
        <w:tc>
          <w:tcPr>
            <w:tcW w:w="1520" w:type="dxa"/>
            <w:vAlign w:val="bottom"/>
            <w:gridSpan w:val="2"/>
          </w:tcPr>
          <w:p>
            <w:pPr>
              <w:jc w:val="right"/>
              <w:ind w:right="106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Restricted stock units/awards</w:t>
            </w:r>
          </w:p>
        </w:tc>
        <w:tc>
          <w:tcPr>
            <w:tcW w:w="11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EEEEEE"/>
            </w:tcBorders>
          </w:tcPr>
          <w:p>
            <w:pPr>
              <w:ind w:left="280"/>
              <w:spacing w:after="0"/>
              <w:rPr>
                <w:sz w:val="20"/>
                <w:szCs w:val="20"/>
                <w:color w:val="auto"/>
              </w:rPr>
            </w:pPr>
            <w:r>
              <w:rPr>
                <w:rFonts w:ascii="Arial" w:cs="Arial" w:eastAsia="Arial" w:hAnsi="Arial"/>
                <w:sz w:val="18"/>
                <w:szCs w:val="18"/>
                <w:color w:val="auto"/>
              </w:rPr>
              <w:t>Warrants</w:t>
            </w:r>
          </w:p>
        </w:tc>
        <w:tc>
          <w:tcPr>
            <w:tcW w:w="118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EEEEE"/>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ind w:right="97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Borders>
              <w:bottom w:val="single" w:sz="8" w:color="EEEEEE"/>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jc w:val="right"/>
              <w:ind w:right="10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authorized the issuance of up to 5,000,000 shares of preferred stock under the Company’s Amended and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31, 2015 and December 31, 2014, the Company had no outstanding warrants to purchase common or preferred stock, but approximately 30,000 outstanding as of March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September 25, 2013, our registration statement on Form S-1 for our initial public offering was declared effective by the Securities and Exchange Commission. The offering commenced on September 26, and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19, 2014, the Company sold 2.0 million shares of its common stock in a secondary offering at a price of $24.25 per share, providing proceeds of $45.7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and Geographic Information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19"/>
                <w:szCs w:val="19"/>
                <w:color w:val="auto"/>
              </w:rPr>
            </w:pPr>
          </w:p>
        </w:tc>
        <w:tc>
          <w:tcPr>
            <w:tcW w:w="14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26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660" w:type="dxa"/>
            <w:vAlign w:val="bottom"/>
            <w:gridSpan w:val="2"/>
          </w:tcPr>
          <w:p>
            <w:pPr>
              <w:jc w:val="right"/>
              <w:ind w:right="87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7,294</w:t>
            </w:r>
          </w:p>
        </w:tc>
        <w:tc>
          <w:tcPr>
            <w:tcW w:w="140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Taiwan</w:t>
            </w:r>
          </w:p>
        </w:tc>
        <w:tc>
          <w:tcPr>
            <w:tcW w:w="26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18,341</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14,340</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tcBorders>
              <w:bottom w:val="single" w:sz="8" w:color="EEEEEE"/>
            </w:tcBorders>
          </w:tcPr>
          <w:p>
            <w:pPr>
              <w:ind w:left="280"/>
              <w:spacing w:after="0"/>
              <w:rPr>
                <w:sz w:val="20"/>
                <w:szCs w:val="20"/>
                <w:color w:val="auto"/>
              </w:rPr>
            </w:pPr>
            <w:r>
              <w:rPr>
                <w:rFonts w:ascii="Arial" w:cs="Arial" w:eastAsia="Arial" w:hAnsi="Arial"/>
                <w:sz w:val="18"/>
                <w:szCs w:val="18"/>
                <w:color w:val="auto"/>
              </w:rPr>
              <w:t>China</w:t>
            </w:r>
          </w:p>
        </w:tc>
        <w:tc>
          <w:tcPr>
            <w:tcW w:w="262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w:t>
            </w:r>
          </w:p>
        </w:tc>
        <w:tc>
          <w:tcPr>
            <w:tcW w:w="30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262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ind w:right="87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30,234</w:t>
            </w:r>
          </w:p>
        </w:tc>
        <w:tc>
          <w:tcPr>
            <w:tcW w:w="30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ind w:right="9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24,859</w:t>
            </w:r>
          </w:p>
        </w:tc>
        <w:tc>
          <w:tcPr>
            <w:tcW w:w="100" w:type="dxa"/>
            <w:vAlign w:val="bottom"/>
            <w:tcBorders>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20" w:type="dxa"/>
            <w:vAlign w:val="bottom"/>
            <w:vMerge w:val="restart"/>
          </w:tcPr>
          <w:p>
            <w:pPr>
              <w:jc w:val="right"/>
              <w:ind w:right="750"/>
              <w:spacing w:after="0"/>
              <w:rPr>
                <w:sz w:val="20"/>
                <w:szCs w:val="20"/>
                <w:color w:val="auto"/>
              </w:rPr>
            </w:pPr>
            <w:r>
              <w:rPr>
                <w:rFonts w:ascii="Arial" w:cs="Arial" w:eastAsia="Arial" w:hAnsi="Arial"/>
                <w:sz w:val="18"/>
                <w:szCs w:val="18"/>
                <w:color w:val="auto"/>
              </w:rPr>
              <w:t>14</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4" w:name="page15"/>
    <w:bookmarkEnd w:id="14"/>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ind w:left="660"/>
              <w:spacing w:after="0"/>
              <w:rPr>
                <w:sz w:val="20"/>
                <w:szCs w:val="20"/>
                <w:color w:val="auto"/>
              </w:rPr>
            </w:pPr>
            <w:r>
              <w:rPr>
                <w:rFonts w:ascii="Arial" w:cs="Arial" w:eastAsia="Arial" w:hAnsi="Arial"/>
                <w:sz w:val="18"/>
                <w:szCs w:val="18"/>
                <w:b w:val="1"/>
                <w:bCs w:val="1"/>
                <w:color w:val="auto"/>
              </w:rPr>
              <w:t>As of the period ended</w:t>
            </w: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EEEEEE"/>
            </w:tcBorders>
          </w:tcPr>
          <w:p>
            <w:pPr>
              <w:spacing w:after="0"/>
              <w:rPr>
                <w:sz w:val="18"/>
                <w:szCs w:val="18"/>
                <w:color w:val="auto"/>
              </w:rPr>
            </w:pPr>
          </w:p>
        </w:tc>
        <w:tc>
          <w:tcPr>
            <w:tcW w:w="2100" w:type="dxa"/>
            <w:vAlign w:val="bottom"/>
            <w:tcBorders>
              <w:bottom w:val="single" w:sz="8" w:color="EEEEE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Long-lived assets:</w:t>
            </w:r>
          </w:p>
        </w:tc>
        <w:tc>
          <w:tcPr>
            <w:tcW w:w="2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19,074</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Taiwan</w:t>
            </w:r>
          </w:p>
        </w:tc>
        <w:tc>
          <w:tcPr>
            <w:tcW w:w="2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37,411</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35,688</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80" w:type="dxa"/>
            <w:vAlign w:val="bottom"/>
            <w:tcBorders>
              <w:bottom w:val="single" w:sz="8" w:color="EEEEEE"/>
            </w:tcBorders>
          </w:tcPr>
          <w:p>
            <w:pPr>
              <w:ind w:left="280"/>
              <w:spacing w:after="0"/>
              <w:rPr>
                <w:sz w:val="20"/>
                <w:szCs w:val="20"/>
                <w:color w:val="auto"/>
              </w:rPr>
            </w:pPr>
            <w:r>
              <w:rPr>
                <w:rFonts w:ascii="Arial" w:cs="Arial" w:eastAsia="Arial" w:hAnsi="Arial"/>
                <w:sz w:val="18"/>
                <w:szCs w:val="18"/>
                <w:color w:val="auto"/>
              </w:rPr>
              <w:t>China</w:t>
            </w:r>
          </w:p>
        </w:tc>
        <w:tc>
          <w:tcPr>
            <w:tcW w:w="210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3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EEEEEE"/>
            </w:tcBorders>
            <w:shd w:val="clear" w:color="auto" w:fill="EEEEEE"/>
          </w:tcPr>
          <w:p>
            <w:pPr>
              <w:spacing w:after="0"/>
              <w:rPr>
                <w:sz w:val="19"/>
                <w:szCs w:val="19"/>
                <w:color w:val="auto"/>
              </w:rPr>
            </w:pPr>
          </w:p>
        </w:tc>
        <w:tc>
          <w:tcPr>
            <w:tcW w:w="21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74,260</w:t>
            </w:r>
          </w:p>
        </w:tc>
        <w:tc>
          <w:tcPr>
            <w:tcW w:w="3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69,571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April 1, 2015, the Company’s Taiwan location entered into a comprehensive credit line agreement with the Taipei branch of China Construction Bank, providing a revolving credit line of $10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the existing credit line between the bank and its China subsidiary and cannot exceed 97% of the amount of the standby letter of credit issued by the China branch of the bank. Borrowings under the credit line agreement will bear interest at a rate not less than LIBOR plus 1.5% for U.S. dollar borrowings and at a rate of not less than Taiwan Interbank Offered Rate plus 0.9% for New Taiwan dollar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91"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March 31, 2015 and the audited consolidated financial statements and notes thereto and management’s discussion and analysis of financial condition and results of operations for the fiscal year ended December 31, 2014 included in our Annual Report on Form 10-K. References to “Applied Optoelectronics” “we,” “our” and “us” are to Applied Optoelectronics, Inc. and its subsidiaries unless otherwise specified or the context otherwise requires.</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“might,” “objective,” “estimate,” “continue,” “anticipate,” “intend,” “should,” “plan,” “expect,” “predict,” “potential,” “will” or the negative of these terms or other similar expressions is intended to identify forward-looking statements.</w:t>
      </w:r>
    </w:p>
    <w:p>
      <w:pPr>
        <w:spacing w:after="0" w:line="193"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a leading, vertically integrated provider of fiber-optic networking products, primarily for three networking end-markets: internet data center, cable television, or CATV, and fiber-to-the-home, or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5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ind w:right="10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 long-lasting relationships and promotes higher customer retention.</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grown our revenue at a 31.7% CAGR between 2009 and 2014, including 66.3% growth year-over-year from 2013 to 2014. Our revenue growth in 2014 was driven primarily by increasing revenue from our internet data center customers. Growth in the first three months of 2015 has been driven primarily by increasing revenue from our internet data center and CATV 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13115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 forth our consolidated results of operations for the periods presented and as a percentage of our revenue for those periods.</w:t>
      </w:r>
    </w:p>
    <w:p>
      <w:pPr>
        <w:spacing w:after="0" w:line="258"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520" w:type="dxa"/>
            <w:vAlign w:val="bottom"/>
            <w:gridSpan w:val="2"/>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 net</w:t>
            </w: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jc w:val="right"/>
              <w:spacing w:after="0"/>
              <w:rPr>
                <w:sz w:val="20"/>
                <w:szCs w:val="20"/>
                <w:color w:val="auto"/>
              </w:rPr>
            </w:pPr>
            <w:r>
              <w:rPr>
                <w:rFonts w:ascii="Arial" w:cs="Arial" w:eastAsia="Arial" w:hAnsi="Arial"/>
                <w:sz w:val="18"/>
                <w:szCs w:val="18"/>
                <w:color w:val="auto"/>
              </w:rPr>
              <w:t>66.8%</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EEEEEE"/>
          </w:tcPr>
          <w:p>
            <w:pPr>
              <w:spacing w:after="0"/>
              <w:rPr>
                <w:sz w:val="19"/>
                <w:szCs w:val="19"/>
                <w:color w:val="auto"/>
              </w:rPr>
            </w:pP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EEEEEE"/>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Borders>
              <w:bottom w:val="single" w:sz="8" w:color="EEEEEE"/>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EEEEEE"/>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tcBorders>
              <w:bottom w:val="single" w:sz="8" w:color="auto"/>
            </w:tcBorders>
            <w:shd w:val="clear" w:color="auto" w:fill="EEEEEE"/>
          </w:tcPr>
          <w:p>
            <w:pPr>
              <w:spacing w:after="0"/>
              <w:rPr>
                <w:sz w:val="18"/>
                <w:szCs w:val="18"/>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EEEEEE"/>
          </w:tcPr>
          <w:p>
            <w:pPr>
              <w:spacing w:after="0"/>
              <w:rPr>
                <w:sz w:val="18"/>
                <w:szCs w:val="18"/>
                <w:color w:val="auto"/>
              </w:rPr>
            </w:pPr>
          </w:p>
        </w:tc>
        <w:tc>
          <w:tcPr>
            <w:tcW w:w="16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EEEEEE"/>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Other expense, net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EEEEE"/>
          </w:tcPr>
          <w:p>
            <w:pPr>
              <w:spacing w:after="0"/>
              <w:rPr>
                <w:sz w:val="19"/>
                <w:szCs w:val="19"/>
                <w:color w:val="auto"/>
              </w:rPr>
            </w:pP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EEEEEE"/>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other expense</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CATV, FTTH and internet data center markets. We derive a significant portion of our revenue from our top ten customers, and we anticipate that we will continue to do so for the foreseeable future. We also anticipate that our revenue derived from the internet data center market will continue to increase as a percentage of our revenue as we further penetrate and extend our products into this market. The following charts provide the revenue contribution from each of the markets we served for the three months ended March 31, 2015 and 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62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bottom w:val="single" w:sz="8" w:color="EEEEEE"/>
            </w:tcBorders>
          </w:tcPr>
          <w:p>
            <w:pPr>
              <w:spacing w:after="0"/>
              <w:rPr>
                <w:sz w:val="19"/>
                <w:szCs w:val="19"/>
                <w:color w:val="auto"/>
              </w:rPr>
            </w:pPr>
          </w:p>
        </w:tc>
        <w:tc>
          <w:tcPr>
            <w:tcW w:w="2840" w:type="dxa"/>
            <w:vAlign w:val="bottom"/>
            <w:tcBorders>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top w:val="single" w:sz="8" w:color="auto"/>
              <w:bottom w:val="single" w:sz="8" w:color="EEEEEE"/>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284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Data Center</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4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EEEEEE"/>
              <w:bottom w:val="single" w:sz="8" w:color="EEEEEE"/>
            </w:tcBorders>
            <w:shd w:val="clear" w:color="auto" w:fill="EEEEEE"/>
          </w:tcPr>
          <w:p>
            <w:pPr>
              <w:spacing w:after="0"/>
              <w:rPr>
                <w:sz w:val="19"/>
                <w:szCs w:val="19"/>
                <w:color w:val="auto"/>
              </w:rPr>
            </w:pPr>
          </w:p>
        </w:tc>
        <w:tc>
          <w:tcPr>
            <w:tcW w:w="28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40" w:type="dxa"/>
            <w:vAlign w:val="bottom"/>
            <w:vMerge w:val="restart"/>
          </w:tcPr>
          <w:p>
            <w:pPr>
              <w:jc w:val="right"/>
              <w:ind w:right="770"/>
              <w:spacing w:after="0"/>
              <w:rPr>
                <w:sz w:val="20"/>
                <w:szCs w:val="20"/>
                <w:color w:val="auto"/>
              </w:rPr>
            </w:pPr>
            <w:r>
              <w:rPr>
                <w:rFonts w:ascii="Arial" w:cs="Arial" w:eastAsia="Arial" w:hAnsi="Arial"/>
                <w:sz w:val="18"/>
                <w:szCs w:val="18"/>
                <w:color w:val="auto"/>
              </w:rPr>
              <w:t>17</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7" w:name="page18"/>
    <w:bookmarkEnd w:id="17"/>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19"/>
                <w:szCs w:val="19"/>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210"/>
        </w:trPr>
        <w:tc>
          <w:tcPr>
            <w:tcW w:w="1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CATV</w:t>
            </w:r>
          </w:p>
        </w:tc>
        <w:tc>
          <w:tcPr>
            <w:tcW w:w="78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12,014</w:t>
            </w:r>
          </w:p>
        </w:tc>
        <w:tc>
          <w:tcPr>
            <w:tcW w:w="32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9,748</w:t>
            </w:r>
          </w:p>
        </w:tc>
        <w:tc>
          <w:tcPr>
            <w:tcW w:w="34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ind w:right="96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2,266</w:t>
            </w:r>
          </w:p>
        </w:tc>
        <w:tc>
          <w:tcPr>
            <w:tcW w:w="3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Data Center</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16,316</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11,575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r>
      <w:tr>
        <w:trPr>
          <w:trHeight w:val="216"/>
        </w:trPr>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2,216</w:t>
            </w:r>
          </w:p>
        </w:tc>
        <w:tc>
          <w:tcPr>
            <w:tcW w:w="3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1"/>
              </w:rPr>
              <w:t>(2,094)</w:t>
            </w:r>
          </w:p>
        </w:tc>
        <w:tc>
          <w:tcPr>
            <w:tcW w:w="4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(94.5%)</w:t>
            </w:r>
          </w:p>
        </w:tc>
      </w:tr>
      <w:tr>
        <w:trPr>
          <w:trHeight w:val="230"/>
        </w:trPr>
        <w:tc>
          <w:tcPr>
            <w:tcW w:w="19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320" w:type="dxa"/>
            <w:vAlign w:val="bottom"/>
            <w:tcBorders>
              <w:bottom w:val="single" w:sz="8" w:color="EEEEEE"/>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340" w:type="dxa"/>
            <w:vAlign w:val="bottom"/>
            <w:tcBorders>
              <w:bottom w:val="single" w:sz="8" w:color="EEEEEE"/>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34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EEEEEE"/>
            </w:tcBorders>
          </w:tcPr>
          <w:p>
            <w:pPr>
              <w:spacing w:after="0"/>
              <w:rPr>
                <w:sz w:val="19"/>
                <w:szCs w:val="19"/>
                <w:color w:val="auto"/>
              </w:rPr>
            </w:pPr>
          </w:p>
        </w:tc>
      </w:tr>
      <w:tr>
        <w:trPr>
          <w:trHeight w:val="223"/>
        </w:trPr>
        <w:tc>
          <w:tcPr>
            <w:tcW w:w="19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Revenue</w:t>
            </w:r>
          </w:p>
        </w:tc>
        <w:tc>
          <w:tcPr>
            <w:tcW w:w="78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30,234</w:t>
            </w:r>
          </w:p>
        </w:tc>
        <w:tc>
          <w:tcPr>
            <w:tcW w:w="32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0"/>
              </w:rPr>
              <w:t>24,859</w:t>
            </w:r>
          </w:p>
        </w:tc>
        <w:tc>
          <w:tcPr>
            <w:tcW w:w="34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ind w:right="96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5,375</w:t>
            </w:r>
          </w:p>
        </w:tc>
        <w:tc>
          <w:tcPr>
            <w:tcW w:w="34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EEEEEE"/>
            </w:tcBorders>
            <w:shd w:val="clear" w:color="auto" w:fill="EEEEEE"/>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Revenues in the internet data center market were driven primarily by increasing demand for our 40 gigabits per second transceivers as our customers continued to upgrade their technology infrastructure. The decrease in revenue in our FTTH market is due to decreased demand from our major FTTH customer. The increase in revenues in the CATV market for the year was a result of continuing shipments of older products along with revenue derived from newly-designed products that have begun to be sold in higher quantities by our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2015, our top ten customers represented 90.5% of our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gridSpan w:val="2"/>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 March 31,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Amount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Amount</w:t>
            </w: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(in thousands, except percentages)</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20,183</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66.8%</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16,206</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3,977</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Cost of goods sold increased by $4.0 million, or 24.5%, from the three months ended March 31, 2014 to 2015, primarily due to a 21.6% increase in sales over the prior year. Within our markets, we sell similar products in different geographic regions at different prices, resulting in different gross margins among our products. The decrease in gross margin was primarily the result of a product mix in our internet data center products.</w:t>
      </w:r>
    </w:p>
    <w:p>
      <w:pPr>
        <w:sectPr>
          <w:pgSz w:w="11900" w:h="16838" w:orient="portrait"/>
          <w:cols w:equalWidth="0" w:num="1">
            <w:col w:w="11380"/>
          </w:cols>
          <w:pgMar w:left="240" w:top="918" w:right="27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7"/>
              </w:rPr>
              <w:t>Revenue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7"/>
          </w:tcPr>
          <w:p>
            <w:pPr>
              <w:jc w:val="center"/>
              <w:spacing w:after="0" w:line="195" w:lineRule="exact"/>
              <w:rPr>
                <w:sz w:val="20"/>
                <w:szCs w:val="20"/>
                <w:color w:val="auto"/>
              </w:rPr>
            </w:pPr>
            <w:r>
              <w:rPr>
                <w:rFonts w:ascii="Arial" w:cs="Arial" w:eastAsia="Arial" w:hAnsi="Arial"/>
                <w:sz w:val="18"/>
                <w:szCs w:val="18"/>
                <w:b w:val="1"/>
                <w:bCs w:val="1"/>
                <w:color w:val="auto"/>
                <w:w w:val="87"/>
              </w:rPr>
              <w:t>(in thousands, except percentages)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-599440</wp:posOffset>
            </wp:positionV>
            <wp:extent cx="65176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-325120</wp:posOffset>
            </wp:positionV>
            <wp:extent cx="65176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900"/>
          </w:cols>
          <w:pgMar w:left="240" w:top="918" w:right="27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increased by $1.3 million, or 35.5%, from the three months ended March 31, 2014 compared to the three months ended March 31, 2015. This was primarily due to increases in personnel costs, rent and utilities, R&amp;D work orders and project costs related to WDM-PON products, 40G and 100G data center products and other new product development, and increase in depreciation expense resulting from additional R&amp;D equipment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Sales and marketing expense increased by $0.2 million, or 17.0%, from the three months ended March 31, 2014 compared to the three months ended March 31, 2015. This was due to an increase in personnel costs from additional sales and marketing staff to better serve our customers, expenses for a new sales incentive program and an increase in sales commissions directly related to our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increased by $1.4 million, or 40.8%, from the three months ended March 31, 2014 compared to the three months ended March 31, 2015. This was primarily due to an increase in payroll and benefits, share-based compensation expense and professional fees as well as non-recurring expenses related to the relocation of our Taiwan plant.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Other income (expense), net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6"/>
              </w:rPr>
              <w:t>Change</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Revenue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7"/>
              </w:rPr>
              <w:t>(in thousands, except percentages)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w w:val="98"/>
              </w:rPr>
              <w:t>(2663.0%)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7"/>
              </w:rPr>
              <w:t>Total Other income (expense), net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(682.7%</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decreased over the same prior year periods due to lower cash and investment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decreased overall for the periods due to the benefit of lower interest rates as well as lower loan balances.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Other income (expense), net decreased by $0.7 million from the three months ended March 31, 2014 compared to the three months ended March 31, 2015 due to unrealized foreign exchange gain resulting from the appreciation of Asia currencies against the U.S. dollar compared to the same prior year period. We qualify as a high-tech enterprise in China, as determined by the Chinese government, and are paid subsidies from time to time by the Chinese government to foster local high-tech manufacturing. We received $0.1 million more subsidy in the three months ended March 31, 2015 as compared to the same period in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Provision for income taxes</w:t>
            </w: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center"/>
              <w:ind w:right="730"/>
              <w:spacing w:after="0"/>
              <w:rPr>
                <w:sz w:val="20"/>
                <w:szCs w:val="20"/>
                <w:color w:val="auto"/>
              </w:rPr>
            </w:pPr>
            <w:r>
              <w:rPr>
                <w:rFonts w:ascii="Arial" w:cs="Arial" w:eastAsia="Arial" w:hAnsi="Arial"/>
                <w:sz w:val="18"/>
                <w:szCs w:val="18"/>
                <w:b w:val="1"/>
                <w:bCs w:val="1"/>
                <w:color w:val="auto"/>
                <w:w w:val="91"/>
              </w:rPr>
              <w:t>Three months ended March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2014</w:t>
            </w:r>
          </w:p>
        </w:tc>
        <w:tc>
          <w:tcPr>
            <w:tcW w:w="1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86"/>
              </w:rPr>
              <w:t>(in thousands, except percentages)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172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25</w:t>
            </w:r>
          </w:p>
        </w:tc>
        <w:tc>
          <w:tcPr>
            <w:tcW w:w="166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income tax expense for the three months ended March 31, 2014 consists of U.S. alternative minimum tax recorded during the periods. Due to historic losses in the U.S., our net deferred tax assets are fully offset by a deferred tax valuation allowance.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From inception until our initial public offering, we financed our operations through private sales of equity securities, cash generated from operations and from various lending arrangements. On October 1, 2013, we completed our initial public offering, in which we issued and sold 3.6 million shares of our common stock at a public offering price of $10.00 per share, providing proceeds of $31.5 million, net of underwriting discounts and commissions and offering expenses. On March 25, 2014, we completed a secondary offering, in which we issued and sold 1.6 million shares of our common stock at an offering price of $24.25 per share, and on March 28, 2014, we sold an additional 0.4 million shares as a result of the underwriters’ exercise of their option to purchase additional shares, providing proceeds of $45.7 million, net of underwriting discounts and commissions and offering expenses. As of March 31, 2015, our cash, cash equivalents, restricted cash and short-term investments totaled $28.1 million. Cash and cash equivalents are held for working capital purposes and are invested primarily in money market or time deposit funds. We do not enter into investments for trading or speculative purposes.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6"/>
              </w:rPr>
              <w:t>(13,798)</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ind w:right="9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(8,708)</w:t>
            </w: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8,215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40,030</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(22,266</w:t>
            </w:r>
          </w:p>
        </w:tc>
        <w:tc>
          <w:tcPr>
            <w:tcW w:w="180" w:type="dxa"/>
            <w:vAlign w:val="bottom"/>
            <w:tcBorders>
              <w:top w:val="single" w:sz="8" w:color="EEEEEE"/>
              <w:bottom w:val="single" w:sz="8" w:color="EEEEEE"/>
            </w:tcBorders>
            <w:shd w:val="clear" w:color="auto" w:fill="EEEEEE"/>
          </w:tcPr>
          <w:p>
            <w:pPr>
              <w:jc w:val="right"/>
              <w:ind w:right="10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30,405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For the three months ended March 31, 2015, net cash used in operating activities was $14.0 million. During the three months ended March 31, 2015, we recorded a net loss of $0.7 million. The net loss incorporated non-cash charges, including depreciation and amortization of $2.0 million, share-based compensation expenses of $0.5 million and non-cash increases to our inventory reserve account of $0.6 million. Cash used in operating activities primarily related to an increase in inventory related to sales orders, a decrease in accounts payable to our vendors and an increase in prepaid and other current assets.</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months ended March 31, 2014, net cash used in operating activities was $1.0 million. During the three months ended March 31, 2014, we recorded a $0.1 million net income. The net income incorporated non-cash charges, including depreciation and amortization of $1.2 million, share-based compensation expenses of $0.5 million and non-cash increases to our inventory reserve account of $0.3 million. Cash used in operating activities primarily related to an increase in accounts payable and an increase in accrued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the three months ended March 31, 2015, net cash used in investing activities was $6.0 million for the purchase of additional machinery and equipment, for investment in construction of our U.S. plant expansion, offset by a decrease in deferred charges.</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For the three months ended March 31, 2014, net cash used in investing activities was $8.7 million for the purchase of additional machinery and equipment and the payment for intellectual property licenses to support new product development efforts and manufacturing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financing activities consisted primarily of proceeds from the issuance of common stock and activity associated with our various lending arrangements.</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For the three months ended March 31, 2015, our financing activities used $0.8 million in cash. We repaid $8.9 million in net borrowings associated with our bank loans and increased restricted cash of $9.5 million related to our U.S. plant expansion project and bank loan requirements.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For the three months ended March 31, 2014, our financing activities provided $40.0 million in cash. We received $45.7 million in net proceeds from a secondary offering of common stock. This increase was offset by the repayment of $5.7 million in net borrowings associated with our bank loans.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and a term loan with East West Bank in the U.S., lines of credit and financing agreements for our Taiwan location and several lines of credit arrangements for our China subsidiary. As of March 31, 2015, we had $32.1 million of unused borrowing capacity.</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March 31, 2015, our loan and security agreement in the U.S. with East West Bank included a $15.0 million revolving line of credit which matures on July 15, 2017. Also included with the same bank is a term loan of up to $5.0 million with monthly payments of principal and interest that matures on July 31, 2019. The interest rate on these loans is the LIBOR Borrowing Rate plus 2.75%. As of March 31, 2015, we had $15.0 million outstanding under the revolving line of credit and $4.9 million outstanding under the term loan.</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January 26, 2015, we entered into a construction loan agreement with East West Bank for up to $22.0 million dollars to finance the construction of our campus expansion plan in Sugar Land, Texas.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We may pay without penalty all or a portion of the amount owed earlier than due. Under the loan agreement, the loan bears interest, at an annual rate based on the one-month LIBOR Borrowing Rate plus 2.75%. As of March 31, there were no amounts outstanding under this loan agreement.</w:t>
      </w:r>
    </w:p>
    <w:p>
      <w:pPr>
        <w:spacing w:after="0" w:line="19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loan and security agreements with East West Bank require us to maintain certain financial covenants, including a minimum current ratio and minimum annual EBITDA. As of March 31, 2015, we were in compliance with all covenants contained in these agreements.</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January 6, 2015, our Taiwan location entered into a Credit Facility with CTBC Bank Co. Ltd. in Taipei, Taiwan for 90.0 million New Taiwan dollar ($3.0 million USD), one year revolving credit facility. Our obligations under the Credit Facility are unsecured. Borrowings under the Credit Facility will bear interest at a rate based on the Bank’s corporate interest rate index plus 1.5%, adjusted monthly. As of the execution of the Credit Facility the Bank’s corporate interest rate swap index is 0.91%. As of March 31, 2015, $2.8 million was outstanding under this credit facility.</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March 9, 2015, our Taiwan location renewed its $4.0 million, one year revolving credit facility agreement, originally dated December 31, 2013, with E. Sun Commercial Bank. Our obligations under the credit facility are secured by our $4.0 million cash deposit in a one-year CD with such bank and mature on February 6, 2016. The revolving line of credit bears interest at a rate equal to 1.78% for New Taiwan Dollar borrowings and LIBOR plus 2.0% and a 0.10% service fee for U.S. dollar borrowings. As of March 31, 2015, $3.6 million was outstanding under this credit facility.</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March 9, 2015, our Taiwan location entered into an additional credit facility agreement with E. Sun Commercial Bank for a $3.0 million, one year revolving, unsecured credit facility, maturing on February 6, 2016. Borrowings under this credit facility will bear interest at a rate not less than the LIBOR borrowing rate plus 1.7%, divided by 0.946, and will also incur a 0.5% service fee. As of March 31, 2015, there are $2.4 million outstanding under this credit facility.</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March 25, 2015, our Taiwan location renewed its $4.0 million, one year revolving credit facility agreement, originally dated December 31, 2013, with Mega International Commercial Bank. Our obligations under the credit facility are secured by our $4.0 million cash deposit in a one-year CD with such bank and mature on November 27, 2015. Borrowings under this credit facility will bear interest at a rate not less than the LIBOR borrowing rate plus 1.0%, divided by 0.946 for U.S. dollar borrowings, New Taiwan dollar borrowings interest will bear at a rate equal to the Bank’s base lending rate plus 0.76% and all other currency borrowings interest will bear at a rate equal to the Bank’s base lending rate plus 1.0% divided by 0.946. The current Bank base lending rate is 2.875%. As of March 31, 2015, $3.6 million was outstanding under this credit facility.</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April 1, 2015, our Taiwan location entered into a comprehensive credit line agreement with the Taipei branch of China Construction Bank, providing a revolving credit line of $10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of the existing credit line between the bank and our China subsidiary and cannot exceed 97% of the amount of the standby letter of credit issued by the China branch of the bank. Borrowings under the credit line agreement will bear interest at a rate not less than LIBOR plus 1.5% for US dollar borrowings and at a rate of not less than Taiwan Interbank Offered Rate plus 0.9% for New Taiwan dollar borrowings.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Our Taiwan location had an outstanding note payable balance of $0.3 million with a financing company that matures on July 31, 2015.</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March 31, 2015, our China subsidiary had credit facilities with China Construction Bank totaling $10.4 million, one line is U.S. currency based and the other is RMB currency based. As of March 31, 2015, we had a U.S. currency based loan of $2.6 million outstanding under various notes with three-month terms, maturing from April 2015 to May 2015. There was $2.4 million outstanding under the RMB currency based credit facility as of March 31, 2015, with a maturity date of March 17, 2016.</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March 31, 2015, our restricted cash related to these bank acceptance notes totaled $0.4 million, and our outstanding bank acceptance notes payable was $1.4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that our existing cash and cash equivalents, and cash flows from our operating activities,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March 31, 2015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More than 5</w:t>
            </w:r>
          </w:p>
        </w:tc>
        <w:tc>
          <w:tcPr>
            <w:tcW w:w="100" w:type="dxa"/>
            <w:vAlign w:val="bottom"/>
            <w:gridSpan w:val="2"/>
          </w:tcPr>
          <w:p>
            <w:pPr>
              <w:spacing w:after="0"/>
              <w:rPr>
                <w:sz w:val="16"/>
                <w:szCs w:val="16"/>
                <w:color w:val="auto"/>
              </w:rPr>
            </w:pPr>
          </w:p>
        </w:tc>
      </w:tr>
      <w:tr>
        <w:trPr>
          <w:trHeight w:val="234"/>
        </w:trPr>
        <w:tc>
          <w:tcPr>
            <w:tcW w:w="41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2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1-3 Years</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3-5 Years</w:t>
            </w:r>
          </w:p>
        </w:tc>
        <w:tc>
          <w:tcPr>
            <w:tcW w:w="20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EEEEEE"/>
            </w:tcBorders>
            <w:gridSpan w:val="2"/>
          </w:tcPr>
          <w:p>
            <w:pPr>
              <w:spacing w:after="0"/>
              <w:rPr>
                <w:sz w:val="20"/>
                <w:szCs w:val="20"/>
                <w:color w:val="auto"/>
              </w:rPr>
            </w:pPr>
          </w:p>
        </w:tc>
      </w:tr>
      <w:tr>
        <w:trPr>
          <w:trHeight w:val="291"/>
        </w:trPr>
        <w:tc>
          <w:tcPr>
            <w:tcW w:w="4120" w:type="dxa"/>
            <w:vAlign w:val="bottom"/>
            <w:shd w:val="clear" w:color="auto" w:fill="EEEEEE"/>
          </w:tcPr>
          <w:p>
            <w:pPr>
              <w:spacing w:after="0" w:line="291" w:lineRule="exact"/>
              <w:rPr>
                <w:sz w:val="20"/>
                <w:szCs w:val="20"/>
                <w:color w:val="auto"/>
              </w:rPr>
            </w:pPr>
            <w:r>
              <w:rPr>
                <w:rFonts w:ascii="Arial" w:cs="Arial" w:eastAsia="Arial" w:hAnsi="Arial"/>
                <w:sz w:val="18"/>
                <w:szCs w:val="18"/>
                <w:color w:val="auto"/>
              </w:rPr>
              <w:t>Bank acceptance payable and long-term debt</w:t>
            </w:r>
            <w:r>
              <w:rPr>
                <w:rFonts w:ascii="Arial" w:cs="Arial" w:eastAsia="Arial" w:hAnsi="Arial"/>
                <w:sz w:val="30"/>
                <w:szCs w:val="30"/>
                <w:color w:val="auto"/>
                <w:vertAlign w:val="superscript"/>
              </w:rPr>
              <w:t>(1)</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38,939</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20,166</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17,358</w:t>
            </w: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EEEEEE"/>
          </w:tcPr>
          <w:p>
            <w:pPr>
              <w:spacing w:after="0"/>
              <w:rPr>
                <w:sz w:val="24"/>
                <w:szCs w:val="24"/>
                <w:color w:val="auto"/>
              </w:rPr>
            </w:pPr>
          </w:p>
        </w:tc>
        <w:tc>
          <w:tcPr>
            <w:tcW w:w="114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80" w:type="dxa"/>
            <w:vAlign w:val="bottom"/>
            <w:shd w:val="clear" w:color="auto" w:fill="EEEEEE"/>
          </w:tcPr>
          <w:p>
            <w:pPr>
              <w:spacing w:after="0"/>
              <w:rPr>
                <w:sz w:val="24"/>
                <w:szCs w:val="24"/>
                <w:color w:val="auto"/>
              </w:rPr>
            </w:pPr>
          </w:p>
        </w:tc>
      </w:tr>
      <w:tr>
        <w:trPr>
          <w:trHeight w:val="324"/>
        </w:trPr>
        <w:tc>
          <w:tcPr>
            <w:tcW w:w="4120" w:type="dxa"/>
            <w:vAlign w:val="bottom"/>
          </w:tcPr>
          <w:p>
            <w:pPr>
              <w:spacing w:after="0" w:line="324"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28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14,225</w:t>
            </w:r>
          </w:p>
        </w:tc>
        <w:tc>
          <w:tcPr>
            <w:tcW w:w="1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9,735</w:t>
            </w:r>
          </w:p>
        </w:tc>
        <w:tc>
          <w:tcPr>
            <w:tcW w:w="80" w:type="dxa"/>
            <w:vAlign w:val="bottom"/>
          </w:tcPr>
          <w:p>
            <w:pPr>
              <w:spacing w:after="0"/>
              <w:rPr>
                <w:sz w:val="24"/>
                <w:szCs w:val="24"/>
                <w:color w:val="auto"/>
              </w:rPr>
            </w:pPr>
          </w:p>
        </w:tc>
      </w:tr>
      <w:tr>
        <w:trPr>
          <w:trHeight w:val="264"/>
        </w:trPr>
        <w:tc>
          <w:tcPr>
            <w:tcW w:w="4120" w:type="dxa"/>
            <w:vAlign w:val="bottom"/>
            <w:tcBorders>
              <w:top w:val="single" w:sz="8" w:color="EEEEEE"/>
            </w:tcBorders>
            <w:shd w:val="clear" w:color="auto" w:fill="EEEEEE"/>
          </w:tcPr>
          <w:p>
            <w:pPr>
              <w:spacing w:after="0"/>
              <w:rPr>
                <w:sz w:val="22"/>
                <w:szCs w:val="22"/>
                <w:color w:val="auto"/>
              </w:rPr>
            </w:pPr>
          </w:p>
        </w:tc>
        <w:tc>
          <w:tcPr>
            <w:tcW w:w="280" w:type="dxa"/>
            <w:vAlign w:val="bottom"/>
            <w:tcBorders>
              <w:top w:val="single" w:sz="8" w:color="auto"/>
            </w:tcBorders>
            <w:shd w:val="clear" w:color="auto" w:fill="EEEEEE"/>
          </w:tcPr>
          <w:p>
            <w:pPr>
              <w:spacing w:after="0"/>
              <w:rPr>
                <w:sz w:val="22"/>
                <w:szCs w:val="22"/>
                <w:color w:val="auto"/>
              </w:rPr>
            </w:pPr>
          </w:p>
        </w:tc>
        <w:tc>
          <w:tcPr>
            <w:tcW w:w="1000" w:type="dxa"/>
            <w:vAlign w:val="bottom"/>
            <w:tcBorders>
              <w:top w:val="single" w:sz="8" w:color="auto"/>
            </w:tcBorders>
            <w:shd w:val="clear" w:color="auto" w:fill="EEEEEE"/>
          </w:tcPr>
          <w:p>
            <w:pPr>
              <w:spacing w:after="0"/>
              <w:rPr>
                <w:sz w:val="22"/>
                <w:szCs w:val="22"/>
                <w:color w:val="auto"/>
              </w:rPr>
            </w:pPr>
          </w:p>
        </w:tc>
        <w:tc>
          <w:tcPr>
            <w:tcW w:w="240" w:type="dxa"/>
            <w:vAlign w:val="bottom"/>
            <w:tcBorders>
              <w:top w:val="single" w:sz="8" w:color="EEEEEE"/>
            </w:tcBorders>
            <w:shd w:val="clear" w:color="auto" w:fill="EEEEEE"/>
          </w:tcPr>
          <w:p>
            <w:pPr>
              <w:spacing w:after="0"/>
              <w:rPr>
                <w:sz w:val="22"/>
                <w:szCs w:val="22"/>
                <w:color w:val="auto"/>
              </w:rPr>
            </w:pPr>
          </w:p>
        </w:tc>
        <w:tc>
          <w:tcPr>
            <w:tcW w:w="140" w:type="dxa"/>
            <w:vAlign w:val="bottom"/>
            <w:tcBorders>
              <w:top w:val="single" w:sz="8" w:color="auto"/>
            </w:tcBorders>
            <w:shd w:val="clear" w:color="auto" w:fill="EEEEEE"/>
          </w:tcPr>
          <w:p>
            <w:pPr>
              <w:spacing w:after="0"/>
              <w:rPr>
                <w:sz w:val="22"/>
                <w:szCs w:val="22"/>
                <w:color w:val="auto"/>
              </w:rPr>
            </w:pPr>
          </w:p>
        </w:tc>
        <w:tc>
          <w:tcPr>
            <w:tcW w:w="1120" w:type="dxa"/>
            <w:vAlign w:val="bottom"/>
            <w:tcBorders>
              <w:top w:val="single" w:sz="8" w:color="auto"/>
            </w:tcBorders>
            <w:shd w:val="clear" w:color="auto" w:fill="EEEEEE"/>
          </w:tcPr>
          <w:p>
            <w:pPr>
              <w:spacing w:after="0"/>
              <w:rPr>
                <w:sz w:val="22"/>
                <w:szCs w:val="22"/>
                <w:color w:val="auto"/>
              </w:rPr>
            </w:pPr>
          </w:p>
        </w:tc>
        <w:tc>
          <w:tcPr>
            <w:tcW w:w="260" w:type="dxa"/>
            <w:vAlign w:val="bottom"/>
            <w:tcBorders>
              <w:top w:val="single" w:sz="8" w:color="EEEEEE"/>
            </w:tcBorders>
            <w:shd w:val="clear" w:color="auto" w:fill="EEEEEE"/>
          </w:tcPr>
          <w:p>
            <w:pPr>
              <w:spacing w:after="0"/>
              <w:rPr>
                <w:sz w:val="22"/>
                <w:szCs w:val="22"/>
                <w:color w:val="auto"/>
              </w:rPr>
            </w:pPr>
          </w:p>
        </w:tc>
        <w:tc>
          <w:tcPr>
            <w:tcW w:w="160" w:type="dxa"/>
            <w:vAlign w:val="bottom"/>
            <w:tcBorders>
              <w:top w:val="single" w:sz="8" w:color="auto"/>
            </w:tcBorders>
            <w:shd w:val="clear" w:color="auto" w:fill="EEEEEE"/>
          </w:tcPr>
          <w:p>
            <w:pPr>
              <w:spacing w:after="0"/>
              <w:rPr>
                <w:sz w:val="22"/>
                <w:szCs w:val="22"/>
                <w:color w:val="auto"/>
              </w:rPr>
            </w:pPr>
          </w:p>
        </w:tc>
        <w:tc>
          <w:tcPr>
            <w:tcW w:w="1080" w:type="dxa"/>
            <w:vAlign w:val="bottom"/>
            <w:tcBorders>
              <w:top w:val="single" w:sz="8" w:color="auto"/>
            </w:tcBorders>
            <w:shd w:val="clear" w:color="auto" w:fill="EEEEEE"/>
          </w:tcPr>
          <w:p>
            <w:pPr>
              <w:spacing w:after="0"/>
              <w:rPr>
                <w:sz w:val="22"/>
                <w:szCs w:val="22"/>
                <w:color w:val="auto"/>
              </w:rPr>
            </w:pPr>
          </w:p>
        </w:tc>
        <w:tc>
          <w:tcPr>
            <w:tcW w:w="100" w:type="dxa"/>
            <w:vAlign w:val="bottom"/>
            <w:tcBorders>
              <w:top w:val="single" w:sz="8" w:color="EEEEEE"/>
            </w:tcBorders>
            <w:shd w:val="clear" w:color="auto" w:fill="EEEEEE"/>
          </w:tcPr>
          <w:p>
            <w:pPr>
              <w:spacing w:after="0"/>
              <w:rPr>
                <w:sz w:val="22"/>
                <w:szCs w:val="22"/>
                <w:color w:val="auto"/>
              </w:rPr>
            </w:pPr>
          </w:p>
        </w:tc>
        <w:tc>
          <w:tcPr>
            <w:tcW w:w="120" w:type="dxa"/>
            <w:vAlign w:val="bottom"/>
            <w:tcBorders>
              <w:top w:val="single" w:sz="8" w:color="EEEEEE"/>
            </w:tcBorders>
            <w:shd w:val="clear" w:color="auto" w:fill="EEEEEE"/>
          </w:tcPr>
          <w:p>
            <w:pPr>
              <w:spacing w:after="0"/>
              <w:rPr>
                <w:sz w:val="22"/>
                <w:szCs w:val="22"/>
                <w:color w:val="auto"/>
              </w:rPr>
            </w:pPr>
          </w:p>
        </w:tc>
        <w:tc>
          <w:tcPr>
            <w:tcW w:w="160" w:type="dxa"/>
            <w:vAlign w:val="bottom"/>
            <w:tcBorders>
              <w:top w:val="single" w:sz="8" w:color="auto"/>
            </w:tcBorders>
            <w:shd w:val="clear" w:color="auto" w:fill="EEEEEE"/>
          </w:tcPr>
          <w:p>
            <w:pPr>
              <w:spacing w:after="0"/>
              <w:rPr>
                <w:sz w:val="22"/>
                <w:szCs w:val="22"/>
                <w:color w:val="auto"/>
              </w:rPr>
            </w:pPr>
          </w:p>
        </w:tc>
        <w:tc>
          <w:tcPr>
            <w:tcW w:w="1080" w:type="dxa"/>
            <w:vAlign w:val="bottom"/>
            <w:tcBorders>
              <w:top w:val="single" w:sz="8" w:color="auto"/>
            </w:tcBorders>
            <w:shd w:val="clear" w:color="auto" w:fill="EEEEEE"/>
          </w:tcPr>
          <w:p>
            <w:pPr>
              <w:spacing w:after="0"/>
              <w:rPr>
                <w:sz w:val="22"/>
                <w:szCs w:val="22"/>
                <w:color w:val="auto"/>
              </w:rPr>
            </w:pPr>
          </w:p>
        </w:tc>
        <w:tc>
          <w:tcPr>
            <w:tcW w:w="200" w:type="dxa"/>
            <w:vAlign w:val="bottom"/>
            <w:tcBorders>
              <w:top w:val="single" w:sz="8" w:color="EEEEEE"/>
            </w:tcBorders>
            <w:shd w:val="clear" w:color="auto" w:fill="EEEEEE"/>
          </w:tcPr>
          <w:p>
            <w:pPr>
              <w:spacing w:after="0"/>
              <w:rPr>
                <w:sz w:val="22"/>
                <w:szCs w:val="22"/>
                <w:color w:val="auto"/>
              </w:rPr>
            </w:pPr>
          </w:p>
        </w:tc>
        <w:tc>
          <w:tcPr>
            <w:tcW w:w="120" w:type="dxa"/>
            <w:vAlign w:val="bottom"/>
            <w:tcBorders>
              <w:top w:val="single" w:sz="8" w:color="auto"/>
            </w:tcBorders>
            <w:shd w:val="clear" w:color="auto" w:fill="EEEEEE"/>
          </w:tcPr>
          <w:p>
            <w:pPr>
              <w:spacing w:after="0"/>
              <w:rPr>
                <w:sz w:val="22"/>
                <w:szCs w:val="22"/>
                <w:color w:val="auto"/>
              </w:rPr>
            </w:pPr>
          </w:p>
        </w:tc>
        <w:tc>
          <w:tcPr>
            <w:tcW w:w="1140" w:type="dxa"/>
            <w:vAlign w:val="bottom"/>
            <w:tcBorders>
              <w:top w:val="single" w:sz="8" w:color="auto"/>
            </w:tcBorders>
            <w:shd w:val="clear" w:color="auto" w:fill="EEEEEE"/>
          </w:tcPr>
          <w:p>
            <w:pPr>
              <w:spacing w:after="0"/>
              <w:rPr>
                <w:sz w:val="22"/>
                <w:szCs w:val="22"/>
                <w:color w:val="auto"/>
              </w:rPr>
            </w:pPr>
          </w:p>
        </w:tc>
        <w:tc>
          <w:tcPr>
            <w:tcW w:w="20" w:type="dxa"/>
            <w:vAlign w:val="bottom"/>
            <w:tcBorders>
              <w:top w:val="single" w:sz="8" w:color="EEEEEE"/>
            </w:tcBorders>
            <w:shd w:val="clear" w:color="auto" w:fill="EEEEEE"/>
          </w:tcPr>
          <w:p>
            <w:pPr>
              <w:spacing w:after="0"/>
              <w:rPr>
                <w:sz w:val="22"/>
                <w:szCs w:val="22"/>
                <w:color w:val="auto"/>
              </w:rPr>
            </w:pPr>
          </w:p>
        </w:tc>
        <w:tc>
          <w:tcPr>
            <w:tcW w:w="80" w:type="dxa"/>
            <w:vAlign w:val="bottom"/>
            <w:tcBorders>
              <w:top w:val="single" w:sz="8" w:color="EEEEEE"/>
            </w:tcBorders>
            <w:shd w:val="clear" w:color="auto" w:fill="EEEEEE"/>
          </w:tcPr>
          <w:p>
            <w:pPr>
              <w:spacing w:after="0"/>
              <w:rPr>
                <w:sz w:val="22"/>
                <w:szCs w:val="22"/>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8"/>
                <w:szCs w:val="18"/>
                <w:color w:val="auto"/>
              </w:rPr>
              <w:t>Total commitments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53,164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21,082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19,941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9,735</w:t>
            </w:r>
          </w:p>
        </w:tc>
        <w:tc>
          <w:tcPr>
            <w:tcW w:w="8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280" w:hanging="352"/>
        <w:spacing w:after="0" w:line="258"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2015, we did not, and we do not currently, have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our annual report on Form 10-K for the year ended December 31, 2014,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4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 billion or more;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225" w:lineRule="exact"/>
        <w:rPr>
          <w:rFonts w:ascii="Arial" w:cs="Arial" w:eastAsia="Arial" w:hAnsi="Arial"/>
          <w:sz w:val="18"/>
          <w:szCs w:val="18"/>
          <w:color w:val="auto"/>
        </w:rPr>
      </w:pPr>
    </w:p>
    <w:p>
      <w:pPr>
        <w:ind w:left="980" w:right="28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interest rates, foreign exchange rates and inflation. Our market risk exposure results primarily from fluctuations in foreign exchange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ind w:right="200" w:firstLine="648"/>
        <w:spacing w:after="0" w:line="259"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March 31, 2015, our U.S. debt bears a variable rate of interest that is based on LIBOR. The debt subject to variable rates is subject to fluctuation in the LIBOR. As of March 31, 2015, the interest on our China debt varied based on when each term loan is drawn. Once drawn the interest remains fixed for the term of that draw. As of March 31, 2015, we had not hedged our interest rate risk.</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 respect to our interest expense for the three months ended March 31, 2015, an increase of 1.0% in each of our interest rates would have resulted in an increase of $0.4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because we have revenue and expenses in each of these foreign currencies. We maintain certain assets, including certain bank accounts, accounts receivables, land and building, in RMB and the NT dollar, which are sensitive to foreign currency exchange rate fluctuations. Certain of our current and long-term liabilities are denominated in these currencies. Additionally, the value of the RMB against the U.S. dollar and other currencies fluctuates and is affected by, among other things, changes in political and economic conditions in China. Under China’s current exchange rate regime, the RMB may appreciate or depreciate significantly in value against the U.S. dollar in the medium to long term.</w:t>
      </w:r>
    </w:p>
    <w:p>
      <w:pPr>
        <w:spacing w:after="0" w:line="16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2015, 4.1% of our revenue was denominated in RMB and no revenue was denominated in NT dollars. In the three months ended March 31, 2015, 15.8% of our operating expenses were denominated in RMB and 33.3% of our operating expenses were denominated in NT dollars. Accordingly, fluctuations in exchange rates directly affect our cost of goods sold and net income, and have a significant impact on our operating margins. If exchange rates for RMB and NT dollars for U.S. dollars were 1% higher during the three months ended March 31, 2015, our operating expenses would have been higher by $0.1 million.</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As of March 31, 2015, we held the U.S. dollar equivalent of approximately $10.2 million in RMB and $0.8 million in NT dollars, including cash and cash equivalents. With respect to our cash and cash equivalents as of March 31, 2015, a 1.0% change in the exchange rates between the RMB and the U.S. dollar or the NT dollar and the U.S. dollar would result in an immaterial change in our total cash and cash equivalents.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2015 and 2014, we recognized a $0.4 million foreign currency transaction gain.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we were not involved in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this Quarterly Report on Form 10-Q, including our condensed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much of our revenue from a limited number of customers. In 2014, 2013 and 2012 and the three months ended March 31, 2015, our top ten customers represented 87.2%, 76.9%, 77.6% and 90.5% of our revenue, respectively. In 2014, Amazon represented 45.8% of our revenue, Cisco Systems, Inc. represented 8.9% of our revenue and a leading internet service provider represented 6.7%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right="12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Historically, we have generated much of our revenue from the CATV market. In 2014, 2013 and 2012, the CATV market represented 36.3%, 60.4% and 78.6%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internet data center and FTTH markets, and our business could be harmed if these markets do not develop as we expect.</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For 2014, we generated 49.4% and 10.4% of our revenue from the data center and FTTH markets, respectively. We have only recently begun offering products to the FTTH market. Our business in these markets is dependent on the deployment of our optical components, modules and subassemblies. In the internet data center market, we are relying on the emergence of new internet data center providers and their adoption of open internet data center architectures that use a mix of systems and components from a variety of vendors, including non-traditional equipment vendors. In the FTTH market,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Also, internet data centers may not expand as much or as quickly as expected and any slowdown in expansion could adversely impact our business and growth prospects.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Molecular Beam Epitaxy, or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1,206 of our employees as of December 31, 2014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have a substantial accumulated deficit.</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have a history of losses and have a substantial accumulated deficit. In the years ended December 31, 2013 and 2012, we experienced net losses of $1.4 million and $0.9 million, respectively. In 2014, we experienced a profit of $4.3 million. As of December 31, 2014 and 2013, our accumulated deficit was $79.0 million and $83.3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3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0" w:lineRule="exact"/>
        <w:rPr>
          <w:rFonts w:ascii="Arial" w:cs="Arial" w:eastAsia="Arial" w:hAnsi="Arial"/>
          <w:sz w:val="17"/>
          <w:szCs w:val="17"/>
          <w:color w:val="auto"/>
        </w:rPr>
      </w:pPr>
    </w:p>
    <w:p>
      <w:pPr>
        <w:ind w:left="980" w:right="7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9" w:name="page30"/>
    <w:bookmarkEnd w:id="29"/>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 were unable or unwilling to manufacture such produce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2014, 2013 and 2012, 29.5%, 41.0% and 55.7%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ind w:left="980" w:right="1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1" w:name="page32"/>
    <w:bookmarkEnd w:id="31"/>
    <w:p>
      <w:pPr>
        <w:ind w:right="20"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in the U.S.,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60" w:firstLine="648"/>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ind w:right="20"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right="10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5" w:name="page36"/>
    <w:bookmarkEnd w:id="35"/>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of December 31, 2014, we had U.S. accumulated net operating losses, or NOLs, of approximately $56.5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is limited in dollar amount. As of December 31, 2014, of the total accumulated NOL, only $31.5 million is available for utilization in future periods to offset federal taxable income. Each year after 2014, an additional $0.3 million is added to the total available NOL, until a maximum of $34.9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We are exposed to risks and increased expenses and business risk as a result of Restriction on Hazardous Substances, or RoHS directives.</w:t>
      </w:r>
    </w:p>
    <w:p>
      <w:pPr>
        <w:spacing w:after="0" w:line="23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applies to calendar years 2014, 2013 and 2012.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new board committees and adopted new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In addition, the terms of our loan and security agreement with East West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9" w:lineRule="exact"/>
        <w:rPr>
          <w:rFonts w:ascii="Arial" w:cs="Arial" w:eastAsia="Arial" w:hAnsi="Arial"/>
          <w:sz w:val="18"/>
          <w:szCs w:val="18"/>
          <w:color w:val="auto"/>
        </w:rPr>
      </w:pPr>
    </w:p>
    <w:p>
      <w:pPr>
        <w:ind w:left="980" w:right="28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Quarterly Report on Form 10-Q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right="8860" w:hanging="652"/>
        <w:spacing w:after="0" w:line="501" w:lineRule="auto"/>
        <w:tabs>
          <w:tab w:leader="none" w:pos="2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Unregistered Securities None.</w:t>
      </w: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 We received net proceeds of $31.5 million after deducting underwriting discounts and commissions of $2.5 million and other offering expenses of approximately $2.0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ind w:firstLine="648"/>
        <w:spacing w:after="0" w:line="273" w:lineRule="auto"/>
        <w:rPr>
          <w:sz w:val="20"/>
          <w:szCs w:val="20"/>
          <w:color w:val="auto"/>
        </w:rPr>
      </w:pPr>
      <w:r>
        <w:rPr>
          <w:rFonts w:ascii="Arial" w:cs="Arial" w:eastAsia="Arial" w:hAnsi="Arial"/>
          <w:sz w:val="17"/>
          <w:szCs w:val="17"/>
          <w:color w:val="auto"/>
        </w:rPr>
        <w:t>On March 25, 2014, we closed our follow-on public offering of 3,000,000 shares of common stock, at a price of $24.25 per share before underwriting discounts and commissions. We sold 1,575,235 of such shares and existing stockholders sold an aggregate of 1,424,765 of such shares. On March 28, 2014 we sold an additional 450,000 shares as a result of the underwriters’ exercise of their option to purchase additional shares. Raymond James &amp; Associates, Inc. and Piper Jaffray &amp; Co. were the managing underwriters. The follow-on public offering generated net proceeds to us of $45.7 million, after deducting underwriting discounts and commissions of $2.7 million and other offering expenses of approximately $0.8 million. We did not receive any proceeds from the sale of shares by the selling stockholders in the follow-on public offering.</w:t>
      </w:r>
    </w:p>
    <w:p>
      <w:pPr>
        <w:spacing w:after="0" w:line="17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There have been no material changes in the use of proceeds from our initial public offering and our follow-on public offering from that described in our registration statements filed with the SEC. As of December 31, 2014, we have used the entire net proceeds for working capital, the continued expansion of our existing business and general corporate purposes including the repayment of outstanding indebtedness.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44.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5260" w:type="dxa"/>
            <w:vAlign w:val="bottom"/>
            <w:gridSpan w:val="3"/>
          </w:tcPr>
          <w:p>
            <w:pPr>
              <w:ind w:left="214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580" w:type="dxa"/>
            <w:vAlign w:val="bottom"/>
          </w:tcPr>
          <w:p>
            <w:pPr>
              <w:spacing w:after="0"/>
              <w:rPr>
                <w:sz w:val="20"/>
                <w:szCs w:val="20"/>
                <w:color w:val="auto"/>
              </w:rPr>
            </w:pPr>
            <w:r>
              <w:rPr>
                <w:rFonts w:ascii="Arial" w:cs="Arial" w:eastAsia="Arial" w:hAnsi="Arial"/>
                <w:sz w:val="18"/>
                <w:szCs w:val="18"/>
                <w:color w:val="auto"/>
              </w:rPr>
              <w:t>Date: May 11, 2015</w:t>
            </w:r>
          </w:p>
        </w:tc>
        <w:tc>
          <w:tcPr>
            <w:tcW w:w="5260" w:type="dxa"/>
            <w:vAlign w:val="bottom"/>
            <w:gridSpan w:val="3"/>
          </w:tcPr>
          <w:p>
            <w:pPr>
              <w:ind w:left="2140"/>
              <w:spacing w:after="0"/>
              <w:rPr>
                <w:sz w:val="20"/>
                <w:szCs w:val="20"/>
                <w:color w:val="auto"/>
              </w:rPr>
            </w:pPr>
            <w:r>
              <w:rPr>
                <w:rFonts w:ascii="Arial" w:cs="Arial" w:eastAsia="Arial" w:hAnsi="Arial"/>
                <w:sz w:val="18"/>
                <w:szCs w:val="18"/>
                <w:color w:val="auto"/>
              </w:rPr>
              <w:t>By:    /s/ STEFAN J. MURRY</w:t>
            </w:r>
          </w:p>
        </w:tc>
      </w:tr>
      <w:tr>
        <w:trPr>
          <w:trHeight w:val="222"/>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c>
          <w:tcPr>
            <w:tcW w:w="820" w:type="dxa"/>
            <w:vAlign w:val="bottom"/>
          </w:tcPr>
          <w:p>
            <w:pPr>
              <w:spacing w:after="0"/>
              <w:rPr>
                <w:sz w:val="19"/>
                <w:szCs w:val="19"/>
                <w:color w:val="auto"/>
              </w:rPr>
            </w:pP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8" w:right="399" w:bottom="1440" w:gutter="0" w:footer="0" w:header="0"/>
        </w:sectPr>
      </w:pPr>
    </w:p>
    <w:bookmarkStart w:id="43" w:name="page44"/>
    <w:bookmarkEnd w:id="4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29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Amended and Restated Certificate of Incorporation, as currently in effect (filed as Exhibit 3.1 to the Registrant’s Quarterly Report on Form</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10-Q filed with the Securities and Exchange Commission on November 14, 2013).</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Amended and Restated Bylaws, as currently in effect (filed as Exhibit 3.2 to the Registrant’s Quarterly Report on Form 10-Q filed with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Securities and Exchange Commission on November 14, 2013).</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Loan Agreement, dated January 6, 2015, between Applied Optoelectronics, Inc. and CTBC Bank Co. Ltd. (filed as Exhibit 10.1 to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filed with the Securities and Exchange Commission on January 12,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Construction Loan Agreement, dated January 26, 2014, between Applied Optoelectronics, Inc. and East West Bank (filed as Exhibit 10.1 to</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Registrant’s Current Report on Form 8-K filed with the Securities and Exchange Commission on January 30,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Commercial Security Agreement, dated January 26, 2014, between Applied Optoelectronics, Inc. and East West Bank (filed as Exhibit 10.2 to</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Registrant’s Current Report on Form 8-K filed with the Securities and Exchange Commission on January 30,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Promissory Note, dated January 26, 2014, between Applied Optoelectronics, Inc. and East West Bank (filed as Exhibit 10.3 to the Registrant’s</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Current Report on Form 8-K filed with the Securities and Exchange Commission on January 30,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Translation of Chinese form of RMB Working Capital Loan Agreement between the Global Technology Inc. and China Construction Bank –</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9"/>
              </w:rPr>
              <w:t>Revolving line of credit with a China bank up to $12 million (Schedule updated as of March 31, 2015) (filed as Exhibit 10.29 to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Registrant’s Annual Report on Form 10-K filed with the Securities and Exchange Commission on March 5,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Translation of Chinese form of USD Trust Receipt Loan Agreement between Global Technology Inc. and China Construction Bank -</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8"/>
              </w:rPr>
              <w:t>Revolving line of credit with a China bank up to $3.3 million (Schedule updated as of March 31, 2015) (filed as Exhibit 10.30 to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Registrant’s Annual Report on Form 10-K filed with the Securities and Exchange Commission on March 5,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Translation of $4 Million Credit Facility Agreement, dated March 9, 2015, between Applied Optoelectronics, Inc. and E. Sun Commercial</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Bank Co., Ltd. (filed as Exhibit 10.1 to the Registrant’s Current Report on Form 8-K filed with the Securities and Exchange Commission on</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March 13,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Translation of $3 Million Credit Facility Agreement, dated March 9, 2015, between Applied Optoelectronics, Inc. and E. Sun Commercial</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Bank Co., Ltd. (filed as Exhibit 10.2 to the Registrant’s Current Report on Form 8-K filed with the Securities and Exchange Commission on</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March 13,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Translation of Loan Approval Notice of E. Sun Commercial Bank Co., Ltd., dated March 12, 2015 (filed as Exhibit 10.3 to the Registrant’s</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Current Report on Form 8-K filed with the Securities and Exchange Commission on March 13,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Translation of US$4 Million Credit Facility Agreement, dated March 25, 2015, between Applied Optoelectronics, Inc. and Mega International</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Commercial Bank Co., Ltd (filed as Exhibit 10.1 to the Registrant’s Current Report on Form 8-K filed with the Securities and Exchange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Commission on March 31,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Translation of Comprehensive Credit Line Contract and General Agreement, dated April 1, 2015, between Applied Optoelectronics, Inc.,</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Taiwan Branch, and China Construction Bank, Taipei Branch (filed as Exhibit 10.1 to the Registrant’s Current Report on Form 8-K filed with</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Securities and Exchange Commission on April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Translation of Approval Notice of China Construction Bank, Taipei Branch (filed as Exhibit 10.2 to the Registrant’s Current Report on Form</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8-K filed with the Securities and Exchange Commission on April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Certification of Chief Executive Officer pursuant to Exchange Act Rule, 13a-14(a) and 15d-14(a), as adopted pursuant to Section 302 of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Certification of Chief Financial Officer pursuant to Exchange Act Rule, 13a-14(a) and 15d-14(a), as adopted pursuant to Section 302 of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Certification pursuant to 18 U.S.C. 1350, adopted pursuant to Section 906 of the Sarbanes-Oxley Act of 2002, by Chief Executive Officer and</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ectPr>
          <w:pgSz w:w="11900" w:h="16861" w:orient="portrait"/>
          <w:cols w:equalWidth="0" w:num="1">
            <w:col w:w="11400"/>
          </w:cols>
          <w:pgMar w:left="240" w:top="878" w:right="259" w:bottom="0" w:gutter="0" w:footer="0" w:header="0"/>
        </w:sectPr>
      </w:pPr>
    </w:p>
    <w:bookmarkStart w:id="44" w:name="page45"/>
    <w:bookmarkEnd w:id="44"/>
    <w:p>
      <w:pPr>
        <w:ind w:left="532" w:hanging="532"/>
        <w:spacing w:after="0"/>
        <w:tabs>
          <w:tab w:leader="none" w:pos="5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jc w:val="both"/>
        <w:ind w:left="532" w:hanging="532"/>
        <w:spacing w:after="0" w:line="264" w:lineRule="auto"/>
        <w:tabs>
          <w:tab w:leader="none" w:pos="5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3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380" w:hanging="237"/>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380" w:hanging="237"/>
        <w:spacing w:after="0" w:line="34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237"/>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0" w:lineRule="exact"/>
        <w:rPr>
          <w:rFonts w:ascii="Arial" w:cs="Arial" w:eastAsia="Arial" w:hAnsi="Arial"/>
          <w:sz w:val="18"/>
          <w:szCs w:val="18"/>
          <w:color w:val="auto"/>
        </w:rPr>
      </w:pPr>
    </w:p>
    <w:p>
      <w:pPr>
        <w:ind w:left="380" w:hanging="237"/>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40" w:hanging="23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hanging="247"/>
        <w:spacing w:after="0" w:line="308" w:lineRule="auto"/>
        <w:tabs>
          <w:tab w:leader="none" w:pos="7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23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237"/>
        <w:spacing w:after="0" w:line="308"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23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24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380" w:hanging="237"/>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380" w:hanging="237"/>
        <w:spacing w:after="0" w:line="342"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237"/>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0" w:lineRule="exact"/>
        <w:rPr>
          <w:rFonts w:ascii="Arial" w:cs="Arial" w:eastAsia="Arial" w:hAnsi="Arial"/>
          <w:sz w:val="18"/>
          <w:szCs w:val="18"/>
          <w:color w:val="auto"/>
        </w:rPr>
      </w:pPr>
    </w:p>
    <w:p>
      <w:pPr>
        <w:ind w:left="380" w:hanging="237"/>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40" w:hanging="237"/>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hanging="247"/>
        <w:spacing w:after="0" w:line="308" w:lineRule="auto"/>
        <w:tabs>
          <w:tab w:leader="none" w:pos="7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237"/>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237"/>
        <w:spacing w:after="0" w:line="308"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23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24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47" w:lineRule="exact"/>
        <w:rPr>
          <w:sz w:val="20"/>
          <w:szCs w:val="20"/>
          <w:color w:val="auto"/>
        </w:rPr>
      </w:pPr>
    </w:p>
    <w:p>
      <w:pPr>
        <w:ind w:left="9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2015, to which this Certification is attached as Exhibit 32.1 (the “Quarterly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color w:val="auto"/>
              </w:rPr>
              <w:t>/s/ CHIH-HSIANG (THOMPSON) LIN</w:t>
            </w:r>
          </w:p>
        </w:tc>
        <w:tc>
          <w:tcPr>
            <w:tcW w:w="1740" w:type="dxa"/>
            <w:vAlign w:val="bottom"/>
          </w:tcPr>
          <w:p>
            <w:pPr>
              <w:spacing w:after="0"/>
              <w:rPr>
                <w:sz w:val="20"/>
                <w:szCs w:val="20"/>
                <w:color w:val="auto"/>
              </w:rPr>
            </w:pPr>
            <w:r>
              <w:rPr>
                <w:rFonts w:ascii="Arial" w:cs="Arial" w:eastAsia="Arial" w:hAnsi="Arial"/>
                <w:sz w:val="18"/>
                <w:szCs w:val="18"/>
                <w:color w:val="auto"/>
                <w:w w:val="92"/>
              </w:rPr>
              <w:t>/s/ STEFAN J. MURRY</w:t>
            </w:r>
          </w:p>
        </w:tc>
      </w:tr>
      <w:tr>
        <w:trPr>
          <w:trHeight w:val="222"/>
        </w:trPr>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tc>
        <w:tc>
          <w:tcPr>
            <w:tcW w:w="28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740" w:type="dxa"/>
            <w:vAlign w:val="bottom"/>
          </w:tcPr>
          <w:p>
            <w:pPr>
              <w:spacing w:after="0"/>
              <w:rPr>
                <w:sz w:val="20"/>
                <w:szCs w:val="20"/>
                <w:color w:val="auto"/>
              </w:rPr>
            </w:pPr>
            <w:r>
              <w:rPr>
                <w:rFonts w:ascii="Arial" w:cs="Arial" w:eastAsia="Arial" w:hAnsi="Arial"/>
                <w:sz w:val="18"/>
                <w:szCs w:val="18"/>
                <w:color w:val="auto"/>
                <w:w w:val="97"/>
              </w:rPr>
              <w:t>Chief Financial Officer</w:t>
            </w:r>
          </w:p>
        </w:tc>
      </w:tr>
    </w:tbl>
    <w:p>
      <w:pPr>
        <w:spacing w:after="0" w:line="202"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28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2019-12-07T22:38:11Z</dcterms:created>
  <dcterms:modified xsi:type="dcterms:W3CDTF">2019-12-07T22:38:11Z</dcterms:modified>
</cp:coreProperties>
</file>