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1240" w:hanging="204"/>
        <w:spacing w:after="0"/>
        <w:tabs>
          <w:tab w:leader="none" w:pos="12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__________ to </w:t>
      </w:r>
      <w:r>
        <w:rPr>
          <w:rFonts w:ascii="Times New Roman" w:cs="Times New Roman" w:eastAsia="Times New Roman" w:hAnsi="Times New Roman"/>
          <w:sz w:val="18"/>
          <w:szCs w:val="18"/>
          <w:color w:val="auto"/>
        </w:rPr>
        <w:t>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225" w:right="2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ind w:left="5580" w:hanging="428"/>
        <w:spacing w:after="0"/>
        <w:tabs>
          <w:tab w:leader="none" w:pos="5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295-1800</w:t>
      </w:r>
    </w:p>
    <w:p>
      <w:pPr>
        <w:spacing w:after="0" w:line="31" w:lineRule="exact"/>
        <w:rPr>
          <w:rFonts w:ascii="Times New Roman" w:cs="Times New Roman" w:eastAsia="Times New Roman" w:hAnsi="Times New Roman"/>
          <w:sz w:val="18"/>
          <w:szCs w:val="18"/>
          <w:b w:val="1"/>
          <w:bCs w:val="1"/>
          <w:color w:val="auto"/>
        </w:rPr>
      </w:pPr>
    </w:p>
    <w:p>
      <w:pPr>
        <w:ind w:left="4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(Registrant’s telephone number)</w:t>
      </w:r>
    </w:p>
    <w:p>
      <w:pPr>
        <w:spacing w:after="0" w:line="207" w:lineRule="exact"/>
        <w:rPr>
          <w:sz w:val="24"/>
          <w:szCs w:val="24"/>
          <w:color w:val="auto"/>
        </w:rPr>
      </w:pPr>
    </w:p>
    <w:p>
      <w:pPr>
        <w:jc w:val="both"/>
        <w:ind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type w:val="continuous"/>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2" w:lineRule="exact"/>
        <w:rPr>
          <w:sz w:val="24"/>
          <w:szCs w:val="24"/>
          <w:color w:val="auto"/>
        </w:rPr>
      </w:pPr>
    </w:p>
    <w:p>
      <w:pPr>
        <w:sectPr>
          <w:pgSz w:w="11900" w:h="16838" w:orient="portrait"/>
          <w:cols w:equalWidth="0" w:num="4">
            <w:col w:w="2280" w:space="720"/>
            <w:col w:w="4180" w:space="720"/>
            <w:col w:w="2240" w:space="720"/>
            <w:col w:w="560"/>
          </w:cols>
          <w:pgMar w:left="240" w:top="225"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19" w:lineRule="exact"/>
        <w:rPr>
          <w:sz w:val="24"/>
          <w:szCs w:val="24"/>
          <w:color w:val="auto"/>
        </w:rPr>
      </w:pPr>
    </w:p>
    <w:p>
      <w:pPr>
        <w:sectPr>
          <w:pgSz w:w="11900" w:h="16838" w:orient="portrait"/>
          <w:cols w:equalWidth="0" w:num="4">
            <w:col w:w="2280" w:space="720"/>
            <w:col w:w="4180" w:space="720"/>
            <w:col w:w="2240" w:space="720"/>
            <w:col w:w="560"/>
          </w:cols>
          <w:pgMar w:left="240" w:top="225" w:right="239" w:bottom="1440" w:gutter="0" w:footer="0" w:header="0"/>
          <w:type w:val="continuous"/>
        </w:sect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August 3, 2016 there were 17,140,181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060" w:type="dxa"/>
            <w:vAlign w:val="bottom"/>
            <w:gridSpan w:val="5"/>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1260" w:type="dxa"/>
            <w:vAlign w:val="bottom"/>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Condensed Consolidated Balance Sheets as of June 30, 2016 (Unaudited) and December 31, 2015</w:t>
            </w:r>
          </w:p>
        </w:tc>
        <w:tc>
          <w:tcPr>
            <w:tcW w:w="1260" w:type="dxa"/>
            <w:vAlign w:val="bottom"/>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9040" w:type="dxa"/>
            <w:vAlign w:val="bottom"/>
            <w:gridSpan w:val="3"/>
            <w:shd w:val="clear" w:color="auto" w:fill="EEEEEE"/>
          </w:tcPr>
          <w:p>
            <w:pPr>
              <w:ind w:left="360"/>
              <w:spacing w:after="0" w:line="198" w:lineRule="exact"/>
              <w:rPr>
                <w:sz w:val="20"/>
                <w:szCs w:val="20"/>
                <w:color w:val="auto"/>
              </w:rPr>
            </w:pPr>
            <w:r>
              <w:rPr>
                <w:rFonts w:ascii="Times New Roman" w:cs="Times New Roman" w:eastAsia="Times New Roman" w:hAnsi="Times New Roman"/>
                <w:sz w:val="18"/>
                <w:szCs w:val="18"/>
                <w:color w:val="auto"/>
              </w:rPr>
              <w:t>Condensed Consolidated Statements of Operations for the Three and Six Months ended June 30, 2016 and 2015</w:t>
            </w:r>
          </w:p>
        </w:tc>
        <w:tc>
          <w:tcPr>
            <w:tcW w:w="126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(Unaudited)</w:t>
            </w:r>
          </w:p>
        </w:tc>
        <w:tc>
          <w:tcPr>
            <w:tcW w:w="12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9040" w:type="dxa"/>
            <w:vAlign w:val="bottom"/>
            <w:gridSpan w:val="3"/>
            <w:shd w:val="clear" w:color="auto" w:fill="EEEEEE"/>
          </w:tcPr>
          <w:p>
            <w:pPr>
              <w:ind w:left="360"/>
              <w:spacing w:after="0" w:line="198"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(Loss) for the Three and Six Months ended June 30,</w:t>
            </w:r>
          </w:p>
        </w:tc>
        <w:tc>
          <w:tcPr>
            <w:tcW w:w="1260" w:type="dxa"/>
            <w:vAlign w:val="bottom"/>
            <w:shd w:val="clear" w:color="auto" w:fill="EEEEEE"/>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2016 and 2015 (Unaudited)</w:t>
            </w:r>
          </w:p>
        </w:tc>
        <w:tc>
          <w:tcPr>
            <w:tcW w:w="12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Six Months ended June 30, 2016 (Unaudited)</w:t>
            </w:r>
          </w:p>
        </w:tc>
        <w:tc>
          <w:tcPr>
            <w:tcW w:w="1260" w:type="dxa"/>
            <w:vAlign w:val="bottom"/>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Six Months ended June 30, 2016 and 2015 (Unaudited)</w:t>
            </w:r>
          </w:p>
        </w:tc>
        <w:tc>
          <w:tcPr>
            <w:tcW w:w="1260" w:type="dxa"/>
            <w:vAlign w:val="bottom"/>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260" w:type="dxa"/>
            <w:vAlign w:val="bottom"/>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40" w:type="dxa"/>
            <w:vAlign w:val="bottom"/>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7800" w:type="dxa"/>
            <w:vAlign w:val="bottom"/>
            <w:tcBorders>
              <w:top w:val="single" w:sz="8" w:color="EEEEEE"/>
            </w:tcBorders>
          </w:tcPr>
          <w:p>
            <w:pPr>
              <w:spacing w:after="0"/>
              <w:rPr>
                <w:sz w:val="18"/>
                <w:szCs w:val="18"/>
                <w:color w:val="auto"/>
              </w:rPr>
            </w:pPr>
          </w:p>
        </w:tc>
        <w:tc>
          <w:tcPr>
            <w:tcW w:w="1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Legal Proceedings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1A.</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Risk Factors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Other Information</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6.</w:t>
            </w: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Exhibits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0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Signatures</w:t>
            </w:r>
          </w:p>
        </w:tc>
        <w:tc>
          <w:tcPr>
            <w:tcW w:w="12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6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191"/>
        </w:trPr>
        <w:tc>
          <w:tcPr>
            <w:tcW w:w="778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42,289</w:t>
            </w:r>
          </w:p>
        </w:tc>
        <w:tc>
          <w:tcPr>
            <w:tcW w:w="700" w:type="dxa"/>
            <w:vAlign w:val="bottom"/>
            <w:gridSpan w:val="2"/>
            <w:shd w:val="clear" w:color="auto" w:fill="EEEEEE"/>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28,074</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7,886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41,536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38,775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59,833</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66,238</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8,236</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153,711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153,928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136,828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109,699</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Land use rights, net</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6,040</w:t>
            </w:r>
          </w:p>
        </w:tc>
        <w:tc>
          <w:tcPr>
            <w:tcW w:w="1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r>
        <w:trPr>
          <w:trHeight w:val="263"/>
        </w:trPr>
        <w:tc>
          <w:tcPr>
            <w:tcW w:w="778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301,366</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273,475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28,828</w:t>
            </w:r>
          </w:p>
        </w:tc>
        <w:tc>
          <w:tcPr>
            <w:tcW w:w="700" w:type="dxa"/>
            <w:vAlign w:val="bottom"/>
            <w:gridSpan w:val="2"/>
            <w:shd w:val="clear" w:color="auto" w:fill="EEEEEE"/>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30,908</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33,130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28,668</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Bank acceptance payable</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2,435</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13,762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11,506</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78,155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74,080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56,040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33,997</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134,195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108,077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shd w:val="clear" w:color="auto" w:fill="EEEEEE"/>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no shares issued and outstanding at June 30, 2016 and</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December 31, 2015, $0.001 par value</w:t>
            </w: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45,000 shares authorized;17,107 and 16,839 shares issued and outstanding at June</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30, 2016 and at December 31, 2015, $0.001 par value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235,338</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233,336</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(68,974)</w:t>
            </w:r>
          </w:p>
        </w:tc>
        <w:tc>
          <w:tcPr>
            <w:tcW w:w="1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(68,247)</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167,171</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165,398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301,366</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540" w:type="dxa"/>
            <w:vAlign w:val="bottom"/>
            <w:tcBorders>
              <w:bottom w:val="single" w:sz="8" w:color="auto"/>
            </w:tcBorders>
            <w:shd w:val="clear" w:color="auto" w:fill="EEEEEE"/>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273,475</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EEEEE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60" w:type="dxa"/>
            <w:vAlign w:val="bottom"/>
            <w:shd w:val="clear" w:color="auto" w:fill="EEEEEE"/>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55,254</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49,632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105,676</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37,952</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74,121</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53,084</w:t>
            </w:r>
          </w:p>
        </w:tc>
        <w:tc>
          <w:tcPr>
            <w:tcW w:w="0" w:type="dxa"/>
            <w:vAlign w:val="bottom"/>
          </w:tcPr>
          <w:p>
            <w:pPr>
              <w:spacing w:after="0"/>
              <w:rPr>
                <w:sz w:val="1"/>
                <w:szCs w:val="1"/>
                <w:color w:val="auto"/>
              </w:rPr>
            </w:pPr>
          </w:p>
        </w:tc>
      </w:tr>
      <w:tr>
        <w:trPr>
          <w:trHeight w:val="210"/>
        </w:trPr>
        <w:tc>
          <w:tcPr>
            <w:tcW w:w="48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17,302</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26,782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7,814</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4,701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16,210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9,506</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1,610</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5,906</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4,534</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auto"/>
            </w:tcBorders>
            <w:shd w:val="clear" w:color="auto" w:fill="EEEEEE"/>
          </w:tcPr>
          <w:p>
            <w:pPr>
              <w:spacing w:after="0"/>
              <w:rPr>
                <w:sz w:val="18"/>
                <w:szCs w:val="18"/>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34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(932)</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6,224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auto"/>
            </w:tcBorders>
            <w:shd w:val="clear" w:color="auto" w:fill="EEEEEE"/>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EEEEEE"/>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0.41</w:t>
            </w:r>
          </w:p>
        </w:tc>
        <w:tc>
          <w:tcPr>
            <w:tcW w:w="44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0.38</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shares used to</w:t>
            </w: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compute net income (loss) per share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17,090,750</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14,936,442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17,010,506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14,890,581</w:t>
            </w:r>
          </w:p>
        </w:tc>
        <w:tc>
          <w:tcPr>
            <w:tcW w:w="0" w:type="dxa"/>
            <w:vAlign w:val="bottom"/>
          </w:tcPr>
          <w:p>
            <w:pPr>
              <w:spacing w:after="0"/>
              <w:rPr>
                <w:sz w:val="1"/>
                <w:szCs w:val="1"/>
                <w:color w:val="auto"/>
              </w:rPr>
            </w:pPr>
          </w:p>
        </w:tc>
      </w:tr>
      <w:tr>
        <w:trPr>
          <w:trHeight w:val="234"/>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17,454,552</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15,871,745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17,010,506</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16,015,158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Borders>
              <w:bottom w:val="single" w:sz="8" w:color="EEEEEE"/>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shd w:val="clear" w:color="auto" w:fill="EEEEEE"/>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4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6,089</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EEEEEE"/>
          </w:tcPr>
          <w:p>
            <w:pPr>
              <w:spacing w:after="0"/>
              <w:rPr>
                <w:sz w:val="18"/>
                <w:szCs w:val="18"/>
                <w:color w:val="auto"/>
              </w:rPr>
            </w:pPr>
          </w:p>
        </w:tc>
      </w:tr>
      <w:tr>
        <w:trPr>
          <w:trHeight w:val="198"/>
        </w:trPr>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foreign currency translation adjustment, net of</w:t>
            </w: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(956)</w:t>
            </w:r>
          </w:p>
        </w:tc>
        <w:tc>
          <w:tcPr>
            <w:tcW w:w="96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60" w:type="dxa"/>
            <w:vAlign w:val="bottom"/>
            <w:tcBorders>
              <w:top w:val="single" w:sz="8" w:color="auto"/>
              <w:bottom w:val="single" w:sz="8" w:color="auto"/>
            </w:tcBorders>
            <w:shd w:val="clear" w:color="auto" w:fill="EEEEEE"/>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EEEEEE"/>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6,208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86"/>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6"/>
                <w:szCs w:val="16"/>
                <w:color w:val="auto"/>
              </w:rPr>
            </w:pPr>
          </w:p>
        </w:tc>
        <w:tc>
          <w:tcPr>
            <w:tcW w:w="13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2"/>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8"/>
                <w:szCs w:val="18"/>
                <w:color w:val="auto"/>
              </w:rPr>
            </w:pPr>
          </w:p>
        </w:tc>
        <w:tc>
          <w:tcPr>
            <w:tcW w:w="13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2"/>
        </w:trPr>
        <w:tc>
          <w:tcPr>
            <w:tcW w:w="2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January 1, 2016</w:t>
            </w:r>
          </w:p>
        </w:tc>
        <w:tc>
          <w:tcPr>
            <w:tcW w:w="118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16,839</w:t>
            </w:r>
          </w:p>
        </w:tc>
        <w:tc>
          <w:tcPr>
            <w:tcW w:w="340" w:type="dxa"/>
            <w:vAlign w:val="bottom"/>
            <w:tcBorders>
              <w:top w:val="single" w:sz="8" w:color="EEEEEE"/>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233,336</w:t>
            </w:r>
          </w:p>
        </w:tc>
        <w:tc>
          <w:tcPr>
            <w:tcW w:w="3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(68,247)</w:t>
            </w:r>
          </w:p>
        </w:tc>
        <w:tc>
          <w:tcPr>
            <w:tcW w:w="320" w:type="dxa"/>
            <w:vAlign w:val="bottom"/>
            <w:tcBorders>
              <w:top w:val="single" w:sz="8" w:color="EEEEEE"/>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165,398</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7"/>
                <w:szCs w:val="17"/>
                <w:color w:val="auto"/>
              </w:rPr>
            </w:pPr>
          </w:p>
        </w:tc>
      </w:tr>
      <w:tr>
        <w:trPr>
          <w:trHeight w:val="203"/>
        </w:trPr>
        <w:tc>
          <w:tcPr>
            <w:tcW w:w="2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Issuance of shares under equity plans</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34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5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4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tcPr>
          <w:p>
            <w:pPr>
              <w:spacing w:after="0"/>
              <w:rPr>
                <w:sz w:val="17"/>
                <w:szCs w:val="17"/>
                <w:color w:val="auto"/>
              </w:rPr>
            </w:pPr>
          </w:p>
        </w:tc>
      </w:tr>
      <w:tr>
        <w:trPr>
          <w:trHeight w:val="189"/>
        </w:trPr>
        <w:tc>
          <w:tcPr>
            <w:tcW w:w="2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r>
      <w:tr>
        <w:trPr>
          <w:trHeight w:val="216"/>
        </w:trPr>
        <w:tc>
          <w:tcPr>
            <w:tcW w:w="27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Reclassified realized gains on foreign</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currency transaction</w:t>
            </w: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18"/>
                <w:szCs w:val="18"/>
                <w:color w:val="auto"/>
              </w:rPr>
            </w:pPr>
          </w:p>
        </w:tc>
        <w:tc>
          <w:tcPr>
            <w:tcW w:w="13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tcPr>
          <w:p>
            <w:pPr>
              <w:spacing w:after="0"/>
              <w:rPr>
                <w:sz w:val="18"/>
                <w:szCs w:val="18"/>
                <w:color w:val="auto"/>
              </w:rPr>
            </w:pPr>
          </w:p>
        </w:tc>
      </w:tr>
      <w:tr>
        <w:trPr>
          <w:trHeight w:val="222"/>
        </w:trPr>
        <w:tc>
          <w:tcPr>
            <w:tcW w:w="2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39"/>
              <w:spacing w:after="0"/>
              <w:rPr>
                <w:sz w:val="20"/>
                <w:szCs w:val="20"/>
                <w:color w:val="auto"/>
              </w:rPr>
            </w:pPr>
            <w:r>
              <w:rPr>
                <w:rFonts w:ascii="Times New Roman" w:cs="Times New Roman" w:eastAsia="Times New Roman" w:hAnsi="Times New Roman"/>
                <w:sz w:val="16"/>
                <w:szCs w:val="16"/>
                <w:color w:val="auto"/>
              </w:rPr>
              <w:t>(727)</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(727)</w:t>
            </w:r>
          </w:p>
        </w:tc>
      </w:t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June 30, 2016</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17,107</w:t>
            </w:r>
          </w:p>
        </w:tc>
        <w:tc>
          <w:tcPr>
            <w:tcW w:w="3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235,338</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(68,974</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167,171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c>
          <w:tcPr>
            <w:tcW w:w="1140" w:type="dxa"/>
            <w:vAlign w:val="bottom"/>
            <w:gridSpan w:val="2"/>
            <w:shd w:val="clear" w:color="auto" w:fill="EEEEEE"/>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6,241</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4,313</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Bank acceptance receivable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Other current assets and other receivables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3,111</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2,276</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7,749</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restricted cash for construction in progress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(33,768)</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Deposits and prepaid charges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(26,410</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(23,170</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Proceeds from issuance of notes payable and long-term debt</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24,864</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8,357</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Proceeds from line of credit borrowings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71,981</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72,006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line of credit borrowings</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(75,243)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(47,855)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3,501</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(3,995)</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20" w:type="dxa"/>
            <w:vAlign w:val="bottom"/>
            <w:tcBorders>
              <w:bottom w:val="single" w:sz="8" w:color="auto"/>
            </w:tcBorders>
            <w:shd w:val="clear" w:color="auto" w:fill="EEEEEE"/>
          </w:tcPr>
          <w:p>
            <w:pPr>
              <w:spacing w:after="0"/>
              <w:rPr>
                <w:sz w:val="18"/>
                <w:szCs w:val="18"/>
                <w:color w:val="auto"/>
              </w:rPr>
            </w:pPr>
          </w:p>
        </w:tc>
        <w:tc>
          <w:tcPr>
            <w:tcW w:w="5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tcBorders>
              <w:bottom w:val="single" w:sz="8" w:color="auto"/>
            </w:tcBorders>
            <w:shd w:val="clear" w:color="auto" w:fill="EEEEEE"/>
          </w:tcPr>
          <w:p>
            <w:pPr>
              <w:spacing w:after="0"/>
              <w:rPr>
                <w:sz w:val="18"/>
                <w:szCs w:val="18"/>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28,074</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32,175</w:t>
            </w:r>
          </w:p>
        </w:tc>
        <w:tc>
          <w:tcPr>
            <w:tcW w:w="0" w:type="dxa"/>
            <w:vAlign w:val="bottom"/>
          </w:tcPr>
          <w:p>
            <w:pPr>
              <w:spacing w:after="0"/>
              <w:rPr>
                <w:sz w:val="1"/>
                <w:szCs w:val="1"/>
                <w:color w:val="auto"/>
              </w:rPr>
            </w:pPr>
          </w:p>
        </w:tc>
      </w:tr>
      <w:tr>
        <w:trPr>
          <w:trHeight w:val="263"/>
        </w:trPr>
        <w:tc>
          <w:tcPr>
            <w:tcW w:w="77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42,289</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net of capitalized amounts</w:t>
            </w:r>
          </w:p>
        </w:tc>
        <w:tc>
          <w:tcPr>
            <w:tcW w:w="1020" w:type="dxa"/>
            <w:vAlign w:val="bottom"/>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1140" w:type="dxa"/>
            <w:vAlign w:val="bottom"/>
            <w:gridSpan w:val="2"/>
            <w:shd w:val="clear" w:color="auto" w:fill="EEEEEE"/>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7" w:name="page8"/>
    <w:bookmarkEnd w:id="7"/>
    <w:p>
      <w:pPr>
        <w:jc w:val="center"/>
        <w:ind w:left="260" w:right="2740"/>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NOTES TO CONDENSED CONSOLIDATED FINANCIAL STATEMENTS (Unaudited)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internet data centers, cable television, and fiber-to-the-home. The Company designs and manufactures a wide range of optical communications products at varying levels of integration, from components, subassemblies and modules to complete turn-key equipment.</w:t>
      </w:r>
    </w:p>
    <w:p>
      <w:pPr>
        <w:spacing w:after="0" w:line="18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products. The Company operates a division in Taipei, Taiwan that primarily manufactures transceivers for both the data center and fiber-to-the-home (“FTTH”) markets and performs research and development activities for the transceiver products. The Company operates in Ningbo, China through its wholly-owned subsidiary Prime World International Holdings, Ltd. (incorporated in the British Virgin Islands). Prime World International Holdings, Ltd. is the sole parent of Global Technology, Inc. (incorporated in the People’s Republic of China). Through Global Technology Inc., the Company primarily manufactures Cable TV Broadband (“CATV”) systems and equipment and performs research and development activities for the CATV products. The Company’s research and development functions are partnered with its manufacturing locations and the Company has an additional development center in Lawrenceville, Georgia.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as of June 30, 2016 and December 31, 2015 and for the three and six months ended June 30, 2016 and June 30, 2015,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2015. The results of operations for the three and six months ended June 30, 2016 are not necessarily indicative of the results expected for the entire fiscal year. All significant intercompany accounts and transactions have been eliminated.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and six months ended June 30, 2016, as compared to the significant accounting policies described in its 2015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new guidance is effective for public business entities in fiscal years beginning after December 15, 2016, and in the interim periods within those fiscal years. The guidance requires a mix of prospective, modified retrospective and retrospective transition. The Company is evaluating the impact of the accounting standard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8" w:name="page9"/>
    <w:bookmarkEnd w:id="8"/>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February 25, 2016, the FASB released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complete its project to overhaul lease accounting. The ASU codifies ASC 842, Leases, which will replace the guidance in ASC 840. The new guidance will require lessees to recognize most leases on the balance sheet for capital and operating leases. The new guidance is effective for public business entities in fiscal years beginning after December 15, 2018. The Company is evaluating the impact of the accounting standard on its financial statements.</w:t>
      </w:r>
    </w:p>
    <w:p>
      <w:pPr>
        <w:spacing w:after="0" w:line="18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FASB has issued ASU No. 2016-01, </w:t>
      </w:r>
      <w:r>
        <w:rPr>
          <w:rFonts w:ascii="Times New Roman" w:cs="Times New Roman" w:eastAsia="Times New Roman" w:hAnsi="Times New Roman"/>
          <w:sz w:val="18"/>
          <w:szCs w:val="18"/>
          <w:i w:val="1"/>
          <w:iCs w:val="1"/>
          <w:color w:val="auto"/>
        </w:rPr>
        <w:t>Financial Instruments – Overall (Subtopic 825-10):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The new guidance is intended to improve the recognition and measurement of financial instruments. The ASU affects public and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not-for-profit organizations, and employee benefit plans that hold financial assets or owe financial liabilities. The new guidance is effective for public companies for fiscal years beginning after December 15, 2017, including interim periods within those fiscal years. The Company is evaluating the impact of the accounting standard on its financial statements.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xml:space="preserve"> during November 2015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simplifies the presentation of deferred income taxes. This ASU provides presentation requirements to classify deferred tax assets and liabilities as noncurrent in a statement of financial position. The standard is effective for fiscal years beginning after December 15, 2016, including interim periods within that reporting period. Early adoption is permitted for any interim and annual financial statements that have not yet been issued. The ASU may be applied either prospectively to all deferred tax liabilities and assets or retrospectively to all periods presented. The Company early adopted this standard effective December 31, 2015 on a retrospective basis which resulted in a reclassification of our net current deferred tax asset to the net non-current deferred tax asset as of December 31, 2015. The adoption of this ASU had no impact on the balance sheet or income statement as the Company had a full valuation allowance.</w:t>
      </w:r>
    </w:p>
    <w:p>
      <w:pPr>
        <w:spacing w:after="0" w:line="18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FASB has issued ASU No. 2015-11,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in July 2015 to require entity to measure inventory at the lower of cost or market. Market could be replacement cost, net realizable value, or net realizable value less an approximately normal profit margin. The Company early adopted this ASU which had no material impact on the financial statements.</w:t>
      </w:r>
    </w:p>
    <w:p>
      <w:pPr>
        <w:spacing w:after="0" w:line="17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 - Imputation of Interest (Subtopic 835-30): Simplifying the Presentation of Debt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w:t>
      </w:r>
      <w:r>
        <w:rPr>
          <w:rFonts w:ascii="Times New Roman" w:cs="Times New Roman" w:eastAsia="Times New Roman" w:hAnsi="Times New Roman"/>
          <w:sz w:val="18"/>
          <w:szCs w:val="18"/>
          <w:color w:val="auto"/>
        </w:rPr>
        <w:t>which requires the presentation of debt issuance costs related to a recognized debt liability as a direct deduction from the carrying amount of that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ASU 2015-03 does not address presentation or subsequent measurement of debt issuance costs related to line-of-credit arrangements. Given the absence of authoritative guidance within ASU 2015-03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early adopted this ASU which had no material impact on the financial statements.</w:t>
      </w:r>
    </w:p>
    <w:p>
      <w:pPr>
        <w:spacing w:after="0" w:line="183"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The Company continues to evaluate the impact of the accounting standard on its financial statements. The Company plans to adopt the new standards after December 15,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for the periods indicated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 of June 30, 2016</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3"/>
                <w:szCs w:val="13"/>
                <w:color w:val="auto"/>
              </w:rPr>
            </w:pPr>
          </w:p>
        </w:tc>
        <w:tc>
          <w:tcPr>
            <w:tcW w:w="112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3"/>
                <w:szCs w:val="13"/>
                <w:color w:val="auto"/>
              </w:rPr>
            </w:pPr>
          </w:p>
        </w:tc>
        <w:tc>
          <w:tcPr>
            <w:tcW w:w="9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Cash and cash</w:t>
            </w:r>
          </w:p>
        </w:tc>
        <w:tc>
          <w:tcPr>
            <w:tcW w:w="160" w:type="dxa"/>
            <w:vAlign w:val="bottom"/>
            <w:vMerge w:val="restart"/>
            <w:shd w:val="clear" w:color="auto" w:fill="EEEEEE"/>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vMerge w:val="restart"/>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42,289</w:t>
            </w:r>
          </w:p>
        </w:tc>
        <w:tc>
          <w:tcPr>
            <w:tcW w:w="160" w:type="dxa"/>
            <w:vAlign w:val="bottom"/>
            <w:vMerge w:val="restart"/>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EEEEEE"/>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vMerge w:val="restart"/>
            <w:shd w:val="clear" w:color="auto" w:fill="EEEEEE"/>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42,289</w:t>
            </w:r>
          </w:p>
        </w:tc>
        <w:tc>
          <w:tcPr>
            <w:tcW w:w="160" w:type="dxa"/>
            <w:vAlign w:val="bottom"/>
            <w:vMerge w:val="restart"/>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28,074</w:t>
            </w:r>
          </w:p>
        </w:tc>
        <w:tc>
          <w:tcPr>
            <w:tcW w:w="160" w:type="dxa"/>
            <w:vAlign w:val="bottom"/>
            <w:vMerge w:val="restart"/>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EEEEEE"/>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EEEEEE"/>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EEEEEE"/>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28,074</w:t>
            </w:r>
          </w:p>
        </w:tc>
        <w:tc>
          <w:tcPr>
            <w:tcW w:w="0" w:type="dxa"/>
            <w:vAlign w:val="bottom"/>
          </w:tcPr>
          <w:p>
            <w:pPr>
              <w:spacing w:after="0"/>
              <w:rPr>
                <w:sz w:val="1"/>
                <w:szCs w:val="1"/>
                <w:color w:val="auto"/>
              </w:rPr>
            </w:pPr>
          </w:p>
        </w:tc>
      </w:tr>
      <w:tr>
        <w:trPr>
          <w:trHeight w:val="171"/>
        </w:trPr>
        <w:tc>
          <w:tcPr>
            <w:tcW w:w="16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equivalents</w:t>
            </w:r>
          </w:p>
        </w:tc>
        <w:tc>
          <w:tcPr>
            <w:tcW w:w="160" w:type="dxa"/>
            <w:vAlign w:val="bottom"/>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60" w:type="dxa"/>
            <w:vAlign w:val="bottom"/>
            <w:vMerge w:val="continue"/>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820" w:type="dxa"/>
            <w:vAlign w:val="bottom"/>
            <w:vMerge w:val="continue"/>
            <w:shd w:val="clear" w:color="auto" w:fill="EEEEEE"/>
          </w:tcPr>
          <w:p>
            <w:pPr>
              <w:spacing w:after="0"/>
              <w:rPr>
                <w:sz w:val="14"/>
                <w:szCs w:val="14"/>
                <w:color w:val="auto"/>
              </w:rPr>
            </w:pPr>
          </w:p>
        </w:tc>
        <w:tc>
          <w:tcPr>
            <w:tcW w:w="460" w:type="dxa"/>
            <w:vAlign w:val="bottom"/>
            <w:gridSpan w:val="2"/>
            <w:vMerge w:val="continue"/>
            <w:shd w:val="clear" w:color="auto" w:fill="EEEEEE"/>
          </w:tcPr>
          <w:p>
            <w:pPr>
              <w:spacing w:after="0"/>
              <w:rPr>
                <w:sz w:val="14"/>
                <w:szCs w:val="14"/>
                <w:color w:val="auto"/>
              </w:rPr>
            </w:pPr>
          </w:p>
        </w:tc>
        <w:tc>
          <w:tcPr>
            <w:tcW w:w="220" w:type="dxa"/>
            <w:vAlign w:val="bottom"/>
            <w:vMerge w:val="continue"/>
            <w:shd w:val="clear" w:color="auto" w:fill="EEEEEE"/>
          </w:tcPr>
          <w:p>
            <w:pPr>
              <w:spacing w:after="0"/>
              <w:rPr>
                <w:sz w:val="14"/>
                <w:szCs w:val="14"/>
                <w:color w:val="auto"/>
              </w:rPr>
            </w:pPr>
          </w:p>
        </w:tc>
        <w:tc>
          <w:tcPr>
            <w:tcW w:w="1040" w:type="dxa"/>
            <w:vAlign w:val="bottom"/>
            <w:gridSpan w:val="2"/>
            <w:vMerge w:val="continue"/>
            <w:shd w:val="clear" w:color="auto" w:fill="EEEEEE"/>
          </w:tcPr>
          <w:p>
            <w:pPr>
              <w:spacing w:after="0"/>
              <w:rPr>
                <w:sz w:val="14"/>
                <w:szCs w:val="14"/>
                <w:color w:val="auto"/>
              </w:rPr>
            </w:pPr>
          </w:p>
        </w:tc>
        <w:tc>
          <w:tcPr>
            <w:tcW w:w="160" w:type="dxa"/>
            <w:vAlign w:val="bottom"/>
            <w:vMerge w:val="continue"/>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60" w:type="dxa"/>
            <w:vAlign w:val="bottom"/>
            <w:vMerge w:val="continue"/>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260" w:type="dxa"/>
            <w:vAlign w:val="bottom"/>
            <w:gridSpan w:val="2"/>
            <w:vMerge w:val="continue"/>
            <w:shd w:val="clear" w:color="auto" w:fill="EEEEEE"/>
          </w:tcPr>
          <w:p>
            <w:pPr>
              <w:spacing w:after="0"/>
              <w:rPr>
                <w:sz w:val="14"/>
                <w:szCs w:val="14"/>
                <w:color w:val="auto"/>
              </w:rPr>
            </w:pPr>
          </w:p>
        </w:tc>
        <w:tc>
          <w:tcPr>
            <w:tcW w:w="380" w:type="dxa"/>
            <w:vAlign w:val="bottom"/>
            <w:gridSpan w:val="2"/>
            <w:vMerge w:val="continue"/>
            <w:shd w:val="clear" w:color="auto" w:fill="EEEEEE"/>
          </w:tcPr>
          <w:p>
            <w:pPr>
              <w:spacing w:after="0"/>
              <w:rPr>
                <w:sz w:val="14"/>
                <w:szCs w:val="14"/>
                <w:color w:val="auto"/>
              </w:rPr>
            </w:pPr>
          </w:p>
        </w:tc>
        <w:tc>
          <w:tcPr>
            <w:tcW w:w="80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4,932</w:t>
            </w: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4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4,932</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4,719</w:t>
            </w:r>
          </w:p>
        </w:tc>
        <w:tc>
          <w:tcPr>
            <w:tcW w:w="16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4,719</w:t>
            </w:r>
          </w:p>
        </w:tc>
        <w:tc>
          <w:tcPr>
            <w:tcW w:w="0" w:type="dxa"/>
            <w:vAlign w:val="bottom"/>
          </w:tcPr>
          <w:p>
            <w:pPr>
              <w:spacing w:after="0"/>
              <w:rPr>
                <w:sz w:val="1"/>
                <w:szCs w:val="1"/>
                <w:color w:val="auto"/>
              </w:rPr>
            </w:pPr>
          </w:p>
        </w:tc>
      </w:tr>
      <w:tr>
        <w:trPr>
          <w:trHeight w:val="162"/>
        </w:trPr>
        <w:tc>
          <w:tcPr>
            <w:tcW w:w="162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60" w:type="dxa"/>
            <w:vAlign w:val="bottom"/>
            <w:shd w:val="clear" w:color="auto" w:fill="EEEEEE"/>
          </w:tcPr>
          <w:p>
            <w:pPr>
              <w:spacing w:after="0"/>
              <w:rPr>
                <w:sz w:val="14"/>
                <w:szCs w:val="14"/>
                <w:color w:val="auto"/>
              </w:rPr>
            </w:pP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EEEEEE"/>
          </w:tcPr>
          <w:p>
            <w:pPr>
              <w:spacing w:after="0"/>
              <w:rPr>
                <w:sz w:val="14"/>
                <w:szCs w:val="14"/>
                <w:color w:val="auto"/>
              </w:rPr>
            </w:pPr>
          </w:p>
        </w:tc>
        <w:tc>
          <w:tcPr>
            <w:tcW w:w="4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EEEEE"/>
          </w:tcPr>
          <w:p>
            <w:pPr>
              <w:spacing w:after="0"/>
              <w:rPr>
                <w:sz w:val="14"/>
                <w:szCs w:val="14"/>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3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7,886</w:t>
            </w:r>
          </w:p>
        </w:tc>
        <w:tc>
          <w:tcPr>
            <w:tcW w:w="16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800" w:type="dxa"/>
            <w:vAlign w:val="bottom"/>
            <w:shd w:val="clear" w:color="auto" w:fill="EEEEEE"/>
          </w:tcPr>
          <w:p>
            <w:pPr>
              <w:spacing w:after="0"/>
              <w:rPr>
                <w:sz w:val="14"/>
                <w:szCs w:val="14"/>
                <w:color w:val="auto"/>
              </w:rPr>
            </w:pPr>
          </w:p>
        </w:tc>
        <w:tc>
          <w:tcPr>
            <w:tcW w:w="2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7,886</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EEEEEE"/>
            </w:tcBorders>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47,268</w:t>
            </w:r>
          </w:p>
        </w:tc>
        <w:tc>
          <w:tcPr>
            <w:tcW w:w="360" w:type="dxa"/>
            <w:vAlign w:val="bottom"/>
            <w:tcBorders>
              <w:bottom w:val="single" w:sz="8" w:color="EEEEEE"/>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EEEEEE"/>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47,268</w:t>
            </w:r>
          </w:p>
        </w:tc>
        <w:tc>
          <w:tcPr>
            <w:tcW w:w="320" w:type="dxa"/>
            <w:vAlign w:val="bottom"/>
            <w:tcBorders>
              <w:bottom w:val="single" w:sz="8" w:color="EEEEEE"/>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40,679</w:t>
            </w:r>
          </w:p>
        </w:tc>
        <w:tc>
          <w:tcPr>
            <w:tcW w:w="320" w:type="dxa"/>
            <w:vAlign w:val="bottom"/>
            <w:tcBorders>
              <w:bottom w:val="single" w:sz="8" w:color="EEEEEE"/>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40,679</w:t>
            </w: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620" w:type="dxa"/>
            <w:vAlign w:val="bottom"/>
            <w:shd w:val="clear" w:color="auto" w:fill="EEEEEE"/>
          </w:tcPr>
          <w:p>
            <w:pPr>
              <w:spacing w:after="0" w:line="129" w:lineRule="exact"/>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Bank acceptance</w:t>
            </w:r>
          </w:p>
        </w:tc>
        <w:tc>
          <w:tcPr>
            <w:tcW w:w="160" w:type="dxa"/>
            <w:vAlign w:val="bottom"/>
          </w:tcPr>
          <w:p>
            <w:pPr>
              <w:spacing w:after="0"/>
              <w:rPr>
                <w:sz w:val="10"/>
                <w:szCs w:val="10"/>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2,435</w:t>
            </w:r>
          </w:p>
        </w:tc>
        <w:tc>
          <w:tcPr>
            <w:tcW w:w="820" w:type="dxa"/>
            <w:vAlign w:val="bottom"/>
          </w:tcPr>
          <w:p>
            <w:pPr>
              <w:spacing w:after="0"/>
              <w:rPr>
                <w:sz w:val="10"/>
                <w:szCs w:val="10"/>
                <w:color w:val="auto"/>
              </w:rPr>
            </w:pP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2,435</w:t>
            </w:r>
          </w:p>
        </w:tc>
        <w:tc>
          <w:tcPr>
            <w:tcW w:w="160" w:type="dxa"/>
            <w:vAlign w:val="bottom"/>
          </w:tcPr>
          <w:p>
            <w:pPr>
              <w:spacing w:after="0"/>
              <w:rPr>
                <w:sz w:val="10"/>
                <w:szCs w:val="10"/>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2,998</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71"/>
        </w:trPr>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payable</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bottom w:val="single" w:sz="8" w:color="auto"/>
            </w:tcBorders>
            <w:shd w:val="clear" w:color="auto" w:fill="EEEEEE"/>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2,435</w:t>
            </w:r>
          </w:p>
        </w:tc>
        <w:tc>
          <w:tcPr>
            <w:tcW w:w="340" w:type="dxa"/>
            <w:vAlign w:val="bottom"/>
            <w:tcBorders>
              <w:top w:val="single" w:sz="8" w:color="EEEEEE"/>
              <w:bottom w:val="single" w:sz="8" w:color="EEEEEE"/>
            </w:tcBorders>
            <w:shd w:val="clear" w:color="auto" w:fill="EEEEEE"/>
          </w:tcPr>
          <w:p>
            <w:pPr>
              <w:spacing w:after="0"/>
              <w:rPr>
                <w:sz w:val="13"/>
                <w:szCs w:val="13"/>
                <w:color w:val="auto"/>
              </w:rPr>
            </w:pPr>
          </w:p>
        </w:tc>
        <w:tc>
          <w:tcPr>
            <w:tcW w:w="820" w:type="dxa"/>
            <w:vAlign w:val="bottom"/>
            <w:tcBorders>
              <w:top w:val="single" w:sz="8" w:color="auto"/>
              <w:bottom w:val="single" w:sz="8" w:color="auto"/>
            </w:tcBorders>
            <w:shd w:val="clear" w:color="auto" w:fill="EEEEEE"/>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shd w:val="clear" w:color="auto" w:fill="EEEEEE"/>
          </w:tcPr>
          <w:p>
            <w:pPr>
              <w:ind w:left="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auto"/>
              <w:bottom w:val="single" w:sz="8" w:color="auto"/>
            </w:tcBorders>
            <w:shd w:val="clear" w:color="auto" w:fill="EEEEEE"/>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2,435</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2,998</w:t>
            </w: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800" w:type="dxa"/>
            <w:vAlign w:val="bottom"/>
            <w:tcBorders>
              <w:top w:val="single" w:sz="8" w:color="auto"/>
              <w:bottom w:val="single" w:sz="8" w:color="auto"/>
            </w:tcBorders>
            <w:shd w:val="clear" w:color="auto" w:fill="EEEEEE"/>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EEEEEE"/>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auto"/>
              <w:bottom w:val="single" w:sz="8" w:color="auto"/>
            </w:tcBorders>
            <w:shd w:val="clear" w:color="auto" w:fill="EEEEEE"/>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2,998</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9" w:name="page10"/>
    <w:bookmarkEnd w:id="9"/>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of the term loans approximate fair value due to the variable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and restricted stock units/awards outstanding during the period.</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income (loss) per share for the periods indicated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1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3"/>
                <w:szCs w:val="23"/>
                <w:color w:val="auto"/>
              </w:rPr>
            </w:pPr>
          </w:p>
        </w:tc>
        <w:tc>
          <w:tcPr>
            <w:tcW w:w="3020" w:type="dxa"/>
            <w:vAlign w:val="bottom"/>
            <w:gridSpan w:val="5"/>
          </w:tcPr>
          <w:p>
            <w:pPr>
              <w:ind w:left="220"/>
              <w:spacing w:after="0"/>
              <w:rPr>
                <w:sz w:val="20"/>
                <w:szCs w:val="20"/>
                <w:color w:val="auto"/>
              </w:rPr>
            </w:pPr>
            <w:r>
              <w:rPr>
                <w:rFonts w:ascii="Times New Roman" w:cs="Times New Roman" w:eastAsia="Times New Roman" w:hAnsi="Times New Roman"/>
                <w:sz w:val="22"/>
                <w:szCs w:val="22"/>
                <w:b w:val="1"/>
                <w:bCs w:val="1"/>
                <w:color w:val="auto"/>
              </w:rPr>
              <w:t>Six months ended June 30,</w:t>
            </w:r>
          </w:p>
        </w:tc>
        <w:tc>
          <w:tcPr>
            <w:tcW w:w="0" w:type="dxa"/>
            <w:vAlign w:val="bottom"/>
          </w:tcPr>
          <w:p>
            <w:pPr>
              <w:spacing w:after="0"/>
              <w:rPr>
                <w:sz w:val="1"/>
                <w:szCs w:val="1"/>
                <w:color w:val="auto"/>
              </w:rPr>
            </w:pPr>
          </w:p>
        </w:tc>
      </w:tr>
      <w:tr>
        <w:trPr>
          <w:trHeight w:val="223"/>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6,089</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to compute net income (loss) per</w:t>
            </w:r>
          </w:p>
        </w:tc>
        <w:tc>
          <w:tcPr>
            <w:tcW w:w="2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24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17,091</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14,936</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14,891</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Effective of dilutive securities</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17,455</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15,872</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16,015</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income (loss) per share as their effect would have been anti-dilutive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76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1760" w:type="dxa"/>
            <w:vAlign w:val="bottom"/>
            <w:gridSpan w:val="3"/>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898</w:t>
            </w:r>
          </w:p>
        </w:tc>
        <w:tc>
          <w:tcPr>
            <w:tcW w:w="1460" w:type="dxa"/>
            <w:vAlign w:val="bottom"/>
            <w:gridSpan w:val="2"/>
            <w:shd w:val="clear" w:color="auto" w:fill="EEEEEE"/>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units/awards</w:t>
            </w:r>
          </w:p>
        </w:tc>
        <w:tc>
          <w:tcPr>
            <w:tcW w:w="1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9"/>
                <w:szCs w:val="19"/>
                <w:color w:val="auto"/>
              </w:rPr>
            </w:pPr>
          </w:p>
        </w:tc>
        <w:tc>
          <w:tcPr>
            <w:tcW w:w="14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for the periods indicated (in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2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ind w:right="43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 and sub-assemblies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28,899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30,766</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12,518</w:t>
            </w:r>
          </w:p>
        </w:tc>
        <w:tc>
          <w:tcPr>
            <w:tcW w:w="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13,232</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59,833</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lower of cost or market adjustment expensed for inventory for the three months ended June 30, 2016 and 2015 was $1.5 million and $0.7 million, respectively. The lower of cost or market adjustment expensed for inventory for the six months ended June 30, 2016 and 2015 was $1.8 million and $1.3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&amp;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20" w:type="dxa"/>
            <w:vAlign w:val="bottom"/>
          </w:tcPr>
          <w:p>
            <w:pPr>
              <w:spacing w:after="0"/>
              <w:rPr>
                <w:sz w:val="20"/>
                <w:szCs w:val="20"/>
                <w:color w:val="auto"/>
              </w:rPr>
            </w:pP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80" w:type="dxa"/>
            <w:vAlign w:val="bottom"/>
            <w:tcBorders>
              <w:top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ind w:right="39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62,418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27,255</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102,018</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88,882</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4,014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6,262</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5,615</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8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175,821</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125,331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(43,427)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(37,970)</w:t>
            </w:r>
          </w:p>
        </w:tc>
      </w:tr>
      <w:tr>
        <w:trPr>
          <w:trHeight w:val="210"/>
        </w:trPr>
        <w:tc>
          <w:tcPr>
            <w:tcW w:w="77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132,394</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87,361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3,333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21,237</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1,101</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136,828</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2016 and 2015, depreciation expense of property, plant and equipment was $3.3 million and $2.3 million, respectively. For the six months ended June 30, 2016 and 2015, depreciation expense of property, plant and equipment was $6.2 million and $4.1 million, respectively.</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Included in the depreciation expense was $2.0 million and $1.3 million recorded as cost of sales for the three months ended June 30, 2016 and 2015, respectively. Included in the depreciation expense was $3.9 million and $2.4 million recorded as cost of sales for the six months ended June 30, 2016 and 2015,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2016 and December 31, 2015, there was $0 and $0.1 million of capitalized interest recorded in construction in progress,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Intangible assets consisted of the following for the periods indicated (in thousands):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6"/>
                <w:szCs w:val="16"/>
                <w:color w:val="auto"/>
              </w:rPr>
            </w:pPr>
          </w:p>
        </w:tc>
        <w:tc>
          <w:tcPr>
            <w:tcW w:w="11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6"/>
                <w:szCs w:val="16"/>
                <w:color w:val="auto"/>
              </w:rPr>
            </w:pPr>
          </w:p>
        </w:tc>
      </w:tr>
      <w:tr>
        <w:trPr>
          <w:trHeight w:val="238"/>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assets, net</w:t>
            </w:r>
          </w:p>
        </w:tc>
      </w:tr>
      <w:tr>
        <w:trPr>
          <w:trHeight w:val="210"/>
        </w:trPr>
        <w:tc>
          <w:tcPr>
            <w:tcW w:w="65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Borders>
              <w:top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5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top w:val="single" w:sz="8" w:color="auto"/>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6"/>
                <w:szCs w:val="16"/>
                <w:color w:val="auto"/>
              </w:rPr>
            </w:pPr>
          </w:p>
        </w:tc>
        <w:tc>
          <w:tcPr>
            <w:tcW w:w="11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6"/>
                <w:szCs w:val="16"/>
                <w:color w:val="auto"/>
              </w:rPr>
            </w:pPr>
          </w:p>
        </w:tc>
      </w:tr>
      <w:tr>
        <w:trPr>
          <w:trHeight w:val="238"/>
        </w:trPr>
        <w:tc>
          <w:tcPr>
            <w:tcW w:w="6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assets, net</w:t>
            </w:r>
          </w:p>
        </w:tc>
      </w:tr>
      <w:tr>
        <w:trPr>
          <w:trHeight w:val="210"/>
        </w:trPr>
        <w:tc>
          <w:tcPr>
            <w:tcW w:w="65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180" w:type="dxa"/>
            <w:vAlign w:val="bottom"/>
            <w:tcBorders>
              <w:top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5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top w:val="single" w:sz="8" w:color="auto"/>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2016 and 2015, amortization expense for intangible assets, included in general and administrative expenses on the income statement, was $112,000 and $102,000, respectively. For the six months ended June 30, 2016 and 2015, amortization expense for intangible assets, included in general and administrative expenses on the income statement, was $222,000 and $201,000,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remaining weighted average amortization period for intangible assets is approximately 9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178"/>
        </w:trPr>
        <w:tc>
          <w:tcPr>
            <w:tcW w:w="7540" w:type="dxa"/>
            <w:vAlign w:val="bottom"/>
            <w:tcBorders>
              <w:top w:val="single" w:sz="8" w:color="EEEEEE"/>
            </w:tcBorders>
            <w:shd w:val="clear" w:color="auto" w:fill="EEEEEE"/>
          </w:tcPr>
          <w:p>
            <w:pPr>
              <w:spacing w:after="0" w:line="178" w:lineRule="exact"/>
              <w:rPr>
                <w:sz w:val="20"/>
                <w:szCs w:val="20"/>
                <w:color w:val="auto"/>
              </w:rPr>
            </w:pPr>
            <w:r>
              <w:rPr>
                <w:rFonts w:ascii="Times New Roman" w:cs="Times New Roman" w:eastAsia="Times New Roman" w:hAnsi="Times New Roman"/>
                <w:sz w:val="18"/>
                <w:szCs w:val="18"/>
                <w:color w:val="auto"/>
              </w:rPr>
              <w:t>Revolving line of credit with a U.S. bank up to $40,000 with interest at LIBOR plus 2%, maturing</w:t>
            </w:r>
          </w:p>
        </w:tc>
        <w:tc>
          <w:tcPr>
            <w:tcW w:w="260" w:type="dxa"/>
            <w:vAlign w:val="bottom"/>
            <w:tcBorders>
              <w:top w:val="single" w:sz="8" w:color="auto"/>
            </w:tcBorders>
            <w:shd w:val="clear" w:color="auto" w:fill="EEEEEE"/>
          </w:tcPr>
          <w:p>
            <w:pPr>
              <w:spacing w:after="0"/>
              <w:rPr>
                <w:sz w:val="15"/>
                <w:szCs w:val="15"/>
                <w:color w:val="auto"/>
              </w:rPr>
            </w:pPr>
          </w:p>
        </w:tc>
        <w:tc>
          <w:tcPr>
            <w:tcW w:w="14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auto"/>
            </w:tcBorders>
            <w:shd w:val="clear" w:color="auto" w:fill="EEEEEE"/>
          </w:tcPr>
          <w:p>
            <w:pPr>
              <w:spacing w:after="0"/>
              <w:rPr>
                <w:sz w:val="15"/>
                <w:szCs w:val="15"/>
                <w:color w:val="auto"/>
              </w:rPr>
            </w:pPr>
          </w:p>
        </w:tc>
        <w:tc>
          <w:tcPr>
            <w:tcW w:w="1580" w:type="dxa"/>
            <w:vAlign w:val="bottom"/>
            <w:tcBorders>
              <w:top w:val="single" w:sz="8" w:color="auto"/>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80" w:type="dxa"/>
            <w:vAlign w:val="bottom"/>
            <w:tcBorders>
              <w:top w:val="single" w:sz="8" w:color="EEEEEE"/>
            </w:tcBorders>
            <w:shd w:val="clear" w:color="auto" w:fill="EEEEEE"/>
          </w:tcPr>
          <w:p>
            <w:pPr>
              <w:spacing w:after="0"/>
              <w:rPr>
                <w:sz w:val="15"/>
                <w:szCs w:val="15"/>
                <w:color w:val="auto"/>
              </w:rPr>
            </w:pPr>
          </w:p>
        </w:tc>
      </w:tr>
      <w:tr>
        <w:trPr>
          <w:trHeight w:val="234"/>
        </w:trPr>
        <w:tc>
          <w:tcPr>
            <w:tcW w:w="75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June 30, 2018</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shd w:val="clear" w:color="auto" w:fill="EEEEEE"/>
          </w:tcPr>
          <w:p>
            <w:pPr>
              <w:spacing w:after="0"/>
              <w:rPr>
                <w:sz w:val="20"/>
                <w:szCs w:val="20"/>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LIBOR plus 2%,</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maturing July 31, 2019</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4,150</w:t>
            </w:r>
          </w:p>
        </w:tc>
        <w:tc>
          <w:tcPr>
            <w:tcW w:w="80" w:type="dxa"/>
            <w:vAlign w:val="bottom"/>
          </w:tcPr>
          <w:p>
            <w:pPr>
              <w:spacing w:after="0"/>
              <w:rPr>
                <w:sz w:val="20"/>
                <w:szCs w:val="20"/>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LIBOR plus 2%,</w:t>
            </w:r>
          </w:p>
        </w:tc>
        <w:tc>
          <w:tcPr>
            <w:tcW w:w="26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5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maturing June 30, 2020</w:t>
            </w:r>
          </w:p>
        </w:tc>
        <w:tc>
          <w:tcPr>
            <w:tcW w:w="260" w:type="dxa"/>
            <w:vAlign w:val="bottom"/>
            <w:shd w:val="clear" w:color="auto" w:fill="EEEEEE"/>
          </w:tcPr>
          <w:p>
            <w:pPr>
              <w:spacing w:after="0"/>
              <w:rPr>
                <w:sz w:val="20"/>
                <w:szCs w:val="20"/>
                <w:color w:val="auto"/>
              </w:rPr>
            </w:pPr>
          </w:p>
        </w:tc>
        <w:tc>
          <w:tcPr>
            <w:tcW w:w="18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EEEEEE"/>
          </w:tcPr>
          <w:p>
            <w:pPr>
              <w:spacing w:after="0"/>
              <w:rPr>
                <w:sz w:val="20"/>
                <w:szCs w:val="20"/>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Construction loan with a U.S. bank with monthly payments of principal and interest at LIBOR plus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 maturing January 26, 2022</w:t>
            </w:r>
          </w:p>
        </w:tc>
        <w:tc>
          <w:tcPr>
            <w:tcW w:w="26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8,588</w:t>
            </w:r>
          </w:p>
        </w:tc>
        <w:tc>
          <w:tcPr>
            <w:tcW w:w="80" w:type="dxa"/>
            <w:vAlign w:val="bottom"/>
          </w:tcPr>
          <w:p>
            <w:pPr>
              <w:spacing w:after="0"/>
              <w:rPr>
                <w:sz w:val="20"/>
                <w:szCs w:val="20"/>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$10,333 with interest based on the bank's</w:t>
            </w:r>
          </w:p>
        </w:tc>
        <w:tc>
          <w:tcPr>
            <w:tcW w:w="26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5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corporate interest rate index plus 1.5%, or 1.70% maturing on November 30, 2016</w:t>
            </w:r>
          </w:p>
        </w:tc>
        <w:tc>
          <w:tcPr>
            <w:tcW w:w="260" w:type="dxa"/>
            <w:vAlign w:val="bottom"/>
            <w:shd w:val="clear" w:color="auto" w:fill="EEEEEE"/>
          </w:tcPr>
          <w:p>
            <w:pPr>
              <w:spacing w:after="0"/>
              <w:rPr>
                <w:sz w:val="20"/>
                <w:szCs w:val="20"/>
                <w:color w:val="auto"/>
              </w:rPr>
            </w:pPr>
          </w:p>
        </w:tc>
        <w:tc>
          <w:tcPr>
            <w:tcW w:w="18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shd w:val="clear" w:color="auto" w:fill="EEEEEE"/>
          </w:tcPr>
          <w:p>
            <w:pPr>
              <w:spacing w:after="0"/>
              <w:rPr>
                <w:sz w:val="20"/>
                <w:szCs w:val="20"/>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$6,600 with interest at Taiwan deposit index plus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0.41% or LIBOR plus 1.7% maturing on February 6, 2017</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4,475</w:t>
            </w:r>
          </w:p>
        </w:tc>
        <w:tc>
          <w:tcPr>
            <w:tcW w:w="80" w:type="dxa"/>
            <w:vAlign w:val="bottom"/>
          </w:tcPr>
          <w:p>
            <w:pPr>
              <w:spacing w:after="0"/>
              <w:rPr>
                <w:sz w:val="20"/>
                <w:szCs w:val="20"/>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$6,000 with interest at Taiwan Time Deposit</w:t>
            </w:r>
          </w:p>
        </w:tc>
        <w:tc>
          <w:tcPr>
            <w:tcW w:w="26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5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Interest Rate Index plus 1% or LIBOR plus 1% maturing on November 27, 2016</w:t>
            </w:r>
          </w:p>
        </w:tc>
        <w:tc>
          <w:tcPr>
            <w:tcW w:w="260" w:type="dxa"/>
            <w:vAlign w:val="bottom"/>
            <w:shd w:val="clear" w:color="auto" w:fill="EEEEEE"/>
          </w:tcPr>
          <w:p>
            <w:pPr>
              <w:spacing w:after="0"/>
              <w:rPr>
                <w:sz w:val="20"/>
                <w:szCs w:val="20"/>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shd w:val="clear" w:color="auto" w:fill="EEEEEE"/>
          </w:tcPr>
          <w:p>
            <w:pPr>
              <w:spacing w:after="0"/>
              <w:rPr>
                <w:sz w:val="20"/>
                <w:szCs w:val="20"/>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the Taiwan branch of a China bank up to $10,000 with interest at</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LIBOR plus 1.5% or Taiwan Interbank Offered Rate plus 0.9% , maturing March 15, 2017</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9,418</w:t>
            </w:r>
          </w:p>
        </w:tc>
        <w:tc>
          <w:tcPr>
            <w:tcW w:w="80" w:type="dxa"/>
            <w:vAlign w:val="bottom"/>
          </w:tcPr>
          <w:p>
            <w:pPr>
              <w:spacing w:after="0"/>
              <w:rPr>
                <w:sz w:val="20"/>
                <w:szCs w:val="20"/>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finance company due in monthly installments with 4.5% interest, maturing May</w:t>
            </w:r>
          </w:p>
        </w:tc>
        <w:tc>
          <w:tcPr>
            <w:tcW w:w="26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5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27, 2018 and June 30, 2018</w:t>
            </w:r>
          </w:p>
        </w:tc>
        <w:tc>
          <w:tcPr>
            <w:tcW w:w="260" w:type="dxa"/>
            <w:vAlign w:val="bottom"/>
            <w:shd w:val="clear" w:color="auto" w:fill="EEEEEE"/>
          </w:tcPr>
          <w:p>
            <w:pPr>
              <w:spacing w:after="0"/>
              <w:rPr>
                <w:sz w:val="20"/>
                <w:szCs w:val="20"/>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4,851</w:t>
            </w:r>
          </w:p>
        </w:tc>
        <w:tc>
          <w:tcPr>
            <w:tcW w:w="80" w:type="dxa"/>
            <w:vAlign w:val="bottom"/>
            <w:shd w:val="clear" w:color="auto" w:fill="EEEEEE"/>
          </w:tcPr>
          <w:p>
            <w:pPr>
              <w:spacing w:after="0"/>
              <w:rPr>
                <w:sz w:val="20"/>
                <w:szCs w:val="20"/>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finance company due in monthly installments with 4% interest, maturing March</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31, 2019</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$13,421 with interest of 3.15% for 3-month term,</w:t>
            </w:r>
          </w:p>
        </w:tc>
        <w:tc>
          <w:tcPr>
            <w:tcW w:w="26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5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maturing between August to September 2016</w:t>
            </w:r>
          </w:p>
        </w:tc>
        <w:tc>
          <w:tcPr>
            <w:tcW w:w="260" w:type="dxa"/>
            <w:vAlign w:val="bottom"/>
            <w:shd w:val="clear" w:color="auto" w:fill="EEEEEE"/>
          </w:tcPr>
          <w:p>
            <w:pPr>
              <w:spacing w:after="0"/>
              <w:rPr>
                <w:sz w:val="20"/>
                <w:szCs w:val="20"/>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shd w:val="clear" w:color="auto" w:fill="EEEEEE"/>
          </w:tcPr>
          <w:p>
            <w:pPr>
              <w:spacing w:after="0"/>
              <w:rPr>
                <w:sz w:val="20"/>
                <w:szCs w:val="20"/>
                <w:color w:val="auto"/>
              </w:rPr>
            </w:pPr>
          </w:p>
        </w:tc>
      </w:tr>
      <w:tr>
        <w:trPr>
          <w:trHeight w:val="210"/>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54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(28,828)</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(30,908)</w:t>
            </w:r>
          </w:p>
        </w:tc>
      </w:tr>
      <w:tr>
        <w:trPr>
          <w:trHeight w:val="223"/>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portion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June 30, 2016. The one-month LIBOR rate was 0.4533% on June 30, 2016.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Maturities of long-term debt are as follows for the future one-year periods ending June 30 (in thousands):</w:t>
      </w:r>
    </w:p>
    <w:p>
      <w:pPr>
        <w:spacing w:after="0" w:line="24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1960" w:type="dxa"/>
            <w:vAlign w:val="bottom"/>
            <w:gridSpan w:val="2"/>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2019</w:t>
            </w:r>
          </w:p>
        </w:tc>
        <w:tc>
          <w:tcPr>
            <w:tcW w:w="1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27,512</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3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2022 thereafter</w:t>
            </w:r>
          </w:p>
        </w:tc>
        <w:tc>
          <w:tcPr>
            <w:tcW w:w="1120" w:type="dxa"/>
            <w:vAlign w:val="bottom"/>
            <w:tcBorders>
              <w:bottom w:val="single" w:sz="8" w:color="EEEEEE"/>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12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36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112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auto"/>
            </w:tcBorders>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84,868</w:t>
            </w:r>
          </w:p>
        </w:tc>
        <w:tc>
          <w:tcPr>
            <w:tcW w:w="12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On June 24, 2016, the Company entered into a First Amendment to its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mature on June 30, 2018, and retains a $10.0 million term loan maturing on June 30, 2020. The First Amendment also provides for an additional $10.0 million equipment term loan with a one year drawdown period commending April 1, 2016, maturing five years from the closing date of the First Amendment. The interest rate on these loans was lowered by the First Amendment from the LIBOR Borrowing Rate plus 2.75% or 3.0% to LIBOR Borrowing Rate plus 2.0%. As of June 30, 2016, $25.9 million was outstanding under the revolving line of credit. As of June 30, 2016, $10.0 million was outstanding under the term loans.</w:t>
      </w:r>
    </w:p>
    <w:p>
      <w:pPr>
        <w:spacing w:after="0" w:line="17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has with East West Bank a term loan of $5.0 million with monthly payments of principal and interest that matures on July 31, 2019. As of June 30, 2016, the outstanding balance was $3.6 million.</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June 24, 2016, the Company executed a Change in Terms Agreement, Notice of Final Agreement and Modification of the Construction Loan Agreement (“Amended Agreements”) to its Construction Loan Agreement with East West Bank for up to $22.0 million dollars to finance the construction of the Company’s campus expansion plan in Sugar Land, Texas, originally dated January 26, 2015. Upon signing the original Construction Loan Agreement, the Company deposited $11.0 million into a restricted bank account for owner’s contribution of construction costs. The Amended Agreements have a fifteen 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is due on August 26, 2016, and will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Construction Loan Agreement, the loan bears interest at an annual rate based on the one-month LIBOR Borrowing Rate plus 2.75%, and the interest rate is reduced to LIBOR Borrowing Rate plus 2.0% under the Amended Agreements. As of June 30, 2016, there was $17.8 million outstanding under this loan agreement and there was zero balance in the restricted bank account.</w:t>
      </w:r>
    </w:p>
    <w:p>
      <w:pPr>
        <w:spacing w:after="0" w:line="19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loan and security agreements with East West Bank and Comerica Bank require the Company to maintain certain financial covenants, including a minimum cash balance, a current ratio, a maximum leverage ratio and a minimum fixed charge coverage ratio. As of June 30, 2016, the Company was in compliance with all covenants contained in these agreements.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February 19, 2016, the Company’s Taiwan branch renewed and increased its credit facility originally dated January 6, 2015 with CTBC Bank Co. Ltd. in Taipei, Taiwan for 320 million New Taiwan dollars, or approximately $10.3 million, one year revolving credit facility. The obligations under the credit facility are unsecured up to $6.3 million; the remaining $4.0 million is available provided that the Company purchases the same amount of secured certificates of deposit with the bank. Borrowings under the credit facility bear interest at a rate based on the bank’s corporate interest rate index plus 1.5% for the unsecured portion of the credit facility and bank’s corporate interest rate index plus 0.93% for the secured portion of the credit facility, adjusted monthly. As of the execution of the credit facility, the bank’s corporate interest rate index is 0.71%. As of June 30, 2016, no balance was outstanding for the secured loan and $0.1 million was outstanding under this unsecured credit facility.</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April 8, 2016, the Company’s Taiwan branch renewed its 90 million New Taiwan dollars, or approximately $2.8 million, and 120 million New Taiwan dollars, or approximately $3.9 million, one year revolving credit facilities, originally dated March 9, 2015, with E. Sun Commercial Bank Co., Ltd. in Taipei, Taiwan. Borrowings under the 90 million New Taiwan dollars credit facility will bear interest at a rate equal to the London Interbank Offered Rate (LIBOR) plus 1.7% divided by 0.946. The Company paid off its 90 million New Taiwan dollars loan as of June 30, 2016. Any future borrowings under the 90 million New Taiwan dollars credit facility are available provided that the Company purchases certificates of deposit in amounts equal to the borrowing from the bank Borrowings under the 120 million New Taiwan dollars credit facility will bear interest at a rate equal to the bank’s personal monthly time deposit interest rate plus 0.480%. As of June 30, 2016, $1.2 million was outstanding under this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December 22, 2015, the Company’s Taiwan branch renewed its $4.0 million credit facility, originally dated December 20, 2013, and entered into a $2.0 million, one year revolving credit facility agreement with Mega International Commercial Bank (“Mega Bank”). Obligations under the $4.0 million credit facility are available provided that the Company purchases certificates of deposit in amounts equal to the borrowing from Mega Bank. Borrowings under the $4.0 million credit facility bear interest at a rate not less than the LIBOR borrowing rate plus 1.0%, divided by 0.946 for U.S. and other currency borrowings; New Taiwan dollars borrowings bear interest at a rate equal to the bank’s base lending rate plus 0.76%. Borrowings under the $2.0 million credit facility bear interest at a rate not less than the LIBOR borrowing rate plus 1.2%, divided by 0.946 for U.S. dollar borrowings; New Taiwan dollars borrowings bear interest at a rate equal to the bank’s base lending rate plus 0.76% but shall not be less than 1.90%; and other currency borrowings shall bear interest at a rate at the bank’s based lending rate plus 1.0%, divided by 0.946. As of June 30, 2016, $2.0 million was outstanding under this unsecured credit facility and no balance was outstanding under the $4.0 million credit facility.</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April 22, 2016, the Company’s Taiwan branch entered into a Comprehensive Credit Line Agreement originally dated April 1, 2015, with the Taipei branch of China Construction Bank, providing a revolving credit line of $10 million, maturing on March 15, 2017. Borrowings under the Comprehensive Credit Line Agreement are secured by a standby letter of credit issued by the China branch of the bank under existing agreements between the bank and our China subsidiary. Borrowings under the Comprehensive Credit Line Agreement reduce the amounts available under the existing credit line between the bank and the Company’s China subsidiary and cannot exceed 97% of the amount of the standby letter of credit issued by the China branch of the bank. Borrowings under the Comprehensive Credit Line Agreement bear interest at a rate negotiated separately for each drawing depending on the nature of the borrowings. As of June 30, 2016, $9.6 million was outstanding under this credit facility with interest rates ranging from 1.87% to 1.99%.</w:t>
      </w:r>
    </w:p>
    <w:p>
      <w:pPr>
        <w:spacing w:after="0" w:line="18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On June 30, 2015, the Company’s Taiwan branch entered into a Purchase and Sale Contract and a Finance Lease Agreement with Chailease Finance Co, Ltd. (“Chailease”) in connection with certain equipment, structured as a sale lease-back transaction. Pursuant to the sale contract, the Company's Taiwan branch sold certain equipment to Chailease for a purchase price of 115,240,903 New Taiwan dollars, approximately $3.7 million, and simultaneously leased the equipment back from Chailease pursuant to the Finance Lease Agreement. The monthly lease payments range from 2,088,804 New Taiwan dollars, approximately $0.1 million, to 2,364,650 New Taiwan dollars, approximately $0.1 million, during the term of the Finance Lease Agreement, including an initial payment in an amount of 40,240,903 New Taiwan dollars, approximately $1.3 million. The Finance Lease Agreement has a three year term, with monthly payments, maturing on May 27 and June 30, 2018 respectively. The title to the equipment will be transferred to the Company’s Taiwan branch upon the expiration of the Finance Lease Agreement. As of June 30, 2016, $3.9 million was outstanding under this Finance Lease Agreement.</w:t>
      </w:r>
    </w:p>
    <w:p>
      <w:pPr>
        <w:spacing w:after="0" w:line="17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approximately $10.1 million, and simultaneously leased the equipment back from Chailease pursuant to the Finance Lease Agreement. The Finance Lease Agreement has a three 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the Company’s Taiwan branch upon the expiration of the Finance Lease Agreement. As of June 30, 2016, $7.1 million was outstanding under this Finance Lease Agreement.</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June 30, 2016, the Company’s Chinese subsidiary had credit facilities with China Construction Bank totaling $13.4 million, which can be drawn in U.S. currency, RMB currency, issuing bank acceptance notes to vendors with different interest rates or issuing standby letters of credit. As of June 30, 2016, the Company’s Chinese subsidiary used $10.0 million of its credit facility and issued standby letters of credit as collateral for the Company’s Taiwan branch line of credit with China Construction Bank. As of June 30, 2016, the Company had a U.S. currency based loan of $3.7 million outstanding under various notes with three-month terms, maturing from August to September 2016 with effective interest rate of 3.15%. The outstanding balances of bank acceptance notes issued to vendors were $2.4 million with zero interest rate as of June 30, 2016.</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2016, the Company had $36.1 million of unused borrowing capacity.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2016, there was $4.9 million of restricted cash, investments or security deposit associated mainly with the loan facilities.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10"/>
        </w:trPr>
        <w:tc>
          <w:tcPr>
            <w:tcW w:w="26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480" w:type="dxa"/>
            <w:vAlign w:val="bottom"/>
            <w:tcBorders>
              <w:top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1,043</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1,756</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construction expenses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w:t>
            </w:r>
          </w:p>
        </w:tc>
      </w:tr>
      <w:tr>
        <w:trPr>
          <w:trHeight w:val="223"/>
        </w:trPr>
        <w:tc>
          <w:tcPr>
            <w:tcW w:w="26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Income and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20" w:type="dxa"/>
            <w:vAlign w:val="bottom"/>
            <w:tcBorders>
              <w:bottom w:val="single" w:sz="8" w:color="EEEEEE"/>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960" w:type="dxa"/>
            <w:vAlign w:val="bottom"/>
            <w:shd w:val="clear" w:color="auto" w:fill="EEEEEE"/>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Realized foreign exchange gain (loss)</w:t>
            </w:r>
          </w:p>
        </w:tc>
        <w:tc>
          <w:tcPr>
            <w:tcW w:w="9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(835)</w:t>
            </w:r>
          </w:p>
        </w:tc>
        <w:tc>
          <w:tcPr>
            <w:tcW w:w="10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(913)</w:t>
            </w:r>
          </w:p>
        </w:tc>
        <w:tc>
          <w:tcPr>
            <w:tcW w:w="9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gain (loss)</w:t>
            </w:r>
          </w:p>
        </w:tc>
        <w:tc>
          <w:tcPr>
            <w:tcW w:w="9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9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00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900" w:type="dxa"/>
            <w:vAlign w:val="bottom"/>
            <w:shd w:val="clear" w:color="auto" w:fill="EEEEEE"/>
          </w:tcPr>
          <w:p>
            <w:pPr>
              <w:spacing w:after="0"/>
              <w:rPr>
                <w:sz w:val="19"/>
                <w:szCs w:val="19"/>
                <w:color w:val="auto"/>
              </w:rPr>
            </w:pPr>
          </w:p>
        </w:tc>
        <w:tc>
          <w:tcPr>
            <w:tcW w:w="5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8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1998 Share Incentive Plan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2000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2004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stock options, restricted stock awards (“RSAs”) and restricted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Exercise</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2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January 1, 2016</w:t>
            </w:r>
          </w:p>
        </w:tc>
        <w:tc>
          <w:tcPr>
            <w:tcW w:w="1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5.20</w:t>
            </w: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June 30, 2016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1,274</w:t>
            </w:r>
          </w:p>
        </w:tc>
        <w:tc>
          <w:tcPr>
            <w:tcW w:w="3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197"/>
        </w:trPr>
        <w:tc>
          <w:tcPr>
            <w:tcW w:w="2880" w:type="dxa"/>
            <w:vAlign w:val="bottom"/>
            <w:tcBorders>
              <w:top w:val="single" w:sz="8" w:color="EEEEEE"/>
              <w:bottom w:val="single" w:sz="8" w:color="EEEEEE"/>
            </w:tcBorders>
            <w:gridSpan w:val="2"/>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Exercisable, June 30, 2016</w:t>
            </w:r>
          </w:p>
        </w:tc>
        <w:tc>
          <w:tcPr>
            <w:tcW w:w="10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880</w:t>
            </w:r>
          </w:p>
        </w:tc>
        <w:tc>
          <w:tcPr>
            <w:tcW w:w="20" w:type="dxa"/>
            <w:vAlign w:val="bottom"/>
            <w:tcBorders>
              <w:top w:val="single" w:sz="8" w:color="EEEEEE"/>
              <w:bottom w:val="single" w:sz="8" w:color="EEEEEE"/>
            </w:tcBorders>
            <w:shd w:val="clear" w:color="auto" w:fill="EEEEEE"/>
          </w:tcPr>
          <w:p>
            <w:pPr>
              <w:spacing w:after="0"/>
              <w:rPr>
                <w:sz w:val="17"/>
                <w:szCs w:val="17"/>
                <w:color w:val="auto"/>
              </w:rPr>
            </w:pP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160" w:type="dxa"/>
            <w:vAlign w:val="bottom"/>
            <w:tcBorders>
              <w:top w:val="single" w:sz="8" w:color="EEEEEE"/>
              <w:bottom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EEEEEE"/>
              <w:bottom w:val="single" w:sz="8" w:color="EEEEEE"/>
            </w:tcBorders>
            <w:gridSpan w:val="2"/>
            <w:shd w:val="clear" w:color="auto" w:fill="EEEEEE"/>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8.76</w:t>
            </w:r>
          </w:p>
        </w:tc>
        <w:tc>
          <w:tcPr>
            <w:tcW w:w="120" w:type="dxa"/>
            <w:vAlign w:val="bottom"/>
            <w:tcBorders>
              <w:top w:val="single" w:sz="8" w:color="EEEEEE"/>
              <w:bottom w:val="single" w:sz="8" w:color="EEEEEE"/>
            </w:tcBorders>
            <w:shd w:val="clear" w:color="auto" w:fill="EEEEEE"/>
          </w:tcPr>
          <w:p>
            <w:pPr>
              <w:spacing w:after="0"/>
              <w:rPr>
                <w:sz w:val="17"/>
                <w:szCs w:val="17"/>
                <w:color w:val="auto"/>
              </w:rPr>
            </w:pPr>
          </w:p>
        </w:tc>
        <w:tc>
          <w:tcPr>
            <w:tcW w:w="1040" w:type="dxa"/>
            <w:vAlign w:val="bottom"/>
            <w:tcBorders>
              <w:top w:val="single" w:sz="8" w:color="EEEEEE"/>
              <w:bottom w:val="single" w:sz="8" w:color="EEEEEE"/>
            </w:tcBorders>
            <w:shd w:val="clear" w:color="auto" w:fill="EEEEEE"/>
          </w:tcPr>
          <w:p>
            <w:pPr>
              <w:spacing w:after="0"/>
              <w:rPr>
                <w:sz w:val="17"/>
                <w:szCs w:val="17"/>
                <w:color w:val="auto"/>
              </w:rPr>
            </w:pP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140" w:type="dxa"/>
            <w:vAlign w:val="bottom"/>
            <w:tcBorders>
              <w:top w:val="single" w:sz="8" w:color="EEEEEE"/>
              <w:bottom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EEEEEE"/>
              <w:bottom w:val="single" w:sz="8" w:color="EEEEEE"/>
            </w:tcBorders>
            <w:gridSpan w:val="2"/>
            <w:shd w:val="clear" w:color="auto" w:fill="EEEEEE"/>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1300" w:type="dxa"/>
            <w:vAlign w:val="bottom"/>
            <w:tcBorders>
              <w:top w:val="single" w:sz="8" w:color="EEEEEE"/>
              <w:bottom w:val="single" w:sz="8" w:color="EEEEEE"/>
            </w:tcBorders>
            <w:gridSpan w:val="2"/>
            <w:shd w:val="clear" w:color="auto" w:fill="EEEEEE"/>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6.550</w:t>
            </w:r>
          </w:p>
        </w:tc>
        <w:tc>
          <w:tcPr>
            <w:tcW w:w="280" w:type="dxa"/>
            <w:vAlign w:val="bottom"/>
            <w:tcBorders>
              <w:top w:val="single" w:sz="8" w:color="EEEEEE"/>
              <w:bottom w:val="single" w:sz="8" w:color="EEEEEE"/>
            </w:tcBorders>
            <w:gridSpan w:val="2"/>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EEEEEE"/>
              <w:bottom w:val="single" w:sz="8" w:color="EEEEEE"/>
            </w:tcBorders>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4.65</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6.728</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line="20" w:lineRule="exact"/>
              <w:rPr>
                <w:sz w:val="1"/>
                <w:szCs w:val="1"/>
                <w:color w:val="auto"/>
              </w:rPr>
            </w:pPr>
          </w:p>
        </w:tc>
      </w:tr>
      <w:tr>
        <w:trPr>
          <w:trHeight w:val="197"/>
        </w:trPr>
        <w:tc>
          <w:tcPr>
            <w:tcW w:w="2880" w:type="dxa"/>
            <w:vAlign w:val="bottom"/>
            <w:gridSpan w:val="2"/>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1,254</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June 30, 2016, there was approximately $1.5 million of unrecognized stock option expense, net of estimated forfeitures, which is expected to be recognized over 1.21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RSU/RSA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Price on Date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1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12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Release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38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7,796</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Released</w:t>
            </w:r>
          </w:p>
        </w:tc>
        <w:tc>
          <w:tcPr>
            <w:tcW w:w="172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7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8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26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300" w:type="dxa"/>
            <w:vAlign w:val="bottom"/>
            <w:tcBorders>
              <w:top w:val="single" w:sz="8" w:color="EEEEEE"/>
              <w:bottom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EEEEEE"/>
              <w:bottom w:val="single" w:sz="8" w:color="EEEEEE"/>
            </w:tcBorders>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June 30, 2016</w:t>
            </w:r>
          </w:p>
        </w:tc>
        <w:tc>
          <w:tcPr>
            <w:tcW w:w="12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EEEEEE"/>
            </w:tcBorders>
            <w:vMerge w:val="continue"/>
          </w:tcPr>
          <w:p>
            <w:pPr>
              <w:spacing w:after="0"/>
              <w:rPr>
                <w:sz w:val="20"/>
                <w:szCs w:val="20"/>
                <w:color w:val="auto"/>
              </w:rPr>
            </w:pPr>
          </w:p>
        </w:tc>
        <w:tc>
          <w:tcPr>
            <w:tcW w:w="120" w:type="dxa"/>
            <w:vAlign w:val="bottom"/>
            <w:tcBorders>
              <w:bottom w:val="single" w:sz="8" w:color="EEEEEE"/>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EEEEEE"/>
            </w:tcBorders>
            <w:vMerge w:val="continue"/>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260" w:type="dxa"/>
            <w:vAlign w:val="bottom"/>
            <w:tcBorders>
              <w:bottom w:val="single" w:sz="8" w:color="EEEEEE"/>
            </w:tcBorders>
          </w:tcPr>
          <w:p>
            <w:pPr>
              <w:spacing w:after="0"/>
              <w:rPr>
                <w:sz w:val="20"/>
                <w:szCs w:val="20"/>
                <w:color w:val="auto"/>
              </w:rPr>
            </w:pPr>
          </w:p>
        </w:tc>
        <w:tc>
          <w:tcPr>
            <w:tcW w:w="180" w:type="dxa"/>
            <w:vAlign w:val="bottom"/>
            <w:tcBorders>
              <w:bottom w:val="single" w:sz="8" w:color="EEEEEE"/>
            </w:tcBorders>
          </w:tcPr>
          <w:p>
            <w:pPr>
              <w:spacing w:after="0"/>
              <w:rPr>
                <w:sz w:val="20"/>
                <w:szCs w:val="20"/>
                <w:color w:val="auto"/>
              </w:rPr>
            </w:pPr>
          </w:p>
        </w:tc>
        <w:tc>
          <w:tcPr>
            <w:tcW w:w="300" w:type="dxa"/>
            <w:vAlign w:val="bottom"/>
            <w:tcBorders>
              <w:bottom w:val="single" w:sz="8" w:color="EEEEEE"/>
            </w:tcBorders>
            <w:gridSpan w:val="2"/>
            <w:vMerge w:val="continue"/>
          </w:tcPr>
          <w:p>
            <w:pPr>
              <w:spacing w:after="0"/>
              <w:rPr>
                <w:sz w:val="20"/>
                <w:szCs w:val="20"/>
                <w:color w:val="auto"/>
              </w:rPr>
            </w:pPr>
          </w:p>
        </w:tc>
        <w:tc>
          <w:tcPr>
            <w:tcW w:w="1560" w:type="dxa"/>
            <w:vAlign w:val="bottom"/>
            <w:tcBorders>
              <w:bottom w:val="single" w:sz="8" w:color="EEEEEE"/>
            </w:tcBorders>
            <w:gridSpan w:val="2"/>
            <w:vMerge w:val="continue"/>
          </w:tcPr>
          <w:p>
            <w:pPr>
              <w:spacing w:after="0"/>
              <w:rPr>
                <w:sz w:val="20"/>
                <w:szCs w:val="20"/>
                <w:color w:val="auto"/>
              </w:rPr>
            </w:pPr>
          </w:p>
        </w:tc>
        <w:tc>
          <w:tcPr>
            <w:tcW w:w="100" w:type="dxa"/>
            <w:vAlign w:val="bottom"/>
            <w:tcBorders>
              <w:bottom w:val="single" w:sz="8" w:color="EEEEEE"/>
            </w:tcBorders>
            <w:vMerge w:val="continue"/>
          </w:tcPr>
          <w:p>
            <w:pPr>
              <w:spacing w:after="0"/>
              <w:rPr>
                <w:sz w:val="20"/>
                <w:szCs w:val="20"/>
                <w:color w:val="auto"/>
              </w:rPr>
            </w:pPr>
          </w:p>
        </w:tc>
        <w:tc>
          <w:tcPr>
            <w:tcW w:w="1360" w:type="dxa"/>
            <w:vAlign w:val="bottom"/>
            <w:tcBorders>
              <w:bottom w:val="single" w:sz="8" w:color="EEEEEE"/>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20" w:type="dxa"/>
            <w:vAlign w:val="bottom"/>
            <w:tcBorders>
              <w:bottom w:val="single" w:sz="8" w:color="EEEEEE"/>
            </w:tcBorders>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20" w:type="dxa"/>
            <w:vAlign w:val="bottom"/>
            <w:tcBorders>
              <w:bottom w:val="single" w:sz="8" w:color="EEEEEE"/>
            </w:tcBorders>
            <w:shd w:val="clear" w:color="auto" w:fill="EEEEEE"/>
          </w:tcPr>
          <w:p>
            <w:pPr>
              <w:spacing w:after="0"/>
              <w:rPr>
                <w:sz w:val="17"/>
                <w:szCs w:val="17"/>
                <w:color w:val="auto"/>
              </w:rPr>
            </w:pPr>
          </w:p>
        </w:tc>
        <w:tc>
          <w:tcPr>
            <w:tcW w:w="126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572</w:t>
            </w:r>
          </w:p>
        </w:tc>
        <w:tc>
          <w:tcPr>
            <w:tcW w:w="3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2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EEEEEE"/>
            </w:tcBorders>
            <w:gridSpan w:val="2"/>
            <w:shd w:val="clear" w:color="auto" w:fill="EEEEEE"/>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bottom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6,379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June 30, 2016, there was $7.6 million of unrecognized compensation expense related to these RSUs and RSAs. This expense is expected to be recognized over 3.34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shd w:val="clear" w:color="auto" w:fill="EEEEEE"/>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gridSpan w:val="2"/>
            <w:shd w:val="clear" w:color="auto" w:fill="EEEEEE"/>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w:t>
            </w:r>
          </w:p>
        </w:tc>
        <w:tc>
          <w:tcPr>
            <w:tcW w:w="10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9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677</w:t>
            </w:r>
          </w:p>
        </w:tc>
        <w:tc>
          <w:tcPr>
            <w:tcW w:w="10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1,257</w:t>
            </w:r>
          </w:p>
        </w:tc>
        <w:tc>
          <w:tcPr>
            <w:tcW w:w="9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 - by award type</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Employee stock options</w:t>
            </w:r>
          </w:p>
        </w:tc>
        <w:tc>
          <w:tcPr>
            <w:tcW w:w="980" w:type="dxa"/>
            <w:vAlign w:val="bottom"/>
            <w:shd w:val="clear" w:color="auto" w:fill="EEEEEE"/>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359</w:t>
            </w:r>
          </w:p>
        </w:tc>
        <w:tc>
          <w:tcPr>
            <w:tcW w:w="1040" w:type="dxa"/>
            <w:vAlign w:val="bottom"/>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46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737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stock units/awards</w:t>
            </w:r>
          </w:p>
        </w:tc>
        <w:tc>
          <w:tcPr>
            <w:tcW w:w="9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616</w:t>
            </w:r>
          </w:p>
        </w:tc>
        <w:tc>
          <w:tcPr>
            <w:tcW w:w="10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1,046</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up to 5,000,000 shares of preferred stock under the Company’s Amended and Restated Certificate of Incorporation.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June 3, 2015, the Company filed a Securities Registration Statement on Form S-3 (the “Form S-3”) with the Securities and Exchange Commission effective June 23, 2015, providing for the public offer and sale of certain securities of the Company from time to time, at its discretion, up to an aggregate amount of $140 million. In connection with the Company’s Form S-3, the Company entered into an Equity Distribution Agreement with Raymond James &amp; Associates, Inc. (the “sales agent”) pursuant to which the Company may issue and sell shares of the Company’s stock having an aggregate offering price of up to $40 million (the “ATM Offering”) from time to time through the sales agent. On July 16, 2015, the Company commenced sales of common stock through the ATM Offering, and as of June 30, 2016, the Company has sold 1.9 million shares under the ATM Offering at a weighted average price of $21.54 per share, providing proceeds of $38.6 million, net of expenses and underwriting discounts and commissions.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Geographic Information</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6" w:lineRule="exact"/>
        <w:rPr>
          <w:sz w:val="20"/>
          <w:szCs w:val="20"/>
          <w:color w:val="auto"/>
        </w:rPr>
      </w:pPr>
    </w:p>
    <w:p>
      <w:pPr>
        <w:jc w:val="both"/>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shd w:val="clear" w:color="auto" w:fill="EEEEEE"/>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6"/>
              </w:rPr>
              <w:t>18,018</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10,960</w:t>
            </w:r>
          </w:p>
        </w:tc>
        <w:tc>
          <w:tcPr>
            <w:tcW w:w="46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41,257</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18,254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Taiwan</w:t>
            </w:r>
          </w:p>
        </w:tc>
        <w:tc>
          <w:tcPr>
            <w:tcW w:w="8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28,470</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32,908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52,288</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8,766</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5,764</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12,131</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10,363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55,254</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105,676</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gridSpan w:val="7"/>
          </w:tcPr>
          <w:p>
            <w:pPr>
              <w:ind w:left="680"/>
              <w:spacing w:after="0"/>
              <w:rPr>
                <w:sz w:val="20"/>
                <w:szCs w:val="20"/>
                <w:color w:val="auto"/>
              </w:rPr>
            </w:pPr>
            <w:r>
              <w:rPr>
                <w:rFonts w:ascii="Times New Roman" w:cs="Times New Roman" w:eastAsia="Times New Roman" w:hAnsi="Times New Roman"/>
                <w:sz w:val="18"/>
                <w:szCs w:val="18"/>
                <w:b w:val="1"/>
                <w:bCs w:val="1"/>
                <w:color w:val="auto"/>
              </w:rPr>
              <w:t>As of the period ended</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61,594</w:t>
            </w:r>
          </w:p>
        </w:tc>
        <w:tc>
          <w:tcPr>
            <w:tcW w:w="200" w:type="dxa"/>
            <w:vAlign w:val="bottom"/>
            <w:gridSpan w:val="2"/>
            <w:shd w:val="clear" w:color="auto" w:fill="EEEEEE"/>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44,280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Taiwan</w:t>
            </w:r>
          </w:p>
        </w:tc>
        <w:tc>
          <w:tcPr>
            <w:tcW w:w="30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48,907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31,114</w:t>
            </w:r>
          </w:p>
        </w:tc>
        <w:tc>
          <w:tcPr>
            <w:tcW w:w="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141,615</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July 31, 2016, the Company contributed to its wholly-owned subsidiary Prime World International Holdings, Ltd. (incorporated in the British Virgin Islands), Company’s business assets, liabilities and contracts relating to the Taiwan branch. The business assets include all tangible and intangible assets, account receivable, properties, and rights used by the Company to carry out the operation of the Taiwan branch. Upon approval by the Department of Commerce, Ministry of Economic Affairs of Taiwan, Company’s division in Taiwan will operate as a Taiwan branch of Prime World International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2"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June 30, 2016 and the audited consolidated financial statements and notes thereto and management’s discussion and analysis of financial condition and results of operations for the fiscal year ended December 31, 2015 included in our Annual Report on Form 10-K. References to “Applied Optoelectronics” “we,” “our” and “us” are to Applied Optoelectronics, Inc. and its subsidiaries unless otherwise specified or the context otherwise requires.</w:t>
      </w:r>
    </w:p>
    <w:p>
      <w:pPr>
        <w:spacing w:after="0" w:line="16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w:t>
      </w:r>
      <w:r>
        <w:rPr>
          <w:rFonts w:ascii="Times New Roman" w:cs="Times New Roman" w:eastAsia="Times New Roman" w:hAnsi="Times New Roman"/>
          <w:sz w:val="18"/>
          <w:szCs w:val="18"/>
          <w:color w:val="auto"/>
        </w:rPr>
        <w:t>"believe," "may,"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"continue," "anticipate," "intend," "should," "could," "would," "target," "seek," "aim," "believe," "predicts," "think," "objectives," "optimistic," "new," "goal," "strategy," "potential," "is likely," "will," "expect," "plan" "project," "permit" or by other similar expressions that convey uncertainty of future events or outcomes </w:t>
      </w:r>
      <w:r>
        <w:rPr>
          <w:rFonts w:ascii="Times New Roman" w:cs="Times New Roman" w:eastAsia="Times New Roman" w:hAnsi="Times New Roman"/>
          <w:sz w:val="18"/>
          <w:szCs w:val="18"/>
          <w:i w:val="1"/>
          <w:iCs w:val="1"/>
          <w:color w:val="auto"/>
        </w:rPr>
        <w:t>are intended to identify forward-looking statements.</w:t>
      </w:r>
    </w:p>
    <w:p>
      <w:pPr>
        <w:spacing w:after="0" w:line="18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primarily for three networking end-markets: internet data center, cable television, or CATV, and fiber-to-the-home, or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8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partnered with our manufacturing locations and we have an additional research and development center in Lawrenceville, Georgia. In our Sugar Land facility, we manufacture laser chips (utilizing our MBE process),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facility conducts testing on the components, modules or subsystems it manufactures and each facility is certified to ISO 9001:2008. Our facilities in Ningbo, China, Taipei, Taiwan, and Sugar Land, TX are all certified to ISO 14001:2004.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9" w:name="page20"/>
    <w:bookmarkEnd w:id="19"/>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2016, we moved our headquarters and a portion of our production and R&amp;D equipment, and relocated employees to, two buildings that were recently constructed adjacent to our previous headquarters building in Sugar Land. In June, we vacated the facility on West Airport in Sugar Land, Texas, in order to consolidate substantially all of our operations in Sugar Land, Texas, into the three-building campus. The expanded facilities also provide additional manufacturing, R&amp;D and office space for future expansion.</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and internet data center customers. Throughout our sales cycle, we work closely with our customers to achieve design wins that we believe provide long-lasting relationships and promotes higher customer retention.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13139 Jess Pirtle Blvd., Sugar Land, TX 77478, and our telephone number is (281) 295-1800.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 forth our consolidated results of operations for the periods presented and as a percentage of our revenue for those periods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20" w:type="dxa"/>
            <w:vAlign w:val="bottom"/>
            <w:tcBorders>
              <w:bottom w:val="single" w:sz="8" w:color="EEEEEE"/>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center"/>
              <w:ind w:left="588"/>
              <w:spacing w:after="0" w:line="142" w:lineRule="exact"/>
              <w:rPr>
                <w:sz w:val="20"/>
                <w:szCs w:val="20"/>
                <w:color w:val="auto"/>
              </w:rPr>
            </w:pPr>
            <w:r>
              <w:rPr>
                <w:rFonts w:ascii="Times New Roman" w:cs="Times New Roman" w:eastAsia="Times New Roman" w:hAnsi="Times New Roman"/>
                <w:sz w:val="14"/>
                <w:szCs w:val="14"/>
                <w:color w:val="auto"/>
                <w:w w:val="99"/>
              </w:rPr>
              <w:t>2016</w:t>
            </w:r>
          </w:p>
        </w:tc>
        <w:tc>
          <w:tcPr>
            <w:tcW w:w="4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center"/>
              <w:ind w:left="588"/>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EEEEEE"/>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9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EEEEEE"/>
            </w:tcBorders>
          </w:tcPr>
          <w:p>
            <w:pPr>
              <w:spacing w:after="0"/>
              <w:rPr>
                <w:sz w:val="12"/>
                <w:szCs w:val="12"/>
                <w:color w:val="auto"/>
              </w:rPr>
            </w:pPr>
          </w:p>
        </w:tc>
        <w:tc>
          <w:tcPr>
            <w:tcW w:w="160" w:type="dxa"/>
            <w:vAlign w:val="bottom"/>
            <w:tcBorders>
              <w:bottom w:val="single" w:sz="8" w:color="EEEEEE"/>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9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Revenue, net</w:t>
            </w:r>
          </w:p>
        </w:tc>
        <w:tc>
          <w:tcPr>
            <w:tcW w:w="260" w:type="dxa"/>
            <w:vAlign w:val="bottom"/>
            <w:shd w:val="clear" w:color="auto" w:fill="EEEEEE"/>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EEEEEE"/>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55,254</w:t>
            </w:r>
          </w:p>
        </w:tc>
        <w:tc>
          <w:tcPr>
            <w:tcW w:w="460" w:type="dxa"/>
            <w:vAlign w:val="bottom"/>
            <w:shd w:val="clear" w:color="auto" w:fill="EEEEEE"/>
          </w:tcPr>
          <w:p>
            <w:pPr>
              <w:spacing w:after="0"/>
              <w:rPr>
                <w:sz w:val="12"/>
                <w:szCs w:val="12"/>
                <w:color w:val="auto"/>
              </w:rPr>
            </w:pPr>
          </w:p>
        </w:tc>
        <w:tc>
          <w:tcPr>
            <w:tcW w:w="480" w:type="dxa"/>
            <w:vAlign w:val="bottom"/>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EEEEEE"/>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49,632</w:t>
            </w:r>
          </w:p>
        </w:tc>
        <w:tc>
          <w:tcPr>
            <w:tcW w:w="480" w:type="dxa"/>
            <w:vAlign w:val="bottom"/>
            <w:shd w:val="clear" w:color="auto" w:fill="EEEEEE"/>
          </w:tcPr>
          <w:p>
            <w:pPr>
              <w:spacing w:after="0"/>
              <w:rPr>
                <w:sz w:val="12"/>
                <w:szCs w:val="12"/>
                <w:color w:val="auto"/>
              </w:rPr>
            </w:pPr>
          </w:p>
        </w:tc>
        <w:tc>
          <w:tcPr>
            <w:tcW w:w="460" w:type="dxa"/>
            <w:vAlign w:val="bottom"/>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EEEEEE"/>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105,676</w:t>
            </w:r>
          </w:p>
        </w:tc>
        <w:tc>
          <w:tcPr>
            <w:tcW w:w="920" w:type="dxa"/>
            <w:vAlign w:val="bottom"/>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EEEEEE"/>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79,866</w:t>
            </w:r>
          </w:p>
        </w:tc>
        <w:tc>
          <w:tcPr>
            <w:tcW w:w="920" w:type="dxa"/>
            <w:vAlign w:val="bottom"/>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2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37,952</w:t>
            </w:r>
          </w:p>
        </w:tc>
        <w:tc>
          <w:tcPr>
            <w:tcW w:w="4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68.7%</w:t>
            </w:r>
          </w:p>
        </w:tc>
        <w:tc>
          <w:tcPr>
            <w:tcW w:w="2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32,901</w:t>
            </w:r>
          </w:p>
        </w:tc>
        <w:tc>
          <w:tcPr>
            <w:tcW w:w="4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66.3%</w:t>
            </w:r>
          </w:p>
        </w:tc>
        <w:tc>
          <w:tcPr>
            <w:tcW w:w="160" w:type="dxa"/>
            <w:vAlign w:val="bottom"/>
          </w:tcPr>
          <w:p>
            <w:pPr>
              <w:spacing w:after="0"/>
              <w:rPr>
                <w:sz w:val="14"/>
                <w:szCs w:val="14"/>
                <w:color w:val="auto"/>
              </w:rPr>
            </w:pPr>
          </w:p>
        </w:tc>
        <w:tc>
          <w:tcPr>
            <w:tcW w:w="10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74,121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53,084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42"/>
        </w:trPr>
        <w:tc>
          <w:tcPr>
            <w:tcW w:w="162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top w:val="single" w:sz="8" w:color="auto"/>
              <w:bottom w:val="single" w:sz="8" w:color="auto"/>
            </w:tcBorders>
            <w:shd w:val="clear" w:color="auto" w:fill="EEEEEE"/>
          </w:tcPr>
          <w:p>
            <w:pPr>
              <w:spacing w:after="0"/>
              <w:rPr>
                <w:sz w:val="12"/>
                <w:szCs w:val="12"/>
                <w:color w:val="auto"/>
              </w:rPr>
            </w:pPr>
          </w:p>
        </w:tc>
        <w:tc>
          <w:tcPr>
            <w:tcW w:w="6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17,302</w:t>
            </w:r>
          </w:p>
        </w:tc>
        <w:tc>
          <w:tcPr>
            <w:tcW w:w="360" w:type="dxa"/>
            <w:vAlign w:val="bottom"/>
            <w:tcBorders>
              <w:top w:val="single" w:sz="8" w:color="EEEEEE"/>
            </w:tcBorders>
            <w:shd w:val="clear" w:color="auto" w:fill="EEEEEE"/>
          </w:tcPr>
          <w:p>
            <w:pPr>
              <w:spacing w:after="0"/>
              <w:rPr>
                <w:sz w:val="12"/>
                <w:szCs w:val="12"/>
                <w:color w:val="auto"/>
              </w:rPr>
            </w:pPr>
          </w:p>
        </w:tc>
        <w:tc>
          <w:tcPr>
            <w:tcW w:w="460" w:type="dxa"/>
            <w:vAlign w:val="bottom"/>
            <w:tcBorders>
              <w:top w:val="single" w:sz="8" w:color="auto"/>
              <w:bottom w:val="single" w:sz="8" w:color="auto"/>
            </w:tcBorders>
            <w:shd w:val="clear" w:color="auto" w:fill="EEEEEE"/>
          </w:tcPr>
          <w:p>
            <w:pPr>
              <w:spacing w:after="0"/>
              <w:rPr>
                <w:sz w:val="12"/>
                <w:szCs w:val="12"/>
                <w:color w:val="auto"/>
              </w:rPr>
            </w:pPr>
          </w:p>
        </w:tc>
        <w:tc>
          <w:tcPr>
            <w:tcW w:w="48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31.3%</w:t>
            </w:r>
          </w:p>
        </w:tc>
        <w:tc>
          <w:tcPr>
            <w:tcW w:w="34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auto"/>
              <w:bottom w:val="single" w:sz="8" w:color="auto"/>
            </w:tcBorders>
            <w:shd w:val="clear" w:color="auto" w:fill="EEEEEE"/>
          </w:tcPr>
          <w:p>
            <w:pPr>
              <w:spacing w:after="0"/>
              <w:rPr>
                <w:sz w:val="12"/>
                <w:szCs w:val="12"/>
                <w:color w:val="auto"/>
              </w:rPr>
            </w:pPr>
          </w:p>
        </w:tc>
        <w:tc>
          <w:tcPr>
            <w:tcW w:w="6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16,731</w:t>
            </w:r>
          </w:p>
        </w:tc>
        <w:tc>
          <w:tcPr>
            <w:tcW w:w="340" w:type="dxa"/>
            <w:vAlign w:val="bottom"/>
            <w:tcBorders>
              <w:top w:val="single" w:sz="8" w:color="EEEEEE"/>
            </w:tcBorders>
            <w:shd w:val="clear" w:color="auto" w:fill="EEEEEE"/>
          </w:tcPr>
          <w:p>
            <w:pPr>
              <w:spacing w:after="0"/>
              <w:rPr>
                <w:sz w:val="12"/>
                <w:szCs w:val="12"/>
                <w:color w:val="auto"/>
              </w:rPr>
            </w:pPr>
          </w:p>
        </w:tc>
        <w:tc>
          <w:tcPr>
            <w:tcW w:w="480" w:type="dxa"/>
            <w:vAlign w:val="bottom"/>
            <w:tcBorders>
              <w:top w:val="single" w:sz="8" w:color="auto"/>
              <w:bottom w:val="single" w:sz="8" w:color="auto"/>
            </w:tcBorders>
            <w:shd w:val="clear" w:color="auto" w:fill="EEEEEE"/>
          </w:tcPr>
          <w:p>
            <w:pPr>
              <w:spacing w:after="0"/>
              <w:rPr>
                <w:sz w:val="12"/>
                <w:szCs w:val="12"/>
                <w:color w:val="auto"/>
              </w:rPr>
            </w:pPr>
          </w:p>
        </w:tc>
        <w:tc>
          <w:tcPr>
            <w:tcW w:w="4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33.7%</w:t>
            </w:r>
          </w:p>
        </w:tc>
        <w:tc>
          <w:tcPr>
            <w:tcW w:w="3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bottom w:val="single" w:sz="8" w:color="auto"/>
            </w:tcBorders>
            <w:shd w:val="clear" w:color="auto" w:fill="EEEEEE"/>
          </w:tcPr>
          <w:p>
            <w:pPr>
              <w:spacing w:after="0"/>
              <w:rPr>
                <w:sz w:val="12"/>
                <w:szCs w:val="12"/>
                <w:color w:val="auto"/>
              </w:rPr>
            </w:pPr>
          </w:p>
        </w:tc>
        <w:tc>
          <w:tcPr>
            <w:tcW w:w="7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31,555</w:t>
            </w:r>
          </w:p>
        </w:tc>
        <w:tc>
          <w:tcPr>
            <w:tcW w:w="320" w:type="dxa"/>
            <w:vAlign w:val="bottom"/>
            <w:tcBorders>
              <w:top w:val="single" w:sz="8" w:color="EEEEEE"/>
            </w:tcBorders>
            <w:shd w:val="clear" w:color="auto" w:fill="EEEEEE"/>
          </w:tcPr>
          <w:p>
            <w:pPr>
              <w:spacing w:after="0"/>
              <w:rPr>
                <w:sz w:val="12"/>
                <w:szCs w:val="12"/>
                <w:color w:val="auto"/>
              </w:rPr>
            </w:pPr>
          </w:p>
        </w:tc>
        <w:tc>
          <w:tcPr>
            <w:tcW w:w="9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29.9%</w:t>
            </w:r>
          </w:p>
        </w:tc>
        <w:tc>
          <w:tcPr>
            <w:tcW w:w="1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bottom w:val="single" w:sz="8" w:color="auto"/>
            </w:tcBorders>
            <w:shd w:val="clear" w:color="auto" w:fill="EEEEEE"/>
          </w:tcPr>
          <w:p>
            <w:pPr>
              <w:spacing w:after="0"/>
              <w:rPr>
                <w:sz w:val="12"/>
                <w:szCs w:val="12"/>
                <w:color w:val="auto"/>
              </w:rPr>
            </w:pPr>
          </w:p>
        </w:tc>
        <w:tc>
          <w:tcPr>
            <w:tcW w:w="7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26,782</w:t>
            </w:r>
          </w:p>
        </w:tc>
        <w:tc>
          <w:tcPr>
            <w:tcW w:w="320" w:type="dxa"/>
            <w:vAlign w:val="bottom"/>
            <w:tcBorders>
              <w:top w:val="single" w:sz="8" w:color="EEEEEE"/>
            </w:tcBorders>
            <w:shd w:val="clear" w:color="auto" w:fill="EEEEEE"/>
          </w:tcPr>
          <w:p>
            <w:pPr>
              <w:spacing w:after="0"/>
              <w:rPr>
                <w:sz w:val="12"/>
                <w:szCs w:val="12"/>
                <w:color w:val="auto"/>
              </w:rPr>
            </w:pPr>
          </w:p>
        </w:tc>
        <w:tc>
          <w:tcPr>
            <w:tcW w:w="9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EEEEEE"/>
          </w:tcPr>
          <w:p>
            <w:pPr>
              <w:ind w:left="120"/>
              <w:spacing w:after="0" w:line="126" w:lineRule="exact"/>
              <w:rPr>
                <w:sz w:val="20"/>
                <w:szCs w:val="20"/>
                <w:color w:val="auto"/>
              </w:rPr>
            </w:pPr>
            <w:r>
              <w:rPr>
                <w:rFonts w:ascii="Times New Roman" w:cs="Times New Roman" w:eastAsia="Times New Roman" w:hAnsi="Times New Roman"/>
                <w:sz w:val="14"/>
                <w:szCs w:val="14"/>
                <w:color w:val="auto"/>
              </w:rPr>
              <w:t>Research and</w:t>
            </w:r>
          </w:p>
        </w:tc>
        <w:tc>
          <w:tcPr>
            <w:tcW w:w="26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7,814</w:t>
            </w:r>
          </w:p>
        </w:tc>
        <w:tc>
          <w:tcPr>
            <w:tcW w:w="460" w:type="dxa"/>
            <w:vAlign w:val="bottom"/>
            <w:shd w:val="clear" w:color="auto" w:fill="EEEEEE"/>
          </w:tcPr>
          <w:p>
            <w:pPr>
              <w:spacing w:after="0"/>
              <w:rPr>
                <w:sz w:val="10"/>
                <w:szCs w:val="10"/>
                <w:color w:val="auto"/>
              </w:rPr>
            </w:pPr>
          </w:p>
        </w:tc>
        <w:tc>
          <w:tcPr>
            <w:tcW w:w="82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14.1%</w:t>
            </w:r>
          </w:p>
        </w:tc>
        <w:tc>
          <w:tcPr>
            <w:tcW w:w="28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4,701</w:t>
            </w:r>
          </w:p>
        </w:tc>
        <w:tc>
          <w:tcPr>
            <w:tcW w:w="4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9.5%</w:t>
            </w:r>
          </w:p>
        </w:tc>
        <w:tc>
          <w:tcPr>
            <w:tcW w:w="160" w:type="dxa"/>
            <w:vAlign w:val="bottom"/>
            <w:shd w:val="clear" w:color="auto" w:fill="EEEEEE"/>
          </w:tcPr>
          <w:p>
            <w:pPr>
              <w:spacing w:after="0"/>
              <w:rPr>
                <w:sz w:val="10"/>
                <w:szCs w:val="10"/>
                <w:color w:val="auto"/>
              </w:rPr>
            </w:pPr>
          </w:p>
        </w:tc>
        <w:tc>
          <w:tcPr>
            <w:tcW w:w="1060" w:type="dxa"/>
            <w:vAlign w:val="bottom"/>
            <w:gridSpan w:val="2"/>
            <w:vMerge w:val="restart"/>
            <w:shd w:val="clear" w:color="auto" w:fill="EEEEEE"/>
          </w:tcPr>
          <w:p>
            <w:pPr>
              <w:jc w:val="right"/>
              <w:ind w:right="248"/>
              <w:spacing w:after="0"/>
              <w:rPr>
                <w:sz w:val="20"/>
                <w:szCs w:val="20"/>
                <w:color w:val="auto"/>
              </w:rPr>
            </w:pPr>
            <w:r>
              <w:rPr>
                <w:rFonts w:ascii="Times New Roman" w:cs="Times New Roman" w:eastAsia="Times New Roman" w:hAnsi="Times New Roman"/>
                <w:sz w:val="14"/>
                <w:szCs w:val="14"/>
                <w:color w:val="auto"/>
              </w:rPr>
              <w:t>16,210</w:t>
            </w:r>
          </w:p>
        </w:tc>
        <w:tc>
          <w:tcPr>
            <w:tcW w:w="108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15.3%</w:t>
            </w: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6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9,506</w:t>
            </w:r>
          </w:p>
        </w:tc>
        <w:tc>
          <w:tcPr>
            <w:tcW w:w="10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16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4"/>
                <w:szCs w:val="14"/>
                <w:color w:val="auto"/>
              </w:rPr>
              <w:t>development</w:t>
            </w:r>
          </w:p>
        </w:tc>
        <w:tc>
          <w:tcPr>
            <w:tcW w:w="2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820" w:type="dxa"/>
            <w:vAlign w:val="bottom"/>
            <w:gridSpan w:val="2"/>
            <w:vMerge w:val="continue"/>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2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4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1,607</w:t>
            </w:r>
          </w:p>
        </w:tc>
        <w:tc>
          <w:tcPr>
            <w:tcW w:w="4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2"/>
                <w:szCs w:val="12"/>
                <w:color w:val="auto"/>
              </w:rPr>
            </w:pPr>
          </w:p>
        </w:tc>
        <w:tc>
          <w:tcPr>
            <w:tcW w:w="106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3,290</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3,166</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26"/>
        </w:trPr>
        <w:tc>
          <w:tcPr>
            <w:tcW w:w="1620" w:type="dxa"/>
            <w:vAlign w:val="bottom"/>
            <w:shd w:val="clear" w:color="auto" w:fill="EEEEEE"/>
          </w:tcPr>
          <w:p>
            <w:pPr>
              <w:ind w:left="120"/>
              <w:spacing w:after="0" w:line="126" w:lineRule="exact"/>
              <w:rPr>
                <w:sz w:val="20"/>
                <w:szCs w:val="20"/>
                <w:color w:val="auto"/>
              </w:rPr>
            </w:pPr>
            <w:r>
              <w:rPr>
                <w:rFonts w:ascii="Times New Roman" w:cs="Times New Roman" w:eastAsia="Times New Roman" w:hAnsi="Times New Roman"/>
                <w:sz w:val="14"/>
                <w:szCs w:val="14"/>
                <w:color w:val="auto"/>
              </w:rPr>
              <w:t>General and</w:t>
            </w:r>
          </w:p>
        </w:tc>
        <w:tc>
          <w:tcPr>
            <w:tcW w:w="26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5,906</w:t>
            </w:r>
          </w:p>
        </w:tc>
        <w:tc>
          <w:tcPr>
            <w:tcW w:w="460" w:type="dxa"/>
            <w:vAlign w:val="bottom"/>
            <w:shd w:val="clear" w:color="auto" w:fill="EEEEEE"/>
          </w:tcPr>
          <w:p>
            <w:pPr>
              <w:spacing w:after="0"/>
              <w:rPr>
                <w:sz w:val="10"/>
                <w:szCs w:val="10"/>
                <w:color w:val="auto"/>
              </w:rPr>
            </w:pPr>
          </w:p>
        </w:tc>
        <w:tc>
          <w:tcPr>
            <w:tcW w:w="82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10.7%</w:t>
            </w:r>
          </w:p>
        </w:tc>
        <w:tc>
          <w:tcPr>
            <w:tcW w:w="28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4,534</w:t>
            </w:r>
          </w:p>
        </w:tc>
        <w:tc>
          <w:tcPr>
            <w:tcW w:w="4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EEEEEE"/>
          </w:tcPr>
          <w:p>
            <w:pPr>
              <w:spacing w:after="0"/>
              <w:rPr>
                <w:sz w:val="10"/>
                <w:szCs w:val="10"/>
                <w:color w:val="auto"/>
              </w:rPr>
            </w:pPr>
          </w:p>
        </w:tc>
        <w:tc>
          <w:tcPr>
            <w:tcW w:w="1060" w:type="dxa"/>
            <w:vAlign w:val="bottom"/>
            <w:gridSpan w:val="2"/>
            <w:vMerge w:val="restart"/>
            <w:shd w:val="clear" w:color="auto" w:fill="EEEEEE"/>
          </w:tcPr>
          <w:p>
            <w:pPr>
              <w:jc w:val="right"/>
              <w:ind w:right="248"/>
              <w:spacing w:after="0"/>
              <w:rPr>
                <w:sz w:val="20"/>
                <w:szCs w:val="20"/>
                <w:color w:val="auto"/>
              </w:rPr>
            </w:pPr>
            <w:r>
              <w:rPr>
                <w:rFonts w:ascii="Times New Roman" w:cs="Times New Roman" w:eastAsia="Times New Roman" w:hAnsi="Times New Roman"/>
                <w:sz w:val="14"/>
                <w:szCs w:val="14"/>
                <w:color w:val="auto"/>
              </w:rPr>
              <w:t>11,639</w:t>
            </w:r>
          </w:p>
        </w:tc>
        <w:tc>
          <w:tcPr>
            <w:tcW w:w="108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6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9,537</w:t>
            </w:r>
          </w:p>
        </w:tc>
        <w:tc>
          <w:tcPr>
            <w:tcW w:w="10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16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4"/>
                <w:szCs w:val="14"/>
                <w:color w:val="auto"/>
              </w:rPr>
              <w:t>administrative</w:t>
            </w:r>
          </w:p>
        </w:tc>
        <w:tc>
          <w:tcPr>
            <w:tcW w:w="2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820" w:type="dxa"/>
            <w:vAlign w:val="bottom"/>
            <w:gridSpan w:val="2"/>
            <w:vMerge w:val="continue"/>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Total operating</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15,330</w:t>
            </w:r>
          </w:p>
        </w:tc>
        <w:tc>
          <w:tcPr>
            <w:tcW w:w="460" w:type="dxa"/>
            <w:vAlign w:val="bottom"/>
          </w:tcPr>
          <w:p>
            <w:pPr>
              <w:spacing w:after="0"/>
              <w:rPr>
                <w:sz w:val="9"/>
                <w:szCs w:val="9"/>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27.7%</w:t>
            </w:r>
          </w:p>
        </w:tc>
        <w:tc>
          <w:tcPr>
            <w:tcW w:w="280" w:type="dxa"/>
            <w:vAlign w:val="bottom"/>
          </w:tcPr>
          <w:p>
            <w:pPr>
              <w:spacing w:after="0"/>
              <w:rPr>
                <w:sz w:val="9"/>
                <w:szCs w:val="9"/>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10,842</w:t>
            </w:r>
          </w:p>
        </w:tc>
        <w:tc>
          <w:tcPr>
            <w:tcW w:w="480" w:type="dxa"/>
            <w:vAlign w:val="bottom"/>
          </w:tcPr>
          <w:p>
            <w:pPr>
              <w:spacing w:after="0"/>
              <w:rPr>
                <w:sz w:val="9"/>
                <w:szCs w:val="9"/>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21.8%</w:t>
            </w:r>
          </w:p>
        </w:tc>
        <w:tc>
          <w:tcPr>
            <w:tcW w:w="160" w:type="dxa"/>
            <w:vAlign w:val="bottom"/>
          </w:tcPr>
          <w:p>
            <w:pPr>
              <w:spacing w:after="0"/>
              <w:rPr>
                <w:sz w:val="9"/>
                <w:szCs w:val="9"/>
                <w:color w:val="auto"/>
              </w:rPr>
            </w:pPr>
          </w:p>
        </w:tc>
        <w:tc>
          <w:tcPr>
            <w:tcW w:w="10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31,139</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22,209</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71"/>
        </w:trPr>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expenses</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Income from</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620" w:type="dxa"/>
            <w:vAlign w:val="bottom"/>
            <w:vMerge w:val="continue"/>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20" w:type="dxa"/>
            <w:vAlign w:val="bottom"/>
            <w:gridSpan w:val="2"/>
            <w:vMerge w:val="restart"/>
            <w:shd w:val="clear" w:color="auto" w:fill="EEEEEE"/>
          </w:tcPr>
          <w:p>
            <w:pPr>
              <w:jc w:val="right"/>
              <w:ind w:right="360"/>
              <w:spacing w:after="0"/>
              <w:rPr>
                <w:sz w:val="20"/>
                <w:szCs w:val="20"/>
                <w:color w:val="auto"/>
              </w:rPr>
            </w:pPr>
            <w:r>
              <w:rPr>
                <w:rFonts w:ascii="Times New Roman" w:cs="Times New Roman" w:eastAsia="Times New Roman" w:hAnsi="Times New Roman"/>
                <w:sz w:val="14"/>
                <w:szCs w:val="14"/>
                <w:color w:val="auto"/>
              </w:rPr>
              <w:t>1,972</w:t>
            </w:r>
          </w:p>
        </w:tc>
        <w:tc>
          <w:tcPr>
            <w:tcW w:w="460" w:type="dxa"/>
            <w:vAlign w:val="bottom"/>
            <w:shd w:val="clear" w:color="auto" w:fill="EEEEEE"/>
          </w:tcPr>
          <w:p>
            <w:pPr>
              <w:spacing w:after="0"/>
              <w:rPr>
                <w:sz w:val="9"/>
                <w:szCs w:val="9"/>
                <w:color w:val="auto"/>
              </w:rPr>
            </w:pPr>
          </w:p>
        </w:tc>
        <w:tc>
          <w:tcPr>
            <w:tcW w:w="82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shd w:val="clear" w:color="auto" w:fill="EEEEEE"/>
          </w:tcPr>
          <w:p>
            <w:pPr>
              <w:spacing w:after="0"/>
              <w:rPr>
                <w:sz w:val="9"/>
                <w:szCs w:val="9"/>
                <w:color w:val="auto"/>
              </w:rPr>
            </w:pPr>
          </w:p>
        </w:tc>
        <w:tc>
          <w:tcPr>
            <w:tcW w:w="100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5,889</w:t>
            </w:r>
          </w:p>
        </w:tc>
        <w:tc>
          <w:tcPr>
            <w:tcW w:w="480" w:type="dxa"/>
            <w:vAlign w:val="bottom"/>
            <w:shd w:val="clear" w:color="auto" w:fill="EEEEEE"/>
          </w:tcPr>
          <w:p>
            <w:pPr>
              <w:spacing w:after="0"/>
              <w:rPr>
                <w:sz w:val="9"/>
                <w:szCs w:val="9"/>
                <w:color w:val="auto"/>
              </w:rPr>
            </w:pPr>
          </w:p>
        </w:tc>
        <w:tc>
          <w:tcPr>
            <w:tcW w:w="78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shd w:val="clear" w:color="auto" w:fill="EEEEEE"/>
          </w:tcPr>
          <w:p>
            <w:pPr>
              <w:spacing w:after="0"/>
              <w:rPr>
                <w:sz w:val="9"/>
                <w:szCs w:val="9"/>
                <w:color w:val="auto"/>
              </w:rPr>
            </w:pPr>
          </w:p>
        </w:tc>
        <w:tc>
          <w:tcPr>
            <w:tcW w:w="1060" w:type="dxa"/>
            <w:vAlign w:val="bottom"/>
            <w:gridSpan w:val="2"/>
            <w:vMerge w:val="restart"/>
            <w:shd w:val="clear" w:color="auto" w:fill="EEEEEE"/>
          </w:tcPr>
          <w:p>
            <w:pPr>
              <w:jc w:val="right"/>
              <w:ind w:right="248"/>
              <w:spacing w:after="0"/>
              <w:rPr>
                <w:sz w:val="20"/>
                <w:szCs w:val="20"/>
                <w:color w:val="auto"/>
              </w:rPr>
            </w:pPr>
            <w:r>
              <w:rPr>
                <w:rFonts w:ascii="Times New Roman" w:cs="Times New Roman" w:eastAsia="Times New Roman" w:hAnsi="Times New Roman"/>
                <w:sz w:val="14"/>
                <w:szCs w:val="14"/>
                <w:color w:val="auto"/>
              </w:rPr>
              <w:t>416</w:t>
            </w:r>
          </w:p>
        </w:tc>
        <w:tc>
          <w:tcPr>
            <w:tcW w:w="108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06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4,573</w:t>
            </w:r>
          </w:p>
        </w:tc>
        <w:tc>
          <w:tcPr>
            <w:tcW w:w="10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16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operations</w:t>
            </w:r>
          </w:p>
        </w:tc>
        <w:tc>
          <w:tcPr>
            <w:tcW w:w="2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820" w:type="dxa"/>
            <w:vAlign w:val="bottom"/>
            <w:gridSpan w:val="2"/>
            <w:vMerge w:val="continue"/>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6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Other income</w:t>
            </w: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(expense)</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EEEEEE"/>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EEEEEE"/>
          </w:tcPr>
          <w:p>
            <w:pPr>
              <w:spacing w:after="0"/>
              <w:rPr>
                <w:sz w:val="12"/>
                <w:szCs w:val="12"/>
                <w:color w:val="auto"/>
              </w:rPr>
            </w:pPr>
          </w:p>
        </w:tc>
        <w:tc>
          <w:tcPr>
            <w:tcW w:w="66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3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080" w:type="dxa"/>
            <w:vAlign w:val="bottom"/>
            <w:gridSpan w:val="2"/>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0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1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4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8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4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2"/>
                <w:szCs w:val="12"/>
                <w:color w:val="auto"/>
              </w:rPr>
            </w:pPr>
          </w:p>
        </w:tc>
        <w:tc>
          <w:tcPr>
            <w:tcW w:w="10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(851)</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26"/>
        </w:trPr>
        <w:tc>
          <w:tcPr>
            <w:tcW w:w="1620" w:type="dxa"/>
            <w:vAlign w:val="bottom"/>
            <w:shd w:val="clear" w:color="auto" w:fill="EEEEEE"/>
          </w:tcPr>
          <w:p>
            <w:pPr>
              <w:ind w:left="120"/>
              <w:spacing w:after="0" w:line="126" w:lineRule="exact"/>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shd w:val="clear" w:color="auto" w:fill="EEEEEE"/>
          </w:tcPr>
          <w:p>
            <w:pPr>
              <w:spacing w:after="0"/>
              <w:rPr>
                <w:sz w:val="10"/>
                <w:szCs w:val="10"/>
                <w:color w:val="auto"/>
              </w:rPr>
            </w:pPr>
          </w:p>
        </w:tc>
        <w:tc>
          <w:tcPr>
            <w:tcW w:w="1020" w:type="dxa"/>
            <w:vAlign w:val="bottom"/>
            <w:gridSpan w:val="2"/>
            <w:vMerge w:val="restart"/>
            <w:shd w:val="clear" w:color="auto" w:fill="EEEEEE"/>
          </w:tcPr>
          <w:p>
            <w:pPr>
              <w:jc w:val="right"/>
              <w:ind w:right="300"/>
              <w:spacing w:after="0"/>
              <w:rPr>
                <w:sz w:val="20"/>
                <w:szCs w:val="20"/>
                <w:color w:val="auto"/>
              </w:rPr>
            </w:pPr>
            <w:r>
              <w:rPr>
                <w:rFonts w:ascii="Times New Roman" w:cs="Times New Roman" w:eastAsia="Times New Roman" w:hAnsi="Times New Roman"/>
                <w:sz w:val="14"/>
                <w:szCs w:val="14"/>
                <w:color w:val="auto"/>
              </w:rPr>
              <w:t>(932)</w:t>
            </w:r>
          </w:p>
        </w:tc>
        <w:tc>
          <w:tcPr>
            <w:tcW w:w="460" w:type="dxa"/>
            <w:vAlign w:val="bottom"/>
            <w:shd w:val="clear" w:color="auto" w:fill="EEEEEE"/>
          </w:tcPr>
          <w:p>
            <w:pPr>
              <w:spacing w:after="0"/>
              <w:rPr>
                <w:sz w:val="10"/>
                <w:szCs w:val="10"/>
                <w:color w:val="auto"/>
              </w:rPr>
            </w:pPr>
          </w:p>
        </w:tc>
        <w:tc>
          <w:tcPr>
            <w:tcW w:w="82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shd w:val="clear" w:color="auto" w:fill="EEEEEE"/>
          </w:tcPr>
          <w:p>
            <w:pPr>
              <w:spacing w:after="0"/>
              <w:rPr>
                <w:sz w:val="10"/>
                <w:szCs w:val="10"/>
                <w:color w:val="auto"/>
              </w:rPr>
            </w:pPr>
          </w:p>
        </w:tc>
        <w:tc>
          <w:tcPr>
            <w:tcW w:w="66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34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EEEEEE"/>
          </w:tcPr>
          <w:p>
            <w:pPr>
              <w:spacing w:after="0"/>
              <w:rPr>
                <w:sz w:val="10"/>
                <w:szCs w:val="10"/>
                <w:color w:val="auto"/>
              </w:rPr>
            </w:pPr>
          </w:p>
        </w:tc>
        <w:tc>
          <w:tcPr>
            <w:tcW w:w="1060" w:type="dxa"/>
            <w:vAlign w:val="bottom"/>
            <w:gridSpan w:val="2"/>
            <w:vMerge w:val="restart"/>
            <w:shd w:val="clear" w:color="auto" w:fill="EEEEEE"/>
          </w:tcPr>
          <w:p>
            <w:pPr>
              <w:jc w:val="right"/>
              <w:ind w:right="188"/>
              <w:spacing w:after="0"/>
              <w:rPr>
                <w:sz w:val="20"/>
                <w:szCs w:val="20"/>
                <w:color w:val="auto"/>
              </w:rPr>
            </w:pPr>
            <w:r>
              <w:rPr>
                <w:rFonts w:ascii="Times New Roman" w:cs="Times New Roman" w:eastAsia="Times New Roman" w:hAnsi="Times New Roman"/>
                <w:sz w:val="14"/>
                <w:szCs w:val="14"/>
                <w:color w:val="auto"/>
              </w:rPr>
              <w:t>(598)</w:t>
            </w:r>
          </w:p>
        </w:tc>
        <w:tc>
          <w:tcPr>
            <w:tcW w:w="108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6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1,247</w:t>
            </w:r>
          </w:p>
        </w:tc>
        <w:tc>
          <w:tcPr>
            <w:tcW w:w="10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16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4"/>
                <w:szCs w:val="14"/>
                <w:color w:val="auto"/>
              </w:rPr>
              <w:t>(expense), net</w:t>
            </w:r>
          </w:p>
        </w:tc>
        <w:tc>
          <w:tcPr>
            <w:tcW w:w="260" w:type="dxa"/>
            <w:vAlign w:val="bottom"/>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820" w:type="dxa"/>
            <w:vAlign w:val="bottom"/>
            <w:gridSpan w:val="2"/>
            <w:vMerge w:val="continue"/>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660" w:type="dxa"/>
            <w:vAlign w:val="bottom"/>
            <w:vMerge w:val="continue"/>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Total other income</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(1,317)</w:t>
            </w:r>
          </w:p>
        </w:tc>
        <w:tc>
          <w:tcPr>
            <w:tcW w:w="460" w:type="dxa"/>
            <w:vAlign w:val="bottom"/>
          </w:tcPr>
          <w:p>
            <w:pPr>
              <w:spacing w:after="0"/>
              <w:rPr>
                <w:sz w:val="9"/>
                <w:szCs w:val="9"/>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tcPr>
          <w:p>
            <w:pPr>
              <w:spacing w:after="0"/>
              <w:rPr>
                <w:sz w:val="9"/>
                <w:szCs w:val="9"/>
                <w:color w:val="auto"/>
              </w:rPr>
            </w:pPr>
          </w:p>
        </w:tc>
        <w:tc>
          <w:tcPr>
            <w:tcW w:w="10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(1,283)</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976</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(expense)</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Income (loss) before</w:t>
            </w:r>
          </w:p>
        </w:tc>
        <w:tc>
          <w:tcPr>
            <w:tcW w:w="260" w:type="dxa"/>
            <w:vAlign w:val="bottom"/>
            <w:shd w:val="clear" w:color="auto" w:fill="EEEEEE"/>
          </w:tcPr>
          <w:p>
            <w:pPr>
              <w:spacing w:after="0"/>
              <w:rPr>
                <w:sz w:val="10"/>
                <w:szCs w:val="10"/>
                <w:color w:val="auto"/>
              </w:rPr>
            </w:pPr>
          </w:p>
        </w:tc>
        <w:tc>
          <w:tcPr>
            <w:tcW w:w="66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36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82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EEEEEE"/>
          </w:tcPr>
          <w:p>
            <w:pPr>
              <w:spacing w:after="0"/>
              <w:rPr>
                <w:sz w:val="10"/>
                <w:szCs w:val="10"/>
                <w:color w:val="auto"/>
              </w:rPr>
            </w:pPr>
          </w:p>
        </w:tc>
        <w:tc>
          <w:tcPr>
            <w:tcW w:w="100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6,224</w:t>
            </w:r>
          </w:p>
        </w:tc>
        <w:tc>
          <w:tcPr>
            <w:tcW w:w="480" w:type="dxa"/>
            <w:vAlign w:val="bottom"/>
            <w:shd w:val="clear" w:color="auto" w:fill="EEEEEE"/>
          </w:tcPr>
          <w:p>
            <w:pPr>
              <w:spacing w:after="0"/>
              <w:rPr>
                <w:sz w:val="10"/>
                <w:szCs w:val="10"/>
                <w:color w:val="auto"/>
              </w:rPr>
            </w:pPr>
          </w:p>
        </w:tc>
        <w:tc>
          <w:tcPr>
            <w:tcW w:w="78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EEEEEE"/>
          </w:tcPr>
          <w:p>
            <w:pPr>
              <w:spacing w:after="0"/>
              <w:rPr>
                <w:sz w:val="10"/>
                <w:szCs w:val="10"/>
                <w:color w:val="auto"/>
              </w:rPr>
            </w:pPr>
          </w:p>
        </w:tc>
        <w:tc>
          <w:tcPr>
            <w:tcW w:w="1060" w:type="dxa"/>
            <w:vAlign w:val="bottom"/>
            <w:gridSpan w:val="2"/>
            <w:vMerge w:val="restart"/>
            <w:shd w:val="clear" w:color="auto" w:fill="EEEEEE"/>
          </w:tcPr>
          <w:p>
            <w:pPr>
              <w:jc w:val="right"/>
              <w:ind w:right="188"/>
              <w:spacing w:after="0"/>
              <w:rPr>
                <w:sz w:val="20"/>
                <w:szCs w:val="20"/>
                <w:color w:val="auto"/>
              </w:rPr>
            </w:pPr>
            <w:r>
              <w:rPr>
                <w:rFonts w:ascii="Times New Roman" w:cs="Times New Roman" w:eastAsia="Times New Roman" w:hAnsi="Times New Roman"/>
                <w:sz w:val="14"/>
                <w:szCs w:val="14"/>
                <w:color w:val="auto"/>
              </w:rPr>
              <w:t>(867)</w:t>
            </w:r>
          </w:p>
        </w:tc>
        <w:tc>
          <w:tcPr>
            <w:tcW w:w="108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6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5,549</w:t>
            </w:r>
          </w:p>
        </w:tc>
        <w:tc>
          <w:tcPr>
            <w:tcW w:w="10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16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shd w:val="clear" w:color="auto" w:fill="EEEEEE"/>
          </w:tcPr>
          <w:p>
            <w:pPr>
              <w:spacing w:after="0"/>
              <w:rPr>
                <w:sz w:val="14"/>
                <w:szCs w:val="14"/>
                <w:color w:val="auto"/>
              </w:rPr>
            </w:pPr>
          </w:p>
        </w:tc>
        <w:tc>
          <w:tcPr>
            <w:tcW w:w="660" w:type="dxa"/>
            <w:vAlign w:val="bottom"/>
            <w:vMerge w:val="continue"/>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460" w:type="dxa"/>
            <w:vAlign w:val="bottom"/>
            <w:shd w:val="clear" w:color="auto" w:fill="EEEEEE"/>
          </w:tcPr>
          <w:p>
            <w:pPr>
              <w:spacing w:after="0"/>
              <w:rPr>
                <w:sz w:val="14"/>
                <w:szCs w:val="14"/>
                <w:color w:val="auto"/>
              </w:rPr>
            </w:pPr>
          </w:p>
        </w:tc>
        <w:tc>
          <w:tcPr>
            <w:tcW w:w="820" w:type="dxa"/>
            <w:vAlign w:val="bottom"/>
            <w:gridSpan w:val="2"/>
            <w:vMerge w:val="continue"/>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480" w:type="dxa"/>
            <w:vAlign w:val="bottom"/>
            <w:shd w:val="clear" w:color="auto" w:fill="EEEEEE"/>
          </w:tcPr>
          <w:p>
            <w:pPr>
              <w:spacing w:after="0"/>
              <w:rPr>
                <w:sz w:val="14"/>
                <w:szCs w:val="14"/>
                <w:color w:val="auto"/>
              </w:rPr>
            </w:pPr>
          </w:p>
        </w:tc>
        <w:tc>
          <w:tcPr>
            <w:tcW w:w="7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vMerge w:val="continue"/>
            <w:shd w:val="clear" w:color="auto" w:fill="EEEEEE"/>
          </w:tcPr>
          <w:p>
            <w:pPr>
              <w:spacing w:after="0"/>
              <w:rPr>
                <w:sz w:val="14"/>
                <w:szCs w:val="14"/>
                <w:color w:val="auto"/>
              </w:rPr>
            </w:pPr>
          </w:p>
        </w:tc>
        <w:tc>
          <w:tcPr>
            <w:tcW w:w="10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Income tax (expense )</w:t>
            </w:r>
          </w:p>
        </w:tc>
        <w:tc>
          <w:tcPr>
            <w:tcW w:w="260" w:type="dxa"/>
            <w:vAlign w:val="bottom"/>
          </w:tcPr>
          <w:p>
            <w:pPr>
              <w:spacing w:after="0"/>
              <w:rPr>
                <w:sz w:val="10"/>
                <w:szCs w:val="10"/>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(52)</w:t>
            </w:r>
          </w:p>
        </w:tc>
        <w:tc>
          <w:tcPr>
            <w:tcW w:w="460" w:type="dxa"/>
            <w:vAlign w:val="bottom"/>
          </w:tcPr>
          <w:p>
            <w:pPr>
              <w:spacing w:after="0"/>
              <w:rPr>
                <w:sz w:val="10"/>
                <w:szCs w:val="10"/>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0"/>
                <w:szCs w:val="10"/>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(135)</w:t>
            </w:r>
          </w:p>
        </w:tc>
        <w:tc>
          <w:tcPr>
            <w:tcW w:w="480" w:type="dxa"/>
            <w:vAlign w:val="bottom"/>
          </w:tcPr>
          <w:p>
            <w:pPr>
              <w:spacing w:after="0"/>
              <w:rPr>
                <w:sz w:val="10"/>
                <w:szCs w:val="10"/>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0"/>
                <w:szCs w:val="10"/>
                <w:color w:val="auto"/>
              </w:rPr>
            </w:pPr>
          </w:p>
        </w:tc>
        <w:tc>
          <w:tcPr>
            <w:tcW w:w="10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140</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(135)</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benefit</w:t>
            </w: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top w:val="single" w:sz="8" w:color="auto"/>
              <w:bottom w:val="single" w:sz="8" w:color="auto"/>
            </w:tcBorders>
            <w:shd w:val="clear" w:color="auto" w:fill="EEEEEE"/>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603</w:t>
            </w:r>
          </w:p>
        </w:tc>
        <w:tc>
          <w:tcPr>
            <w:tcW w:w="360" w:type="dxa"/>
            <w:vAlign w:val="bottom"/>
            <w:tcBorders>
              <w:top w:val="single" w:sz="8" w:color="EEEEEE"/>
              <w:bottom w:val="single" w:sz="8" w:color="EEEEEE"/>
            </w:tcBorders>
            <w:shd w:val="clear" w:color="auto" w:fill="EEEEEE"/>
          </w:tcPr>
          <w:p>
            <w:pPr>
              <w:spacing w:after="0"/>
              <w:rPr>
                <w:sz w:val="13"/>
                <w:szCs w:val="13"/>
                <w:color w:val="auto"/>
              </w:rPr>
            </w:pPr>
          </w:p>
        </w:tc>
        <w:tc>
          <w:tcPr>
            <w:tcW w:w="460" w:type="dxa"/>
            <w:vAlign w:val="bottom"/>
            <w:tcBorders>
              <w:top w:val="single" w:sz="8" w:color="auto"/>
              <w:bottom w:val="single" w:sz="8" w:color="auto"/>
            </w:tcBorders>
            <w:shd w:val="clear" w:color="auto" w:fill="EEEEEE"/>
          </w:tcPr>
          <w:p>
            <w:pPr>
              <w:spacing w:after="0"/>
              <w:rPr>
                <w:sz w:val="13"/>
                <w:szCs w:val="13"/>
                <w:color w:val="auto"/>
              </w:rPr>
            </w:pPr>
          </w:p>
        </w:tc>
        <w:tc>
          <w:tcPr>
            <w:tcW w:w="4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340" w:type="dxa"/>
            <w:vAlign w:val="bottom"/>
            <w:tcBorders>
              <w:top w:val="single" w:sz="8" w:color="EEEEEE"/>
              <w:bottom w:val="single" w:sz="8" w:color="EEEEEE"/>
            </w:tcBorders>
            <w:shd w:val="clear" w:color="auto" w:fill="EEEEEE"/>
          </w:tcPr>
          <w:p>
            <w:pPr>
              <w:spacing w:after="0"/>
              <w:rPr>
                <w:sz w:val="13"/>
                <w:szCs w:val="13"/>
                <w:color w:val="auto"/>
              </w:rPr>
            </w:pPr>
          </w:p>
        </w:tc>
        <w:tc>
          <w:tcPr>
            <w:tcW w:w="280" w:type="dxa"/>
            <w:vAlign w:val="bottom"/>
            <w:tcBorders>
              <w:top w:val="single" w:sz="8" w:color="auto"/>
              <w:bottom w:val="single" w:sz="8" w:color="auto"/>
            </w:tcBorders>
            <w:shd w:val="clear" w:color="auto" w:fill="EEEEEE"/>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6,089</w:t>
            </w:r>
          </w:p>
        </w:tc>
        <w:tc>
          <w:tcPr>
            <w:tcW w:w="340" w:type="dxa"/>
            <w:vAlign w:val="bottom"/>
            <w:tcBorders>
              <w:top w:val="single" w:sz="8" w:color="EEEEEE"/>
              <w:bottom w:val="single" w:sz="8" w:color="EEEEEE"/>
            </w:tcBorders>
            <w:shd w:val="clear" w:color="auto" w:fill="EEEEEE"/>
          </w:tcPr>
          <w:p>
            <w:pPr>
              <w:spacing w:after="0"/>
              <w:rPr>
                <w:sz w:val="13"/>
                <w:szCs w:val="13"/>
                <w:color w:val="auto"/>
              </w:rPr>
            </w:pPr>
          </w:p>
        </w:tc>
        <w:tc>
          <w:tcPr>
            <w:tcW w:w="480" w:type="dxa"/>
            <w:vAlign w:val="bottom"/>
            <w:tcBorders>
              <w:top w:val="single" w:sz="8" w:color="auto"/>
              <w:bottom w:val="single" w:sz="8" w:color="auto"/>
            </w:tcBorders>
            <w:shd w:val="clear" w:color="auto" w:fill="EEEEEE"/>
          </w:tcPr>
          <w:p>
            <w:pPr>
              <w:spacing w:after="0"/>
              <w:rPr>
                <w:sz w:val="13"/>
                <w:szCs w:val="13"/>
                <w:color w:val="auto"/>
              </w:rPr>
            </w:pPr>
          </w:p>
        </w:tc>
        <w:tc>
          <w:tcPr>
            <w:tcW w:w="4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12.3%</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(727</w:t>
            </w:r>
          </w:p>
        </w:tc>
        <w:tc>
          <w:tcPr>
            <w:tcW w:w="320" w:type="dxa"/>
            <w:vAlign w:val="bottom"/>
            <w:tcBorders>
              <w:top w:val="single" w:sz="8" w:color="EEEEEE"/>
              <w:bottom w:val="single" w:sz="8" w:color="EEEEEE"/>
            </w:tcBorders>
            <w:shd w:val="clear" w:color="auto" w:fill="EEEEEE"/>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5,414</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internet data center, CATV,FTTH and Telecom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2016 and 2015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4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Borders>
              <w:bottom w:val="single" w:sz="8" w:color="EEEEEE"/>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Borders>
              <w:top w:val="single" w:sz="8" w:color="auto"/>
              <w:bottom w:val="single" w:sz="8" w:color="EEEEEE"/>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Borders>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Borders>
              <w:top w:val="single" w:sz="8" w:color="auto"/>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1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6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74.7%</w:t>
            </w: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59.7%</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75.9%</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7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Telecom</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7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0.5%</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EEEEEE"/>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3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5"/>
                <w:szCs w:val="15"/>
                <w:color w:val="auto"/>
              </w:rPr>
            </w:pPr>
          </w:p>
        </w:tc>
        <w:tc>
          <w:tcPr>
            <w:tcW w:w="13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1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top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top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62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CATV</w:t>
            </w:r>
          </w:p>
        </w:tc>
        <w:tc>
          <w:tcPr>
            <w:tcW w:w="140" w:type="dxa"/>
            <w:vAlign w:val="bottom"/>
            <w:tcBorders>
              <w:top w:val="single" w:sz="8" w:color="auto"/>
            </w:tcBorders>
            <w:shd w:val="clear" w:color="auto" w:fill="EEEEEE"/>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9,521</w:t>
            </w:r>
          </w:p>
        </w:tc>
        <w:tc>
          <w:tcPr>
            <w:tcW w:w="36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16,428</w:t>
            </w:r>
          </w:p>
        </w:tc>
        <w:tc>
          <w:tcPr>
            <w:tcW w:w="34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(6,907)</w:t>
            </w:r>
          </w:p>
        </w:tc>
        <w:tc>
          <w:tcPr>
            <w:tcW w:w="34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spacing w:after="0"/>
              <w:rPr>
                <w:sz w:val="12"/>
                <w:szCs w:val="12"/>
                <w:color w:val="auto"/>
              </w:rPr>
            </w:pPr>
          </w:p>
        </w:tc>
        <w:tc>
          <w:tcPr>
            <w:tcW w:w="7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(42.0%)</w:t>
            </w:r>
          </w:p>
        </w:tc>
        <w:tc>
          <w:tcPr>
            <w:tcW w:w="3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17,252</w:t>
            </w:r>
          </w:p>
        </w:tc>
        <w:tc>
          <w:tcPr>
            <w:tcW w:w="3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28,442</w:t>
            </w:r>
          </w:p>
        </w:tc>
        <w:tc>
          <w:tcPr>
            <w:tcW w:w="3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(11,190)</w:t>
            </w:r>
          </w:p>
        </w:tc>
        <w:tc>
          <w:tcPr>
            <w:tcW w:w="32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spacing w:after="0"/>
              <w:rPr>
                <w:sz w:val="12"/>
                <w:szCs w:val="12"/>
                <w:color w:val="auto"/>
              </w:rPr>
            </w:pPr>
          </w:p>
        </w:tc>
        <w:tc>
          <w:tcPr>
            <w:tcW w:w="6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(39.3%)</w:t>
            </w:r>
          </w:p>
        </w:tc>
        <w:tc>
          <w:tcPr>
            <w:tcW w:w="100" w:type="dxa"/>
            <w:vAlign w:val="bottom"/>
            <w:tcBorders>
              <w:top w:val="single" w:sz="8" w:color="EEEEEE"/>
            </w:tcBorders>
            <w:gridSpan w:val="2"/>
            <w:shd w:val="clear" w:color="auto" w:fill="EEEEEE"/>
          </w:tcPr>
          <w:p>
            <w:pPr>
              <w:spacing w:after="0"/>
              <w:rPr>
                <w:sz w:val="12"/>
                <w:szCs w:val="12"/>
                <w:color w:val="auto"/>
              </w:rPr>
            </w:pPr>
          </w:p>
        </w:tc>
      </w:tr>
      <w:tr>
        <w:trPr>
          <w:trHeight w:val="149"/>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Center</w:t>
            </w: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41,280</w:t>
            </w:r>
          </w:p>
        </w:tc>
        <w:tc>
          <w:tcPr>
            <w:tcW w:w="2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29,610</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80,260</w:t>
            </w:r>
          </w:p>
        </w:tc>
        <w:tc>
          <w:tcPr>
            <w:tcW w:w="2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45,926</w:t>
            </w:r>
          </w:p>
        </w:tc>
        <w:tc>
          <w:tcPr>
            <w:tcW w:w="14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34,334</w:t>
            </w:r>
          </w:p>
        </w:tc>
        <w:tc>
          <w:tcPr>
            <w:tcW w:w="2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80" w:type="dxa"/>
            <w:vAlign w:val="bottom"/>
          </w:tcPr>
          <w:p>
            <w:pPr>
              <w:spacing w:after="0"/>
              <w:rPr>
                <w:sz w:val="12"/>
                <w:szCs w:val="12"/>
                <w:color w:val="auto"/>
              </w:rPr>
            </w:pPr>
          </w:p>
        </w:tc>
      </w:tr>
      <w:tr>
        <w:trPr>
          <w:trHeight w:val="149"/>
        </w:trPr>
        <w:tc>
          <w:tcPr>
            <w:tcW w:w="16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FTTH</w:t>
            </w:r>
          </w:p>
        </w:tc>
        <w:tc>
          <w:tcPr>
            <w:tcW w:w="140" w:type="dxa"/>
            <w:vAlign w:val="bottom"/>
            <w:shd w:val="clear" w:color="auto" w:fill="EEEEEE"/>
          </w:tcPr>
          <w:p>
            <w:pPr>
              <w:spacing w:after="0"/>
              <w:rPr>
                <w:sz w:val="12"/>
                <w:szCs w:val="12"/>
                <w:color w:val="auto"/>
              </w:rPr>
            </w:pPr>
          </w:p>
        </w:tc>
        <w:tc>
          <w:tcPr>
            <w:tcW w:w="7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3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1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(851)</w:t>
            </w:r>
          </w:p>
        </w:tc>
        <w:tc>
          <w:tcPr>
            <w:tcW w:w="24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6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20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1,409</w:t>
            </w:r>
          </w:p>
        </w:tc>
        <w:tc>
          <w:tcPr>
            <w:tcW w:w="1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240" w:type="dxa"/>
            <w:vAlign w:val="bottom"/>
            <w:shd w:val="clear" w:color="auto" w:fill="EEEEEE"/>
          </w:tcPr>
          <w:p>
            <w:pPr>
              <w:spacing w:after="0"/>
              <w:rPr>
                <w:sz w:val="12"/>
                <w:szCs w:val="12"/>
                <w:color w:val="auto"/>
              </w:rPr>
            </w:pPr>
          </w:p>
        </w:tc>
        <w:tc>
          <w:tcPr>
            <w:tcW w:w="78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(39.2%)</w:t>
            </w:r>
          </w:p>
        </w:tc>
      </w:tr>
      <w:tr>
        <w:trPr>
          <w:trHeight w:val="149"/>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Telecom</w:t>
            </w: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3,563</w:t>
            </w:r>
          </w:p>
        </w:tc>
        <w:tc>
          <w:tcPr>
            <w:tcW w:w="2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2,082</w:t>
            </w:r>
          </w:p>
        </w:tc>
        <w:tc>
          <w:tcPr>
            <w:tcW w:w="14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1,481</w:t>
            </w:r>
          </w:p>
        </w:tc>
        <w:tc>
          <w:tcPr>
            <w:tcW w:w="24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6,641</w:t>
            </w:r>
          </w:p>
        </w:tc>
        <w:tc>
          <w:tcPr>
            <w:tcW w:w="20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3,789</w:t>
            </w:r>
          </w:p>
        </w:tc>
        <w:tc>
          <w:tcPr>
            <w:tcW w:w="14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2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80" w:type="dxa"/>
            <w:vAlign w:val="bottom"/>
          </w:tcPr>
          <w:p>
            <w:pPr>
              <w:spacing w:after="0"/>
              <w:rPr>
                <w:sz w:val="12"/>
                <w:szCs w:val="12"/>
                <w:color w:val="auto"/>
              </w:rPr>
            </w:pPr>
          </w:p>
        </w:tc>
      </w:tr>
      <w:tr>
        <w:trPr>
          <w:trHeight w:val="162"/>
        </w:trPr>
        <w:tc>
          <w:tcPr>
            <w:tcW w:w="162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EEEEEE"/>
          </w:tcPr>
          <w:p>
            <w:pPr>
              <w:spacing w:after="0"/>
              <w:rPr>
                <w:sz w:val="14"/>
                <w:szCs w:val="14"/>
                <w:color w:val="auto"/>
              </w:rPr>
            </w:pP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3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7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34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8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34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101.8%</w:t>
            </w:r>
          </w:p>
        </w:tc>
        <w:tc>
          <w:tcPr>
            <w:tcW w:w="160" w:type="dxa"/>
            <w:vAlign w:val="bottom"/>
            <w:shd w:val="clear" w:color="auto" w:fill="EEEEEE"/>
          </w:tcPr>
          <w:p>
            <w:pPr>
              <w:spacing w:after="0"/>
              <w:rPr>
                <w:sz w:val="14"/>
                <w:szCs w:val="14"/>
                <w:color w:val="auto"/>
              </w:rPr>
            </w:pPr>
          </w:p>
        </w:tc>
        <w:tc>
          <w:tcPr>
            <w:tcW w:w="10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666</w:t>
            </w:r>
          </w:p>
        </w:tc>
        <w:tc>
          <w:tcPr>
            <w:tcW w:w="20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366</w:t>
            </w:r>
          </w:p>
        </w:tc>
        <w:tc>
          <w:tcPr>
            <w:tcW w:w="240" w:type="dxa"/>
            <w:vAlign w:val="bottom"/>
            <w:shd w:val="clear" w:color="auto" w:fill="EEEEEE"/>
          </w:tcPr>
          <w:p>
            <w:pPr>
              <w:spacing w:after="0"/>
              <w:rPr>
                <w:sz w:val="14"/>
                <w:szCs w:val="14"/>
                <w:color w:val="auto"/>
              </w:rPr>
            </w:pPr>
          </w:p>
        </w:tc>
        <w:tc>
          <w:tcPr>
            <w:tcW w:w="7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shd w:val="clear" w:color="auto" w:fill="EEEEEE"/>
          </w:tcPr>
          <w:p>
            <w:pPr>
              <w:spacing w:after="0"/>
              <w:rPr>
                <w:sz w:val="14"/>
                <w:szCs w:val="14"/>
                <w:color w:val="auto"/>
              </w:rPr>
            </w:pPr>
          </w:p>
        </w:tc>
      </w:tr>
      <w:tr>
        <w:trPr>
          <w:trHeight w:val="156"/>
        </w:trPr>
        <w:tc>
          <w:tcPr>
            <w:tcW w:w="162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55,254</w:t>
            </w:r>
          </w:p>
        </w:tc>
        <w:tc>
          <w:tcPr>
            <w:tcW w:w="3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49,632</w:t>
            </w:r>
          </w:p>
        </w:tc>
        <w:tc>
          <w:tcPr>
            <w:tcW w:w="3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5,622</w:t>
            </w:r>
          </w:p>
        </w:tc>
        <w:tc>
          <w:tcPr>
            <w:tcW w:w="3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11.3%</w:t>
            </w: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105,676</w:t>
            </w:r>
          </w:p>
        </w:tc>
        <w:tc>
          <w:tcPr>
            <w:tcW w:w="3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79,866</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25,810</w:t>
            </w:r>
          </w:p>
        </w:tc>
        <w:tc>
          <w:tcPr>
            <w:tcW w:w="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Growth in the three months ended June 30, 2016 was driven primarily by increasing revenue from our internet data center customers, and we also anticipate that our revenue derived from this market will continue to increase as a percentage of our revenue as we further penetrate and extend our products into this market.</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the second quarter of 2016 and six months ended June 30, 2016, revenues in the internet data center market were driven primarily by increasing demand for our 40 gigabits per second and 100 Gbps transceivers as our customers continued to upgrade their technology infrastructure, partially offset by a decrease in demand for our older 10G products. The increase in revenue in our FTTH market is due to an increase in demand for older legacy products. Demand for these legacy products is expected to fluctuate. The decrease in revenues in the CATV market for the year was a result of lower demand from certain customers who resold our product into foreign markets where currencies had weakened.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2016 and 2015, our top ten customers represented 91.6% and 91.5% of our revenue,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37,952</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68.7%</w:t>
            </w:r>
          </w:p>
        </w:tc>
        <w:tc>
          <w:tcPr>
            <w:tcW w:w="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32,901</w:t>
            </w: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5,051</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17,302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16,731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571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54"/>
        </w:trPr>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74,121</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70.1%</w:t>
            </w:r>
          </w:p>
        </w:tc>
        <w:tc>
          <w:tcPr>
            <w:tcW w:w="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53,084</w:t>
            </w: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21,037</w:t>
            </w:r>
          </w:p>
        </w:tc>
        <w:tc>
          <w:tcPr>
            <w:tcW w:w="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31,555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26,782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4,773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21" w:name="page22"/>
    <w:bookmarkEnd w:id="21"/>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Cost of goods sold increased by $5.1 million, or 15.4%, for the three months ended June 30, 2016, as compared to the three months ended June 30, 2015, primarily due to a 66.3% increase in sales over the prior year. The decrease in gross margin for the three and six months ended June 30, 2016 compared to the same periods ended June 30, 2015 was primarily the result of higher production costs associated with certain 40G and 100G products, along with lower pricing on some of these products. Also, the reduction in revenue from our CATV segment during the second quarter of 2016 contributed to the reduction in gross margin in the period.</w:t>
      </w:r>
    </w:p>
    <w:p>
      <w:pPr>
        <w:sectPr>
          <w:pgSz w:w="11900" w:h="16838" w:orient="portrait"/>
          <w:cols w:equalWidth="0" w:num="1">
            <w:col w:w="11420"/>
          </w:cols>
          <w:pgMar w:left="240" w:top="796" w:right="2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7"/>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-599440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-325120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8680"/>
          </w:cols>
          <w:pgMar w:left="240" w:top="796" w:right="2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16,210</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gridSpan w:val="2"/>
            <w:shd w:val="clear" w:color="auto" w:fill="EEEEEE"/>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6,704</w:t>
            </w: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EEEEEE"/>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3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2,102</w:t>
            </w:r>
          </w:p>
        </w:tc>
        <w:tc>
          <w:tcPr>
            <w:tcW w:w="3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EEEEEE"/>
          </w:tcPr>
          <w:p>
            <w:pPr>
              <w:spacing w:after="0"/>
              <w:rPr>
                <w:sz w:val="19"/>
                <w:szCs w:val="19"/>
                <w:color w:val="auto"/>
              </w:rPr>
            </w:pPr>
          </w:p>
        </w:tc>
      </w:tr>
      <w:tr>
        <w:trPr>
          <w:trHeight w:val="22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increased by $3.1 million, or 66.2%, for the three months ended June 30, 2016 as compared to the three months ended June 30, 2015. For the six months ended June 30, 2016, research and development expense increased $6.7 million, or 70.5% as compared to the six months ended June 30, 2015. This increase was primarily due to increases in personnel costs, R&amp;D work orders, R&amp;D material usage and other project costs related to 40G and 100G data center products, DOCSIS 3.1-capable CATV products, including remote-PHY products, and other new product development, and an increase in depreciation expense resulting from additional R&amp;D equipment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remained unchanged for the three months ended June 30, 2016 as compared to the three months ended June 30, 2015. For the six months ended June 30, 2016, sales and marketing expense increased $0.1 million as compared to the six months ended June 30, 2015. This increase was due to an increase in personnel costs offset by a decrease in commissions paid to sales personnel.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$1.4 million, or 30.3%, for the three months ended June 30, 2016 compared to the three months ended June 30, 2015. For the six months ended June 30, 2016, general and administrative expense increased by $2.1 million, or 22.0% as compared to the six months ended June 30, 2015. This was primarily due to an increase in personnel costs, professional fees and share-based compensation.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30"/>
        </w:trPr>
        <w:tc>
          <w:tcPr>
            <w:tcW w:w="2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(1,487)</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(267.9%)</w:t>
            </w:r>
          </w:p>
        </w:tc>
      </w:tr>
      <w:tr>
        <w:trPr>
          <w:trHeight w:val="178"/>
        </w:trPr>
        <w:tc>
          <w:tcPr>
            <w:tcW w:w="2580" w:type="dxa"/>
            <w:vAlign w:val="bottom"/>
          </w:tcPr>
          <w:p>
            <w:pPr>
              <w:ind w:left="200"/>
              <w:spacing w:after="0" w:line="178" w:lineRule="exact"/>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(1,652)</w:t>
            </w:r>
          </w:p>
        </w:tc>
        <w:tc>
          <w:tcPr>
            <w:tcW w:w="3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(493.1%)</w:t>
            </w: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EEEEEE"/>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8"/>
                <w:szCs w:val="18"/>
                <w:color w:val="auto"/>
              </w:rPr>
            </w:pPr>
          </w:p>
        </w:tc>
      </w:tr>
      <w:tr>
        <w:trPr>
          <w:trHeight w:val="230"/>
        </w:trPr>
        <w:tc>
          <w:tcPr>
            <w:tcW w:w="2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3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(1,845)</w:t>
            </w:r>
          </w:p>
        </w:tc>
        <w:tc>
          <w:tcPr>
            <w:tcW w:w="30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(148.0%)</w:t>
            </w:r>
          </w:p>
        </w:tc>
      </w:tr>
      <w:tr>
        <w:trPr>
          <w:trHeight w:val="178"/>
        </w:trPr>
        <w:tc>
          <w:tcPr>
            <w:tcW w:w="2580" w:type="dxa"/>
            <w:vAlign w:val="bottom"/>
          </w:tcPr>
          <w:p>
            <w:pPr>
              <w:ind w:left="200"/>
              <w:spacing w:after="0" w:line="178" w:lineRule="exact"/>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2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2"/>
                <w:szCs w:val="22"/>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(2,259)</w:t>
            </w:r>
          </w:p>
        </w:tc>
        <w:tc>
          <w:tcPr>
            <w:tcW w:w="3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(231.5%)</w:t>
            </w: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income decreased 18.8% for the three months ended June 30, 2016 as compared to the three months ended June 30, 2015 due to lower cash balances during the period. Interest income increased 7.8% for the six months ended June 30, 2016 as compared to the six months ended June 30, 2015 due to higher cash balances during the period.</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50.0% for the three months ended June 30, 2016 as compared to the three months ended June 30, 2015 and increased 100.2% for the six months ended June 30, 2016 as compared to the six months ended June 30, 2015. This was due to borrowing activities to fund the expansion projects, including the expansion of our Sugar Land facility.</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Other income (expense) decreased by $1.5 million for the three months ended June 30, 2016 compared to the same period of the prior year due to unrealized losses resulting from the fluctuation of Asia currencies against the U.S. dollar. Other income (expense) decreased by $1.8 million for the six months ended June 30, 2016 as compared to the six months ended June 30, 2015 due to realized losses resulting from the fluctuation of Asia currencies against the U.S. dollar. We qualify as a high-tech enterprise in China, as determined by the Chinese government, and are paid subsidies from time to time by the Chinese government to foster local high-tech manufacturing. We received a marginal amount of subsidies in the three or six months ended June 30, 2016 compared to $0.0 and $0.2 million for the same periods in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14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r>
      <w:tr>
        <w:trPr>
          <w:trHeight w:val="473"/>
        </w:trPr>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140" w:type="dxa"/>
            <w:vAlign w:val="bottom"/>
            <w:shd w:val="clear" w:color="auto" w:fill="EEEEEE"/>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(275)</w:t>
            </w:r>
          </w:p>
        </w:tc>
        <w:tc>
          <w:tcPr>
            <w:tcW w:w="10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(203.7%)</w:t>
            </w: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income tax benefit (expense) consists of U.S. alternative minimum tax, state taxes and Taiwan income tax recorded during the periods. Due to historic losses in the U.S., our net deferred tax assets are fully offset by a deferred tax valuation allowance.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063"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From inception until our initial public offering, we financed our operations through private sales of equity securities, cash generated from operations and from various lending arrangements. As of June 30, 2016, we had $36.1 million of unused borrowing capacity from all of our loan agreements. As of June 30, 2016, our cash, cash equivalents, restricted cash and short-term investments totaled $47.3 million. Cash and cash equivalents are held for working capital purposes and are invested primarily in money market or time deposit funds. We do not enter into investments for trading or speculative purposes.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90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r>
      <w:tr>
        <w:trPr>
          <w:trHeight w:val="210"/>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20" w:type="dxa"/>
            <w:vAlign w:val="bottom"/>
            <w:shd w:val="clear" w:color="auto" w:fill="EEEEEE"/>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(11,425)</w:t>
            </w:r>
          </w:p>
        </w:tc>
        <w:tc>
          <w:tcPr>
            <w:tcW w:w="120" w:type="dxa"/>
            <w:vAlign w:val="bottom"/>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(26,410)</w:t>
            </w:r>
          </w:p>
        </w:tc>
        <w:tc>
          <w:tcPr>
            <w:tcW w:w="10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(23,170)</w:t>
            </w: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18,356</w:t>
            </w:r>
          </w:p>
        </w:tc>
        <w:tc>
          <w:tcPr>
            <w:tcW w:w="10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30,879</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0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10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9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20" w:type="dxa"/>
            <w:vAlign w:val="bottom"/>
            <w:tcBorders>
              <w:top w:val="single" w:sz="8" w:color="auto"/>
              <w:bottom w:val="single" w:sz="8" w:color="auto"/>
            </w:tcBorders>
            <w:shd w:val="clear" w:color="auto" w:fill="EEEEEE"/>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2016, net cash provided by operating activities was $22.1 million. During the six months ended June 30, 2016, we recorded a net loss of $0.7 million. The net loss included non-cash charges, including depreciation and amortization of $6.2 million, share-based compensation expense of $1.8 million and non-cash increases to our inventory reserve account of $1.8 million. Cash provided by operating activities primarily related to a $4.7 million decrease in inventory related to sales orders, cash provided by the increase of accounts payable to our vendors of $4.9 million and cash provided by the increase in accrued expenses of $2.3 million. These increases were offset by an increase in our accounts receivable of $2.8 million from the sale of our products in excess of collection of trade receivables.</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2015, net cash used in operating activities was $11.4 million. During the six months ended June 30, 2015, we recorded net income of $5.4 million. The net income included non-cash charges, including depreciation and amortization of $4.3 million, share-based compensation and warrant expense of $1.0 million and non-cash increases to our inventory reserve account of $1.3 million. Cash used in operating activities primarily related to an increase in inventory related to sales orders, an increase in our accounts receivable from the sale of our products, and an offset by cash provided by an increase in accounts payable to our vendors.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2016, net cash used in investing activities was $26.4 million mainly for the purchase of additional machinery and equipment and investment in construction of our U.S. plant of $33.8 million, offset by the maturity of short term investments of $7.8 million.</w:t>
      </w:r>
    </w:p>
    <w:p>
      <w:pPr>
        <w:spacing w:after="0" w:line="162"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2015, net cash used in investing activities was $23.2 million, $17.4 million for the purchase of additional machinery and equipment and investment in construction of our U.S. plant and $5.1 million used to increase restricted cash related to an escrow account required for construction.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2"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2016, our financing activities provided $19.0 million in cash. We received $20.0 million in net borrowings associated with our bank loans, offset by $0.4 million of net repayments of acceptance payable and $0.5 million repayment of notes payable and $0.2 million in increase to restricted cash.</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2015, our financing activities provided $30.1 million in cash. We received $31.6 million in net borrowings associated with our bank loans, $1.4 million in net proceeds from acceptance payable, offset by increased restricted cash of $2.0 million related to our bank loan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a revolving line of credit and a term loan with East West Bank and Comerica Bank in the U.S., lines of credit and financing agreements for our Taiwan branch and several lines of credit arrangements for our China subsidiary. As of June 30, 2016, we had $36.1 million of unused borrowing capacity.</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June 24, 2016, we entered into a First Amendment to its Credit Agreement with East West Bank and Comerica Bank (“First Amendment”), a second lien deed of trust, multiple security agreements and promissory notes evidencing two credit facilities and a term loan originally entered into on June 30, 2015. The first amendment increased our revolving lines of credit from $25 million to $40 million, which mature on June 30, 2018, and retains a $10.0 million term loan maturing on June 30, 2020. The First Amendment also provides for an additional $10.0 million equipment term loan with a one year drawdown period commending April 1, 2016, maturing five years from the closing date of the First Amendment. The interest rate on these loans was lowered by the First Amendment from the LIBOR Borrowing Rate plus 2.75% or 3.0% to LIBOR Borrowing Rate plus 2.0%. As of June 30, 2016, $25.9 million was outstanding under the revolving line of credit. As of June 30, 2016, $10.0 million was outstanding under the term loans.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also have with East West Bank a term loan of $5.0 million with monthly payments of principal and interest that matures on July 31, 2019. As of June 30, 2016, the outstanding balance was $3.6 million.</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June 24, 2016, we executed a Change in Terms Agreement, Notice of Final Agreement and Modification of the Construction Loan Agreement (“Amended Agreements”) to our Construction Loan Agreement with East West Bank for up to $22.0 million dollars to finance the construction of our campus expansion plan in Sugar Land, Texas, originally dated January 26, 2015. Upon signing the original Construction Loan Agreement, we deposited $11.0 million into a restricted bank account for owner’s contribution of construction costs. The Amended Agreements have a fifteen 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is due on August 26, 2016, and will continue the same day of each month thereafter. The final principal and interest payment is due on January 26, 2022 and will include all unpaid principal and all accrued and unpaid interest. We may pay without penalty all or a portion of the amount owed earlier than due. Under the Construction Loan Agreement, the loan bears interest at an annual rate based on the one-month LIBOR Borrowing Rate plus 2.75%, and the interest rate is reduced to LIBOR Borrowing Rate plus 2.0% under the Amended Agreements. As of June 30, 2016, there was $17.8 million outstanding under this loan agreement and there was zero balance in the restricted bank account.</w:t>
      </w:r>
    </w:p>
    <w:p>
      <w:pPr>
        <w:spacing w:after="0" w:line="19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loan and security agreements with East West Bank and Comerica Bank require the Company to maintain certain financial covenants, including a minimum cash balance, a current ratio, a maximum leverage ratio and a minimum fixed charge coverage ratio. As of June 30, 2016, we were in compliance with all covenants contained in these agreements.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February 19, 2016, our Taiwan branch renewed and increased its credit facility originally dated January 6, 2015 with CTBC Bank Co. Ltd. in Taipei, Taiwan for 320 million New Taiwan dollars, or approximately $10.3 million, one year revolving credit facility. The obligations under the credit facility are unsecured up to $6.3 million; the remaining $4.0 million is available provided that we purchase the same amount of secured certificates of deposit with the bank. Borrowings under the credit facility bear interest at a rate based on the bank’s corporate interest rate index plus 1.5% for the unsecured portion of the credit facility and bank’s corporate interest rate index plus 0.93% for the secured portion of the credit facility, adjusted monthly. As of the execution of the credit facility, the bank’s corporate interest rate index is 0.71%. As of June 30, 2016, no balance was outstanding for the secured loan and $0.1 million was outstanding under this unsecured credit facility.</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April 8, 2016, our Taiwan branch renewed its 90 million New Taiwan dollars, or approximately $2.8 million, and 120 million New Taiwan dollars, or approximately $3.9 million, one year revolving credit facilities, originally dated March 9, 2015, with E. Sun Commercial Bank Co., Ltd. in Taipei, Taiwan. Borrowings under the 90 million New Taiwan dollars credit facility will bear interest at a rate equal to the London Interbank Offered Rate (LIBOR) plus 1.7% divided by 0.946. We paid off the 90 million New Taiwan dollars loan as of June 30, 2016. Any future borrowings under the 90 million New Taiwan dollars credit facility are available provided that we purchase certificates of deposit in amounts equal to the borrowing from the bank. Borrowings under the 120 million New Taiwan dollars credit facility will bear interest at a rate equal to the bank’s personal monthly time deposit interest rate plus 0.480%. As of June 30, 2016, $1.2 million was outstanding under this credit facility.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25" w:name="page26"/>
    <w:bookmarkEnd w:id="25"/>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On December 22, 2015, our Taiwan branch renewed its $4.0 million credit facility, originally dated December 20, 2013, and entered into a $2.0 million, one year revolving credit facility agreement with Mega International Commercial Bank (“Mega Bank”). Obligations under the $4.0 million credit facility are provided that we purchase certificates of deposit in amounts equal to the borrowing from Mega Bank. Borrowings under the $4.0 million credit facility bear interest at a rate not less than the LIBOR borrowing rate plus 1.0%, divided by 0.946 for U.S. and other currency borrowings; New Taiwan dollars borrowings bear interest at a rate equal to the bank’s base lending rate plus 0.76%. Borrowings under the $2.0 million credit facility bear interest at a rate not less than the LIBOR borrowing rate plus 1.2%, divided by 0.946 for U.S. dollar borrowings; New Taiwan dollars borrowings bear interest at a rate equal to the bank’s base lending rate plus 0.76% but shall not be less than 1.90%; and other currency borrowings shall bear interest at a rate at the bank’s based lending rate plus 1.0%, divided by 0.946. As of June 30, 2016, $2.0 million was outstanding under this unsecured credit facility and no balance was outstanding under the $4.0 million credit facility.</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April 22, 2016, our Taiwan branch entered into a Comprehensive Credit Line Agreement originally dated April 1, 2015, with the Taipei branch of China Construction Bank, providing a revolving credit line of $10 million, maturing on March 15, 2017. Borrowings under the Comprehensive Credit Line Agreement are secured by a standby letter of credit issued by the China branch of the bank under existing agreements between the bank and our China subsidiary. Borrowings under the Comprehensive Credit Line Agreement reduce the amounts available under the existing credit line between the bank and the Company’s China subsidiary and cannot exceed 97% of the amount of the standby letter of credit issued by the China branch of the bank. Borrowings under the Comprehensive Credit Line Agreement bear interest at a rate negotiated separately for each drawing depending on the nature of the borrowings. As of June 30, 2016, $9.6 million was outstanding under this credit facility with interest rates ranging from 1.87% to 1.99%.</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June 30, 2015, our Taiwan branch entered into a Purchase and Sale Contract and a Finance Lease Agreement with Chailease Finance Co, Ltd. (“Chailease”) in connection with certain equipment, structured as a sale lease-back transaction. Pursuant to the sale contract, our Taiwan branch sold certain equipment to Chailease for a purchase price of 115,240,903 New Taiwan dollars, approximately $3.7 million, and simultaneously leased the equipment back from Chailease pursuant to the Finance Lease Agreement. The monthly lease payments range from 2,088,804 New Taiwan dollars, approximately $0.1 million, to 2,364,650 New Taiwan dollars, approximately $0.1 million, during the term of the Finance Lease Agreement, including an initial payment in an amount of 40,240,903 New Taiwan dollars, approximately $1.3 million. The Finance Lease Agreement has a three year term, with monthly payments, maturing on May 27 and June 30, 2018 respectively. The title to the equipment will be transferred to our Taiwan branch upon the expiration of the Finance Lease Agreement. As of June 30, 2016, $3.9 million was outstanding under this Finance Lease Agreement.</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approximately $10.1 million and simultaneously leased the equipment back from Chailease pursuant to the Finance Lease Agreement. The Finance Lease Agreement has a three 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our Taiwan branch upon the expiration of the Finance Lease Agreement. As of June 30, 2016, $7.1 million was outstanding under this Finance Lease Agreement.</w:t>
      </w:r>
    </w:p>
    <w:p>
      <w:pPr>
        <w:spacing w:after="0" w:line="18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As of June 30, 2016, our Chinese subsidiary had credit facilities with China Construction Bank totaling $13.4 million, which can be drawn in U.S. currency, RMB currency, issuing bank acceptance notes to vendors with different interest rates or issuing standby letters of credit. As of June 30, 2016, our Chinese subsidiary used $10.0 million of its credit facility and issued standby letters of credit as collateral for the Company’s Taiwan branch line of credit with China Construction Bank. As of June 30, 2016, our Chinese subsidiary had a U.S. currency based loan of $3.7 million outstanding under various notes with three-month terms, maturing from August to September 2016 with effective interest rate of 3.15%. The outstanding balances of bank acceptance notes issued to vendors were $2.4 million with zero interest rate as of June 30, 2016.</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2016, there was $4.9 million of restricted cash, investments or security deposit associated mainly with the loan facilities.</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6" w:name="page27"/>
    <w:bookmarkEnd w:id="26"/>
    <w:p>
      <w:pPr>
        <w:ind w:firstLine="648"/>
        <w:spacing w:after="0" w:line="258" w:lineRule="auto"/>
        <w:rPr>
          <w:sz w:val="20"/>
          <w:szCs w:val="20"/>
          <w:color w:val="auto"/>
        </w:rPr>
      </w:pPr>
      <w:r>
        <w:rPr>
          <w:rFonts w:ascii="Times New Roman" w:cs="Times New Roman" w:eastAsia="Times New Roman" w:hAnsi="Times New Roman"/>
          <w:sz w:val="18"/>
          <w:szCs w:val="18"/>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June 30, 2016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Less than 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Borders>
              <w:bottom w:val="single" w:sz="8" w:color="EE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36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2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Borders>
              <w:bottom w:val="single" w:sz="8" w:color="EEEEEE"/>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shd w:val="clear" w:color="auto" w:fill="EEEEEE"/>
          </w:tcPr>
          <w:p>
            <w:pPr>
              <w:spacing w:after="0" w:line="236" w:lineRule="exact"/>
              <w:rPr>
                <w:sz w:val="20"/>
                <w:szCs w:val="20"/>
                <w:color w:val="auto"/>
              </w:rPr>
            </w:pPr>
            <w:r>
              <w:rPr>
                <w:rFonts w:ascii="Times New Roman" w:cs="Times New Roman" w:eastAsia="Times New Roman" w:hAnsi="Times New Roman"/>
                <w:sz w:val="17"/>
                <w:szCs w:val="17"/>
                <w:color w:val="auto"/>
              </w:rPr>
              <w:t>Bank acceptance payable and long-term debt</w:t>
            </w:r>
            <w:r>
              <w:rPr>
                <w:rFonts w:ascii="Times New Roman" w:cs="Times New Roman" w:eastAsia="Times New Roman" w:hAnsi="Times New Roman"/>
                <w:sz w:val="27"/>
                <w:szCs w:val="27"/>
                <w:color w:val="auto"/>
                <w:vertAlign w:val="superscript"/>
              </w:rPr>
              <w:t>(1)</w:t>
            </w:r>
          </w:p>
        </w:tc>
        <w:tc>
          <w:tcPr>
            <w:tcW w:w="260" w:type="dxa"/>
            <w:vAlign w:val="bottom"/>
            <w:shd w:val="clear" w:color="auto" w:fill="EEEEEE"/>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87,303</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31,263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35,673</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5,229</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15,138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30"/>
                <w:szCs w:val="30"/>
                <w:color w:val="auto"/>
                <w:vertAlign w:val="superscript"/>
              </w:rPr>
              <w:t>(2)</w:t>
            </w:r>
          </w:p>
        </w:tc>
        <w:tc>
          <w:tcPr>
            <w:tcW w:w="26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12,816</w:t>
            </w:r>
          </w:p>
        </w:tc>
        <w:tc>
          <w:tcPr>
            <w:tcW w:w="160" w:type="dxa"/>
            <w:vAlign w:val="bottom"/>
          </w:tcPr>
          <w:p>
            <w:pPr>
              <w:spacing w:after="0"/>
              <w:rPr>
                <w:sz w:val="23"/>
                <w:szCs w:val="23"/>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2,727</w:t>
            </w:r>
          </w:p>
        </w:tc>
        <w:tc>
          <w:tcPr>
            <w:tcW w:w="18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100,119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32,138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38,400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right="280" w:hanging="352"/>
        <w:spacing w:after="0" w:line="261"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various non-cancellable operating lease agreements for our offices in Taiwan and the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31"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2016, we did not, and we do not currently,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2015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following the fifth anniversary of the date of its initial public offering of common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in which it has annual gross revenue of $1.0 billion or more;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during the previous three-year period, issued more than $1.0 billion in non-convertible debt; and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the Company, see Item 7A – Quantitative and Qualitative Disclosures about Market Risk in our Annual Report on Form 10-K for the fiscal year ended December 31, 2015. We do not believe the Company’s exposure to market risk has changed materially since December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2016. Based upon that evaluation, our Chief Executive Officer and Chief Financial Officer concluded that, as of the end of the period covered by this report, our disclosure controls and procedures were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2016, we were not involved in any material pending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and all other information contained in this Annual Report on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generate much of our revenue from a limited number of customers. In 2015, 2014 and 2013 and the three and six months ended June 30, 2016, our top ten customers represented 88.7%, 87.2%, 76.9%, 91.6% and 91.5% of our revenue, respectively. In 2015, Amazon represented 52.5% of our revenue, Microsoft represented 11.6% of our revenue, and Cisco represented 10.4%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For example, in January 2016, Arris Group Inc. (“Arris”) completed plans to purchase Pace Plc (“Pace”). Pace and Arris have historically been our customers, and if we fail to achieve historical levels of sales of our products to the new entity, the loss or reduction in sales could have an adverse effect on our business, financial condition, results of operations, and cash flows.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qualify our products for use on a timely basis, our results of operations may suffer.</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negatively impact our results of operations and market share.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markets in which we compete and any future downturn will likely reduce demand for our products and revenue.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product specifications and customer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engineering complexities;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reallocating engineering resources and overcoming resource limitations;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technology or competitive product requirements.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CATV market does not continue to develop as we expect, or if there is any downturn in this market, our business would be adversely affected.</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Historically, we have generated much of our revenue from the CATV market. In 2015, 2014 and 2013, the CATV market represented 28.3%, 36.3% and 60.4%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 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costs and shifts in product mix may adversely impact our gross margins.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1" w:name="page32"/>
    <w:bookmarkEnd w:id="31"/>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expanded to new facilities in our Sugar Land, TX location. These facilities will add significant additional costs and if we fail to adequately utilize the additional production capacity, our results of operations will suffer.</w:t>
      </w:r>
    </w:p>
    <w:p>
      <w:pPr>
        <w:spacing w:after="0" w:line="159"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In 2015, we began construction of two new buildings located immediately adjacent to our existing headquarters building in Sugar Land, TX. The construction of these two new buildings was completed in May, 2016. The estimated cost of construction for these new facilities is approximately $33 million, and we expect to invest significant additional resources to add production equipment to the new facilities. Much of this equipment must be ordered far in advance of its delivery date, and accordingly we must make the decision to purchase equipment long before we see additional orders for our products. While we endeavor to order equipment that is flexible in utilization, if we over-estimate aggregate demand for our products, or if we fail to accurately predict the types of products that customers will demand in the future, we may be forced to under-utilize this equipment, which could result in asset impairment charges, additional costs to reconfigure equipment to be used in other production, or other charges that would negatively affect our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new factory in Sugar Land, TX may experience unforeseen difficulties in commencing operations, or may cost more than we expect to bring online.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completed our new facility in Sugar Land, TX in the second quarter of 2016. We began to utilize the additional production capacity from the new facility in May, 2016; however, not all equipment and facilities in the new building are fully operational. Any delay to our start-up schedule for these new equipment and facilities could cause us to have insufficient production capacity to meet customer orders. If we are unable to produce sufficient products to meet customer demand, it would negatively affect our sales, competitive position and reputation.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in the FTTH market, and our business could be harmed if this market does not develop as we expect.</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2015 and 2014, respectively, we generated 1.3%, and 10.4% of our revenue from the FTTH market. We have only recently begun offering products to the FTTH market, and our WDM-PON products designed for this market have not yet,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gigabit per second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we may lose sales and damage our customer relationships.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in addition to Metal Organic Chemical Vapor Deposition, or MOCVD, the technique most commonly used in optical manufacturing by communications optics vendors, and our Molecular Beam Epitaxy, or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1,960 of our employees as of December 31, 2015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have a substantial accumulated deficit.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history of losses and have a substantial accumulated deficit. In the years ended December 31, 2013 and 2012, we experienced net losses of $1.4 million and $0.9 million, respectively. In 2014 and 2015, we experienced profit of $4.3 million and $10.8 million, respectively. As of December 31, 2015 and 2014, our accumulated deficit was $68.2 million and $79.0 million, respectively. Our losses in past years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quarter-to-quarter due to a number of factors, which may lead to volatility in our stock price.</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size and mix of sales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including the increase, decrease, rescheduling or cancellation of significant customer orders;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and deliver products which meet customer requirements in a timely and cost-effective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enhancements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key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our present and potential customers and end users adopt our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 for certain raw materials and components used in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and variability of the sales cycles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the areas of the world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and unpredictable nature of the markets for products incorporating our solutions;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2" w:right="279" w:bottom="1440" w:gutter="0" w:footer="0" w:header="0"/>
        </w:sectPr>
      </w:pPr>
    </w:p>
    <w:bookmarkStart w:id="33" w:name="page34"/>
    <w:bookmarkEnd w:id="33"/>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to develop and maintain our technology and manage our business in a rapidly changing market.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any supply interruption could have an adverse effect on our business.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outside contract manufacturers for a portion of the manufacturing process for some of our products.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international sales and operations.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 from sales to international customers. In 2015, 2014 and 2013, 19.0%, 29.5% and 41.0%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0"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supporting operations in more than one country;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legal protections for intellectual property in foreign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taxation issues and international trade barriers;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any necessary governmental authorizations for the export of our products to certain foreign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economies;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travel restrictions;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or political changes, hostilities and other disruptions in regions where we currently operate or may operate in the future;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 the jurisdictions in which we currently operate or may operate in the future.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35" w:name="page36"/>
    <w:bookmarkEnd w:id="35"/>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may adversely affect our financial condition and results of operations.</w:t>
      </w:r>
    </w:p>
    <w:p>
      <w:pPr>
        <w:spacing w:after="0" w:line="22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loan agreements with East West Bank and Comerica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East West Bank and Comerica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research and development;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manufacturing capabilities;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technical, sales and other personnel;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complementary businesses.</w:t>
      </w:r>
    </w:p>
    <w:p>
      <w:pPr>
        <w:spacing w:after="0" w:line="20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 and results of operations.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acquired business;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our existing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business relationships with suppliers and customers of the acquired business with our existing business relationships;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little or no prior experience;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organizations.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subject to volatility as a result of exposure to fluctuations in currency exchange rates.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could harm our operations.</w:t>
      </w:r>
    </w:p>
    <w:p>
      <w:pPr>
        <w:spacing w:after="0" w:line="229"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8" w:name="page39"/>
    <w:bookmarkEnd w:id="38"/>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8"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claiming infringement a license to the relevant technology, which may not be available on reasonable terms, or at all;</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incorporating or using our products that use the challenged intellectual property;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w:t>
      </w:r>
    </w:p>
    <w:p>
      <w:pPr>
        <w:ind w:right="600"/>
        <w:spacing w:after="0" w:line="255" w:lineRule="auto"/>
        <w:rPr>
          <w:sz w:val="20"/>
          <w:szCs w:val="20"/>
          <w:color w:val="auto"/>
        </w:rPr>
      </w:pPr>
      <w:r>
        <w:rPr>
          <w:rFonts w:ascii="Times New Roman" w:cs="Times New Roman" w:eastAsia="Times New Roman" w:hAnsi="Times New Roman"/>
          <w:sz w:val="18"/>
          <w:szCs w:val="18"/>
          <w:color w:val="auto"/>
        </w:rPr>
        <w:t>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limited.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2015, we had U.S. accumulated net operating losses, or NOLs, of approximately $50.3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is limited in dollar amount.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affect our results of operation and our business.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and increased expenses and business risk as a result of Restriction on Hazardous Substances, or RoHS directives.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could subject us to penalties and other adverse consequences.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standards and regulations could make our products obsolete, which would cause our revenue and results of operations to suffer.</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 related to conflict minerals could increase costs and affect the manufacturing and sale of our products.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China</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Our business operations conducted in China are critical to our success. A total of $20.6 million, $22.0 million and $31.9 million or 11% 16.9% and 40.6%, of our revenue in the years ended December 31, 2015, 2014 and 2013 was attributable to our product manufacturing plants in China, respectively. Additionally, a substantial portion of our property, plant and equipment, 22% and 26% as of December 31, 2015 and 2014,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5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1" w:name="page42"/>
    <w:bookmarkEnd w:id="41"/>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and expiration or unavailability of our preferential tax treatments in China may have a material adverse effect on our operating results.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2015, 2014, 2013 and 2012. We have not yet realized any benefit from the 10% reduction in income tax rate due to losses incurred by our China subsidiary; however, if we fail to continue to qualify for this preferential rate in the future, we may incur higher tax rates on our income in China. In order to retain the preferential tax rate, we must meet certain operating conditions, satisfy certain product requirements, meet certain headcount requirements and maintain certain levels of research expenditures.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 regulation of loans to and direct investment by offshore holding companies in China entities may delay or prevent us from making loans or additional capital contributions to our China subsidiary.</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China subsidiary is subject to Chinese labor laws and regulations and Chinese labor laws may increase our operating costs in China.</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 w:name="page43"/>
    <w:bookmarkEnd w:id="42"/>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our labor costs in China may adversely affect our business and our profitability.</w:t>
      </w:r>
    </w:p>
    <w:p>
      <w:pPr>
        <w:spacing w:after="0" w:line="22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establishing and maintaining adequate management and financial controls over our China operations.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be volatile.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5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3" w:name="page44"/>
    <w:bookmarkEnd w:id="43"/>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5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currently do not plan to declare or pay dividends on shares of our common stock in the foreseeable future. In addition, the terms of our loan and security agreement with East West Bank and Comerica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7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and</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4" w:name="page45"/>
    <w:bookmarkEnd w:id="44"/>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Employment Agreements with Named Executive Officers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On August 5, 2016, we entered into new employment agreements (the “Employment Agreements”) with Stefan J. Murry, our Senior Vice President and Chief Financial Officer; Mr. Joshua Yeh, our Asia General Manager; and Dr. Fred Chang, our Senior Vice President - Optical Component Business Unit (each, an “Executive Officer”).</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Employment Agreements commenced on August 5, 2016 and continue until the termination of the Executive Officer's employment with the Company (the "Term"). The Company will pay to the Executive Officer his current annual salary (the "Base Salary"), which may be adjusted from time to time by the Compensation Committee of the Company’s Board of Directors (the "Board"). Pursuant to the Employment Agreements, the current Base Salaries for the Executive Officers are set by the Board, as follows: (i) for Mr. Murry, US$279,287.00, (ii) for Mr. Yeh, TWD NT$ 4,336,436.00 and RMB ¥</w:t>
      </w:r>
    </w:p>
    <w:p>
      <w:pPr>
        <w:spacing w:after="0" w:line="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664,658.67, and (iii) for Dr. Chang, US$221,927.00, The Base Salary for each Executive Officer will be reviewed annually by the Compensation Committee based upon the Executive Officer's performance, and for each fiscal year during the Term, the Executive Officer will also be eligible to receive an incentive cash bonus set by the Board if certain performance goals are satisfied.</w:t>
      </w:r>
    </w:p>
    <w:p>
      <w:pPr>
        <w:spacing w:after="0" w:line="186"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Under each Employment Agreement, if the Executive Officer’s employment is terminated by the Company, prior to a change in control, for any reason other than cause or the Executive Officer resigns his or her employment with the Company for good reason, then the Executive Officer will be entitled to receive the following benefits (collectively, the "Severance Benefits"): (i) a payment equal to fifty percent (50%) of the then current annual Base Salary;</w:t>
      </w:r>
    </w:p>
    <w:p>
      <w:pPr>
        <w:spacing w:after="0" w:line="2" w:lineRule="exact"/>
        <w:rPr>
          <w:sz w:val="20"/>
          <w:szCs w:val="20"/>
          <w:color w:val="auto"/>
        </w:rPr>
      </w:pPr>
    </w:p>
    <w:p>
      <w:pPr>
        <w:ind w:right="160" w:firstLine="8"/>
        <w:spacing w:after="0" w:line="290" w:lineRule="auto"/>
        <w:tabs>
          <w:tab w:leader="none" w:pos="26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payment equal to fifty percent (50%) of the dollar amount of the Executive Officer’s full target bonus percentage as in effect for the twelve (12) month period immediately prior to such termination; and (iii) $15,000 for the purpose of the Executive Officer to fund health coverage continuation benefits.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5" w:name="page46"/>
    <w:bookmarkEnd w:id="45"/>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the Executive Officer’s employment is terminated by the Company for cause or by the Executive Officer without good reason, then the Executive Officer will be entitled to only any unpaid then current annual Base Salary, and the Executive Officer will not be entitled to or receive any Severance Benefits. The Executive Officer will have no further right to receive any other compensation or benefits after such termination or resignation of employment, except for the continuation of health benefits as provided under applicable law.</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Under each Employment Agreement, if within six (6) months immediately preceding a change of control of the Company or within twelve (12) months immediately following a change of control, the Executive Officer’s employment is terminated by the Company for any reason other than cause or is terminated by the Executive Officer for good reason, then the Executive Officer will be entitled to receive the following benefits: (i) a payment equal to one times (1x) the then current annual Base Salary; (ii) a payment equal to the dollar amount of the Executive Officer’s full target bonus percentage as in effect for the twelve (12) month period immediately prior to such termination; (iii) $15,000 for the purpose of the Executive Officer to fund health coverage continuation benefits; and (iv) accelerated vesting of the Executive Officer's awards granted under any incentive share plan or equity incentive plan of the Company,</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Executive Officer’s employment is terminated for cause within six (6) months immediately preceding a change of control or within twelve (12) months immediately following a change of control, or the Executive Officer's employment is terminated by the Company for cause or by the Executive Officer without good reason after the expiration of twelve (12) months from a change of control; then the Executive Officer will be entitled to only any unpaid then current annual Base Salary.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Employment Agreements also contain customary inventions, confidentiality, non-competition, and non-solicitation covenants.</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Employment Agreements does not purport to be a complete statement of the parties’ rights and obligations under the Employment Agreements and is qualified in its entirety by reference to the full text of the Employment Agreements, copies of which are attached as Exhibits 10.20, 10. 21 and 10.22.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46" w:name="page47"/>
    <w:bookmarkEnd w:id="4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518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r>
      <w:tr>
        <w:trPr>
          <w:trHeight w:val="60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2016</w:t>
            </w:r>
          </w:p>
        </w:tc>
        <w:tc>
          <w:tcPr>
            <w:tcW w:w="51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STEFAN J. MURRY</w:t>
            </w:r>
          </w:p>
        </w:tc>
      </w:tr>
      <w:tr>
        <w:trPr>
          <w:trHeight w:val="218"/>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c>
          <w:tcPr>
            <w:tcW w:w="820" w:type="dxa"/>
            <w:vAlign w:val="bottom"/>
          </w:tcPr>
          <w:p>
            <w:pPr>
              <w:spacing w:after="0"/>
              <w:rPr>
                <w:sz w:val="18"/>
                <w:szCs w:val="18"/>
                <w:color w:val="auto"/>
              </w:rPr>
            </w:pPr>
          </w:p>
        </w:tc>
      </w:tr>
      <w:tr>
        <w:trPr>
          <w:trHeight w:val="214"/>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tc>
      </w:tr>
      <w:tr>
        <w:trPr>
          <w:trHeight w:val="236"/>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792" w:right="3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92"/>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Certificate of Incorporation, as currently in effect (filed as Exhibit 3.1 to the Registrant’s Quarterly Report on Form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10-Q filed with the Securities and Exchange Commission on November 14,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Bylaws, as currently in effect (filed as Exhibit 3.2 to the Registrant’s Quarterly Report on Form 10-Q filed with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Securities and Exchange Commission on November 14,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Common Stock Specimen (filed as Exhibit 4.1 to the Registrant’s Current Report on Form 8-K filed with the Securities and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Commission on July 15,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Translation of the General Crediting Agreement, dated April 8, 2016, between Applied Optoelectronics, Inc. and E. Sun Commercial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 Ltd. (filed as Exhibit 10.1 to the Registrant’s Current Report on Form 8-K filed with the Securities and Exchange Commission on April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14, 2016).</w:t>
            </w:r>
          </w:p>
        </w:tc>
        <w:tc>
          <w:tcPr>
            <w:tcW w:w="9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Translation of the Promissory Note, dated April 8, 2016, between Applied Optoelectronics, Inc. and E. Sun Commercial Bank Co., Ltd.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as Exhibit 10.2 to the Registrant’s Current Report on Form 8-K filed with the Securities and Exchange Commission on April 14,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Translation of Loan Approval Notice by E. Sun Commercial Bank Co., Ltd. (filed as Exhibit 10.3 to the Registrant’s Current Report on Form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8-K filed with the Securities and Exchange Commission on April 14,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Translation of Comprehensive Credit Line Contract and General Agreement, dated April 22, 2016, between Applied Optoelectronics,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Taiwan Branch, and China Construction Bank, Taipei Branch (filed as Exhibit 10.1 to the Registrant’s Current Report on Form 8-K filed 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the Securities and Exchange Commission on April 28,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Translation of Approval Notice of China Construction Bank, Taipei Branch, dated March 29, 2016 (filed as Exhibit 10.2 to the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Securities and Exchange Commission on April 28,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10.6*</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Translation of the Promissory Note, dated April 22, 2016 between China Construction Bank – Taipei Branch and Applied Optoelectronics,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Inc., Taiwan Branch (filed as Exhibit 10.3 to the Registrant’s Current Report on Form 8-K filed with the Securities and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Commission on April 28,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Change in Terms Agreement, dated June 14, 2016, between Applied Optoelectronics, Inc. and East West Bank (filed as Exhibit 10.1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Securities and Exchange Commission on June 17,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10.8*</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Notice of Final Agreement, dated June 14, 2016, between Applied Optoelectronics, Inc. and East West Bank (filed as Exhibit 10.2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Securities and Exchange Commission on June 17,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Modification to the Construction Loan Agreement, dated June 14, 2016, between Applied Optoelectronics, Inc. and East West Bank (filed 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10.3 to the Registrant’s Current Report on Form 8-K filed with the Securities and Exchange Commission on June 17,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First Amendment to Credit Agreement and Limited Consent, dated June 24, 2016, between Applied Optoelectronics, Inc., East West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and Comerica Bank (filed as Exhibit 10.1 to the Registrant’s Current Report on Form 8-K filed with the Securities and Exchange Commission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10.11*</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$17,500,000 Amended and Restated Revolving Credit Note, dated June 24, 2016, between Applied Optoelectronics, Inc. and Comerica Bank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(filed as Exhibit 10.2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10.12*</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$2,500,000 Amended and Restated Revolving Credit Note, dated June 24, 2016, between Applied Optoelectronics, Inc. and Comerica Bank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(filed as Exhibit 10.3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10.13*</w:t>
            </w:r>
          </w:p>
        </w:tc>
        <w:tc>
          <w:tcPr>
            <w:tcW w:w="520" w:type="dxa"/>
            <w:vAlign w:val="bottom"/>
            <w:shd w:val="clear" w:color="auto" w:fill="EEEEEE"/>
          </w:tcPr>
          <w:p>
            <w:pPr>
              <w:spacing w:after="0"/>
              <w:rPr>
                <w:sz w:val="17"/>
                <w:szCs w:val="17"/>
                <w:color w:val="auto"/>
              </w:rPr>
            </w:pPr>
          </w:p>
        </w:tc>
        <w:tc>
          <w:tcPr>
            <w:tcW w:w="102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$5,000,000 Amended and Restated Term Note, dated June 24, 2016, between Applied Optoelectronics, Inc. and Comerica Bank (filed 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Exhibit 10.4 to the Registrant’s Current Report on Form 8-K filed with the Securities and Exchange Commission on June 30,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10.14*</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$5,000,000 Term Note, dated June 24, 2016, between Applied Optoelectronics, Inc. and Comerica Bank (filed as Exhibit 10.5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10360" w:type="dxa"/>
            <w:vAlign w:val="bottom"/>
            <w:shd w:val="clear" w:color="auto" w:fill="EEEEEE"/>
          </w:tcPr>
          <w:p>
            <w:pPr>
              <w:ind w:left="100"/>
              <w:spacing w:after="0" w:line="198" w:lineRule="exact"/>
              <w:rPr>
                <w:sz w:val="20"/>
                <w:szCs w:val="20"/>
                <w:color w:val="auto"/>
              </w:rPr>
            </w:pPr>
            <w:r>
              <w:rPr>
                <w:rFonts w:ascii="Times New Roman" w:cs="Times New Roman" w:eastAsia="Times New Roman" w:hAnsi="Times New Roman"/>
                <w:sz w:val="18"/>
                <w:szCs w:val="18"/>
                <w:color w:val="auto"/>
              </w:rPr>
              <w:t>$17,500,000 Amended and Restated Revolving Credit Note, dated June 24, 2016, between Applied Optoelectronics, Inc. and East West Bank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(filed as Exhibit 10.6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10360" w:type="dxa"/>
            <w:vAlign w:val="bottom"/>
            <w:shd w:val="clear" w:color="auto" w:fill="EEEEEE"/>
          </w:tcPr>
          <w:p>
            <w:pPr>
              <w:ind w:left="100"/>
              <w:spacing w:after="0" w:line="198" w:lineRule="exact"/>
              <w:rPr>
                <w:sz w:val="20"/>
                <w:szCs w:val="20"/>
                <w:color w:val="auto"/>
              </w:rPr>
            </w:pPr>
            <w:r>
              <w:rPr>
                <w:rFonts w:ascii="Times New Roman" w:cs="Times New Roman" w:eastAsia="Times New Roman" w:hAnsi="Times New Roman"/>
                <w:sz w:val="18"/>
                <w:szCs w:val="18"/>
                <w:color w:val="auto"/>
              </w:rPr>
              <w:t>$2,500,000 Amended and Restated Revolving Credit Note, dated June 24, 2016, between Applied Optoelectronics, Inc. and East West Bank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(filed as Exhibit 10.7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10.17*</w:t>
            </w:r>
          </w:p>
        </w:tc>
        <w:tc>
          <w:tcPr>
            <w:tcW w:w="10360" w:type="dxa"/>
            <w:vAlign w:val="bottom"/>
            <w:shd w:val="clear" w:color="auto" w:fill="EEEEEE"/>
          </w:tcPr>
          <w:p>
            <w:pPr>
              <w:ind w:left="100"/>
              <w:spacing w:after="0" w:line="198" w:lineRule="exact"/>
              <w:rPr>
                <w:sz w:val="20"/>
                <w:szCs w:val="20"/>
                <w:color w:val="auto"/>
              </w:rPr>
            </w:pPr>
            <w:r>
              <w:rPr>
                <w:rFonts w:ascii="Times New Roman" w:cs="Times New Roman" w:eastAsia="Times New Roman" w:hAnsi="Times New Roman"/>
                <w:sz w:val="18"/>
                <w:szCs w:val="18"/>
                <w:color w:val="auto"/>
              </w:rPr>
              <w:t>$5,000,000 Amended and Restated Term Note, dated June 24, 2016, between Applied Optoelectronics, Inc. and East West Bank (filed 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Exhibit 10.8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10.18*</w:t>
            </w:r>
          </w:p>
        </w:tc>
        <w:tc>
          <w:tcPr>
            <w:tcW w:w="10360" w:type="dxa"/>
            <w:vAlign w:val="bottom"/>
            <w:shd w:val="clear" w:color="auto" w:fill="EEEEEE"/>
          </w:tcPr>
          <w:p>
            <w:pPr>
              <w:ind w:left="100"/>
              <w:spacing w:after="0" w:line="198" w:lineRule="exact"/>
              <w:rPr>
                <w:sz w:val="20"/>
                <w:szCs w:val="20"/>
                <w:color w:val="auto"/>
              </w:rPr>
            </w:pPr>
            <w:r>
              <w:rPr>
                <w:rFonts w:ascii="Times New Roman" w:cs="Times New Roman" w:eastAsia="Times New Roman" w:hAnsi="Times New Roman"/>
                <w:sz w:val="18"/>
                <w:szCs w:val="18"/>
                <w:color w:val="auto"/>
              </w:rPr>
              <w:t>$5,000,000 Term Note, dated June 24, 2016, between Applied Optoelectronics, Inc. and East West Bank (filed as Exhibit 10.9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10.19*</w:t>
            </w:r>
          </w:p>
        </w:tc>
        <w:tc>
          <w:tcPr>
            <w:tcW w:w="10360" w:type="dxa"/>
            <w:vAlign w:val="bottom"/>
            <w:shd w:val="clear" w:color="auto" w:fill="EEEEEE"/>
          </w:tcPr>
          <w:p>
            <w:pPr>
              <w:ind w:left="100"/>
              <w:spacing w:after="0" w:line="198" w:lineRule="exact"/>
              <w:rPr>
                <w:sz w:val="20"/>
                <w:szCs w:val="20"/>
                <w:color w:val="auto"/>
              </w:rPr>
            </w:pPr>
            <w:r>
              <w:rPr>
                <w:rFonts w:ascii="Times New Roman" w:cs="Times New Roman" w:eastAsia="Times New Roman" w:hAnsi="Times New Roman"/>
                <w:sz w:val="18"/>
                <w:szCs w:val="18"/>
                <w:color w:val="auto"/>
              </w:rPr>
              <w:t>First Modification to Promissory Note, dated June 24, 2016, between Applied Optoelectronics, Inc. and East West Bank (filed as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10.10 to the Registrant’s Current Report on Form 8-K filed with the Securities and Exchange Commission on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10.20**</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August 5, 2016, between Applied Optoelectronics, Inc. and Stefan J. Murry.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10.21**</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August 5, 2016, between Applied Optoelectronics, Inc. and Mr. Joshua Yeh.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10.22**</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August 5, 2016, between Applied Optoelectronics, Inc. and Dr. Fred Chang.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31.1**</w:t>
            </w:r>
          </w:p>
        </w:tc>
        <w:tc>
          <w:tcPr>
            <w:tcW w:w="10360" w:type="dxa"/>
            <w:vAlign w:val="bottom"/>
            <w:shd w:val="clear" w:color="auto" w:fill="EEEEEE"/>
          </w:tcPr>
          <w:p>
            <w:pPr>
              <w:ind w:left="100"/>
              <w:spacing w:after="0" w:line="198" w:lineRule="exact"/>
              <w:rPr>
                <w:sz w:val="20"/>
                <w:szCs w:val="20"/>
                <w:color w:val="auto"/>
              </w:rPr>
            </w:pPr>
            <w:r>
              <w:rPr>
                <w:rFonts w:ascii="Times New Roman" w:cs="Times New Roman" w:eastAsia="Times New Roman" w:hAnsi="Times New Roman"/>
                <w:sz w:val="18"/>
                <w:szCs w:val="18"/>
                <w:color w:val="auto"/>
              </w:rPr>
              <w:t>Certification of Chief Executive Officer pursuant to Exchange Act Rule, 13a-14(a) and 15d-14(a), as adopted pursuant to Section 302 of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31.2**</w:t>
            </w:r>
          </w:p>
        </w:tc>
        <w:tc>
          <w:tcPr>
            <w:tcW w:w="10360" w:type="dxa"/>
            <w:vAlign w:val="bottom"/>
            <w:shd w:val="clear" w:color="auto" w:fill="EEEEEE"/>
          </w:tcPr>
          <w:p>
            <w:pPr>
              <w:ind w:left="100"/>
              <w:spacing w:after="0" w:line="198" w:lineRule="exact"/>
              <w:rPr>
                <w:sz w:val="20"/>
                <w:szCs w:val="20"/>
                <w:color w:val="auto"/>
              </w:rPr>
            </w:pPr>
            <w:r>
              <w:rPr>
                <w:rFonts w:ascii="Times New Roman" w:cs="Times New Roman" w:eastAsia="Times New Roman" w:hAnsi="Times New Roman"/>
                <w:sz w:val="18"/>
                <w:szCs w:val="18"/>
                <w:color w:val="auto"/>
              </w:rPr>
              <w:t>Certification of Chief Financial Officer pursuant to Exchange Act Rule, 13a-14(a) and 15d-14(a), as adopted pursuant to Section 302 of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32.1**</w:t>
            </w:r>
          </w:p>
        </w:tc>
        <w:tc>
          <w:tcPr>
            <w:tcW w:w="10360" w:type="dxa"/>
            <w:vAlign w:val="bottom"/>
            <w:shd w:val="clear" w:color="auto" w:fill="EEEEEE"/>
          </w:tcPr>
          <w:p>
            <w:pPr>
              <w:ind w:left="100"/>
              <w:spacing w:after="0" w:line="198" w:lineRule="exact"/>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 2002, by Chief Executive Officer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101.INS***</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101.SCH***</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0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 w:lineRule="exact"/>
        <w:rPr>
          <w:sz w:val="20"/>
          <w:szCs w:val="20"/>
          <w:color w:val="auto"/>
        </w:rPr>
      </w:pPr>
    </w:p>
    <w:p>
      <w:pPr>
        <w:ind w:left="700" w:hanging="692"/>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2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52" w:lineRule="exact"/>
        <w:rPr>
          <w:sz w:val="20"/>
          <w:szCs w:val="20"/>
          <w:color w:val="auto"/>
        </w:rPr>
      </w:pPr>
    </w:p>
    <w:p>
      <w:pPr>
        <w:jc w:val="both"/>
        <w:ind w:left="700" w:hanging="692"/>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640" w:hanging="324"/>
        <w:spacing w:after="0" w:line="313" w:lineRule="auto"/>
        <w:tabs>
          <w:tab w:leader="none" w:pos="98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14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CHIH-HSIANG (THOMPSON) 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640" w:hanging="324"/>
        <w:spacing w:after="0" w:line="313" w:lineRule="auto"/>
        <w:tabs>
          <w:tab w:leader="none" w:pos="98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14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STEFAN J. MURRY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0" w:lineRule="exact"/>
        <w:rPr>
          <w:sz w:val="20"/>
          <w:szCs w:val="20"/>
          <w:color w:val="auto"/>
        </w:rPr>
      </w:pPr>
    </w:p>
    <w:p>
      <w:pPr>
        <w:ind w:left="660" w:right="20" w:hanging="463"/>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2016,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660" w:hanging="463"/>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the operation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August, 2016.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CHIH-HSIANG (THOMPSON) LIN</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7"/>
              </w:rPr>
              <w:t>/s/ STEFAN J. MURRY</w:t>
            </w:r>
          </w:p>
        </w:tc>
      </w:tr>
      <w:tr>
        <w:trPr>
          <w:trHeight w:val="218"/>
        </w:trPr>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tc>
        <w:tc>
          <w:tcPr>
            <w:tcW w:w="282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28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2019-12-07T14:35:01Z</dcterms:created>
  <dcterms:modified xsi:type="dcterms:W3CDTF">2019-12-07T14:35:01Z</dcterms:modified>
</cp:coreProperties>
</file>