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69" w:lineRule="exact"/>
        <w:rPr>
          <w:sz w:val="24"/>
          <w:szCs w:val="24"/>
          <w:color w:val="auto"/>
        </w:rPr>
      </w:pPr>
    </w:p>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 Filed pursuant to Rule 424(b)(5)​</w:t>
      </w:r>
    </w:p>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 Registration No. 333-283905​</w:t>
      </w:r>
    </w:p>
    <w:p>
      <w:pPr>
        <w:spacing w:after="0" w:line="136"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(To Prospectus dated December 18, 2024)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$600,000,000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2429510</wp:posOffset>
            </wp:positionH>
            <wp:positionV relativeFrom="paragraph">
              <wp:posOffset>76835</wp:posOffset>
            </wp:positionV>
            <wp:extent cx="868045" cy="534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8045" cy="534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Applied Optoelectronics,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116840</wp:posOffset>
            </wp:positionV>
            <wp:extent cx="8547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We have entered into an Equity Distribution Agreement with Raymond James &amp; Associates, Inc. (“Raymond</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color w:val="auto"/>
        </w:rPr>
        <w:t>James”) and Needham &amp; Company, LLC (“Needham”), or the sales agreement, relating to shares of our common stock</w:t>
      </w:r>
    </w:p>
    <w:p>
      <w:pPr>
        <w:ind w:left="1140"/>
        <w:spacing w:after="0"/>
        <w:rPr>
          <w:sz w:val="20"/>
          <w:szCs w:val="20"/>
          <w:color w:val="auto"/>
        </w:rPr>
      </w:pPr>
      <w:r>
        <w:rPr>
          <w:rFonts w:ascii="Times New Roman" w:cs="Times New Roman" w:eastAsia="Times New Roman" w:hAnsi="Times New Roman"/>
          <w:sz w:val="14"/>
          <w:szCs w:val="14"/>
          <w:color w:val="auto"/>
        </w:rPr>
        <w:t>offered by this prospectus supplement. In accordance with the terms of the sales agreement, we may offer and sell</w:t>
      </w:r>
    </w:p>
    <w:p>
      <w:pPr>
        <w:spacing w:after="0" w:line="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4"/>
          <w:szCs w:val="14"/>
          <w:color w:val="auto"/>
        </w:rPr>
        <w:t>through this prospectus supplement shares of our common stock having an aggregate offering price of up to</w:t>
      </w:r>
    </w:p>
    <w:p>
      <w:pPr>
        <w:ind w:left="1140"/>
        <w:spacing w:after="0" w:line="235" w:lineRule="auto"/>
        <w:rPr>
          <w:sz w:val="20"/>
          <w:szCs w:val="20"/>
          <w:color w:val="auto"/>
        </w:rPr>
      </w:pPr>
      <w:r>
        <w:rPr>
          <w:rFonts w:ascii="Times New Roman" w:cs="Times New Roman" w:eastAsia="Times New Roman" w:hAnsi="Times New Roman"/>
          <w:sz w:val="14"/>
          <w:szCs w:val="14"/>
          <w:color w:val="auto"/>
        </w:rPr>
        <w:t>$600,000,000 from time to time through Raymond James and Needham, acting as agents (each, an “Agent” and</w:t>
      </w:r>
    </w:p>
    <w:p>
      <w:pPr>
        <w:ind w:left="1140"/>
        <w:spacing w:after="0"/>
        <w:rPr>
          <w:sz w:val="20"/>
          <w:szCs w:val="20"/>
          <w:color w:val="auto"/>
        </w:rPr>
      </w:pPr>
      <w:r>
        <w:rPr>
          <w:rFonts w:ascii="Times New Roman" w:cs="Times New Roman" w:eastAsia="Times New Roman" w:hAnsi="Times New Roman"/>
          <w:sz w:val="14"/>
          <w:szCs w:val="14"/>
          <w:color w:val="auto"/>
        </w:rPr>
        <w:t>collectively, the “Agents”).</w:t>
      </w:r>
    </w:p>
    <w:p>
      <w:pPr>
        <w:spacing w:after="0" w:line="54" w:lineRule="exact"/>
        <w:rPr>
          <w:sz w:val="24"/>
          <w:szCs w:val="24"/>
          <w:color w:val="auto"/>
        </w:rPr>
      </w:pPr>
    </w:p>
    <w:p>
      <w:pPr>
        <w:ind w:left="1140" w:right="1279" w:firstLine="280"/>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“AAOI.” On May 13, 2026, the last reported sale price of our common stock on The Nasdaq Global Market was $223.10 per share.</w:t>
      </w:r>
    </w:p>
    <w:p>
      <w:pPr>
        <w:spacing w:after="0" w:line="20" w:lineRule="exact"/>
        <w:rPr>
          <w:sz w:val="24"/>
          <w:szCs w:val="24"/>
          <w:color w:val="auto"/>
        </w:rPr>
      </w:pPr>
    </w:p>
    <w:p>
      <w:pPr>
        <w:ind w:left="1140" w:right="1179" w:firstLine="280"/>
        <w:spacing w:after="0" w:line="242" w:lineRule="auto"/>
        <w:rPr>
          <w:sz w:val="20"/>
          <w:szCs w:val="20"/>
          <w:color w:val="auto"/>
        </w:rPr>
      </w:pPr>
      <w:r>
        <w:rPr>
          <w:rFonts w:ascii="Times New Roman" w:cs="Times New Roman" w:eastAsia="Times New Roman" w:hAnsi="Times New Roman"/>
          <w:sz w:val="14"/>
          <w:szCs w:val="14"/>
          <w:color w:val="auto"/>
        </w:rPr>
        <w:t>Sales of our common stock, if any, under this prospectus supplement may be made in sales deemed to be “at-the-market” equity offerings as defined in Rule 415 promulgated under the Securities Act of 1933, as amended, or the Securities Act, including sales made directly on or through The Nasdaq Global Market, the existing trading market for our common stock, sales made to or through a market maker other than on an exchange or otherwise, in negotiated transactions at market prices prevailing at the time of sale or at prices related to such prevailing market prices, and any other method permitted by law, including in privately negotiated transactions. The Agents are not required to sell any specific number or dollar amount of securities, but will act as sales agents and use commercially reasonable efforts to sell on our behalf all of the shares of common stock requested to be sold by us, consistent with their normal trading and sales practices, on mutually agreed terms between the Agents and us. There is no arrangement for funds to be received in any escrow, trust or similar arrangement.</w:t>
      </w:r>
    </w:p>
    <w:p>
      <w:pPr>
        <w:spacing w:after="0" w:line="48" w:lineRule="exact"/>
        <w:rPr>
          <w:sz w:val="24"/>
          <w:szCs w:val="24"/>
          <w:color w:val="auto"/>
        </w:rPr>
      </w:pPr>
    </w:p>
    <w:p>
      <w:pPr>
        <w:ind w:left="1140" w:right="1179" w:firstLine="280"/>
        <w:spacing w:after="0" w:line="247" w:lineRule="auto"/>
        <w:rPr>
          <w:sz w:val="20"/>
          <w:szCs w:val="20"/>
          <w:color w:val="auto"/>
        </w:rPr>
      </w:pPr>
      <w:r>
        <w:rPr>
          <w:rFonts w:ascii="Times New Roman" w:cs="Times New Roman" w:eastAsia="Times New Roman" w:hAnsi="Times New Roman"/>
          <w:sz w:val="14"/>
          <w:szCs w:val="14"/>
          <w:color w:val="auto"/>
        </w:rPr>
        <w:t>Except as otherwise described in the sales agreement, the Agents will be entitled to compensation at a commission rate of up to 2.0% of the gross sales price per share sold. In connection with the sale of our common stock on our behalf, the Agents may be deemed to be a “underwriters” within the meaning of the Securities Act and the compensation of the Agents may be deemed to be underwriting commissions or discounts. We have also agreed to provide indemnification and contribution to the Agents with respect to certain liabilities, including liabilities under the Securities Act and the Securities Exchange Act of 1934, as amended, or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72390</wp:posOffset>
            </wp:positionV>
            <wp:extent cx="854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56" w:lineRule="exact"/>
        <w:rPr>
          <w:sz w:val="24"/>
          <w:szCs w:val="24"/>
          <w:color w:val="auto"/>
        </w:rPr>
      </w:pPr>
    </w:p>
    <w:p>
      <w:pPr>
        <w:ind w:left="1140" w:right="1179"/>
        <w:spacing w:after="0" w:line="277" w:lineRule="auto"/>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SIGNIFICANT RISKS. YOU SHOULD REVIEW CAREFULLY THE “RISK FACTORS” BEGINNING ON PAGE </w:t>
      </w:r>
      <w:r>
        <w:rPr>
          <w:rFonts w:ascii="Times New Roman" w:cs="Times New Roman" w:eastAsia="Times New Roman" w:hAnsi="Times New Roman"/>
          <w:sz w:val="13"/>
          <w:szCs w:val="13"/>
          <w:b w:val="1"/>
          <w:bCs w:val="1"/>
          <w:u w:val="single" w:color="auto"/>
          <w:color w:val="0000EE"/>
        </w:rPr>
        <w:t>S-5</w:t>
      </w:r>
      <w:r>
        <w:rPr>
          <w:rFonts w:ascii="Times New Roman" w:cs="Times New Roman" w:eastAsia="Times New Roman" w:hAnsi="Times New Roman"/>
          <w:sz w:val="13"/>
          <w:szCs w:val="13"/>
          <w:b w:val="1"/>
          <w:bCs w:val="1"/>
          <w:color w:val="auto"/>
        </w:rPr>
        <w:t xml:space="preserve"> OF THIS PROSPECTUS SUPPLEMENT AND UNDER SIMILAR HEADINGS IN THE OTHER DOCUMENTS THAT ARE INCORPORATED BY REFERENCE INTO THIS PROSPECTUS SUPPLEMENT BEFORE INVESTING IN OUR SECURITIES.</w:t>
      </w:r>
    </w:p>
    <w:p>
      <w:pPr>
        <w:spacing w:after="0" w:line="25" w:lineRule="exact"/>
        <w:rPr>
          <w:sz w:val="24"/>
          <w:szCs w:val="24"/>
          <w:color w:val="auto"/>
        </w:rPr>
      </w:pPr>
    </w:p>
    <w:p>
      <w:pPr>
        <w:ind w:left="1140" w:right="1259"/>
        <w:spacing w:after="0" w:line="25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115570</wp:posOffset>
            </wp:positionV>
            <wp:extent cx="854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360" w:lineRule="exact"/>
        <w:rPr>
          <w:sz w:val="24"/>
          <w:szCs w:val="24"/>
          <w:color w:val="auto"/>
        </w:rPr>
      </w:pPr>
    </w:p>
    <w:p>
      <w:pPr>
        <w:ind w:left="1140"/>
        <w:spacing w:after="0"/>
        <w:tabs>
          <w:tab w:leader="none" w:pos="5060" w:val="left"/>
        </w:tabs>
        <w:rPr>
          <w:sz w:val="20"/>
          <w:szCs w:val="20"/>
          <w:color w:val="auto"/>
        </w:rPr>
      </w:pPr>
      <w:r>
        <w:rPr>
          <w:rFonts w:ascii="Times New Roman" w:cs="Times New Roman" w:eastAsia="Times New Roman" w:hAnsi="Times New Roman"/>
          <w:sz w:val="24"/>
          <w:szCs w:val="24"/>
          <w:b w:val="1"/>
          <w:bCs w:val="1"/>
          <w:color w:val="auto"/>
        </w:rPr>
        <w:t>RAYMOND JAMES</w:t>
      </w:r>
      <w:r>
        <w:rPr>
          <w:sz w:val="20"/>
          <w:szCs w:val="20"/>
          <w:color w:val="auto"/>
        </w:rPr>
        <w:tab/>
      </w:r>
      <w:r>
        <w:rPr>
          <w:rFonts w:ascii="Times New Roman" w:cs="Times New Roman" w:eastAsia="Times New Roman" w:hAnsi="Times New Roman"/>
          <w:sz w:val="23"/>
          <w:szCs w:val="23"/>
          <w:b w:val="1"/>
          <w:bCs w:val="1"/>
          <w:color w:val="auto"/>
        </w:rPr>
        <w:t>NEEDHAM &amp; COMPANY</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202565</wp:posOffset>
            </wp:positionV>
            <wp:extent cx="531876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91" w:right="1440" w:bottom="1440" w:gutter="0" w:footer="0" w:header="0"/>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91" w:lineRule="exact"/>
        <w:rPr>
          <w:sz w:val="20"/>
          <w:szCs w:val="20"/>
          <w:color w:val="auto"/>
        </w:rPr>
      </w:pPr>
    </w:p>
    <w:p>
      <w:pPr>
        <w:jc w:val="center"/>
        <w:ind w:left="250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u w:val="single" w:color="auto"/>
          <w:color w:val="0000EE"/>
        </w:rPr>
        <w:t>CAUTIONARY NOTE REGARDING FORWARD-LOOKING STATEMENTS</w:t>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DILUTION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TO LEARN MORE ABOUT US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INCORPORATION OF CERTAIN DOCUMENTS BY REFERENCE</w:t>
      </w:r>
    </w:p>
    <w:p>
      <w:pPr>
        <w:spacing w:after="0" w:line="17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wp:posOffset>
            </wp:positionV>
            <wp:extent cx="4058920" cy="133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27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58920"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THE COMPANY</w:t>
      </w:r>
    </w:p>
    <w:p>
      <w:pPr>
        <w:spacing w:after="0" w:line="39" w:lineRule="exact"/>
        <w:rPr>
          <w:sz w:val="20"/>
          <w:szCs w:val="20"/>
          <w:color w:val="auto"/>
        </w:rPr>
      </w:pPr>
    </w:p>
    <w:p>
      <w:pPr>
        <w:ind w:left="1300" w:right="700"/>
        <w:spacing w:after="0" w:line="313" w:lineRule="auto"/>
        <w:rPr>
          <w:sz w:val="20"/>
          <w:szCs w:val="20"/>
          <w:color w:val="auto"/>
        </w:rPr>
      </w:pPr>
      <w:r>
        <w:rPr>
          <w:rFonts w:ascii="Times New Roman" w:cs="Times New Roman" w:eastAsia="Times New Roman" w:hAnsi="Times New Roman"/>
          <w:sz w:val="14"/>
          <w:szCs w:val="14"/>
          <w:u w:val="single" w:color="auto"/>
          <w:color w:val="0000EE"/>
        </w:rPr>
        <w:t>CAUTIONARY NOTE REGARDING FORWARD-LOOKING STATEMENTS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-149860</wp:posOffset>
            </wp:positionV>
            <wp:extent cx="4058920" cy="133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u w:val="single" w:color="auto"/>
          <w:color w:val="0000EE"/>
        </w:rPr>
        <w:t>DESCRIPTION OF SECURITIES TO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WHERE TO LEARN MORE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13970</wp:posOffset>
            </wp:positionV>
            <wp:extent cx="405892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58920" cy="13335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5"/>
        </w:trPr>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0" w:type="dxa"/>
            <w:vAlign w:val="bottom"/>
          </w:tcPr>
          <w:p>
            <w:pPr>
              <w:spacing w:after="0"/>
              <w:rPr>
                <w:sz w:val="24"/>
                <w:szCs w:val="24"/>
                <w:color w:val="auto"/>
              </w:rPr>
            </w:pPr>
          </w:p>
        </w:tc>
        <w:tc>
          <w:tcPr>
            <w:tcW w:w="2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4"/>
          </w:tcPr>
          <w:p>
            <w:pPr>
              <w:jc w:val="right"/>
              <w:spacing w:after="0" w:line="148" w:lineRule="exact"/>
              <w:rPr>
                <w:sz w:val="20"/>
                <w:szCs w:val="20"/>
                <w:color w:val="auto"/>
              </w:rPr>
            </w:pPr>
            <w:r>
              <w:rPr>
                <w:rFonts w:ascii="Times New Roman" w:cs="Times New Roman" w:eastAsia="Times New Roman" w:hAnsi="Times New Roman"/>
                <w:sz w:val="14"/>
                <w:szCs w:val="14"/>
                <w:color w:val="0000EE"/>
                <w:w w:val="92"/>
              </w:rPr>
              <w:t>S-1</w:t>
            </w: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4"/>
                <w:szCs w:val="14"/>
                <w:color w:val="0000EE"/>
                <w:w w:val="92"/>
              </w:rPr>
              <w:t>S-2</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4"/>
                <w:szCs w:val="14"/>
                <w:color w:val="0000EE"/>
                <w:w w:val="92"/>
              </w:rPr>
              <w:t>S-4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4"/>
                <w:szCs w:val="14"/>
                <w:color w:val="0000EE"/>
                <w:w w:val="92"/>
              </w:rPr>
              <w:t>S-5</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4"/>
                <w:szCs w:val="14"/>
                <w:color w:val="0000EE"/>
                <w:w w:val="92"/>
              </w:rPr>
              <w:t>S-8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0000EE"/>
            </w:tcBorders>
            <w:gridSpan w:val="4"/>
          </w:tcPr>
          <w:p>
            <w:pPr>
              <w:jc w:val="right"/>
              <w:spacing w:after="0"/>
              <w:rPr>
                <w:sz w:val="20"/>
                <w:szCs w:val="20"/>
                <w:color w:val="auto"/>
              </w:rPr>
            </w:pPr>
            <w:r>
              <w:rPr>
                <w:rFonts w:ascii="Times New Roman" w:cs="Times New Roman" w:eastAsia="Times New Roman" w:hAnsi="Times New Roman"/>
                <w:sz w:val="14"/>
                <w:szCs w:val="14"/>
                <w:color w:val="0000EE"/>
                <w:w w:val="92"/>
              </w:rPr>
              <w:t>S-9</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0000EE"/>
            </w:tcBorders>
            <w:gridSpan w:val="5"/>
          </w:tcPr>
          <w:p>
            <w:pPr>
              <w:jc w:val="right"/>
              <w:spacing w:after="0"/>
              <w:rPr>
                <w:sz w:val="20"/>
                <w:szCs w:val="20"/>
                <w:color w:val="auto"/>
              </w:rPr>
            </w:pPr>
            <w:r>
              <w:rPr>
                <w:rFonts w:ascii="Times New Roman" w:cs="Times New Roman" w:eastAsia="Times New Roman" w:hAnsi="Times New Roman"/>
                <w:sz w:val="14"/>
                <w:szCs w:val="14"/>
                <w:color w:val="auto"/>
                <w:w w:val="82"/>
              </w:rPr>
              <w:t>​</w:t>
            </w:r>
            <w:r>
              <w:rPr>
                <w:rFonts w:ascii="Times New Roman" w:cs="Times New Roman" w:eastAsia="Times New Roman" w:hAnsi="Times New Roman"/>
                <w:sz w:val="14"/>
                <w:szCs w:val="14"/>
                <w:color w:val="0000EE"/>
                <w:w w:val="82"/>
              </w:rPr>
              <w:t>S-10</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0000EE"/>
            </w:tcBorders>
            <w:gridSpan w:val="5"/>
          </w:tcPr>
          <w:p>
            <w:pPr>
              <w:jc w:val="right"/>
              <w:spacing w:after="0"/>
              <w:rPr>
                <w:sz w:val="20"/>
                <w:szCs w:val="20"/>
                <w:color w:val="auto"/>
              </w:rPr>
            </w:pPr>
            <w:r>
              <w:rPr>
                <w:rFonts w:ascii="Times New Roman" w:cs="Times New Roman" w:eastAsia="Times New Roman" w:hAnsi="Times New Roman"/>
                <w:sz w:val="14"/>
                <w:szCs w:val="14"/>
                <w:color w:val="auto"/>
                <w:w w:val="82"/>
              </w:rPr>
              <w:t>​</w:t>
            </w:r>
            <w:r>
              <w:rPr>
                <w:rFonts w:ascii="Times New Roman" w:cs="Times New Roman" w:eastAsia="Times New Roman" w:hAnsi="Times New Roman"/>
                <w:sz w:val="14"/>
                <w:szCs w:val="14"/>
                <w:color w:val="0000EE"/>
                <w:w w:val="82"/>
              </w:rPr>
              <w:t>S-11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0000EE"/>
            </w:tcBorders>
            <w:gridSpan w:val="5"/>
          </w:tcPr>
          <w:p>
            <w:pPr>
              <w:jc w:val="right"/>
              <w:spacing w:after="0"/>
              <w:rPr>
                <w:sz w:val="20"/>
                <w:szCs w:val="20"/>
                <w:color w:val="auto"/>
              </w:rPr>
            </w:pPr>
            <w:r>
              <w:rPr>
                <w:rFonts w:ascii="Times New Roman" w:cs="Times New Roman" w:eastAsia="Times New Roman" w:hAnsi="Times New Roman"/>
                <w:sz w:val="14"/>
                <w:szCs w:val="14"/>
                <w:color w:val="auto"/>
                <w:w w:val="82"/>
              </w:rPr>
              <w:t>​</w:t>
            </w:r>
            <w:r>
              <w:rPr>
                <w:rFonts w:ascii="Times New Roman" w:cs="Times New Roman" w:eastAsia="Times New Roman" w:hAnsi="Times New Roman"/>
                <w:sz w:val="14"/>
                <w:szCs w:val="14"/>
                <w:color w:val="0000EE"/>
                <w:w w:val="82"/>
              </w:rPr>
              <w:t>S-13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0000EE"/>
            </w:tcBorders>
            <w:gridSpan w:val="5"/>
          </w:tcPr>
          <w:p>
            <w:pPr>
              <w:jc w:val="right"/>
              <w:spacing w:after="0"/>
              <w:rPr>
                <w:sz w:val="20"/>
                <w:szCs w:val="20"/>
                <w:color w:val="auto"/>
              </w:rPr>
            </w:pPr>
            <w:r>
              <w:rPr>
                <w:rFonts w:ascii="Times New Roman" w:cs="Times New Roman" w:eastAsia="Times New Roman" w:hAnsi="Times New Roman"/>
                <w:sz w:val="14"/>
                <w:szCs w:val="14"/>
                <w:color w:val="auto"/>
                <w:w w:val="82"/>
              </w:rPr>
              <w:t>​</w:t>
            </w:r>
            <w:r>
              <w:rPr>
                <w:rFonts w:ascii="Times New Roman" w:cs="Times New Roman" w:eastAsia="Times New Roman" w:hAnsi="Times New Roman"/>
                <w:sz w:val="14"/>
                <w:szCs w:val="14"/>
                <w:color w:val="0000EE"/>
                <w:w w:val="82"/>
              </w:rPr>
              <w:t>S-13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0000EE"/>
            </w:tcBorders>
            <w:gridSpan w:val="5"/>
          </w:tcPr>
          <w:p>
            <w:pPr>
              <w:jc w:val="right"/>
              <w:spacing w:after="0"/>
              <w:rPr>
                <w:sz w:val="20"/>
                <w:szCs w:val="20"/>
                <w:color w:val="auto"/>
              </w:rPr>
            </w:pPr>
            <w:r>
              <w:rPr>
                <w:rFonts w:ascii="Times New Roman" w:cs="Times New Roman" w:eastAsia="Times New Roman" w:hAnsi="Times New Roman"/>
                <w:sz w:val="14"/>
                <w:szCs w:val="14"/>
                <w:color w:val="auto"/>
                <w:w w:val="82"/>
              </w:rPr>
              <w:t>​</w:t>
            </w:r>
            <w:r>
              <w:rPr>
                <w:rFonts w:ascii="Times New Roman" w:cs="Times New Roman" w:eastAsia="Times New Roman" w:hAnsi="Times New Roman"/>
                <w:sz w:val="14"/>
                <w:szCs w:val="14"/>
                <w:color w:val="0000EE"/>
                <w:w w:val="82"/>
              </w:rPr>
              <w:t>S-13</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2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color w:val="0000EE"/>
              </w:rPr>
              <w:t>S-14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4"/>
                <w:szCs w:val="24"/>
                <w:color w:val="auto"/>
              </w:rPr>
            </w:pPr>
          </w:p>
        </w:tc>
        <w:tc>
          <w:tcPr>
            <w:tcW w:w="2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 xml:space="preserve">Page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1</w:t>
            </w:r>
          </w:p>
        </w:tc>
        <w:tc>
          <w:tcPr>
            <w:tcW w:w="10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2</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2</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3</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4</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EE"/>
                <w:w w:val="71"/>
              </w:rPr>
              <w:t>4</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13</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17</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17</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17</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color w:val="0000EE"/>
                <w:w w:val="71"/>
              </w:rPr>
              <w:t>18</w:t>
            </w: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2">
            <w:col w:w="6520" w:space="720"/>
            <w:col w:w="1779"/>
          </w:cols>
          <w:pgMar w:left="1440" w:top="107" w:right="1440" w:bottom="1440" w:gutter="0" w:footer="0" w:header="0"/>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25" w:lineRule="exact"/>
        <w:rPr>
          <w:sz w:val="20"/>
          <w:szCs w:val="20"/>
          <w:color w:val="auto"/>
        </w:rPr>
      </w:pPr>
    </w:p>
    <w:p>
      <w:pPr>
        <w:ind w:left="1300" w:right="1359" w:firstLine="280"/>
        <w:spacing w:after="0" w:line="258"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filed with the Securities and Exchange Commission, or the SEC, using a “shelf” registration process. Under this prospectus supplement, and the accompanying base prospectus, we may offer shares of our common stock having an aggregate offering price of up to $600,000,000 from time to time at prices and on terms to be determined by market conditions at the time of the offering.</w:t>
      </w:r>
    </w:p>
    <w:p>
      <w:pPr>
        <w:spacing w:after="0" w:line="91"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 for example, a document incorporated by reference in this prospectus supplement, the statement in the document having the later date modifies or supersedes the earlier statement as our business, financial condition, results of operations and prospects may have changed since the earlier dates.</w:t>
      </w:r>
    </w:p>
    <w:p>
      <w:pPr>
        <w:spacing w:after="0" w:line="83"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To the extent there is a conflict between the information contained in this prospectus supplement, on the one hand, and the information contained in the accompanying base prospectus or in any document incorporated by reference in this prospectus supplement having an earlier date than the date of this prospectus supplement, on the other hand, you should rely on the information in this prospectus supplement. You should also read and consider the additional information under the captions “Incorporation of Certain Documents by Reference” and “Where To Learn More About Us” in this prospectus supplement.</w:t>
      </w:r>
    </w:p>
    <w:p>
      <w:pPr>
        <w:spacing w:after="0" w:line="90"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In making your investment decision, you should rely only on the information contained or incorporated by reference in this prospectus supplement, in the accompanying base prospectus and in any free writing prospectus with respect to this offering filed by us with the SEC. We have not, and the Agents have not, authorized any other person to provide you with different information. If anyone provides you with different or inconsistent information you should not rely on it. You should assume that the information appearing in this prospectus supplement, the accompanying base prospectus, any free writing prospectus with respect to the offering filed by us with the SEC and the documents incorporated by reference herein and therein is accurate only as of their respective dates. Our business, financial condition, results of operations and prospects may have changed since those dates.</w:t>
      </w:r>
    </w:p>
    <w:p>
      <w:pPr>
        <w:spacing w:after="0" w:line="96"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We are offering to sell shares of common stock only in jurisdictions where offers and sales are permitted. The distribution of this prospectus supplement and the accompanying base prospectus and the offering of the common stock in certain jurisdictions may be restricted by law. Persons outside the United States who come into possession of this prospectus supplement and the accompanying base prospectus must inform themselves about, and observe any restrictions relating to, the offering of the common stock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83" w:lineRule="exact"/>
        <w:rPr>
          <w:sz w:val="20"/>
          <w:szCs w:val="20"/>
          <w:color w:val="auto"/>
        </w:rPr>
      </w:pPr>
    </w:p>
    <w:p>
      <w:pPr>
        <w:ind w:left="1300" w:right="1359" w:firstLine="280"/>
        <w:spacing w:after="0" w:line="283" w:lineRule="auto"/>
        <w:rPr>
          <w:sz w:val="20"/>
          <w:szCs w:val="20"/>
          <w:color w:val="auto"/>
        </w:rPr>
      </w:pPr>
      <w:r>
        <w:rPr>
          <w:rFonts w:ascii="Times New Roman" w:cs="Times New Roman" w:eastAsia="Times New Roman" w:hAnsi="Times New Roman"/>
          <w:sz w:val="14"/>
          <w:szCs w:val="14"/>
          <w:color w:val="auto"/>
        </w:rPr>
        <w:t>References in this prospectus supplement to the “Company,” “we,” “us” and “our” and similar terms refer to Applied Optoelectronics, Inc.</w:t>
      </w:r>
    </w:p>
    <w:p>
      <w:pPr>
        <w:spacing w:after="0" w:line="72" w:lineRule="exact"/>
        <w:rPr>
          <w:sz w:val="20"/>
          <w:szCs w:val="20"/>
          <w:color w:val="auto"/>
        </w:rPr>
      </w:pPr>
    </w:p>
    <w:p>
      <w:pPr>
        <w:ind w:left="1300" w:right="1559" w:firstLine="280"/>
        <w:spacing w:after="0" w:line="323" w:lineRule="auto"/>
        <w:rPr>
          <w:sz w:val="20"/>
          <w:szCs w:val="20"/>
          <w:color w:val="auto"/>
        </w:rPr>
      </w:pPr>
      <w:r>
        <w:rPr>
          <w:rFonts w:ascii="Times New Roman" w:cs="Times New Roman" w:eastAsia="Times New Roman" w:hAnsi="Times New Roman"/>
          <w:sz w:val="13"/>
          <w:szCs w:val="13"/>
          <w:color w:val="auto"/>
        </w:rPr>
        <w:t>We have filed or incorporated by reference exhibits to the registration statement of which this prospectus supplement forms a part. You should read the exhibits carefully for provisions that may be important to you.</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23" w:lineRule="exact"/>
        <w:rPr>
          <w:sz w:val="20"/>
          <w:szCs w:val="20"/>
          <w:color w:val="auto"/>
        </w:rPr>
      </w:pPr>
    </w:p>
    <w:p>
      <w:pPr>
        <w:ind w:left="1320" w:right="133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This summary description about us, our business and this offering highlights selected information contained elsewhere in this prospectus supplement or incorporated in this prospectus supplement by reference. This summary does not contain all of the information you should consider before deciding to invest in our common stock. You should carefully read this entire prospectus supplement, the accompanying base prospectus and any free writing prospectus that we have authorized for use in connection with this offering, including each of the documents incorporated herein or therein by reference, before making an investment decision. Investors should carefully consider the information set forth under “Risk Factors” beginning on page </w:t>
      </w:r>
      <w:r>
        <w:rPr>
          <w:rFonts w:ascii="Times New Roman" w:cs="Times New Roman" w:eastAsia="Times New Roman" w:hAnsi="Times New Roman"/>
          <w:sz w:val="14"/>
          <w:szCs w:val="14"/>
          <w:i w:val="1"/>
          <w:iCs w:val="1"/>
          <w:u w:val="single" w:color="auto"/>
          <w:color w:val="0000EE"/>
        </w:rPr>
        <w:t>S-5</w:t>
      </w:r>
      <w:r>
        <w:rPr>
          <w:rFonts w:ascii="Times New Roman" w:cs="Times New Roman" w:eastAsia="Times New Roman" w:hAnsi="Times New Roman"/>
          <w:sz w:val="14"/>
          <w:szCs w:val="14"/>
          <w:i w:val="1"/>
          <w:iCs w:val="1"/>
          <w:color w:val="auto"/>
        </w:rPr>
        <w:t xml:space="preserve"> and incorporated by reference to our annual report on Form 10-K and our quarterly reports on Form 10-Q.</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14"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color w:val="auto"/>
        </w:rPr>
        <w:t>We are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spacing w:after="0" w:line="83" w:lineRule="exact"/>
        <w:rPr>
          <w:sz w:val="20"/>
          <w:szCs w:val="20"/>
          <w:color w:val="auto"/>
        </w:rPr>
      </w:pPr>
    </w:p>
    <w:p>
      <w:pPr>
        <w:ind w:left="1320" w:right="1359" w:firstLine="280"/>
        <w:spacing w:after="0" w:line="251" w:lineRule="auto"/>
        <w:rPr>
          <w:sz w:val="20"/>
          <w:szCs w:val="20"/>
          <w:color w:val="auto"/>
        </w:rPr>
      </w:pPr>
      <w:r>
        <w:rPr>
          <w:rFonts w:ascii="Times New Roman" w:cs="Times New Roman" w:eastAsia="Times New Roman" w:hAnsi="Times New Roman"/>
          <w:sz w:val="14"/>
          <w:szCs w:val="14"/>
          <w:color w:val="auto"/>
        </w:rPr>
        <w:t>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83" w:lineRule="exact"/>
        <w:rPr>
          <w:sz w:val="20"/>
          <w:szCs w:val="20"/>
          <w:color w:val="auto"/>
        </w:rPr>
      </w:pPr>
    </w:p>
    <w:p>
      <w:pPr>
        <w:ind w:left="1320" w:right="1299" w:firstLine="280"/>
        <w:spacing w:after="0" w:line="243" w:lineRule="auto"/>
        <w:rPr>
          <w:sz w:val="20"/>
          <w:szCs w:val="20"/>
          <w:color w:val="auto"/>
        </w:rPr>
      </w:pPr>
      <w:r>
        <w:rPr>
          <w:rFonts w:ascii="Times New Roman" w:cs="Times New Roman" w:eastAsia="Times New Roman" w:hAnsi="Times New Roman"/>
          <w:sz w:val="14"/>
          <w:szCs w:val="14"/>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 deployments and system updates among telecom service providers. In the telecom market, we benefit from deployment of new high-speed fiber-optic networks by telecom network operators, including 5G networks.</w:t>
      </w:r>
    </w:p>
    <w:p>
      <w:pPr>
        <w:spacing w:after="0" w:line="89" w:lineRule="exact"/>
        <w:rPr>
          <w:sz w:val="20"/>
          <w:szCs w:val="20"/>
          <w:color w:val="auto"/>
        </w:rPr>
      </w:pPr>
    </w:p>
    <w:p>
      <w:pPr>
        <w:ind w:left="1320" w:right="1439" w:firstLine="280"/>
        <w:spacing w:after="0" w:line="243" w:lineRule="auto"/>
        <w:rPr>
          <w:sz w:val="20"/>
          <w:szCs w:val="20"/>
          <w:color w:val="auto"/>
        </w:rPr>
      </w:pPr>
      <w:r>
        <w:rPr>
          <w:rFonts w:ascii="Times New Roman" w:cs="Times New Roman" w:eastAsia="Times New Roman" w:hAnsi="Times New Roman"/>
          <w:sz w:val="14"/>
          <w:szCs w:val="14"/>
          <w:color w:val="auto"/>
        </w:rPr>
        <w:t>The CATV market is our most established business, for which we supply a broad array of products, including lasers, transmitters and transceivers, and turn-key equipment. Sales of headend, node and distribution equipment, including amplifiers, have contributed significantly to our revenue in recent years as a result of our ability to meet the needs of CATV equipment vendors who have continued to outsource both the design and manufacturing of this equipment. In 2023, we began offering many of our CATV products directly to MSO customers, under Quantum Bandwidth™ brand name. We made this strategic decision in order to better address the needs of our MSO customers as we believe they are embarking on a complex and lengthy series of network upgrades that will likely require significant innovation from their equipment suppliers. By selling products directly to these customers, we believe that we will be able to address these needs more efficiently and will improve our time to market for these new innovations, which MSOs have indicated will be critical to timely rollout of their planned network upgrades.</w:t>
      </w:r>
    </w:p>
    <w:p>
      <w:pPr>
        <w:spacing w:after="0" w:line="89" w:lineRule="exact"/>
        <w:rPr>
          <w:sz w:val="20"/>
          <w:szCs w:val="20"/>
          <w:color w:val="auto"/>
        </w:rPr>
      </w:pPr>
    </w:p>
    <w:p>
      <w:pPr>
        <w:ind w:left="1320" w:right="1379" w:firstLine="280"/>
        <w:spacing w:after="0" w:line="251" w:lineRule="auto"/>
        <w:rPr>
          <w:sz w:val="20"/>
          <w:szCs w:val="20"/>
          <w:color w:val="auto"/>
        </w:rPr>
      </w:pPr>
      <w:r>
        <w:rPr>
          <w:rFonts w:ascii="Times New Roman" w:cs="Times New Roman" w:eastAsia="Times New Roman" w:hAnsi="Times New Roman"/>
          <w:sz w:val="14"/>
          <w:szCs w:val="14"/>
          <w:color w:val="auto"/>
        </w:rPr>
        <w:t>The internet data center market is currently our fastest-growing business. Our customers in this market are generally large internet-based (“hyperscale”) data center operators, along with equipment suppliers who supply our products along with others to our hyperscale data center operator customers. In both cases, we supply optical transceivers that plug into switches and servers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20" w:right="1339"/>
        <w:spacing w:after="0" w:line="245" w:lineRule="auto"/>
        <w:rPr>
          <w:sz w:val="20"/>
          <w:szCs w:val="20"/>
          <w:color w:val="auto"/>
        </w:rPr>
      </w:pPr>
      <w:r>
        <w:rPr>
          <w:rFonts w:ascii="Times New Roman" w:cs="Times New Roman" w:eastAsia="Times New Roman" w:hAnsi="Times New Roman"/>
          <w:sz w:val="14"/>
          <w:szCs w:val="14"/>
          <w:color w:val="auto"/>
        </w:rPr>
        <w:t>within the data center and allow these network devices to send and receive data over fiber 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 In addition, we believe that the significant automation employed in our production process for data center optical modules gives us advantages over our competitors in the ability to scale production rapidly, which is beneficial because the rapid adoption of artificial intelligence (“AI”) is fueling a new wave of investment by hyperscale data center operators, as AI computing is very compute and bandwidth intensive.</w:t>
      </w:r>
    </w:p>
    <w:p>
      <w:pPr>
        <w:spacing w:after="0" w:line="87" w:lineRule="exact"/>
        <w:rPr>
          <w:sz w:val="20"/>
          <w:szCs w:val="20"/>
          <w:color w:val="auto"/>
        </w:rPr>
      </w:pPr>
    </w:p>
    <w:p>
      <w:pPr>
        <w:ind w:left="1320" w:right="1339" w:firstLine="280"/>
        <w:spacing w:after="0" w:line="245" w:lineRule="auto"/>
        <w:rPr>
          <w:sz w:val="20"/>
          <w:szCs w:val="20"/>
          <w:color w:val="auto"/>
        </w:rPr>
      </w:pPr>
      <w:r>
        <w:rPr>
          <w:rFonts w:ascii="Times New Roman" w:cs="Times New Roman" w:eastAsia="Times New Roman" w:hAnsi="Times New Roman"/>
          <w:sz w:val="14"/>
          <w:szCs w:val="14"/>
          <w:color w:val="auto"/>
        </w:rPr>
        <w:t>As the complexity of CATV networks has increased over the years, equipment vendors, many of whom are our customers, have been under pressure to supply a wider variety of increasingly complex equipment to MSOs. In order to meet these demands, many equipment vendors have looked to engage with suppliers like us who have the capability to design and manufacture various network equipment or subassemblies, rather than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 Our recent launch of our own branded line of equipment offers an additional growth opportunity for us, enabling us to sell directly to MSOs in certain cases rather than to CATV equipment vendors.</w:t>
      </w:r>
    </w:p>
    <w:p>
      <w:pPr>
        <w:spacing w:after="0" w:line="87" w:lineRule="exact"/>
        <w:rPr>
          <w:sz w:val="20"/>
          <w:szCs w:val="20"/>
          <w:color w:val="auto"/>
        </w:rPr>
      </w:pPr>
    </w:p>
    <w:p>
      <w:pPr>
        <w:ind w:left="1320" w:right="1459" w:firstLine="280"/>
        <w:spacing w:after="0" w:line="244" w:lineRule="auto"/>
        <w:rPr>
          <w:sz w:val="20"/>
          <w:szCs w:val="20"/>
          <w:color w:val="auto"/>
        </w:rPr>
      </w:pPr>
      <w:r>
        <w:rPr>
          <w:rFonts w:ascii="Times New Roman" w:cs="Times New Roman" w:eastAsia="Times New Roman" w:hAnsi="Times New Roman"/>
          <w:sz w:val="14"/>
          <w:szCs w:val="14"/>
          <w:color w:val="auto"/>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spacing w:after="0" w:line="90" w:lineRule="exact"/>
        <w:rPr>
          <w:sz w:val="20"/>
          <w:szCs w:val="20"/>
          <w:color w:val="auto"/>
        </w:rPr>
      </w:pPr>
    </w:p>
    <w:p>
      <w:pPr>
        <w:ind w:left="1320" w:right="1299" w:firstLine="280"/>
        <w:spacing w:after="0" w:line="243" w:lineRule="auto"/>
        <w:rPr>
          <w:sz w:val="20"/>
          <w:szCs w:val="20"/>
          <w:color w:val="auto"/>
        </w:rPr>
      </w:pPr>
      <w:r>
        <w:rPr>
          <w:rFonts w:ascii="Times New Roman" w:cs="Times New Roman" w:eastAsia="Times New Roman" w:hAnsi="Times New Roman"/>
          <w:sz w:val="14"/>
          <w:szCs w:val="14"/>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and Metal Organic Chemical Vapor Deposition,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14" w:lineRule="exact"/>
        <w:rPr>
          <w:sz w:val="20"/>
          <w:szCs w:val="20"/>
          <w:color w:val="auto"/>
        </w:rPr>
      </w:pPr>
    </w:p>
    <w:p>
      <w:pPr>
        <w:ind w:left="1320" w:right="1379" w:firstLine="280"/>
        <w:spacing w:after="0" w:line="245" w:lineRule="auto"/>
        <w:rPr>
          <w:sz w:val="20"/>
          <w:szCs w:val="20"/>
          <w:color w:val="auto"/>
        </w:rPr>
      </w:pPr>
      <w:r>
        <w:rPr>
          <w:rFonts w:ascii="Times New Roman" w:cs="Times New Roman" w:eastAsia="Times New Roman" w:hAnsi="Times New Roman"/>
          <w:sz w:val="14"/>
          <w:szCs w:val="14"/>
          <w:color w:val="auto"/>
        </w:rPr>
        <w:t>We were incorporated in the State of Texas in 1997. In March 2013, we converted from a Texas corporation into a Delaware corporation. Prime World International Holdings, Ltd. (“Prime World”) is our wholly-owned subsidiary incorporated in the British Virgin Islands on January 13, 2006. Prime World is the parent company of Global Technology, Inc. (“Global”). Global was established in June 2002 in the People’s Republic of China and was acquired by Prime World on March 30, 2006. Prime World also operates a division in Taiwan, which is qualified to do business in Taiwan and primarily manufactures transceivers and performs research and development activities.</w:t>
      </w:r>
    </w:p>
    <w:p>
      <w:pPr>
        <w:spacing w:after="0" w:line="90" w:lineRule="exact"/>
        <w:rPr>
          <w:sz w:val="20"/>
          <w:szCs w:val="20"/>
          <w:color w:val="auto"/>
        </w:rPr>
      </w:pPr>
    </w:p>
    <w:p>
      <w:pPr>
        <w:ind w:left="1320" w:right="1359" w:firstLine="280"/>
        <w:spacing w:after="0" w:line="251" w:lineRule="auto"/>
        <w:rPr>
          <w:sz w:val="20"/>
          <w:szCs w:val="20"/>
          <w:color w:val="auto"/>
        </w:rPr>
      </w:pPr>
      <w:r>
        <w:rPr>
          <w:rFonts w:ascii="Times New Roman" w:cs="Times New Roman" w:eastAsia="Times New Roman" w:hAnsi="Times New Roman"/>
          <w:sz w:val="14"/>
          <w:szCs w:val="14"/>
          <w:color w:val="auto"/>
        </w:rPr>
        <w:t>Our principal executive offices are located at 13139 Jess Pirtle Blvd., Sugar Land, TX 77478, and our telephone number is (281) 295-1800. Our website address is www.ao-inc.com. The information on our website is not incorporated by reference into this prospectus supplement and does not constitute a part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252730</wp:posOffset>
            </wp:positionV>
            <wp:extent cx="4291330" cy="6200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91330" cy="620077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Common stock offered by us</w:t>
      </w:r>
    </w:p>
    <w:p>
      <w:pPr>
        <w:spacing w:after="0" w:line="260" w:lineRule="exact"/>
        <w:rPr>
          <w:sz w:val="20"/>
          <w:szCs w:val="20"/>
          <w:color w:val="auto"/>
        </w:rPr>
      </w:pPr>
    </w:p>
    <w:p>
      <w:pPr>
        <w:ind w:left="1460" w:hanging="139"/>
        <w:spacing w:after="0" w:line="286" w:lineRule="auto"/>
        <w:rPr>
          <w:sz w:val="20"/>
          <w:szCs w:val="20"/>
          <w:color w:val="auto"/>
        </w:rPr>
      </w:pPr>
      <w:r>
        <w:rPr>
          <w:rFonts w:ascii="Times New Roman" w:cs="Times New Roman" w:eastAsia="Times New Roman" w:hAnsi="Times New Roman"/>
          <w:sz w:val="14"/>
          <w:szCs w:val="14"/>
          <w:b w:val="1"/>
          <w:bCs w:val="1"/>
          <w:color w:val="auto"/>
        </w:rPr>
        <w:t>Common stock outstanding before this offering</w:t>
      </w:r>
    </w:p>
    <w:p>
      <w:pPr>
        <w:spacing w:after="0" w:line="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Manner of offering</w:t>
      </w:r>
    </w:p>
    <w:p>
      <w:pPr>
        <w:spacing w:after="0" w:line="200" w:lineRule="exact"/>
        <w:rPr>
          <w:sz w:val="20"/>
          <w:szCs w:val="20"/>
          <w:color w:val="auto"/>
        </w:rPr>
      </w:pPr>
    </w:p>
    <w:p>
      <w:pPr>
        <w:spacing w:after="0" w:line="3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Nasdaq Global Market symbol</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19" w:lineRule="exact"/>
        <w:rPr>
          <w:sz w:val="20"/>
          <w:szCs w:val="20"/>
          <w:color w:val="auto"/>
        </w:rPr>
      </w:pPr>
    </w:p>
    <w:p>
      <w:pPr>
        <w:ind w:left="280" w:right="1519"/>
        <w:spacing w:after="0" w:line="283" w:lineRule="auto"/>
        <w:rPr>
          <w:sz w:val="20"/>
          <w:szCs w:val="20"/>
          <w:color w:val="auto"/>
        </w:rPr>
      </w:pPr>
      <w:r>
        <w:rPr>
          <w:rFonts w:ascii="Times New Roman" w:cs="Times New Roman" w:eastAsia="Times New Roman" w:hAnsi="Times New Roman"/>
          <w:sz w:val="14"/>
          <w:szCs w:val="14"/>
          <w:color w:val="auto"/>
        </w:rPr>
        <w:t>Shares of our common stock having an aggregate offering price of up to $600,000,000.</w:t>
      </w:r>
    </w:p>
    <w:p>
      <w:pPr>
        <w:spacing w:after="0" w:line="1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80,242,767 shares </w:t>
      </w:r>
      <w:r>
        <w:rPr>
          <w:rFonts w:ascii="Times New Roman" w:cs="Times New Roman" w:eastAsia="Times New Roman" w:hAnsi="Times New Roman"/>
          <w:sz w:val="21"/>
          <w:szCs w:val="21"/>
          <w:color w:val="auto"/>
          <w:vertAlign w:val="superscript"/>
        </w:rPr>
        <w:t>(1)</w:t>
      </w:r>
    </w:p>
    <w:p>
      <w:pPr>
        <w:spacing w:after="0" w:line="39" w:lineRule="exact"/>
        <w:rPr>
          <w:sz w:val="20"/>
          <w:szCs w:val="20"/>
          <w:color w:val="auto"/>
        </w:rPr>
      </w:pPr>
    </w:p>
    <w:p>
      <w:pPr>
        <w:ind w:left="280" w:right="1319"/>
        <w:spacing w:after="0" w:line="261" w:lineRule="auto"/>
        <w:rPr>
          <w:sz w:val="20"/>
          <w:szCs w:val="20"/>
          <w:color w:val="auto"/>
        </w:rPr>
      </w:pPr>
      <w:r>
        <w:rPr>
          <w:rFonts w:ascii="Times New Roman" w:cs="Times New Roman" w:eastAsia="Times New Roman" w:hAnsi="Times New Roman"/>
          <w:sz w:val="14"/>
          <w:szCs w:val="14"/>
          <w:color w:val="auto"/>
        </w:rPr>
        <w:t xml:space="preserve">“At-the-market” offering that may be made from time to time through our sales agents, Raymond James and Needham. See “Plan of Distribution” on page </w:t>
      </w:r>
      <w:r>
        <w:rPr>
          <w:rFonts w:ascii="Times New Roman" w:cs="Times New Roman" w:eastAsia="Times New Roman" w:hAnsi="Times New Roman"/>
          <w:sz w:val="14"/>
          <w:szCs w:val="14"/>
          <w:u w:val="single" w:color="auto"/>
          <w:color w:val="0000EE"/>
        </w:rPr>
        <w:t>S-11</w:t>
      </w:r>
      <w:r>
        <w:rPr>
          <w:rFonts w:ascii="Times New Roman" w:cs="Times New Roman" w:eastAsia="Times New Roman" w:hAnsi="Times New Roman"/>
          <w:sz w:val="14"/>
          <w:szCs w:val="14"/>
          <w:color w:val="auto"/>
        </w:rPr>
        <w:t xml:space="preserve"> of this prospectus supplement.</w:t>
      </w:r>
    </w:p>
    <w:p>
      <w:pPr>
        <w:spacing w:after="0" w:line="57" w:lineRule="exact"/>
        <w:rPr>
          <w:sz w:val="20"/>
          <w:szCs w:val="20"/>
          <w:color w:val="auto"/>
        </w:rPr>
      </w:pPr>
    </w:p>
    <w:p>
      <w:pPr>
        <w:ind w:left="280" w:right="1319"/>
        <w:spacing w:after="0" w:line="258" w:lineRule="auto"/>
        <w:rPr>
          <w:sz w:val="20"/>
          <w:szCs w:val="20"/>
          <w:color w:val="auto"/>
        </w:rPr>
      </w:pPr>
      <w:r>
        <w:rPr>
          <w:rFonts w:ascii="Times New Roman" w:cs="Times New Roman" w:eastAsia="Times New Roman" w:hAnsi="Times New Roman"/>
          <w:sz w:val="14"/>
          <w:szCs w:val="14"/>
          <w:color w:val="auto"/>
        </w:rPr>
        <w:t xml:space="preserve">We currently intend to use the net proceeds from this offering, if any, for general corporate purposes, which may include among other things, debt repayment, working capital, capital expenditures and acquisitions. See “Use of Proceeds” on page </w:t>
      </w:r>
      <w:r>
        <w:rPr>
          <w:rFonts w:ascii="Times New Roman" w:cs="Times New Roman" w:eastAsia="Times New Roman" w:hAnsi="Times New Roman"/>
          <w:sz w:val="14"/>
          <w:szCs w:val="14"/>
          <w:u w:val="single" w:color="auto"/>
          <w:color w:val="0000EE"/>
        </w:rPr>
        <w:t>S-9</w:t>
      </w:r>
      <w:r>
        <w:rPr>
          <w:rFonts w:ascii="Times New Roman" w:cs="Times New Roman" w:eastAsia="Times New Roman" w:hAnsi="Times New Roman"/>
          <w:sz w:val="14"/>
          <w:szCs w:val="14"/>
          <w:color w:val="auto"/>
        </w:rPr>
        <w:t xml:space="preserve"> of this prospectus supplement.</w:t>
      </w:r>
    </w:p>
    <w:p>
      <w:pPr>
        <w:spacing w:after="0" w:line="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AAOI</w:t>
      </w:r>
    </w:p>
    <w:p>
      <w:pPr>
        <w:spacing w:after="0" w:line="91" w:lineRule="exact"/>
        <w:rPr>
          <w:sz w:val="20"/>
          <w:szCs w:val="20"/>
          <w:color w:val="auto"/>
        </w:rPr>
      </w:pPr>
    </w:p>
    <w:p>
      <w:pPr>
        <w:ind w:left="280" w:right="1459"/>
        <w:spacing w:after="0" w:line="257" w:lineRule="auto"/>
        <w:rPr>
          <w:sz w:val="20"/>
          <w:szCs w:val="20"/>
          <w:color w:val="auto"/>
        </w:rPr>
      </w:pPr>
      <w:r>
        <w:rPr>
          <w:rFonts w:ascii="Times New Roman" w:cs="Times New Roman" w:eastAsia="Times New Roman" w:hAnsi="Times New Roman"/>
          <w:sz w:val="14"/>
          <w:szCs w:val="14"/>
          <w:color w:val="auto"/>
        </w:rPr>
        <w:t xml:space="preserve">Investing in our common stock involves significant risks. Please see “Risk Factors” beginning on page </w:t>
      </w:r>
      <w:r>
        <w:rPr>
          <w:rFonts w:ascii="Times New Roman" w:cs="Times New Roman" w:eastAsia="Times New Roman" w:hAnsi="Times New Roman"/>
          <w:sz w:val="14"/>
          <w:szCs w:val="14"/>
          <w:u w:val="single" w:color="auto"/>
          <w:color w:val="0000EE"/>
        </w:rPr>
        <w:t>S-5</w:t>
      </w:r>
      <w:r>
        <w:rPr>
          <w:rFonts w:ascii="Times New Roman" w:cs="Times New Roman" w:eastAsia="Times New Roman" w:hAnsi="Times New Roman"/>
          <w:sz w:val="14"/>
          <w:szCs w:val="14"/>
          <w:color w:val="auto"/>
        </w:rPr>
        <w:t xml:space="preserve"> of this prospectus supplement, page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 xml:space="preserve"> of the accompanying base prospectus and in the documents incorporated by reference herein, to read about factors you should consider before deciding to purchase shares of our common stock.</w:t>
      </w:r>
    </w:p>
    <w:p>
      <w:pPr>
        <w:spacing w:after="0" w:line="200" w:lineRule="exact"/>
        <w:rPr>
          <w:sz w:val="20"/>
          <w:szCs w:val="20"/>
          <w:color w:val="auto"/>
        </w:rPr>
      </w:pPr>
    </w:p>
    <w:p>
      <w:pPr>
        <w:sectPr>
          <w:pgSz w:w="11900" w:h="16838" w:orient="portrait"/>
          <w:cols w:equalWidth="0" w:num="2">
            <w:col w:w="3640" w:space="340"/>
            <w:col w:w="5039"/>
          </w:cols>
          <w:pgMar w:left="1440" w:top="1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0" w:hanging="278"/>
        <w:spacing w:after="0"/>
        <w:tabs>
          <w:tab w:leader="none" w:pos="1600" w:val="left"/>
        </w:tabs>
        <w:numPr>
          <w:ilvl w:val="0"/>
          <w:numId w:val="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Based on shares outstanding as of May 13, 2026, excluding the following shares of common stock reserved for issuance as of that date:</w:t>
      </w:r>
    </w:p>
    <w:p>
      <w:pPr>
        <w:spacing w:after="0" w:line="55" w:lineRule="exact"/>
        <w:rPr>
          <w:rFonts w:ascii="Times New Roman" w:cs="Times New Roman" w:eastAsia="Times New Roman" w:hAnsi="Times New Roman"/>
          <w:sz w:val="17"/>
          <w:szCs w:val="17"/>
          <w:color w:val="auto"/>
          <w:vertAlign w:val="superscript"/>
        </w:rPr>
      </w:pPr>
    </w:p>
    <w:p>
      <w:pPr>
        <w:ind w:left="1840" w:hanging="237"/>
        <w:spacing w:after="0"/>
        <w:tabs>
          <w:tab w:leader="none" w:pos="1840" w:val="left"/>
        </w:tabs>
        <w:numPr>
          <w:ilvl w:val="1"/>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restricted stock units representing a total of 1,367,576 shares of common stock issuable upon vesting;</w:t>
      </w:r>
    </w:p>
    <w:p>
      <w:pPr>
        <w:spacing w:after="0" w:line="40" w:lineRule="exact"/>
        <w:rPr>
          <w:rFonts w:ascii="Times New Roman" w:cs="Times New Roman" w:eastAsia="Times New Roman" w:hAnsi="Times New Roman"/>
          <w:sz w:val="11"/>
          <w:szCs w:val="11"/>
          <w:color w:val="auto"/>
        </w:rPr>
      </w:pPr>
    </w:p>
    <w:p>
      <w:pPr>
        <w:ind w:left="1840" w:right="1399" w:hanging="237"/>
        <w:spacing w:after="0" w:line="276" w:lineRule="auto"/>
        <w:tabs>
          <w:tab w:leader="none" w:pos="1840" w:val="left"/>
        </w:tabs>
        <w:numPr>
          <w:ilvl w:val="1"/>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performance stock units representing a total of 1,359,359 shares of common stock issuable upon the satisfaction of performance-based vesting conditions that were outstanding as of May 13, 2026;</w:t>
      </w:r>
    </w:p>
    <w:p>
      <w:pPr>
        <w:spacing w:after="0" w:line="24" w:lineRule="exact"/>
        <w:rPr>
          <w:rFonts w:ascii="Times New Roman" w:cs="Times New Roman" w:eastAsia="Times New Roman" w:hAnsi="Times New Roman"/>
          <w:sz w:val="11"/>
          <w:szCs w:val="11"/>
          <w:color w:val="auto"/>
        </w:rPr>
      </w:pPr>
    </w:p>
    <w:p>
      <w:pPr>
        <w:ind w:left="1840" w:hanging="237"/>
        <w:spacing w:after="0"/>
        <w:tabs>
          <w:tab w:leader="none" w:pos="1840" w:val="left"/>
        </w:tabs>
        <w:numPr>
          <w:ilvl w:val="1"/>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shares issuable upon conversion of our 2.75% Convertible Senior Notes due 2030; and</w:t>
      </w:r>
    </w:p>
    <w:p>
      <w:pPr>
        <w:spacing w:after="0" w:line="52" w:lineRule="exact"/>
        <w:rPr>
          <w:rFonts w:ascii="Times New Roman" w:cs="Times New Roman" w:eastAsia="Times New Roman" w:hAnsi="Times New Roman"/>
          <w:sz w:val="11"/>
          <w:szCs w:val="11"/>
          <w:color w:val="auto"/>
        </w:rPr>
      </w:pPr>
    </w:p>
    <w:p>
      <w:pPr>
        <w:ind w:left="1840" w:hanging="237"/>
        <w:spacing w:after="0"/>
        <w:tabs>
          <w:tab w:leader="none" w:pos="1840" w:val="left"/>
        </w:tabs>
        <w:numPr>
          <w:ilvl w:val="1"/>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shares issuable upon exercise of warrants issued to Amazon.com, Inc.</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3"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i w:val="1"/>
          <w:iCs w:val="1"/>
          <w:color w:val="auto"/>
        </w:rPr>
        <w:t>An investment in our common stock involves a high degree of risk. You should consider carefully the risks described below and discussed under the section captioned “Risk Factors” contained in our most recent Annual Report on Form 10-K, as revised or supplemented by our Quarterly Reports on Form 10-Q since the filing of our most recent Annual Report on Form 10-K, each of which is incorporated by reference in this prospectus supplement in their entirety, together with other information in this prospectus supplement, and the information and documents incorporated by reference in this prospectus supplement, the accompanying base prospectus and any free writing prospectus with respect to this offering filed by us with the SEC, before you make a decision to invest in our common stock. The risks and uncertainties described below are not the only ones we face. Other risks and uncertainties, including those that we do not currently consider material, may impair our business. If any of these risks actually occur, our business, financial condition, operating results or cash flows could be materially adversely affected. This could cause the trading price of our common stock to decline, resulting in a loss of all or part of your investment.</w:t>
      </w:r>
    </w:p>
    <w:p>
      <w:pPr>
        <w:spacing w:after="0" w:line="138" w:lineRule="exact"/>
        <w:rPr>
          <w:sz w:val="20"/>
          <w:szCs w:val="20"/>
          <w:color w:val="auto"/>
        </w:rPr>
      </w:pPr>
    </w:p>
    <w:p>
      <w:pPr>
        <w:ind w:left="1300" w:right="147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under this prospectus supplement and the accompanying base prospectus may be sold in “at-the-market” offerings, and investors who buy shares at different times will likely pay different prices.</w:t>
      </w:r>
    </w:p>
    <w:p>
      <w:pPr>
        <w:spacing w:after="0" w:line="78" w:lineRule="exact"/>
        <w:rPr>
          <w:sz w:val="20"/>
          <w:szCs w:val="20"/>
          <w:color w:val="auto"/>
        </w:rPr>
      </w:pPr>
    </w:p>
    <w:p>
      <w:pPr>
        <w:ind w:left="1300" w:right="1399" w:firstLine="280"/>
        <w:spacing w:after="0" w:line="247" w:lineRule="auto"/>
        <w:rPr>
          <w:sz w:val="20"/>
          <w:szCs w:val="20"/>
          <w:color w:val="auto"/>
        </w:rPr>
      </w:pPr>
      <w:r>
        <w:rPr>
          <w:rFonts w:ascii="Times New Roman" w:cs="Times New Roman" w:eastAsia="Times New Roman" w:hAnsi="Times New Roman"/>
          <w:sz w:val="14"/>
          <w:szCs w:val="14"/>
          <w:color w:val="auto"/>
        </w:rPr>
        <w:t>Investors who purchase shares under this prospectus supplement and the accompanying base prospectus at different times will likely pay different prices, and so may experience different outcomes. We will have discretion, subject to market demand, to vary the timing and numbers of shares sold, and there is no minimum or maximum sales price. Investors may experience declines in the value of their shares as a result of share sales made at prices lower than the prices they paid.</w:t>
      </w:r>
    </w:p>
    <w:p>
      <w:pPr>
        <w:spacing w:after="0" w:line="1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we will issue under the sales agreement, at any one time or in total, is uncertain.</w:t>
      </w:r>
    </w:p>
    <w:p>
      <w:pPr>
        <w:spacing w:after="0" w:line="114" w:lineRule="exact"/>
        <w:rPr>
          <w:sz w:val="20"/>
          <w:szCs w:val="20"/>
          <w:color w:val="auto"/>
        </w:rPr>
      </w:pPr>
    </w:p>
    <w:p>
      <w:pPr>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sales notice to one or both of the Agents at any time throughout the term of the sales agreement. The number of shares that are sold by the Agents after delivering a sales notice will fluctuate based on the market price of the common shares during the sales period and limits we set with the Agents. Because the price per share of each share sold will fluctuate based on the market price of our common stock during the sales period, it is not possible at this stage to predict the number of shares that will ultimately be issued.</w:t>
      </w:r>
    </w:p>
    <w:p>
      <w:pPr>
        <w:spacing w:after="0" w:line="139" w:lineRule="exact"/>
        <w:rPr>
          <w:sz w:val="20"/>
          <w:szCs w:val="20"/>
          <w:color w:val="auto"/>
        </w:rPr>
      </w:pPr>
    </w:p>
    <w:p>
      <w:pPr>
        <w:ind w:left="1300" w:right="13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You will experience immediate and substantial dilution in the net tangible book value per share of the common stock you purchase in the offering.</w:t>
      </w:r>
    </w:p>
    <w:p>
      <w:pPr>
        <w:spacing w:after="0" w:line="71"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The offering price per share in this offering exceeds the pro forma net tangible book value per share of our common stock outstanding as of March 31, 2026. Assuming that we sell an aggregate of 2,689,377 shares of our common stock at a price of  $223.10 per share, the last reported sale price of our common stock on The Nasdaq Global Market on May 13, 2026, for aggregate gross proceeds of approximately $600,000,000, and after deducting commissions and estimated aggregate offering expenses payable by us, you will experience immediate dilution of  $200.27 per share. See the section titled “Dilution” below for a more detailed illustration of the dilution you would incur if you participate in this offering. See “—You may experience significant dilution as a result of future financings and the exercise of outstanding options or warrants” below for a more detailed discussion of the dilution you will incur if you purchase common stock in this offering.</w:t>
      </w:r>
    </w:p>
    <w:p>
      <w:pPr>
        <w:spacing w:after="0" w:line="138" w:lineRule="exact"/>
        <w:rPr>
          <w:sz w:val="20"/>
          <w:szCs w:val="20"/>
          <w:color w:val="auto"/>
        </w:rPr>
      </w:pPr>
    </w:p>
    <w:p>
      <w:pPr>
        <w:ind w:left="1300" w:right="17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You may experience significant dilution as a result of future financings and the exercise of outstanding options or warrants.</w:t>
      </w:r>
    </w:p>
    <w:p>
      <w:pPr>
        <w:spacing w:after="0" w:line="60" w:lineRule="exact"/>
        <w:rPr>
          <w:sz w:val="20"/>
          <w:szCs w:val="20"/>
          <w:color w:val="auto"/>
        </w:rPr>
      </w:pPr>
    </w:p>
    <w:p>
      <w:pPr>
        <w:jc w:val="both"/>
        <w:ind w:left="1300" w:right="1459" w:firstLine="280"/>
        <w:spacing w:after="0" w:line="251" w:lineRule="auto"/>
        <w:rPr>
          <w:sz w:val="20"/>
          <w:szCs w:val="20"/>
          <w:color w:val="auto"/>
        </w:rPr>
      </w:pPr>
      <w:r>
        <w:rPr>
          <w:rFonts w:ascii="Times New Roman" w:cs="Times New Roman" w:eastAsia="Times New Roman" w:hAnsi="Times New Roman"/>
          <w:sz w:val="14"/>
          <w:szCs w:val="14"/>
          <w:color w:val="auto"/>
        </w:rPr>
        <w:t>In order to raise additional capital, we may issue additional shares of our common stock or other securities convertible into or exchangeable for our common stock, including offerings pursuant to the accompanying base prospectus. We cannot assure you that we will be able to sell shares or other securities in any other offering at a price per share that is equal to or greater than the price per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99"/>
        <w:spacing w:after="0" w:line="251" w:lineRule="auto"/>
        <w:rPr>
          <w:sz w:val="20"/>
          <w:szCs w:val="20"/>
          <w:color w:val="auto"/>
        </w:rPr>
      </w:pPr>
      <w:r>
        <w:rPr>
          <w:rFonts w:ascii="Times New Roman" w:cs="Times New Roman" w:eastAsia="Times New Roman" w:hAnsi="Times New Roman"/>
          <w:sz w:val="14"/>
          <w:szCs w:val="14"/>
          <w:color w:val="auto"/>
        </w:rPr>
        <w:t>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and is likely to be volatile.</w:t>
      </w:r>
    </w:p>
    <w:p>
      <w:pPr>
        <w:spacing w:after="0" w:line="114"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The market price of our common stock has been and is likely to be subject to wide fluctuations. For example, the market price of our common stock has fluctuated from an intra-day low of  $15.06 to an intra-day high of  $233.67 over the 12 months preceding the date of this prospectus supplement. This volatility may affect the price at which you could sell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among other things those described elsewhere in this prospectus supplement, the accompanying base prospectus, and the documents incorporated by reference herein and therein,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92" w:lineRule="exact"/>
        <w:rPr>
          <w:sz w:val="20"/>
          <w:szCs w:val="20"/>
          <w:color w:val="auto"/>
        </w:rPr>
      </w:pPr>
    </w:p>
    <w:p>
      <w:pPr>
        <w:ind w:left="1300" w:right="1399" w:firstLine="280"/>
        <w:spacing w:after="0" w:line="247" w:lineRule="auto"/>
        <w:rPr>
          <w:sz w:val="20"/>
          <w:szCs w:val="20"/>
          <w:color w:val="auto"/>
        </w:rPr>
      </w:pPr>
      <w:r>
        <w:rPr>
          <w:rFonts w:ascii="Times New Roman" w:cs="Times New Roman" w:eastAsia="Times New Roman" w:hAnsi="Times New Roman"/>
          <w:sz w:val="14"/>
          <w:szCs w:val="14"/>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86" w:lineRule="exact"/>
        <w:rPr>
          <w:sz w:val="20"/>
          <w:szCs w:val="20"/>
          <w:color w:val="auto"/>
        </w:rPr>
      </w:pPr>
    </w:p>
    <w:p>
      <w:pPr>
        <w:jc w:val="both"/>
        <w:ind w:left="1300" w:right="1499" w:firstLine="280"/>
        <w:spacing w:after="0" w:line="259" w:lineRule="auto"/>
        <w:rPr>
          <w:sz w:val="20"/>
          <w:szCs w:val="20"/>
          <w:color w:val="auto"/>
        </w:rPr>
      </w:pPr>
      <w:r>
        <w:rPr>
          <w:rFonts w:ascii="Times New Roman" w:cs="Times New Roman" w:eastAsia="Times New Roman" w:hAnsi="Times New Roman"/>
          <w:sz w:val="14"/>
          <w:szCs w:val="14"/>
          <w:color w:val="auto"/>
        </w:rPr>
        <w:t>In the past, many companies that have experienced volatility in the market price of their stock have been subject to securities class action litigation. We have been in the past and may become in the future the target of this type of litigation.</w:t>
      </w:r>
    </w:p>
    <w:p>
      <w:pPr>
        <w:spacing w:after="0" w:line="129" w:lineRule="exact"/>
        <w:rPr>
          <w:sz w:val="20"/>
          <w:szCs w:val="20"/>
          <w:color w:val="auto"/>
        </w:rPr>
      </w:pPr>
    </w:p>
    <w:p>
      <w:pPr>
        <w:ind w:left="1300" w:right="17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from this offering and may allocate the net proceeds from this offering in ways that you and other stockholders may not approve.</w:t>
      </w:r>
    </w:p>
    <w:p>
      <w:pPr>
        <w:spacing w:after="0" w:line="71"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have a material adverse effect on our business and cause the market price of our common stock to decline. Pending their ultimate use, we intend to invest the net proceeds in short-term, investment-grade, interest-bearing instruments. These investments may not yield a favorable return to our stockholders.</w:t>
      </w:r>
    </w:p>
    <w:p>
      <w:pPr>
        <w:spacing w:after="0" w:line="150" w:lineRule="exact"/>
        <w:rPr>
          <w:sz w:val="20"/>
          <w:szCs w:val="20"/>
          <w:color w:val="auto"/>
        </w:rPr>
      </w:pPr>
    </w:p>
    <w:p>
      <w:pPr>
        <w:ind w:left="1300" w:right="16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restrictions on our business if we sell additional equity or debt securities to fund our operations.</w:t>
      </w:r>
    </w:p>
    <w:p>
      <w:pPr>
        <w:spacing w:after="0" w:line="71" w:lineRule="exact"/>
        <w:rPr>
          <w:sz w:val="20"/>
          <w:szCs w:val="20"/>
          <w:color w:val="auto"/>
        </w:rPr>
      </w:pPr>
    </w:p>
    <w:p>
      <w:pPr>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In order to raise additional funds to support our operations, we may issue additional equity or debt securities, which may impose restrictive covenants that adversely impact our business. The incurrence of indebtedness would result in increased fixed payment obligations and could also result in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expand our operations or otherwise capitalize on our business opportunities due to such restrictions, our business, financial condition and results of operations could be materially adversely affected.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common stock in the public market or other financings could cause our stock price to fall.</w:t>
      </w:r>
    </w:p>
    <w:p>
      <w:pPr>
        <w:spacing w:after="0" w:line="125" w:lineRule="exact"/>
        <w:rPr>
          <w:sz w:val="20"/>
          <w:szCs w:val="20"/>
          <w:color w:val="auto"/>
        </w:rPr>
      </w:pPr>
    </w:p>
    <w:p>
      <w:pPr>
        <w:ind w:left="1300" w:right="1419" w:firstLine="280"/>
        <w:spacing w:after="0" w:line="254"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and the perception that such sales might occur in the future or the occurrence of other financings, could depress the market price of our common stock and could impair our ability to raise capital through the sale of additional equity securities. A substantial majority of the outstanding shares of our common stock are, and all of the shares sold in this offering upon issuance will be, freely tradable without restriction or further registration under the Securities Act, unless these shares are owned or purchased by “affiliates” as that term is defined in Rule 144 under the Securities Act (“Rule 144”). In addition, shares of common stock issuable upon exercise of outstanding options, restricted stock units and shares reserved for future issuance under our incentive stock plan will be eligible for sale in the public market to the extent permitted by applicable vesting requirements and, in some cases, subject to compliance with the requirements of Rule 144. As a result, these shares can be freely sold in the public market upon issuance, subject to restrictions under the securities laws.</w:t>
      </w:r>
    </w:p>
    <w:p>
      <w:pPr>
        <w:spacing w:after="0" w:line="142" w:lineRule="exact"/>
        <w:rPr>
          <w:sz w:val="20"/>
          <w:szCs w:val="20"/>
          <w:color w:val="auto"/>
        </w:rPr>
      </w:pPr>
    </w:p>
    <w:p>
      <w:pPr>
        <w:ind w:left="1300" w:right="1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Because we do not intend to declare cash dividends on our shares of common stock in the foreseeable future, stockholders must rely on appreciation of the value of our common stock for any return on their investment.</w:t>
      </w:r>
    </w:p>
    <w:p>
      <w:pPr>
        <w:spacing w:after="0" w:line="70" w:lineRule="exact"/>
        <w:rPr>
          <w:sz w:val="20"/>
          <w:szCs w:val="20"/>
          <w:color w:val="auto"/>
        </w:rPr>
      </w:pPr>
    </w:p>
    <w:p>
      <w:pPr>
        <w:ind w:left="1300" w:right="1639" w:firstLine="280"/>
        <w:spacing w:after="0" w:line="261" w:lineRule="auto"/>
        <w:rPr>
          <w:sz w:val="20"/>
          <w:szCs w:val="20"/>
          <w:color w:val="auto"/>
        </w:rPr>
      </w:pPr>
      <w:r>
        <w:rPr>
          <w:rFonts w:ascii="Times New Roman" w:cs="Times New Roman" w:eastAsia="Times New Roman" w:hAnsi="Times New Roman"/>
          <w:sz w:val="14"/>
          <w:szCs w:val="14"/>
          <w:color w:val="auto"/>
        </w:rPr>
        <w:t>We have never declared or paid cash dividends on our common stock and do not anticipate declaring or paying any cash dividends in the foreseeable future. In addition, the terms of our existing debt agreements preclude us from paying dividends. As a result, we expect that only appreciation of the price of our common stock, if any, will provide a return to investors in this offering for the foreseeable future.</w:t>
      </w:r>
    </w:p>
    <w:p>
      <w:pPr>
        <w:spacing w:after="0" w:line="139" w:lineRule="exact"/>
        <w:rPr>
          <w:sz w:val="20"/>
          <w:szCs w:val="20"/>
          <w:color w:val="auto"/>
        </w:rPr>
      </w:pPr>
    </w:p>
    <w:p>
      <w:pPr>
        <w:ind w:left="1300" w:right="14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0" w:lineRule="exact"/>
        <w:rPr>
          <w:sz w:val="20"/>
          <w:szCs w:val="20"/>
          <w:color w:val="auto"/>
        </w:rPr>
      </w:pPr>
    </w:p>
    <w:p>
      <w:pPr>
        <w:ind w:left="1300" w:right="1439" w:firstLine="280"/>
        <w:spacing w:after="0" w:line="25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behalf of us, (ii) any action asserting a claim of breach of a fiduciary duty owed by any of our directors, officers or other employees of us to us or our stockholders, (iii) any action asserting a claim arising pursuant to any provision of the Delaware General Corporation Law or our Amended and Restated Certificate of Incorporation or By-laws, or (iv) any action asserting a claim against us governed by the internal affairs doctrine.</w:t>
      </w:r>
    </w:p>
    <w:p>
      <w:pPr>
        <w:spacing w:after="0" w:line="91"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This exclusive forum provision will not apply to claims under the Exchange Act, but will apply to other state and federal law claims including actions arising under the Securities Act (although our stockholders will not be deemed to have waived our compliance with the federal securities laws and the rules and regulations thereunder). Section 22 of the Securities Act, however,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contain, and the documents incorporated by reference herein include, “forward-looking statements” within the meaning of Section 27A of the Securities Act and Section 21E of the Exchange Act.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90"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Forward-looking statements include, but are not limited to, statements about reduction in the size or quantity of customer orders; change in demand for our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our reliance on a small number of customers for a substantial portion of our revenues; pricing pressure; a decline in demand for our customers’ products or their rate of deployment of their products; general conditions in the internet data center, CATV, telecom and FTTH; changes in the world economy (particularly in the United States and China); the negative effects of seasonality; expectations regarding the acquisition or divestiture of assets and business; and realization of deferred tax assets.</w:t>
      </w:r>
    </w:p>
    <w:p>
      <w:pPr>
        <w:spacing w:after="0" w:line="86"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In some cases, you can identify forward-looking statement by terms such as “believe,” “may,” “estimate,” “continue,” “anticipate,” “intend,” “should,” “could,” “would,” “target,” “seek,” “aim,” “believe,” “predicts,” “think,” “objectives,” “optimistic,” “new,” “goal,” “strategy,” “potential,” “is likely,” “will,” “expect,” “plan” “project,” “permit”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many of these risks in greater detail under the heading “Risk Factors” in our SEC filings, under the caption “Risk Factors” in the accompanying base prospectus and under the caption “Risk Factors” in this prospectus supplement. Also, these forward-looking statements represent our estimates and assumptions only as of the date of the document containing the applicable statement. You should read this prospectus supplement, the registration statement of which the accompanying base prospectus is a part, and the exhibits and documents incorporated by reference herein and therein completely and with the understanding that our actual future results may be materially different from those described in forward-looking statements. We qualify all of the forward-looking statements in the foregoing documents by these cautionary statements.</w:t>
      </w:r>
    </w:p>
    <w:p>
      <w:pPr>
        <w:spacing w:after="0" w:line="95"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You should assume that information contained in or incorporated by reference into this prospectus supplement is accurate only as of the date on the front cover of this prospectus supplement or the date of the document incorporated by reference, as applicable. Unless required by law, we undertake no obligation to update or revise any forward-looking statements to reflect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the Agents as a source of financing.</w:t>
      </w:r>
    </w:p>
    <w:p>
      <w:pPr>
        <w:spacing w:after="0" w:line="83" w:lineRule="exact"/>
        <w:rPr>
          <w:sz w:val="20"/>
          <w:szCs w:val="20"/>
          <w:color w:val="auto"/>
        </w:rPr>
      </w:pPr>
    </w:p>
    <w:p>
      <w:pPr>
        <w:ind w:left="1300" w:right="1419" w:firstLine="280"/>
        <w:spacing w:after="0" w:line="261"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for general corporate purposes, which may include, among other things, debt repayment, working capital, and capital expenditures. We may also use such proceeds to fund acquisitions of businesses, technologies or product lines that complement our current business; however, we have no present plans, agreements or commitments with respect to any potential acquisition.</w:t>
      </w:r>
    </w:p>
    <w:p>
      <w:pPr>
        <w:spacing w:after="0" w:line="78"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Investors are cautioned, however, that expenditures may vary substantially from these uses. Investors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competition and other operational factors. We may find it necessary or advisable to use portions of the proceeds from this offering for other purposes.</w:t>
      </w:r>
    </w:p>
    <w:p>
      <w:pPr>
        <w:spacing w:after="0" w:line="91" w:lineRule="exact"/>
        <w:rPr>
          <w:sz w:val="20"/>
          <w:szCs w:val="20"/>
          <w:color w:val="auto"/>
        </w:rPr>
      </w:pPr>
    </w:p>
    <w:p>
      <w:pPr>
        <w:jc w:val="both"/>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Pending other uses, we intend to invest the proceeds in investment-grade, interest-bearing securities such as money market funds, certificates of deposit, or direct or guaranteed obligations of the U.S. government, or hold as cash. We cannot predict whether the proceeds invested will yield a favorable, or any,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62" w:lineRule="exact"/>
        <w:rPr>
          <w:sz w:val="20"/>
          <w:szCs w:val="20"/>
          <w:color w:val="auto"/>
        </w:rPr>
      </w:pPr>
    </w:p>
    <w:p>
      <w:pPr>
        <w:ind w:left="1300" w:right="1379" w:firstLine="280"/>
        <w:spacing w:after="0" w:line="230" w:lineRule="auto"/>
        <w:rPr>
          <w:sz w:val="20"/>
          <w:szCs w:val="20"/>
          <w:color w:val="auto"/>
        </w:rPr>
      </w:pPr>
      <w:r>
        <w:rPr>
          <w:rFonts w:ascii="Times New Roman" w:cs="Times New Roman" w:eastAsia="Times New Roman" w:hAnsi="Times New Roman"/>
          <w:sz w:val="14"/>
          <w:szCs w:val="14"/>
          <w:color w:val="auto"/>
        </w:rPr>
        <w:t>If you purchase shares of our common stock in this offering, your interest will be diluted to the extent of the difference between the public offering price per share and the net tangible book value per share of our common stock after this offering. We calculate net tangible book value per share by dividing our net tangible assets (tangible assets less total liabilities) by the number of shares of our common stock issued and outstanding as of March 31, 2026.</w:t>
      </w:r>
    </w:p>
    <w:p>
      <w:pPr>
        <w:spacing w:after="0" w:line="17" w:lineRule="exact"/>
        <w:rPr>
          <w:sz w:val="20"/>
          <w:szCs w:val="20"/>
          <w:color w:val="auto"/>
        </w:rPr>
      </w:pPr>
    </w:p>
    <w:p>
      <w:pPr>
        <w:ind w:left="1300" w:right="1359" w:firstLine="280"/>
        <w:spacing w:after="0" w:line="223" w:lineRule="auto"/>
        <w:rPr>
          <w:sz w:val="20"/>
          <w:szCs w:val="20"/>
          <w:color w:val="auto"/>
        </w:rPr>
      </w:pPr>
      <w:r>
        <w:rPr>
          <w:rFonts w:ascii="Times New Roman" w:cs="Times New Roman" w:eastAsia="Times New Roman" w:hAnsi="Times New Roman"/>
          <w:sz w:val="14"/>
          <w:szCs w:val="14"/>
          <w:color w:val="auto"/>
        </w:rPr>
        <w:t>Our historical net tangible book value at March 31, 2026 was $1,102,336,908 or approximately $13.96 per share of our common stock. After giving effect to (i) the approximately $107.4 million of common stock issuances made after March 31, 2026 pursuant to the prior Equity Distribution Agreement with Raymond James and Needham dated February 26, 2026, as amended on March 12, 2026 and (ii) the sale of our common stock in the aggregate amount of approximately $600,000,000 in this offering, at an assumed offering price of  $223.10 per share, the last reported sale price of our common stock on The Nasdaq Global Market on May 13, 2026, and after deducting estimated offering expenses and commissions payable by us, our adjusted net tangible book value as of March 31, 2026 would have been approximately $1,797,708,537, or approximately $22.83 per share of our common stock. This represents an immediate increase in the net tangible book value of $7.72 per share of our common stock to our existing stockholders and an immediate dilution in net tangible book value of approximately $200.27 per share of our common stock to new investors. The following table illustrates per share dilution:</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​​$ 223.10​</w:t>
            </w:r>
          </w:p>
        </w:tc>
        <w:tc>
          <w:tcPr>
            <w:tcW w:w="40" w:type="dxa"/>
            <w:vAlign w:val="bottom"/>
          </w:tcPr>
          <w:p>
            <w:pPr>
              <w:spacing w:after="0"/>
              <w:rPr>
                <w:sz w:val="14"/>
                <w:szCs w:val="14"/>
                <w:color w:val="auto"/>
              </w:rPr>
            </w:pPr>
          </w:p>
        </w:tc>
      </w:tr>
      <w:tr>
        <w:trPr>
          <w:trHeight w:val="200"/>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tangible book value per share as of March 31, 2026</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13.96​</w:t>
            </w:r>
          </w:p>
        </w:tc>
      </w:tr>
      <w:tr>
        <w:trPr>
          <w:trHeight w:val="196"/>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 forma increase in net tangible book value per share after March 31, 2026 attributable</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to February 26, 2026 Equity Distribution Agreement, as amended on March 12, 2026</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7"/>
              </w:rPr>
              <w:t>1.15​</w:t>
            </w:r>
          </w:p>
        </w:tc>
        <w:tc>
          <w:tcPr>
            <w:tcW w:w="40" w:type="dxa"/>
            <w:vAlign w:val="bottom"/>
          </w:tcPr>
          <w:p>
            <w:pPr>
              <w:spacing w:after="0"/>
              <w:rPr>
                <w:sz w:val="15"/>
                <w:szCs w:val="15"/>
                <w:color w:val="auto"/>
              </w:rPr>
            </w:pPr>
          </w:p>
        </w:tc>
      </w:tr>
      <w:tr>
        <w:trPr>
          <w:trHeight w:val="196"/>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 forma net tangible book value per shares after pro forma increase in net tangible book value per</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 after March 31, 2026 attributable to February 26, 2026 Equity Distribution Agreement, as</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amended on March 12, 2026</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15.12​</w:t>
            </w:r>
          </w:p>
        </w:tc>
      </w:tr>
      <w:tr>
        <w:trPr>
          <w:trHeight w:val="200"/>
        </w:trPr>
        <w:tc>
          <w:tcPr>
            <w:tcW w:w="20" w:type="dxa"/>
            <w:vAlign w:val="bottom"/>
          </w:tcPr>
          <w:p>
            <w:pPr>
              <w:spacing w:after="0"/>
              <w:rPr>
                <w:sz w:val="17"/>
                <w:szCs w:val="17"/>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8"/>
              </w:rPr>
              <w:t>Increase​</w:t>
            </w: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 net tangible book value per share attributable to this offering</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7"/>
              </w:rPr>
              <w:t>7.72​</w:t>
            </w:r>
          </w:p>
        </w:tc>
        <w:tc>
          <w:tcPr>
            <w:tcW w:w="40" w:type="dxa"/>
            <w:vAlign w:val="bottom"/>
          </w:tcPr>
          <w:p>
            <w:pPr>
              <w:spacing w:after="0"/>
              <w:rPr>
                <w:sz w:val="17"/>
                <w:szCs w:val="17"/>
                <w:color w:val="auto"/>
              </w:rPr>
            </w:pPr>
          </w:p>
        </w:tc>
      </w:tr>
      <w:tr>
        <w:trPr>
          <w:trHeight w:val="196"/>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Adjusted net tangible book value per share as of March 31, 2026, after giving effect to this offering</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and the pro forma increase in net tangible book value per shares after March 31, 2026 attributable</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3"/>
        </w:trPr>
        <w:tc>
          <w:tcPr>
            <w:tcW w:w="5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to February 26, 2026 Equity Distribution Agreement, as amended on March 12, 2026</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22.83​</w:t>
            </w:r>
          </w:p>
        </w:tc>
      </w:tr>
      <w:tr>
        <w:trPr>
          <w:trHeight w:val="200"/>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purchasing shares in this offering</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​​$ 200.27​</w:t>
            </w:r>
          </w:p>
        </w:tc>
        <w:tc>
          <w:tcPr>
            <w:tcW w:w="40" w:type="dxa"/>
            <w:vAlign w:val="bottom"/>
          </w:tcPr>
          <w:p>
            <w:pPr>
              <w:spacing w:after="0"/>
              <w:rPr>
                <w:sz w:val="17"/>
                <w:szCs w:val="17"/>
                <w:color w:val="auto"/>
              </w:rPr>
            </w:pPr>
          </w:p>
        </w:tc>
      </w:tr>
    </w:tbl>
    <w:p>
      <w:pPr>
        <w:spacing w:after="0" w:line="27"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The table above assumes for illustrative purposes that an aggregate of 2,689,377 shares of our common stock are sold at a price of  $223.10 per share, the last reported sale price of our common stock on The Nasdaq Global Market on May 13, 2026, for aggregate gross proceeds of approximately $600,000,000. The shares sold in this offering, if any, will be sold from time to time at various prices.</w:t>
      </w:r>
    </w:p>
    <w:p>
      <w:pPr>
        <w:spacing w:after="0" w:line="20"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The foregoing discussion and table do not take into account further dilution to new investors that could occur upon the exercise of outstanding stock options or warrants having a per share exercise price less than the per share offering price to the public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equity-linked securities, the issuance of these securities could result in further dilution to our stockholders.</w:t>
      </w:r>
    </w:p>
    <w:p>
      <w:pPr>
        <w:spacing w:after="0" w:line="47" w:lineRule="exact"/>
        <w:rPr>
          <w:sz w:val="20"/>
          <w:szCs w:val="20"/>
          <w:color w:val="auto"/>
        </w:rPr>
      </w:pPr>
    </w:p>
    <w:p>
      <w:pPr>
        <w:ind w:left="1300" w:right="1839" w:firstLine="280"/>
        <w:spacing w:after="0" w:line="283" w:lineRule="auto"/>
        <w:rPr>
          <w:sz w:val="20"/>
          <w:szCs w:val="20"/>
          <w:color w:val="auto"/>
        </w:rPr>
      </w:pPr>
      <w:r>
        <w:rPr>
          <w:rFonts w:ascii="Times New Roman" w:cs="Times New Roman" w:eastAsia="Times New Roman" w:hAnsi="Times New Roman"/>
          <w:sz w:val="14"/>
          <w:szCs w:val="14"/>
          <w:color w:val="auto"/>
        </w:rPr>
        <w:t>The table and discussion above are based on 80,242,767 shares outstanding as of May 13, 2026 and excludes, as of that date, the following:</w:t>
      </w:r>
    </w:p>
    <w:p>
      <w:pPr>
        <w:spacing w:after="0" w:line="9" w:lineRule="exact"/>
        <w:rPr>
          <w:sz w:val="20"/>
          <w:szCs w:val="20"/>
          <w:color w:val="auto"/>
        </w:rPr>
      </w:pPr>
    </w:p>
    <w:p>
      <w:pPr>
        <w:ind w:left="1820" w:hanging="23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representing a total of 1,367,576 shares of common stock issuable upon vesting;</w:t>
      </w:r>
    </w:p>
    <w:p>
      <w:pPr>
        <w:spacing w:after="0" w:line="49" w:lineRule="exact"/>
        <w:rPr>
          <w:rFonts w:ascii="Times New Roman" w:cs="Times New Roman" w:eastAsia="Times New Roman" w:hAnsi="Times New Roman"/>
          <w:sz w:val="14"/>
          <w:szCs w:val="14"/>
          <w:color w:val="auto"/>
        </w:rPr>
      </w:pPr>
    </w:p>
    <w:p>
      <w:pPr>
        <w:ind w:left="1820" w:right="1599" w:hanging="231"/>
        <w:spacing w:after="0" w:line="282" w:lineRule="auto"/>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units representing a total of 1,359,359 shares of common stock issuable upon the satisfaction of performance-based vesting conditions that were outstanding as of May 13, 2026;</w:t>
      </w:r>
    </w:p>
    <w:p>
      <w:pPr>
        <w:ind w:left="1820" w:hanging="23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issuable upon conversion of our 2.75% Convertible Senior Notes due 2030; and</w:t>
      </w:r>
    </w:p>
    <w:p>
      <w:pPr>
        <w:spacing w:after="0" w:line="49" w:lineRule="exact"/>
        <w:rPr>
          <w:rFonts w:ascii="Times New Roman" w:cs="Times New Roman" w:eastAsia="Times New Roman" w:hAnsi="Times New Roman"/>
          <w:sz w:val="14"/>
          <w:szCs w:val="14"/>
          <w:color w:val="auto"/>
        </w:rPr>
      </w:pPr>
    </w:p>
    <w:p>
      <w:pPr>
        <w:ind w:left="1820" w:hanging="231"/>
        <w:spacing w:after="0"/>
        <w:tabs>
          <w:tab w:leader="none" w:pos="1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issuable upon exercise of warrants issued to Amazon.com, Inc.</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459" w:firstLine="280"/>
        <w:spacing w:after="0" w:line="247" w:lineRule="auto"/>
        <w:rPr>
          <w:sz w:val="20"/>
          <w:szCs w:val="20"/>
          <w:color w:val="auto"/>
        </w:rPr>
      </w:pPr>
      <w:r>
        <w:rPr>
          <w:rFonts w:ascii="Times New Roman" w:cs="Times New Roman" w:eastAsia="Times New Roman" w:hAnsi="Times New Roman"/>
          <w:sz w:val="14"/>
          <w:szCs w:val="14"/>
          <w:color w:val="auto"/>
        </w:rPr>
        <w:t>We have entered into a sales agreement with the Agents under which we may issue and sell shares of our common stock from time to time through them acting as agents. We may issue and sell shares through this prospectus supplement having an aggregate gross sales price of up to $600,000,000. The following summary of the material provisions of the sales agreement does not purport to be a complete statement of its terms and conditions. The sales agreement has been filed as an exhibit to our Current Report on Form 8-K dated as of the date hereof.</w:t>
      </w:r>
    </w:p>
    <w:p>
      <w:pPr>
        <w:spacing w:after="0" w:line="89"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Upon delivery of a placement notice and subject to the terms and conditions of the sales agreement, the Agent may sell our common stock by any method permitted by law deemed to be an “at-the-market” offering as defined in Rule 415 promulgated under the Securities Act, including sales made directly on The Nasdaq Global Market, on any other existing trading market for our common stock or through a market maker. The Agents, with the agreement of the Company, may also sell certain of our common stock by any other method permitted by law, including in privately negotiated transactions. We may instruct the Agents not to sell common stock if the sales cannot be effected at or above the price designated by us from time to time. We or the Agents may suspend the offering of common stock upon notice and subject to other conditions.</w:t>
      </w:r>
    </w:p>
    <w:p>
      <w:pPr>
        <w:spacing w:after="0" w:line="89" w:lineRule="exact"/>
        <w:rPr>
          <w:sz w:val="20"/>
          <w:szCs w:val="20"/>
          <w:color w:val="auto"/>
        </w:rPr>
      </w:pPr>
    </w:p>
    <w:p>
      <w:pPr>
        <w:ind w:left="1300" w:right="1319" w:firstLine="280"/>
        <w:spacing w:after="0" w:line="242" w:lineRule="auto"/>
        <w:rPr>
          <w:sz w:val="20"/>
          <w:szCs w:val="20"/>
          <w:color w:val="auto"/>
        </w:rPr>
      </w:pPr>
      <w:r>
        <w:rPr>
          <w:rFonts w:ascii="Times New Roman" w:cs="Times New Roman" w:eastAsia="Times New Roman" w:hAnsi="Times New Roman"/>
          <w:sz w:val="14"/>
          <w:szCs w:val="14"/>
          <w:color w:val="auto"/>
        </w:rPr>
        <w:t>Except as otherwise described in the sales agreement, we will pay the Agents commissions, in cash, for its services in acting as agents in the sale of our common stock. The Agents will be entitled to compensation at a commission rate of up to 2.0% of the gross proceeds from the sales of the shares of our common stock sold pursuant to the sales agreement. Because there is no minimum offering amount required as a condition to close this offering, the actual total public offering amount, commissions and proceeds to us, if any, are not determinable at this time. We have also agreed to reimburse the Agents for certain specified expenses in connection with the registration of shares of our common stock under state blue sky laws and any filing with, and clearance of this offering by, the Financial Industry Regulatory Authority Inc. (“FINRA”), not to exceed $10,000 in the aggregate, and any associated application fees incurred. Additionally, if the sales agreement is terminated under certain circumstances and we fail to sell a minimum amount of common stock as set forth in the sales agreement, then we have agreed to reimburse the Agents for reasonable out-of-pocket expenses, including the reasonable fees and disbursements of counsel incurred by the Agents, up to a maximum of  $30,000 in the aggregate. We estimate that the total expenses for the offering, excluding compensation and reimbursements payable to the Agents under the terms of the sales agreement, will be approximately $150,000.</w:t>
      </w:r>
    </w:p>
    <w:p>
      <w:pPr>
        <w:spacing w:after="0" w:line="93"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Settlement for sales of common stock will occur on the first business day following the date on which any sales are made, or on some other date that is agreed upon by us and the Agent in connection with a particular transaction, in return for payment of the net proceeds to us. Sales of our common stock as contemplated in this prospectus supplement will be settled through the facilities of The Depository Trust Company or by such other means as we and the Agents may agree upon. There is no arrangement for funds to be received in an escrow, trust or similar arrangement.</w:t>
      </w:r>
    </w:p>
    <w:p>
      <w:pPr>
        <w:spacing w:after="0" w:line="89"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The Agents will use their commercially reasonable efforts, consistent with its normal trading and sales practices and applicable state and federal laws, rules and regulations and the rules of The Nasdaq Global Market, to sell the shares of common stock under the terms and subject to the conditions set forth in the sales agreement. In connection with the sale of the common stock on our behalf, the Agents may be deemed to be “underwriters” within the meaning of the Securities Act and the compensation of the Agents may be deemed to be underwriting commissions or discounts. We have agreed to provide indemnification and contribution to the Agents against certain civil liabilities, including liabilities under the Securities Act.</w:t>
      </w:r>
    </w:p>
    <w:p>
      <w:pPr>
        <w:spacing w:after="0" w:line="90" w:lineRule="exact"/>
        <w:rPr>
          <w:sz w:val="20"/>
          <w:szCs w:val="20"/>
          <w:color w:val="auto"/>
        </w:rPr>
      </w:pPr>
    </w:p>
    <w:p>
      <w:pPr>
        <w:jc w:val="both"/>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The offering of our common stock pursuant to the sales agreement will terminate upon the earlier of  (i) the sale of all shares of our common stock subject to the sales agreement or (ii) termination of the sales agreement as permitted therein. We and each of the Agents may each terminate the sales agreement at any time.</w:t>
      </w:r>
    </w:p>
    <w:p>
      <w:pPr>
        <w:spacing w:after="0" w:line="84" w:lineRule="exact"/>
        <w:rPr>
          <w:sz w:val="20"/>
          <w:szCs w:val="20"/>
          <w:color w:val="auto"/>
        </w:rPr>
      </w:pPr>
    </w:p>
    <w:p>
      <w:pPr>
        <w:ind w:left="1300" w:right="1459" w:firstLine="280"/>
        <w:spacing w:after="0" w:line="283" w:lineRule="auto"/>
        <w:rPr>
          <w:sz w:val="20"/>
          <w:szCs w:val="20"/>
          <w:color w:val="auto"/>
        </w:rPr>
      </w:pPr>
      <w:r>
        <w:rPr>
          <w:rFonts w:ascii="Times New Roman" w:cs="Times New Roman" w:eastAsia="Times New Roman" w:hAnsi="Times New Roman"/>
          <w:sz w:val="14"/>
          <w:szCs w:val="14"/>
          <w:color w:val="auto"/>
        </w:rPr>
        <w:t>The Agents and their affiliates may in the future provide various investment banking, commercial banking and other financial services for us and our affiliates, for which services they</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19"/>
        <w:spacing w:after="0" w:line="267" w:lineRule="auto"/>
        <w:rPr>
          <w:sz w:val="20"/>
          <w:szCs w:val="20"/>
          <w:color w:val="auto"/>
        </w:rPr>
      </w:pPr>
      <w:r>
        <w:rPr>
          <w:rFonts w:ascii="Times New Roman" w:cs="Times New Roman" w:eastAsia="Times New Roman" w:hAnsi="Times New Roman"/>
          <w:sz w:val="14"/>
          <w:szCs w:val="14"/>
          <w:color w:val="auto"/>
        </w:rPr>
        <w:t>may in the future receive customary fees. To the extent required by Regulation M, the Agents will not engage in any market making activities involving our common stock while the offering is ongoing under this prospectus supplement.</w:t>
      </w:r>
    </w:p>
    <w:p>
      <w:pPr>
        <w:spacing w:after="0" w:line="83" w:lineRule="exact"/>
        <w:rPr>
          <w:sz w:val="20"/>
          <w:szCs w:val="20"/>
          <w:color w:val="auto"/>
        </w:rPr>
      </w:pPr>
    </w:p>
    <w:p>
      <w:pPr>
        <w:ind w:left="1300" w:right="1659" w:firstLine="280"/>
        <w:spacing w:after="0" w:line="267" w:lineRule="auto"/>
        <w:rPr>
          <w:sz w:val="20"/>
          <w:szCs w:val="20"/>
          <w:color w:val="auto"/>
        </w:rPr>
      </w:pPr>
      <w:r>
        <w:rPr>
          <w:rFonts w:ascii="Times New Roman" w:cs="Times New Roman" w:eastAsia="Times New Roman" w:hAnsi="Times New Roman"/>
          <w:sz w:val="14"/>
          <w:szCs w:val="14"/>
          <w:color w:val="auto"/>
        </w:rPr>
        <w:t>This prospectus supplement and the accompanying base prospectus in electronic format may be made available on websites maintained by Raymond James and Needham, and they may distribute this prospectus supplement and the accompanying base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jc w:val="both"/>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The validity of the common stock offered by this prospectus supplement will be passed upon by Haynes and Boone, LLP, Houston, Texas. The Agents are being represented in connection with this offering by Mayer Brown LLP, New York, New York.</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the Company’s former independent registered public accountants, upon the authority of said firm as experts in accounting and auditing. The Company has appointed PricewaterhouseCoopers LLP as its independent registered public accounting firm, effective May 4, 2026.</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TO LEARN MORE ABOUT US</w:t>
      </w:r>
    </w:p>
    <w:p>
      <w:pPr>
        <w:spacing w:after="0" w:line="114"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S-3ASR under the Securities Act with respect to the securities being offered under this prospectus supplement. This prospectus supplement and the accompanying base prospectus, which forms part of the registration statement, do not contain all of the information in the registration statement. We have omitted certain parts of the registration statement, as permitted by the rules and regulations of the SEC. For further information regarding us and our securities, please see the registration statement and our other filings with the SEC, including our annual, quarterly, and current reports and any proxy statements. Our public filings with the SEC are available to the public on the SEC’s Internet website at http://www.sec.gov.</w:t>
      </w:r>
    </w:p>
    <w:p>
      <w:pPr>
        <w:spacing w:after="0" w:line="93" w:lineRule="exact"/>
        <w:rPr>
          <w:sz w:val="20"/>
          <w:szCs w:val="20"/>
          <w:color w:val="auto"/>
        </w:rPr>
      </w:pPr>
    </w:p>
    <w:p>
      <w:pPr>
        <w:ind w:left="1300" w:right="1319" w:firstLine="280"/>
        <w:spacing w:after="0" w:line="254" w:lineRule="auto"/>
        <w:rPr>
          <w:sz w:val="20"/>
          <w:szCs w:val="20"/>
          <w:color w:val="auto"/>
        </w:rPr>
      </w:pPr>
      <w:r>
        <w:rPr>
          <w:rFonts w:ascii="Times New Roman" w:cs="Times New Roman" w:eastAsia="Times New Roman" w:hAnsi="Times New Roman"/>
          <w:sz w:val="14"/>
          <w:szCs w:val="14"/>
          <w:color w:val="auto"/>
        </w:rPr>
        <w:t>We furnish holders of our common stock with annual reports containing audited financial statements prepared in accordance with accounting principles generally accepted in the United States following the end of each fiscal year. We file reports and other information with the SEC pursuant to the reporting requirements of the Exchange Act. In addition, the reports, proxy statements and other information that we file with the SEC are available to you free of charge through the Investor Relations page of our website, http://ao-inc.com/, as soon as reasonably practicable after they have been electronically filed with, or furnished to, the SEC. We have included our website address as a textual reference and do not intend it as an active link to our website. The contents of our website are not part of this prospectus, and you should not consider the contents of our website in making an investment decision with respect to our securities.</w:t>
      </w:r>
    </w:p>
    <w:p>
      <w:pPr>
        <w:spacing w:after="0" w:line="96" w:lineRule="exact"/>
        <w:rPr>
          <w:sz w:val="20"/>
          <w:szCs w:val="20"/>
          <w:color w:val="auto"/>
        </w:rPr>
      </w:pPr>
    </w:p>
    <w:p>
      <w:pPr>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Descriptions in this prospectus of documents are intended to be summaries of the material, relevant portions of those documents, but may not be complete descriptions of those documents. For complete copies of those documents, please refer to the exhibits to the registration statement and other documents filed by us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25"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the documents we file with them, which means that we can disclose important information to you by referring you to those documents. The information that we incorporate by reference into this prospectus supplement is considered to be part of this prospectus supplement, and information that we file later with the SEC automatically updates and supersedes any information in this prospectus supplement. We have filed the following documents with the SEC. These documents are incorporated by reference as of their respective dates of filing, as well as any future documents (excluding information furnished pursuant to Items 2.02 and 7.01 of Form 8-K) we file with the SEC pursuant to Sections 13(a), 13(c), 14 or 15(d) of the Exchange Act, subsequent to the date of this prospectus supplement and prior to the termination of the offering:</w:t>
      </w:r>
    </w:p>
    <w:p>
      <w:pPr>
        <w:spacing w:after="0" w:line="96" w:lineRule="exact"/>
        <w:rPr>
          <w:sz w:val="20"/>
          <w:szCs w:val="20"/>
          <w:color w:val="auto"/>
        </w:rPr>
      </w:pPr>
    </w:p>
    <w:p>
      <w:pPr>
        <w:ind w:left="1860" w:right="1439" w:hanging="271"/>
        <w:spacing w:after="0" w:line="283" w:lineRule="auto"/>
        <w:tabs>
          <w:tab w:leader="none" w:pos="1860" w:val="left"/>
        </w:tabs>
        <w:numPr>
          <w:ilvl w:val="0"/>
          <w:numId w:val="3"/>
        </w:numPr>
        <w:rPr>
          <w:rFonts w:ascii="Times New Roman" w:cs="Times New Roman" w:eastAsia="Times New Roman" w:hAnsi="Times New Roman"/>
          <w:sz w:val="14"/>
          <w:szCs w:val="14"/>
          <w:u w:val="single" w:color="auto"/>
          <w:color w:val="0000EE"/>
        </w:rPr>
      </w:pPr>
      <w:hyperlink r:id="rId42">
        <w:r>
          <w:rPr>
            <w:rFonts w:ascii="Times New Roman" w:cs="Times New Roman" w:eastAsia="Times New Roman" w:hAnsi="Times New Roman"/>
            <w:sz w:val="14"/>
            <w:szCs w:val="14"/>
            <w:u w:val="single" w:color="auto"/>
            <w:color w:val="0000EE"/>
          </w:rPr>
          <w:t>Our Annual Report on Form 10-K for the fiscal year ended December 31, 2025, as filed with the SEC</w:t>
        </w:r>
      </w:hyperlink>
      <w:r>
        <w:rPr>
          <w:rFonts w:ascii="Times New Roman" w:cs="Times New Roman" w:eastAsia="Times New Roman" w:hAnsi="Times New Roman"/>
          <w:sz w:val="14"/>
          <w:szCs w:val="14"/>
          <w:u w:val="single" w:color="auto"/>
          <w:color w:val="0000EE"/>
        </w:rPr>
        <w:t xml:space="preserve"> </w:t>
      </w:r>
      <w:hyperlink r:id="rId42">
        <w:r>
          <w:rPr>
            <w:rFonts w:ascii="Times New Roman" w:cs="Times New Roman" w:eastAsia="Times New Roman" w:hAnsi="Times New Roman"/>
            <w:sz w:val="14"/>
            <w:szCs w:val="14"/>
            <w:u w:val="single" w:color="auto"/>
            <w:color w:val="0000EE"/>
          </w:rPr>
          <w:t>on February 26, 2026;</w:t>
        </w:r>
      </w:hyperlink>
    </w:p>
    <w:p>
      <w:pPr>
        <w:spacing w:after="0" w:line="72" w:lineRule="exact"/>
        <w:rPr>
          <w:rFonts w:ascii="Times New Roman" w:cs="Times New Roman" w:eastAsia="Times New Roman" w:hAnsi="Times New Roman"/>
          <w:sz w:val="14"/>
          <w:szCs w:val="14"/>
          <w:u w:val="single" w:color="auto"/>
          <w:color w:val="0000EE"/>
        </w:rPr>
      </w:pPr>
    </w:p>
    <w:p>
      <w:pPr>
        <w:ind w:left="1860" w:right="1339" w:hanging="271"/>
        <w:spacing w:after="0" w:line="267" w:lineRule="auto"/>
        <w:tabs>
          <w:tab w:leader="none" w:pos="1860" w:val="left"/>
        </w:tabs>
        <w:numPr>
          <w:ilvl w:val="0"/>
          <w:numId w:val="3"/>
        </w:numPr>
        <w:rPr>
          <w:rFonts w:ascii="Times New Roman" w:cs="Times New Roman" w:eastAsia="Times New Roman" w:hAnsi="Times New Roman"/>
          <w:sz w:val="14"/>
          <w:szCs w:val="14"/>
          <w:u w:val="single" w:color="auto"/>
          <w:color w:val="0000EE"/>
        </w:rPr>
      </w:pPr>
      <w:hyperlink r:id="rId43">
        <w:r>
          <w:rPr>
            <w:rFonts w:ascii="Times New Roman" w:cs="Times New Roman" w:eastAsia="Times New Roman" w:hAnsi="Times New Roman"/>
            <w:sz w:val="14"/>
            <w:szCs w:val="14"/>
            <w:u w:val="single" w:color="auto"/>
            <w:color w:val="0000EE"/>
          </w:rPr>
          <w:t>The portions of our Definitive Proxy Statement incorporated by reference into our Annual Report on</w:t>
        </w:r>
      </w:hyperlink>
      <w:r>
        <w:rPr>
          <w:rFonts w:ascii="Times New Roman" w:cs="Times New Roman" w:eastAsia="Times New Roman" w:hAnsi="Times New Roman"/>
          <w:sz w:val="14"/>
          <w:szCs w:val="14"/>
          <w:u w:val="single" w:color="auto"/>
          <w:color w:val="0000EE"/>
        </w:rPr>
        <w:t xml:space="preserve"> </w:t>
      </w:r>
      <w:hyperlink r:id="rId43">
        <w:r>
          <w:rPr>
            <w:rFonts w:ascii="Times New Roman" w:cs="Times New Roman" w:eastAsia="Times New Roman" w:hAnsi="Times New Roman"/>
            <w:sz w:val="14"/>
            <w:szCs w:val="14"/>
            <w:u w:val="single" w:color="auto"/>
            <w:color w:val="0000EE"/>
          </w:rPr>
          <w:t>Form 10-K for the fiscal year ended December 31, 2025, for the 2026 Annual Meeting of Stockholders,</w:t>
        </w:r>
      </w:hyperlink>
      <w:r>
        <w:rPr>
          <w:rFonts w:ascii="Times New Roman" w:cs="Times New Roman" w:eastAsia="Times New Roman" w:hAnsi="Times New Roman"/>
          <w:sz w:val="14"/>
          <w:szCs w:val="14"/>
          <w:u w:val="single" w:color="auto"/>
          <w:color w:val="0000EE"/>
        </w:rPr>
        <w:t xml:space="preserve"> </w:t>
      </w:r>
      <w:hyperlink r:id="rId43">
        <w:r>
          <w:rPr>
            <w:rFonts w:ascii="Times New Roman" w:cs="Times New Roman" w:eastAsia="Times New Roman" w:hAnsi="Times New Roman"/>
            <w:sz w:val="14"/>
            <w:szCs w:val="14"/>
            <w:u w:val="single" w:color="auto"/>
            <w:color w:val="0000EE"/>
          </w:rPr>
          <w:t>as filed with the SEC on April 24, 2026;</w:t>
        </w:r>
      </w:hyperlink>
    </w:p>
    <w:p>
      <w:pPr>
        <w:spacing w:after="0" w:line="82" w:lineRule="exact"/>
        <w:rPr>
          <w:rFonts w:ascii="Times New Roman" w:cs="Times New Roman" w:eastAsia="Times New Roman" w:hAnsi="Times New Roman"/>
          <w:sz w:val="14"/>
          <w:szCs w:val="14"/>
          <w:u w:val="single" w:color="auto"/>
          <w:color w:val="0000EE"/>
        </w:rPr>
      </w:pPr>
    </w:p>
    <w:p>
      <w:pPr>
        <w:ind w:left="1860" w:right="1319" w:hanging="271"/>
        <w:spacing w:after="0" w:line="283" w:lineRule="auto"/>
        <w:tabs>
          <w:tab w:leader="none" w:pos="1860" w:val="left"/>
        </w:tabs>
        <w:numPr>
          <w:ilvl w:val="0"/>
          <w:numId w:val="3"/>
        </w:numPr>
        <w:rPr>
          <w:rFonts w:ascii="Times New Roman" w:cs="Times New Roman" w:eastAsia="Times New Roman" w:hAnsi="Times New Roman"/>
          <w:sz w:val="14"/>
          <w:szCs w:val="14"/>
          <w:u w:val="single" w:color="auto"/>
          <w:color w:val="0000EE"/>
        </w:rPr>
      </w:pPr>
      <w:hyperlink r:id="rId44">
        <w:r>
          <w:rPr>
            <w:rFonts w:ascii="Times New Roman" w:cs="Times New Roman" w:eastAsia="Times New Roman" w:hAnsi="Times New Roman"/>
            <w:sz w:val="14"/>
            <w:szCs w:val="14"/>
            <w:u w:val="single" w:color="auto"/>
            <w:color w:val="0000EE"/>
          </w:rPr>
          <w:t>Our Quarterly Report on Form 10-Q for the quarterly period ended on March 31, 2026, as filed with the</w:t>
        </w:r>
      </w:hyperlink>
      <w:r>
        <w:rPr>
          <w:rFonts w:ascii="Times New Roman" w:cs="Times New Roman" w:eastAsia="Times New Roman" w:hAnsi="Times New Roman"/>
          <w:sz w:val="14"/>
          <w:szCs w:val="14"/>
          <w:u w:val="single" w:color="auto"/>
          <w:color w:val="0000EE"/>
        </w:rPr>
        <w:t xml:space="preserve"> </w:t>
      </w:r>
      <w:hyperlink r:id="rId44">
        <w:r>
          <w:rPr>
            <w:rFonts w:ascii="Times New Roman" w:cs="Times New Roman" w:eastAsia="Times New Roman" w:hAnsi="Times New Roman"/>
            <w:sz w:val="14"/>
            <w:szCs w:val="14"/>
            <w:u w:val="single" w:color="auto"/>
            <w:color w:val="0000EE"/>
          </w:rPr>
          <w:t>SEC on May 7, 2026;</w:t>
        </w:r>
      </w:hyperlink>
    </w:p>
    <w:p>
      <w:pPr>
        <w:spacing w:after="0" w:line="72" w:lineRule="exact"/>
        <w:rPr>
          <w:rFonts w:ascii="Times New Roman" w:cs="Times New Roman" w:eastAsia="Times New Roman" w:hAnsi="Times New Roman"/>
          <w:sz w:val="14"/>
          <w:szCs w:val="14"/>
          <w:u w:val="single" w:color="auto"/>
          <w:color w:val="0000EE"/>
        </w:rPr>
      </w:pPr>
    </w:p>
    <w:p>
      <w:pPr>
        <w:jc w:val="both"/>
        <w:ind w:left="1860" w:right="1379" w:hanging="271"/>
        <w:spacing w:after="0" w:line="267" w:lineRule="auto"/>
        <w:tabs>
          <w:tab w:leader="none" w:pos="1860" w:val="left"/>
        </w:tabs>
        <w:numPr>
          <w:ilvl w:val="0"/>
          <w:numId w:val="3"/>
        </w:numPr>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auto"/>
          </w:rPr>
          <w:t xml:space="preserve">Our Current Reports on Form 8-K as filed with the SEC on </w:t>
        </w:r>
        <w:r>
          <w:rPr>
            <w:rFonts w:ascii="Times New Roman" w:cs="Times New Roman" w:eastAsia="Times New Roman" w:hAnsi="Times New Roman"/>
            <w:sz w:val="14"/>
            <w:szCs w:val="14"/>
            <w:u w:val="single" w:color="auto"/>
            <w:color w:val="0000EE"/>
          </w:rPr>
          <w:t>February 19,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two</w:t>
        </w:r>
      </w:hyperlink>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u w:val="single" w:color="auto"/>
            <w:color w:val="0000EE"/>
          </w:rPr>
          <w:t>filings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February 27,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5,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March 12,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April 13,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8,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13,</w:t>
        </w:r>
      </w:hyperlink>
      <w:r>
        <w:rPr>
          <w:rFonts w:ascii="Times New Roman" w:cs="Times New Roman" w:eastAsia="Times New Roman" w:hAnsi="Times New Roman"/>
          <w:sz w:val="14"/>
          <w:szCs w:val="14"/>
          <w:color w:val="0000EE"/>
        </w:rPr>
        <w:t xml:space="preserve"> </w:t>
      </w:r>
      <w:hyperlink r:id="rId46">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 and</w:t>
        </w:r>
      </w:hyperlink>
    </w:p>
    <w:p>
      <w:pPr>
        <w:spacing w:after="0" w:line="82" w:lineRule="exact"/>
        <w:rPr>
          <w:rFonts w:ascii="Times New Roman" w:cs="Times New Roman" w:eastAsia="Times New Roman" w:hAnsi="Times New Roman"/>
          <w:sz w:val="14"/>
          <w:szCs w:val="14"/>
          <w:color w:val="0000EE"/>
        </w:rPr>
      </w:pPr>
    </w:p>
    <w:p>
      <w:pPr>
        <w:ind w:left="1860" w:right="1439" w:hanging="271"/>
        <w:spacing w:after="0" w:line="261" w:lineRule="auto"/>
        <w:tabs>
          <w:tab w:leader="none" w:pos="18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the “Description of Company’s Common Stock” filed as </w:t>
      </w:r>
      <w:hyperlink r:id="rId47">
        <w:r>
          <w:rPr>
            <w:rFonts w:ascii="Times New Roman" w:cs="Times New Roman" w:eastAsia="Times New Roman" w:hAnsi="Times New Roman"/>
            <w:sz w:val="14"/>
            <w:szCs w:val="14"/>
            <w:u w:val="single" w:color="auto"/>
            <w:color w:val="0000EE"/>
          </w:rPr>
          <w:t>Exhibit 4.6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filed with the SEC on February 26, 2026, including any amendment or reports filed for the purpose of updating such description.</w:t>
      </w:r>
    </w:p>
    <w:p>
      <w:pPr>
        <w:spacing w:after="0" w:line="78" w:lineRule="exact"/>
        <w:rPr>
          <w:rFonts w:ascii="Times New Roman" w:cs="Times New Roman" w:eastAsia="Times New Roman" w:hAnsi="Times New Roman"/>
          <w:sz w:val="14"/>
          <w:szCs w:val="14"/>
          <w:color w:val="0000EE"/>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 13(a), 13(c), 14 and 15(d) of the Exchange Act after the date of this prospectus supplement and prior to the filing of a post-effective amendment to the registration statement that indicates that all securities offered have been sold or that deregisters all securities then remaining unsold, shall be deemed to be incorporated by reference into this prospectus supplement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that is incorporated by reference herein modifies or supersedes such earlier statement. Any such statement so modified or superseded shall not be deemed, except as so modified or superseded, to constitute a part of this prospectus supplement.</w:t>
      </w:r>
    </w:p>
    <w:p>
      <w:pPr>
        <w:spacing w:after="0" w:line="96" w:lineRule="exact"/>
        <w:rPr>
          <w:rFonts w:ascii="Times New Roman" w:cs="Times New Roman" w:eastAsia="Times New Roman" w:hAnsi="Times New Roman"/>
          <w:sz w:val="14"/>
          <w:szCs w:val="14"/>
          <w:color w:val="0000EE"/>
        </w:rPr>
      </w:pPr>
    </w:p>
    <w:p>
      <w:pPr>
        <w:ind w:left="1300" w:right="1539" w:firstLine="280"/>
        <w:spacing w:after="0" w:line="283" w:lineRule="auto"/>
        <w:rPr>
          <w:sz w:val="20"/>
          <w:szCs w:val="20"/>
          <w:color w:val="auto"/>
        </w:rPr>
      </w:pPr>
      <w:r>
        <w:rPr>
          <w:rFonts w:ascii="Times New Roman" w:cs="Times New Roman" w:eastAsia="Times New Roman" w:hAnsi="Times New Roman"/>
          <w:sz w:val="14"/>
          <w:szCs w:val="14"/>
          <w:color w:val="auto"/>
        </w:rPr>
        <w:t>Nothing in this prospectus supplement shall be deemed to incorporate information furnished but not filed with the SEC pursuant to Item 2.02 or Item 7.01 of Form 8-K.</w:t>
      </w:r>
    </w:p>
    <w:p>
      <w:pPr>
        <w:spacing w:after="0" w:line="72" w:lineRule="exact"/>
        <w:rPr>
          <w:rFonts w:ascii="Times New Roman" w:cs="Times New Roman" w:eastAsia="Times New Roman" w:hAnsi="Times New Roman"/>
          <w:sz w:val="14"/>
          <w:szCs w:val="14"/>
          <w:color w:val="0000EE"/>
        </w:rPr>
      </w:pPr>
    </w:p>
    <w:p>
      <w:pPr>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We will provide, without charge, upon written or oral request of any person to whom a copy of this prospectus supplement is delivered, a copy of any or all of the foregoing documents and information that has been or may be incorporated in this prospectus supplement by reference, other than exhibits to such documents. Requests for such documents and information should be directed to:</w:t>
      </w:r>
    </w:p>
    <w:p>
      <w:pPr>
        <w:spacing w:after="0" w:line="78"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Applied Optoelectronics, Inc.</w:t>
      </w:r>
    </w:p>
    <w:p>
      <w:pPr>
        <w:spacing w:after="0" w:line="22"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Attn: Dr. Stefan Murry, Chief Financial Officer</w:t>
      </w:r>
    </w:p>
    <w:p>
      <w:pPr>
        <w:spacing w:after="0" w:line="7"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13139 Jess Pirtle Blvd.</w:t>
      </w:r>
    </w:p>
    <w:p>
      <w:pPr>
        <w:spacing w:after="0" w:line="7"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Sugar Land, TX 77478</w:t>
      </w:r>
    </w:p>
    <w:p>
      <w:pPr>
        <w:spacing w:after="0" w:line="7"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(281) 295-1800</w:t>
      </w:r>
    </w:p>
    <w:p>
      <w:pPr>
        <w:spacing w:after="0" w:line="329"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559" w:firstLine="280"/>
        <w:spacing w:after="0" w:line="267" w:lineRule="auto"/>
        <w:rPr>
          <w:sz w:val="20"/>
          <w:szCs w:val="20"/>
          <w:color w:val="auto"/>
        </w:rPr>
      </w:pPr>
      <w:r>
        <w:rPr>
          <w:rFonts w:ascii="Times New Roman" w:cs="Times New Roman" w:eastAsia="Times New Roman" w:hAnsi="Times New Roman"/>
          <w:sz w:val="14"/>
          <w:szCs w:val="14"/>
          <w:color w:val="auto"/>
        </w:rPr>
        <w:t xml:space="preserve">You may also access the documents incorporated by reference in this prospectus supplement through our website at </w:t>
      </w:r>
      <w:r>
        <w:rPr>
          <w:rFonts w:ascii="Times New Roman" w:cs="Times New Roman" w:eastAsia="Times New Roman" w:hAnsi="Times New Roman"/>
          <w:sz w:val="14"/>
          <w:szCs w:val="14"/>
          <w:i w:val="1"/>
          <w:iCs w:val="1"/>
          <w:color w:val="auto"/>
        </w:rPr>
        <w:t>http://ao-inc.com/</w:t>
      </w:r>
      <w:r>
        <w:rPr>
          <w:rFonts w:ascii="Times New Roman" w:cs="Times New Roman" w:eastAsia="Times New Roman" w:hAnsi="Times New Roman"/>
          <w:sz w:val="14"/>
          <w:szCs w:val="14"/>
          <w:color w:val="auto"/>
        </w:rPr>
        <w:t>.​ Except for the specific incorporated documents listed above, no information available on or through our website shall be deemed to be incorporated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p>
    <w:p>
      <w:pPr>
        <w:spacing w:after="0" w:line="3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102235</wp:posOffset>
            </wp:positionV>
            <wp:extent cx="967740" cy="5943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967740"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APPLIED OPTOELECTRONICS, INC.</w:t>
      </w:r>
    </w:p>
    <w:p>
      <w:pPr>
        <w:spacing w:after="0" w:line="16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Common Stock</w:t>
      </w:r>
    </w:p>
    <w:p>
      <w:pPr>
        <w:ind w:left="3840"/>
        <w:spacing w:after="0" w:line="236" w:lineRule="auto"/>
        <w:rPr>
          <w:sz w:val="20"/>
          <w:szCs w:val="20"/>
          <w:color w:val="auto"/>
        </w:rPr>
      </w:pPr>
      <w:r>
        <w:rPr>
          <w:rFonts w:ascii="Times New Roman" w:cs="Times New Roman" w:eastAsia="Times New Roman" w:hAnsi="Times New Roman"/>
          <w:sz w:val="20"/>
          <w:szCs w:val="20"/>
          <w:b w:val="1"/>
          <w:bCs w:val="1"/>
          <w:color w:val="auto"/>
        </w:rPr>
        <w:t>Preferred Stock</w:t>
      </w:r>
    </w:p>
    <w:p>
      <w:pPr>
        <w:ind w:left="3880"/>
        <w:spacing w:after="0" w:line="231" w:lineRule="auto"/>
        <w:rPr>
          <w:sz w:val="20"/>
          <w:szCs w:val="20"/>
          <w:color w:val="auto"/>
        </w:rPr>
      </w:pPr>
      <w:r>
        <w:rPr>
          <w:rFonts w:ascii="Times New Roman" w:cs="Times New Roman" w:eastAsia="Times New Roman" w:hAnsi="Times New Roman"/>
          <w:sz w:val="20"/>
          <w:szCs w:val="20"/>
          <w:b w:val="1"/>
          <w:bCs w:val="1"/>
          <w:color w:val="auto"/>
        </w:rPr>
        <w:t>Debt Securities</w:t>
      </w:r>
    </w:p>
    <w:p>
      <w:pPr>
        <w:ind w:left="4100"/>
        <w:spacing w:after="0" w:line="230" w:lineRule="auto"/>
        <w:rPr>
          <w:sz w:val="20"/>
          <w:szCs w:val="20"/>
          <w:color w:val="auto"/>
        </w:rPr>
      </w:pPr>
      <w:r>
        <w:rPr>
          <w:rFonts w:ascii="Times New Roman" w:cs="Times New Roman" w:eastAsia="Times New Roman" w:hAnsi="Times New Roman"/>
          <w:sz w:val="20"/>
          <w:szCs w:val="20"/>
          <w:b w:val="1"/>
          <w:bCs w:val="1"/>
          <w:color w:val="auto"/>
        </w:rPr>
        <w:t>Warrants</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92075</wp:posOffset>
            </wp:positionV>
            <wp:extent cx="96139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89"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We may offer and sell any combination of the securities listed above from time to time, in one or more classes or series and in amounts, at prices and on terms that we will determine at the time of the offering.</w:t>
      </w:r>
    </w:p>
    <w:p>
      <w:pPr>
        <w:spacing w:after="0" w:line="73" w:lineRule="exact"/>
        <w:rPr>
          <w:sz w:val="20"/>
          <w:szCs w:val="20"/>
          <w:color w:val="auto"/>
        </w:rPr>
      </w:pPr>
    </w:p>
    <w:p>
      <w:pPr>
        <w:ind w:left="1300" w:right="1519" w:firstLine="280"/>
        <w:spacing w:after="0" w:line="259" w:lineRule="auto"/>
        <w:rPr>
          <w:sz w:val="20"/>
          <w:szCs w:val="20"/>
          <w:color w:val="auto"/>
        </w:rPr>
      </w:pPr>
      <w:r>
        <w:rPr>
          <w:rFonts w:ascii="Times New Roman" w:cs="Times New Roman" w:eastAsia="Times New Roman" w:hAnsi="Times New Roman"/>
          <w:sz w:val="14"/>
          <w:szCs w:val="14"/>
          <w:color w:val="auto"/>
        </w:rPr>
        <w:t>In addition, selling securityholders may offer and sell, from time to time, these securities on terms described in a prospectus supplement. We will not receive any proceeds from the sale of our securities by the selling securityholders.</w:t>
      </w:r>
    </w:p>
    <w:p>
      <w:pPr>
        <w:spacing w:after="0" w:line="78"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or selling securityholders sell securities, we or such selling securityholders will provide a supplement to this prospectus that contains specific information about the offering and, if applicable, the selling securityholders, as well as the amounts, prices and terms of the securities. The prospectus supplement may also add, update or change information contained in this prospectus. You should carefully read this prospectus, all prospectus supplements and all other documents incorporated by reference in this prospectus before you invest in our securities.</w:t>
      </w:r>
    </w:p>
    <w:p>
      <w:pPr>
        <w:spacing w:after="0" w:line="90"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We or selling securityholders may offer and sell these securities in the same offering or in separate offerings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 See “Plan of Distribution.”</w:t>
      </w:r>
    </w:p>
    <w:p>
      <w:pPr>
        <w:spacing w:after="0" w:line="86" w:lineRule="exact"/>
        <w:rPr>
          <w:sz w:val="20"/>
          <w:szCs w:val="20"/>
          <w:color w:val="auto"/>
        </w:rPr>
      </w:pPr>
    </w:p>
    <w:p>
      <w:pPr>
        <w:ind w:left="1300" w:right="1439" w:firstLine="280"/>
        <w:spacing w:after="0" w:line="251" w:lineRule="auto"/>
        <w:rPr>
          <w:sz w:val="20"/>
          <w:szCs w:val="20"/>
          <w:color w:val="auto"/>
        </w:rPr>
      </w:pPr>
      <w:r>
        <w:rPr>
          <w:rFonts w:ascii="Times New Roman" w:cs="Times New Roman" w:eastAsia="Times New Roman" w:hAnsi="Times New Roman"/>
          <w:sz w:val="14"/>
          <w:szCs w:val="14"/>
          <w:color w:val="auto"/>
        </w:rPr>
        <w:t>We encourage you to carefully review and consider this prospectus and any prospectus supplement before investing in our securities. We also encourage you to read the documents to which we have referred you in the “Where To Learn More About Us” section of this prospectus for information on us and for our financial statements.</w:t>
      </w:r>
    </w:p>
    <w:p>
      <w:pPr>
        <w:spacing w:after="0" w:line="83" w:lineRule="exact"/>
        <w:rPr>
          <w:sz w:val="20"/>
          <w:szCs w:val="20"/>
          <w:color w:val="auto"/>
        </w:rPr>
      </w:pPr>
    </w:p>
    <w:p>
      <w:pPr>
        <w:ind w:left="1300" w:right="1319" w:firstLine="280"/>
        <w:spacing w:after="0" w:line="259" w:lineRule="auto"/>
        <w:rPr>
          <w:sz w:val="20"/>
          <w:szCs w:val="20"/>
          <w:color w:val="auto"/>
        </w:rPr>
      </w:pPr>
      <w:r>
        <w:rPr>
          <w:rFonts w:ascii="Times New Roman" w:cs="Times New Roman" w:eastAsia="Times New Roman" w:hAnsi="Times New Roman"/>
          <w:sz w:val="14"/>
          <w:szCs w:val="14"/>
          <w:color w:val="auto"/>
        </w:rPr>
        <w:t>THIS PROSPECTUS MAY NOT BE USED TO SELL SECURITIES UNLESS ACCOMPANIED BY A PROSPECTUS SUPPLEMENT DESCRIBING THE METHOD AND TERMS OF THE OFFERING OF SUCH SECURITIES.</w:t>
      </w:r>
    </w:p>
    <w:p>
      <w:pPr>
        <w:spacing w:after="0" w:line="76" w:lineRule="exact"/>
        <w:rPr>
          <w:sz w:val="20"/>
          <w:szCs w:val="20"/>
          <w:color w:val="auto"/>
        </w:rPr>
      </w:pPr>
    </w:p>
    <w:p>
      <w:pPr>
        <w:ind w:left="1300" w:right="1479" w:firstLine="280"/>
        <w:spacing w:after="0" w:line="271" w:lineRule="auto"/>
        <w:rPr>
          <w:sz w:val="20"/>
          <w:szCs w:val="20"/>
          <w:color w:val="auto"/>
        </w:rPr>
      </w:pPr>
      <w:r>
        <w:rPr>
          <w:rFonts w:ascii="Times New Roman" w:cs="Times New Roman" w:eastAsia="Times New Roman" w:hAnsi="Times New Roman"/>
          <w:sz w:val="13"/>
          <w:szCs w:val="13"/>
          <w:b w:val="1"/>
          <w:bCs w:val="1"/>
          <w:color w:val="auto"/>
        </w:rPr>
        <w:t xml:space="preserve">INVESTING IN OUR SECURITIES INVOLVES A HIGH DEGREE OF RISK. RISKS ASSOCIATED WITH AN INVESTMENT IN OUR SECURITIES WILL BE DESCRIBED IN THE APPLICABLE PROSPECTUS SUPPLEMENT AND OUR PERIODIC AND OTHER REPORTS WE FILE WITH THE SECURITIES AND EXCHANGE COMMISSION, AS DESCRIBED IN “RISK FACTORS” ON PAGE </w:t>
      </w:r>
      <w:r>
        <w:rPr>
          <w:rFonts w:ascii="Times New Roman" w:cs="Times New Roman" w:eastAsia="Times New Roman" w:hAnsi="Times New Roman"/>
          <w:sz w:val="13"/>
          <w:szCs w:val="13"/>
          <w:b w:val="1"/>
          <w:bCs w:val="1"/>
          <w:u w:val="single" w:color="auto"/>
          <w:color w:val="0000EE"/>
        </w:rPr>
        <w:t>2</w:t>
      </w:r>
      <w:r>
        <w:rPr>
          <w:rFonts w:ascii="Times New Roman" w:cs="Times New Roman" w:eastAsia="Times New Roman" w:hAnsi="Times New Roman"/>
          <w:sz w:val="13"/>
          <w:szCs w:val="13"/>
          <w:b w:val="1"/>
          <w:bCs w:val="1"/>
          <w:color w:val="auto"/>
        </w:rPr>
        <w:t>. YOU SHOULD CAREFULLY CONSIDER THOSE RISK FACTORS BEFORE INVESTING.</w:t>
      </w:r>
    </w:p>
    <w:p>
      <w:pPr>
        <w:spacing w:after="0" w:line="71" w:lineRule="exact"/>
        <w:rPr>
          <w:sz w:val="20"/>
          <w:szCs w:val="20"/>
          <w:color w:val="auto"/>
        </w:rPr>
      </w:pPr>
    </w:p>
    <w:p>
      <w:pPr>
        <w:ind w:left="1300" w:right="1359" w:firstLine="280"/>
        <w:spacing w:after="0" w:line="25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THE DISCLOSURES IN THE PROSPECTUS. ANY REPRESENTATION TO THE CONTRARY IS A CRIMINAL OFFENSE.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-85725</wp:posOffset>
            </wp:positionV>
            <wp:extent cx="4062095" cy="93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-8255</wp:posOffset>
            </wp:positionV>
            <wp:extent cx="4062095" cy="153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COMPANY</w:t>
      </w:r>
    </w:p>
    <w:p>
      <w:pPr>
        <w:spacing w:after="0" w:line="49"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SECURITIES TO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PLAN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DISTRIBUTION</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TO LEARN MORE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-5715</wp:posOffset>
            </wp:positionV>
            <wp:extent cx="4062095" cy="153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4062095" cy="15367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0000EE"/>
        </w:rPr>
        <w:t>INCORPORATION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4</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13</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w:t>
      </w:r>
    </w:p>
    <w:p>
      <w:pPr>
        <w:sectPr>
          <w:pgSz w:w="11900" w:h="16838" w:orient="portrait"/>
          <w:cols w:equalWidth="0" w:num="2">
            <w:col w:w="6700" w:space="720"/>
            <w:col w:w="1599"/>
          </w:cols>
          <w:pgMar w:left="1440" w:top="107"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filed with the Securities and Exchange Commission (the “SEC”), as a “well-known seasoned issuer” as defined in</w:t>
      </w:r>
    </w:p>
    <w:p>
      <w:pPr>
        <w:spacing w:after="0" w:line="1" w:lineRule="exact"/>
        <w:rPr>
          <w:sz w:val="20"/>
          <w:szCs w:val="20"/>
          <w:color w:val="auto"/>
        </w:rPr>
      </w:pPr>
    </w:p>
    <w:p>
      <w:pPr>
        <w:ind w:left="1300" w:right="1359"/>
        <w:spacing w:after="0" w:line="254" w:lineRule="auto"/>
        <w:rPr>
          <w:sz w:val="20"/>
          <w:szCs w:val="20"/>
          <w:color w:val="auto"/>
        </w:rPr>
      </w:pPr>
      <w:r>
        <w:rPr>
          <w:rFonts w:ascii="Times New Roman" w:cs="Times New Roman" w:eastAsia="Times New Roman" w:hAnsi="Times New Roman"/>
          <w:sz w:val="14"/>
          <w:szCs w:val="14"/>
          <w:color w:val="auto"/>
        </w:rPr>
        <w:t>Rule 405 under the Securities Act of 1933, as amended, or the Securities Act, utilizing a “shelf” registration process. Under the shelf registration process, we or the selling securityholders may offer and sell either individually or in combination with other securities any of the securities described in this prospectus, from time to time, in one or more offerings, at prices and on terms to be determined at or prior to the applicable offering.</w:t>
      </w:r>
    </w:p>
    <w:p>
      <w:pPr>
        <w:spacing w:after="0" w:line="260" w:lineRule="exact"/>
        <w:rPr>
          <w:sz w:val="20"/>
          <w:szCs w:val="20"/>
          <w:color w:val="auto"/>
        </w:rPr>
      </w:pPr>
    </w:p>
    <w:p>
      <w:pPr>
        <w:ind w:left="1300" w:right="1399" w:firstLine="280"/>
        <w:spacing w:after="0" w:line="267" w:lineRule="auto"/>
        <w:rPr>
          <w:sz w:val="20"/>
          <w:szCs w:val="20"/>
          <w:color w:val="auto"/>
        </w:rPr>
      </w:pPr>
      <w:r>
        <w:rPr>
          <w:rFonts w:ascii="Times New Roman" w:cs="Times New Roman" w:eastAsia="Times New Roman" w:hAnsi="Times New Roman"/>
          <w:sz w:val="14"/>
          <w:szCs w:val="14"/>
          <w:color w:val="auto"/>
        </w:rPr>
        <w:t>This prospectus only provides you with a general description of the securities we may offer. Each time we sell securities described in the prospectus, we will provide a supplement to this prospectus that will contain specific information about the terms of that offering.</w:t>
      </w:r>
    </w:p>
    <w:p>
      <w:pPr>
        <w:spacing w:after="0" w:line="70" w:lineRule="exact"/>
        <w:rPr>
          <w:sz w:val="20"/>
          <w:szCs w:val="20"/>
          <w:color w:val="auto"/>
        </w:rPr>
      </w:pPr>
    </w:p>
    <w:p>
      <w:pPr>
        <w:ind w:left="1300" w:right="1719" w:firstLine="280"/>
        <w:spacing w:after="0" w:line="286" w:lineRule="auto"/>
        <w:rPr>
          <w:sz w:val="20"/>
          <w:szCs w:val="20"/>
          <w:color w:val="auto"/>
        </w:rPr>
      </w:pPr>
      <w:r>
        <w:rPr>
          <w:rFonts w:ascii="Times New Roman" w:cs="Times New Roman" w:eastAsia="Times New Roman" w:hAnsi="Times New Roman"/>
          <w:sz w:val="14"/>
          <w:szCs w:val="14"/>
          <w:b w:val="1"/>
          <w:bCs w:val="1"/>
          <w:color w:val="auto"/>
        </w:rPr>
        <w:t>THIS PROSPECTUS MAY NOT BE USED TO OFFER AND SELL SECURITIES UNLESS IT IS ACCOMPANIED BY A PROSPECTUS SUPPLEMENT.</w:t>
      </w:r>
    </w:p>
    <w:p>
      <w:pPr>
        <w:spacing w:after="0" w:line="70"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 xml:space="preserve">The prospectus supplement may also add, update or change information contained in this prospectus and, accordingly to the extent inconsistent, information in this prospectus is superseded by the information in the prospectus supplement. You should read carefully both this prospectus and any accompanying prospectus supplement or other offering materials, together with the additional information described under “Where To Learn More About Us” beginning on page </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 xml:space="preserve"> of this prospectus and “Incorporation of Certain Documents By Reference,” beginning on page </w:t>
      </w:r>
      <w:r>
        <w:rPr>
          <w:rFonts w:ascii="Times New Roman" w:cs="Times New Roman" w:eastAsia="Times New Roman" w:hAnsi="Times New Roman"/>
          <w:sz w:val="14"/>
          <w:szCs w:val="14"/>
          <w:u w:val="single" w:color="auto"/>
          <w:color w:val="0000EE"/>
        </w:rPr>
        <w:t>18</w:t>
      </w:r>
      <w:r>
        <w:rPr>
          <w:rFonts w:ascii="Times New Roman" w:cs="Times New Roman" w:eastAsia="Times New Roman" w:hAnsi="Times New Roman"/>
          <w:sz w:val="14"/>
          <w:szCs w:val="14"/>
          <w:color w:val="auto"/>
        </w:rPr>
        <w:t xml:space="preserve"> of this prospectus.</w:t>
      </w:r>
    </w:p>
    <w:p>
      <w:pPr>
        <w:spacing w:after="0" w:line="90" w:lineRule="exact"/>
        <w:rPr>
          <w:sz w:val="20"/>
          <w:szCs w:val="20"/>
          <w:color w:val="auto"/>
        </w:rPr>
      </w:pPr>
    </w:p>
    <w:p>
      <w:pPr>
        <w:ind w:left="1300" w:right="1379" w:firstLine="280"/>
        <w:spacing w:after="0" w:line="256"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and any prospectus supplement or issuer free writing prospectus relating to a particular offering. We have not authorized anyone to provide you with different information. If anyone provides you with different or inconsistent information, you must not rely on it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w:t>
      </w:r>
    </w:p>
    <w:p>
      <w:pPr>
        <w:spacing w:after="0" w:line="80" w:lineRule="exact"/>
        <w:rPr>
          <w:sz w:val="20"/>
          <w:szCs w:val="20"/>
          <w:color w:val="auto"/>
        </w:rPr>
      </w:pPr>
    </w:p>
    <w:p>
      <w:pPr>
        <w:ind w:left="1300" w:right="1319" w:firstLine="280"/>
        <w:spacing w:after="0" w:line="261" w:lineRule="auto"/>
        <w:rPr>
          <w:sz w:val="20"/>
          <w:szCs w:val="20"/>
          <w:color w:val="auto"/>
        </w:rPr>
      </w:pPr>
      <w:r>
        <w:rPr>
          <w:rFonts w:ascii="Times New Roman" w:cs="Times New Roman" w:eastAsia="Times New Roman" w:hAnsi="Times New Roman"/>
          <w:sz w:val="14"/>
          <w:szCs w:val="14"/>
          <w:color w:val="auto"/>
        </w:rPr>
        <w:t>We or the selling securityholders may sell the securities directly to you or through underwriters, dealers or agents. We, and our underwriters or agents, reserve the right to accept or reject all or part of any proposed purchase of securities. If we or the selling securityholders do offer securities through underwriters, dealers or agents, we will include in any applicable prospectus supplement:</w:t>
      </w:r>
    </w:p>
    <w:p>
      <w:pPr>
        <w:spacing w:after="0" w:line="57" w:lineRule="exact"/>
        <w:rPr>
          <w:sz w:val="20"/>
          <w:szCs w:val="20"/>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underwriters, dealers or agents;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w:t>
      </w:r>
    </w:p>
    <w:p>
      <w:pPr>
        <w:spacing w:after="0" w:line="123"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(the “Exchange Act”), and, therefore, file reports and other information with the SEC. Statements contained in this prospectus and any accompanying prospectus supplement or other offering materials about the provisions or contents of any agreement or other document are only summaries. If the SEC rules require that any agreement or document be filed as an exhibit to the registration statement, then you should refer to that agreement or document for its complete contents.</w:t>
      </w:r>
    </w:p>
    <w:p>
      <w:pPr>
        <w:spacing w:after="0" w:line="96" w:lineRule="exact"/>
        <w:rPr>
          <w:sz w:val="20"/>
          <w:szCs w:val="20"/>
          <w:color w:val="auto"/>
        </w:rPr>
      </w:pPr>
    </w:p>
    <w:p>
      <w:pPr>
        <w:ind w:left="1300" w:right="1319" w:firstLine="280"/>
        <w:spacing w:after="0" w:line="258" w:lineRule="auto"/>
        <w:rPr>
          <w:sz w:val="20"/>
          <w:szCs w:val="20"/>
          <w:color w:val="auto"/>
        </w:rPr>
      </w:pPr>
      <w:r>
        <w:rPr>
          <w:rFonts w:ascii="Times New Roman" w:cs="Times New Roman" w:eastAsia="Times New Roman" w:hAnsi="Times New Roman"/>
          <w:sz w:val="14"/>
          <w:szCs w:val="14"/>
          <w:color w:val="auto"/>
        </w:rPr>
        <w:t>You should not assume that the information in this prospectus, any accompanying prospectus supplement or any other offering materials is accurate as of any date other than the date on the front of each document, regardless of the time of delivery of this prospectus, any accompanying prospectus supplement or any sale of securities. Our business, financial condition, results of operations and prospects may have changed since that date.</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19" w:firstLine="280"/>
        <w:spacing w:after="0" w:line="241" w:lineRule="auto"/>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auto"/>
        </w:rPr>
        <w:t xml:space="preserve">An investment in our securities involves a high degree of risk. The prospectus supplement applicable to each offering of our securities will contain a discussion of the risks applicable to an investment in our securities. Before deciding whether to invest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w:t>
      </w:r>
      <w:hyperlink r:id="rId61">
        <w:r>
          <w:rPr>
            <w:rFonts w:ascii="Times New Roman" w:cs="Times New Roman" w:eastAsia="Times New Roman" w:hAnsi="Times New Roman"/>
            <w:sz w:val="14"/>
            <w:szCs w:val="14"/>
            <w:color w:val="auto"/>
          </w:rPr>
          <w:t xml:space="preserve">and assumptions discussed under Item 1A, “Risk Factors,” in our </w:t>
        </w:r>
        <w:r>
          <w:rPr>
            <w:rFonts w:ascii="Times New Roman" w:cs="Times New Roman" w:eastAsia="Times New Roman" w:hAnsi="Times New Roman"/>
            <w:sz w:val="14"/>
            <w:szCs w:val="14"/>
            <w:u w:val="single" w:color="auto"/>
            <w:color w:val="0000EE"/>
          </w:rPr>
          <w:t>Annual Report on Form 10-K, for the</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fiscal year ended December 31, 2023, filed with the SEC on February 23, 2023</w:t>
        </w:r>
        <w:r>
          <w:rPr>
            <w:rFonts w:ascii="Times New Roman" w:cs="Times New Roman" w:eastAsia="Times New Roman" w:hAnsi="Times New Roman"/>
            <w:sz w:val="14"/>
            <w:szCs w:val="14"/>
            <w:color w:val="000000"/>
          </w:rPr>
          <w:t>, and our Form 10-Qs, as</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amended, for the fiscal periods ended March 31, 2024, June 30, 2024, and September 30, 2024, filed with the SEC on </w:t>
      </w:r>
      <w:hyperlink r:id="rId62">
        <w:r>
          <w:rPr>
            <w:rFonts w:ascii="Times New Roman" w:cs="Times New Roman" w:eastAsia="Times New Roman" w:hAnsi="Times New Roman"/>
            <w:sz w:val="14"/>
            <w:szCs w:val="14"/>
            <w:u w:val="single" w:color="auto"/>
            <w:color w:val="0000EE"/>
          </w:rPr>
          <w:t>May 6, 2024</w:t>
        </w:r>
      </w:hyperlink>
      <w:r>
        <w:rPr>
          <w:rFonts w:ascii="Times New Roman" w:cs="Times New Roman" w:eastAsia="Times New Roman" w:hAnsi="Times New Roman"/>
          <w:sz w:val="14"/>
          <w:szCs w:val="14"/>
          <w:color w:val="000000"/>
        </w:rPr>
        <w:t xml:space="preserve">, </w:t>
      </w:r>
      <w:hyperlink r:id="rId63">
        <w:r>
          <w:rPr>
            <w:rFonts w:ascii="Times New Roman" w:cs="Times New Roman" w:eastAsia="Times New Roman" w:hAnsi="Times New Roman"/>
            <w:sz w:val="14"/>
            <w:szCs w:val="14"/>
            <w:u w:val="single" w:color="auto"/>
            <w:color w:val="0000EE"/>
          </w:rPr>
          <w:t>August 6, 2024</w:t>
        </w:r>
      </w:hyperlink>
      <w:r>
        <w:rPr>
          <w:rFonts w:ascii="Times New Roman" w:cs="Times New Roman" w:eastAsia="Times New Roman" w:hAnsi="Times New Roman"/>
          <w:sz w:val="14"/>
          <w:szCs w:val="14"/>
          <w:color w:val="000000"/>
        </w:rPr>
        <w:t xml:space="preserve">, and </w:t>
      </w:r>
      <w:hyperlink r:id="rId64">
        <w:r>
          <w:rPr>
            <w:rFonts w:ascii="Times New Roman" w:cs="Times New Roman" w:eastAsia="Times New Roman" w:hAnsi="Times New Roman"/>
            <w:sz w:val="14"/>
            <w:szCs w:val="14"/>
            <w:u w:val="single" w:color="auto"/>
            <w:color w:val="0000EE"/>
          </w:rPr>
          <w:t>November 7, 2024</w:t>
        </w:r>
      </w:hyperlink>
      <w:r>
        <w:rPr>
          <w:rFonts w:ascii="Times New Roman" w:cs="Times New Roman" w:eastAsia="Times New Roman" w:hAnsi="Times New Roman"/>
          <w:sz w:val="14"/>
          <w:szCs w:val="14"/>
          <w:color w:val="000000"/>
        </w:rPr>
        <w:t>, respectively, all of which are incorporated herein by reference, as updated or superseded by the risks and uncertainties described under similar headings in the other documents that are filed after the date hereof and incorporated by reference into this prospectus and any prospectus supplement related to a particular offering.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below entitled “Cautionary Note Regarding Forward-Looking Statements.”</w:t>
      </w:r>
    </w:p>
    <w:p>
      <w:pPr>
        <w:spacing w:after="0" w:line="322" w:lineRule="exact"/>
        <w:rPr>
          <w:rFonts w:ascii="Times New Roman" w:cs="Times New Roman" w:eastAsia="Times New Roman" w:hAnsi="Times New Roman"/>
          <w:sz w:val="14"/>
          <w:szCs w:val="14"/>
          <w:color w:val="000000"/>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75" w:lineRule="exact"/>
        <w:rPr>
          <w:rFonts w:ascii="Times New Roman" w:cs="Times New Roman" w:eastAsia="Times New Roman" w:hAnsi="Times New Roman"/>
          <w:sz w:val="14"/>
          <w:szCs w:val="14"/>
          <w:color w:val="000000"/>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14" w:lineRule="exact"/>
        <w:rPr>
          <w:rFonts w:ascii="Times New Roman" w:cs="Times New Roman" w:eastAsia="Times New Roman" w:hAnsi="Times New Roman"/>
          <w:sz w:val="14"/>
          <w:szCs w:val="14"/>
          <w:color w:val="000000"/>
        </w:rPr>
      </w:pPr>
    </w:p>
    <w:p>
      <w:pPr>
        <w:ind w:left="1300" w:right="1339" w:firstLine="280"/>
        <w:spacing w:after="0" w:line="248" w:lineRule="auto"/>
        <w:rPr>
          <w:sz w:val="20"/>
          <w:szCs w:val="20"/>
          <w:color w:val="auto"/>
        </w:rPr>
      </w:pPr>
      <w:r>
        <w:rPr>
          <w:rFonts w:ascii="Times New Roman" w:cs="Times New Roman" w:eastAsia="Times New Roman" w:hAnsi="Times New Roman"/>
          <w:sz w:val="14"/>
          <w:szCs w:val="14"/>
          <w:color w:val="auto"/>
        </w:rPr>
        <w:t>As used in this prospectus, the terms “we,” “us,” “our,” and “Company” refer to Applied Optoelectronics, Inc. We are a leading, vertically integrated provider of fiber-optic networking products. We target four networking end-markets: internet data centers, cable television (“CATV”), telecommunications (“telecom”), and fiber-to-the home (“FTTH”). We design and manufacture a range of optical communications products at varying levels of integration, from components, subassemblies and modules to complete turn-key equipment.</w:t>
      </w:r>
    </w:p>
    <w:p>
      <w:pPr>
        <w:spacing w:after="0" w:line="251" w:lineRule="exact"/>
        <w:rPr>
          <w:rFonts w:ascii="Times New Roman" w:cs="Times New Roman" w:eastAsia="Times New Roman" w:hAnsi="Times New Roman"/>
          <w:sz w:val="14"/>
          <w:szCs w:val="14"/>
          <w:color w:val="000000"/>
        </w:rPr>
      </w:pPr>
    </w:p>
    <w:p>
      <w:pPr>
        <w:ind w:left="1300" w:right="1379" w:firstLine="280"/>
        <w:spacing w:after="0" w:line="244" w:lineRule="auto"/>
        <w:rPr>
          <w:sz w:val="20"/>
          <w:szCs w:val="20"/>
          <w:color w:val="auto"/>
        </w:rPr>
      </w:pPr>
      <w:r>
        <w:rPr>
          <w:rFonts w:ascii="Times New Roman" w:cs="Times New Roman" w:eastAsia="Times New Roman" w:hAnsi="Times New Roman"/>
          <w:sz w:val="14"/>
          <w:szCs w:val="14"/>
          <w:color w:val="auto"/>
        </w:rPr>
        <w:t>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w:t>
      </w:r>
    </w:p>
    <w:p>
      <w:pPr>
        <w:spacing w:after="0" w:line="90" w:lineRule="exact"/>
        <w:rPr>
          <w:rFonts w:ascii="Times New Roman" w:cs="Times New Roman" w:eastAsia="Times New Roman" w:hAnsi="Times New Roman"/>
          <w:sz w:val="14"/>
          <w:szCs w:val="14"/>
          <w:color w:val="000000"/>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MSOs to increase the return -path bandwidth available to offer to their customers. In the FTTH market, we benefit from continuing PON deployments and system updates among telecom service providers. In the telecom market, we benefit from deployment of new high-speed fiber-optic networks by telecom network operators, including 5G networks.</w:t>
      </w:r>
    </w:p>
    <w:p>
      <w:pPr>
        <w:spacing w:after="0" w:line="92" w:lineRule="exact"/>
        <w:rPr>
          <w:rFonts w:ascii="Times New Roman" w:cs="Times New Roman" w:eastAsia="Times New Roman" w:hAnsi="Times New Roman"/>
          <w:sz w:val="14"/>
          <w:szCs w:val="14"/>
          <w:color w:val="000000"/>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alternative processes for the fabrication of lasers. We believe the use of both processes, and our knowledge</w:t>
      </w:r>
    </w:p>
    <w:p>
      <w:pPr>
        <w:spacing w:after="0" w:line="286" w:lineRule="exact"/>
        <w:rPr>
          <w:rFonts w:ascii="Times New Roman" w:cs="Times New Roman" w:eastAsia="Times New Roman" w:hAnsi="Times New Roman"/>
          <w:sz w:val="14"/>
          <w:szCs w:val="14"/>
          <w:color w:val="000000"/>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00"/>
        </w:rPr>
      </w:pPr>
      <w:r>
        <w:rPr>
          <w:rFonts w:ascii="Times New Roman" w:cs="Times New Roman" w:eastAsia="Times New Roman" w:hAnsi="Times New Roman"/>
          <w:sz w:val="14"/>
          <w:szCs w:val="14"/>
          <w:color w:val="000000"/>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99"/>
        <w:spacing w:after="0" w:line="246" w:lineRule="auto"/>
        <w:rPr>
          <w:sz w:val="20"/>
          <w:szCs w:val="20"/>
          <w:color w:val="auto"/>
        </w:rPr>
      </w:pPr>
      <w:r>
        <w:rPr>
          <w:rFonts w:ascii="Times New Roman" w:cs="Times New Roman" w:eastAsia="Times New Roman" w:hAnsi="Times New Roman"/>
          <w:sz w:val="14"/>
          <w:szCs w:val="14"/>
          <w:color w:val="auto"/>
        </w:rPr>
        <w:t>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spacing w:after="0" w:line="89" w:lineRule="exact"/>
        <w:rPr>
          <w:sz w:val="20"/>
          <w:szCs w:val="20"/>
          <w:color w:val="auto"/>
        </w:rPr>
      </w:pPr>
    </w:p>
    <w:p>
      <w:pPr>
        <w:ind w:left="1300" w:right="1399" w:firstLine="280"/>
        <w:spacing w:after="0" w:line="241" w:lineRule="auto"/>
        <w:rPr>
          <w:sz w:val="20"/>
          <w:szCs w:val="20"/>
          <w:color w:val="auto"/>
        </w:rPr>
      </w:pPr>
      <w:r>
        <w:rPr>
          <w:rFonts w:ascii="Times New Roman" w:cs="Times New Roman" w:eastAsia="Times New Roman" w:hAnsi="Times New Roman"/>
          <w:sz w:val="14"/>
          <w:szCs w:val="14"/>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CATV transmitters (at the headend), CATV outdoor equipment (at the node) and internet data center market.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98" w:lineRule="exact"/>
        <w:rPr>
          <w:sz w:val="20"/>
          <w:szCs w:val="20"/>
          <w:color w:val="auto"/>
        </w:rPr>
      </w:pPr>
    </w:p>
    <w:p>
      <w:pPr>
        <w:ind w:left="1300" w:right="1379" w:firstLine="280"/>
        <w:spacing w:after="0" w:line="243" w:lineRule="auto"/>
        <w:rPr>
          <w:sz w:val="20"/>
          <w:szCs w:val="20"/>
          <w:color w:val="auto"/>
        </w:rPr>
      </w:pPr>
      <w:r>
        <w:rPr>
          <w:rFonts w:ascii="Times New Roman" w:cs="Times New Roman" w:eastAsia="Times New Roman" w:hAnsi="Times New Roman"/>
          <w:sz w:val="14"/>
          <w:szCs w:val="14"/>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3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25" w:lineRule="exact"/>
        <w:rPr>
          <w:sz w:val="20"/>
          <w:szCs w:val="20"/>
          <w:color w:val="auto"/>
        </w:rPr>
      </w:pPr>
    </w:p>
    <w:p>
      <w:pPr>
        <w:ind w:left="1300" w:right="1359" w:firstLine="280"/>
        <w:spacing w:after="0" w:line="245" w:lineRule="auto"/>
        <w:rPr>
          <w:sz w:val="20"/>
          <w:szCs w:val="20"/>
          <w:color w:val="auto"/>
        </w:rPr>
      </w:pPr>
      <w:r>
        <w:rPr>
          <w:rFonts w:ascii="Times New Roman" w:cs="Times New Roman" w:eastAsia="Times New Roman" w:hAnsi="Times New Roman"/>
          <w:sz w:val="14"/>
          <w:szCs w:val="14"/>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90" w:lineRule="exact"/>
        <w:rPr>
          <w:sz w:val="20"/>
          <w:szCs w:val="20"/>
          <w:color w:val="auto"/>
        </w:rPr>
      </w:pPr>
    </w:p>
    <w:p>
      <w:pPr>
        <w:ind w:left="1300" w:right="1339" w:firstLine="280"/>
        <w:spacing w:after="0" w:line="252" w:lineRule="auto"/>
        <w:rPr>
          <w:sz w:val="20"/>
          <w:szCs w:val="20"/>
          <w:color w:val="auto"/>
        </w:rPr>
      </w:pPr>
      <w:r>
        <w:rPr>
          <w:rFonts w:ascii="Times New Roman" w:cs="Times New Roman" w:eastAsia="Times New Roman" w:hAnsi="Times New Roman"/>
          <w:sz w:val="14"/>
          <w:szCs w:val="14"/>
          <w:color w:val="auto"/>
        </w:rPr>
        <w:t>Our principal executive offices are located at 13139 Jess Pirtle Blvd., Sugar Land, TX 77478, and our telephone number is (281) 295-1800. Our website address is www.ao-inc.com. Information contained on our website is not incorporated by reference into this prospectus and does not constitute a part of this prospectus.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5" w:lineRule="exact"/>
        <w:rPr>
          <w:sz w:val="20"/>
          <w:szCs w:val="20"/>
          <w:color w:val="auto"/>
        </w:rPr>
      </w:pPr>
    </w:p>
    <w:p>
      <w:pPr>
        <w:ind w:left="1300" w:right="1319" w:firstLine="280"/>
        <w:spacing w:after="0" w:line="247" w:lineRule="auto"/>
        <w:rPr>
          <w:sz w:val="20"/>
          <w:szCs w:val="20"/>
          <w:color w:val="auto"/>
        </w:rPr>
      </w:pPr>
      <w:r>
        <w:rPr>
          <w:rFonts w:ascii="Times New Roman" w:cs="Times New Roman" w:eastAsia="Times New Roman" w:hAnsi="Times New Roman"/>
          <w:sz w:val="14"/>
          <w:szCs w:val="14"/>
          <w:color w:val="auto"/>
        </w:rPr>
        <w:t>This prospectus and each prospectus supplement contains, and the documents incorporated by reference herein include “forward-looking statements” within the meaning of Section 27A of the Securities Act and Section 21E of the Exchange Act. These statements relate to future events or to our future financial performance and involve known and unknown risks, uncertainties and other factors which may cause our actual results, performance or achievements to be materially different from any future results, performances</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43" w:lineRule="auto"/>
        <w:rPr>
          <w:sz w:val="20"/>
          <w:szCs w:val="20"/>
          <w:color w:val="auto"/>
        </w:rPr>
      </w:pPr>
      <w:r>
        <w:rPr>
          <w:rFonts w:ascii="Times New Roman" w:cs="Times New Roman" w:eastAsia="Times New Roman" w:hAnsi="Times New Roman"/>
          <w:sz w:val="14"/>
          <w:szCs w:val="14"/>
          <w:color w:val="auto"/>
        </w:rPr>
        <w:t>or achievements expressed or implied by the forward-looking statements. Forward-looking statements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expectations regarding the acquisition or divestiture of assets and business; realization of deferred tax assets; and other risks and uncertainties described more fully under the heading “Risk Factors” above and those discussed in the Company’s documents included in “Incorporation of Certain Information by Reference” below.</w:t>
      </w:r>
    </w:p>
    <w:p>
      <w:pPr>
        <w:spacing w:after="0" w:line="252"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In some cases, you can identify forward-looking statement by terms such as “believe,” “may,” “estimate,” “continue,” “anticipate,” “intend,” “should,” “could,” “would,” “target,” “seek,” “aim,” “believe,” “predicts,” “think,” “objectives,” “optimistic,” “new,” “goal,” “strategy,” “potential,” “is likely,” “will,” “expect,” “plan” “project,” “permit”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many of these risks in greater detail under the heading “Risk Factors” in our SEC filings, and under the caption “Risk Factors” in this prospectus or any prospectus supplement. Also, these forward-looking statements represent our estimates and assumptions only as of the date of the document containing the applicable statement. You should read this prospectus, the registration statement of which this prospectus is a part, any prospectus supplement and the exhibits and documents incorporated by reference herein and therein completely and with the understanding that our actual future results may be materially different from those described in forward-looking statements. We qualify all of the forward-looking statements in the foregoing documents by these cautionary statements.</w:t>
      </w:r>
    </w:p>
    <w:p>
      <w:pPr>
        <w:spacing w:after="0" w:line="83" w:lineRule="exact"/>
        <w:rPr>
          <w:sz w:val="20"/>
          <w:szCs w:val="20"/>
          <w:color w:val="auto"/>
        </w:rPr>
      </w:pPr>
    </w:p>
    <w:p>
      <w:pPr>
        <w:ind w:left="1300" w:right="1319" w:firstLine="280"/>
        <w:spacing w:after="0" w:line="251" w:lineRule="auto"/>
        <w:rPr>
          <w:sz w:val="20"/>
          <w:szCs w:val="20"/>
          <w:color w:val="auto"/>
        </w:rPr>
      </w:pPr>
      <w:r>
        <w:rPr>
          <w:rFonts w:ascii="Times New Roman" w:cs="Times New Roman" w:eastAsia="Times New Roman" w:hAnsi="Times New Roman"/>
          <w:sz w:val="14"/>
          <w:szCs w:val="14"/>
          <w:color w:val="auto"/>
        </w:rPr>
        <w:t>You should assume that information contained in or incorporated by reference into this prospectus is accurate only as of the date on the front cover of this prospectus or the date of the document incorporated by reference, as applicable. Unless required by law, we undertake no obligation to update or revise any forward-looking statements to reflect new information or future events or developments.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14" w:lineRule="exact"/>
        <w:rPr>
          <w:sz w:val="20"/>
          <w:szCs w:val="20"/>
          <w:color w:val="auto"/>
        </w:rPr>
      </w:pPr>
    </w:p>
    <w:p>
      <w:pPr>
        <w:ind w:left="1300" w:right="1719" w:firstLine="280"/>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 We will not receive any proceeds from the sale of our securities by the selling securityholders.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 TO BE OFFERED</w:t>
      </w:r>
    </w:p>
    <w:p>
      <w:pPr>
        <w:spacing w:after="0" w:line="125" w:lineRule="exact"/>
        <w:rPr>
          <w:sz w:val="20"/>
          <w:szCs w:val="20"/>
          <w:color w:val="auto"/>
        </w:rPr>
      </w:pPr>
    </w:p>
    <w:p>
      <w:pPr>
        <w:ind w:left="1300" w:right="1319" w:firstLine="280"/>
        <w:spacing w:after="0" w:line="255" w:lineRule="auto"/>
        <w:rPr>
          <w:sz w:val="20"/>
          <w:szCs w:val="20"/>
          <w:color w:val="auto"/>
        </w:rPr>
      </w:pPr>
      <w:r>
        <w:rPr>
          <w:rFonts w:ascii="Times New Roman" w:cs="Times New Roman" w:eastAsia="Times New Roman" w:hAnsi="Times New Roman"/>
          <w:sz w:val="14"/>
          <w:szCs w:val="14"/>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information in the prospectus supplement, where applicable, about material U.S. federal income tax considerations relating to the securities, and the securities exchange, if any, on which the securities will be listed.</w:t>
      </w:r>
    </w:p>
    <w:p>
      <w:pPr>
        <w:spacing w:after="0" w:line="264" w:lineRule="exact"/>
        <w:rPr>
          <w:sz w:val="20"/>
          <w:szCs w:val="20"/>
          <w:color w:val="auto"/>
        </w:rPr>
      </w:pPr>
    </w:p>
    <w:p>
      <w:pPr>
        <w:ind w:left="1300" w:right="1479" w:firstLine="280"/>
        <w:spacing w:after="0" w:line="283" w:lineRule="auto"/>
        <w:rPr>
          <w:sz w:val="20"/>
          <w:szCs w:val="20"/>
          <w:color w:val="auto"/>
        </w:rPr>
      </w:pPr>
      <w:r>
        <w:rPr>
          <w:rFonts w:ascii="Times New Roman" w:cs="Times New Roman" w:eastAsia="Times New Roman" w:hAnsi="Times New Roman"/>
          <w:sz w:val="14"/>
          <w:szCs w:val="14"/>
          <w:color w:val="auto"/>
        </w:rPr>
        <w:t>We may sell from time to time, in one or more primary offerings, our common stock, preferred stock, warrants and units, or any combination of the foregoing.</w:t>
      </w:r>
    </w:p>
    <w:p>
      <w:pPr>
        <w:spacing w:after="0" w:line="62" w:lineRule="exact"/>
        <w:rPr>
          <w:sz w:val="20"/>
          <w:szCs w:val="20"/>
          <w:color w:val="auto"/>
        </w:rPr>
      </w:pPr>
    </w:p>
    <w:p>
      <w:pPr>
        <w:ind w:left="1300" w:right="1319" w:firstLine="280"/>
        <w:spacing w:after="0" w:line="283" w:lineRule="auto"/>
        <w:rPr>
          <w:sz w:val="20"/>
          <w:szCs w:val="20"/>
          <w:color w:val="auto"/>
        </w:rPr>
      </w:pPr>
      <w:r>
        <w:rPr>
          <w:rFonts w:ascii="Times New Roman" w:cs="Times New Roman" w:eastAsia="Times New Roman" w:hAnsi="Times New Roman"/>
          <w:sz w:val="14"/>
          <w:szCs w:val="14"/>
          <w:color w:val="auto"/>
        </w:rPr>
        <w:t>In this prospectus, we refer to the common stock, preferred stock, warrants, units or any combination of the foregoing securities to be sold by us in a primary offering collectively as “securities.”</w:t>
      </w:r>
    </w:p>
    <w:p>
      <w:pPr>
        <w:spacing w:after="0" w:line="72" w:lineRule="exact"/>
        <w:rPr>
          <w:sz w:val="20"/>
          <w:szCs w:val="20"/>
          <w:color w:val="auto"/>
        </w:rPr>
      </w:pPr>
    </w:p>
    <w:p>
      <w:pPr>
        <w:ind w:left="1300" w:right="1699" w:firstLine="280"/>
        <w:spacing w:after="0" w:line="283" w:lineRule="auto"/>
        <w:rPr>
          <w:sz w:val="20"/>
          <w:szCs w:val="20"/>
          <w:color w:val="auto"/>
        </w:rPr>
      </w:pPr>
      <w:r>
        <w:rPr>
          <w:rFonts w:ascii="Times New Roman" w:cs="Times New Roman" w:eastAsia="Times New Roman" w:hAnsi="Times New Roman"/>
          <w:sz w:val="14"/>
          <w:szCs w:val="14"/>
          <w:color w:val="auto"/>
        </w:rPr>
        <w:t>This prospectus may not be used to consummate a sale of securities unless it is accompanied by a prospectus supplement.</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399" w:firstLine="280"/>
        <w:spacing w:after="0"/>
        <w:rPr>
          <w:sz w:val="20"/>
          <w:szCs w:val="20"/>
          <w:color w:val="auto"/>
        </w:rPr>
      </w:pPr>
      <w:r>
        <w:rPr>
          <w:rFonts w:ascii="Times New Roman" w:cs="Times New Roman" w:eastAsia="Times New Roman" w:hAnsi="Times New Roman"/>
          <w:sz w:val="14"/>
          <w:szCs w:val="14"/>
          <w:color w:val="auto"/>
        </w:rPr>
        <w:t>The following is a summary of the material provisions of the securities as set forth in our certificate of incorporation, as amended to date, and bylaws, as amended to date. For additional detail about our capital stock, please refer to our amended and restated certificate of incorporation and amended and restated bylaws, as well as applicable Delaware law.</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14" w:lineRule="exact"/>
        <w:rPr>
          <w:sz w:val="20"/>
          <w:szCs w:val="20"/>
          <w:color w:val="auto"/>
        </w:rPr>
      </w:pPr>
    </w:p>
    <w:p>
      <w:pPr>
        <w:ind w:left="1300" w:right="1419" w:firstLine="280"/>
        <w:spacing w:after="0" w:line="236" w:lineRule="auto"/>
        <w:rPr>
          <w:sz w:val="20"/>
          <w:szCs w:val="20"/>
          <w:color w:val="auto"/>
        </w:rPr>
      </w:pPr>
      <w:r>
        <w:rPr>
          <w:rFonts w:ascii="Times New Roman" w:cs="Times New Roman" w:eastAsia="Times New Roman" w:hAnsi="Times New Roman"/>
          <w:sz w:val="14"/>
          <w:szCs w:val="14"/>
          <w:color w:val="auto"/>
        </w:rPr>
        <w:t>The following description of our capital stock summarizes the material terms and provisions of the capital stock that we may offer under this prospectus, is not complete and is qualified in its entirety by reference to our certificate of incorporation and bylaws, as may be amended from time to time, which have been filed with the SEC as exhibits to the registration statement and each of which is incorporated by reference in this prospectus. In addition, you should be aware that the summary below does not give full effect to the terms of the provisions of statutory or common law.</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04" w:lineRule="exact"/>
        <w:rPr>
          <w:sz w:val="20"/>
          <w:szCs w:val="20"/>
          <w:color w:val="auto"/>
        </w:rPr>
      </w:pPr>
    </w:p>
    <w:p>
      <w:pPr>
        <w:ind w:left="1300" w:right="1359" w:firstLine="280"/>
        <w:spacing w:after="0"/>
        <w:rPr>
          <w:sz w:val="20"/>
          <w:szCs w:val="20"/>
          <w:color w:val="auto"/>
        </w:rPr>
      </w:pPr>
      <w:r>
        <w:rPr>
          <w:rFonts w:ascii="Times New Roman" w:cs="Times New Roman" w:eastAsia="Times New Roman" w:hAnsi="Times New Roman"/>
          <w:sz w:val="14"/>
          <w:szCs w:val="14"/>
          <w:color w:val="auto"/>
        </w:rPr>
        <w:t>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w:t>
      </w:r>
    </w:p>
    <w:p>
      <w:pPr>
        <w:spacing w:after="0" w:line="2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authorized capital stock consists of 85,000,000 shares of common stock, par value $0.001 per</w:t>
      </w:r>
    </w:p>
    <w:p>
      <w:pPr>
        <w:ind w:left="1300"/>
        <w:spacing w:after="0" w:line="238" w:lineRule="auto"/>
        <w:rPr>
          <w:sz w:val="20"/>
          <w:szCs w:val="20"/>
          <w:color w:val="auto"/>
        </w:rPr>
      </w:pPr>
      <w:r>
        <w:rPr>
          <w:rFonts w:ascii="Times New Roman" w:cs="Times New Roman" w:eastAsia="Times New Roman" w:hAnsi="Times New Roman"/>
          <w:sz w:val="14"/>
          <w:szCs w:val="14"/>
          <w:color w:val="auto"/>
        </w:rPr>
        <w:t>share, and 5,000,000 shares of undesignated preferred stock, par value $0.001 per share. As of</w:t>
      </w:r>
    </w:p>
    <w:p>
      <w:pPr>
        <w:ind w:left="1300"/>
        <w:spacing w:after="0" w:line="235" w:lineRule="auto"/>
        <w:rPr>
          <w:sz w:val="20"/>
          <w:szCs w:val="20"/>
          <w:color w:val="auto"/>
        </w:rPr>
      </w:pPr>
      <w:r>
        <w:rPr>
          <w:rFonts w:ascii="Times New Roman" w:cs="Times New Roman" w:eastAsia="Times New Roman" w:hAnsi="Times New Roman"/>
          <w:sz w:val="14"/>
          <w:szCs w:val="14"/>
          <w:color w:val="auto"/>
        </w:rPr>
        <w:t>December 17, 2024, there were 46,868,487 shares of common stock outstanding and no shares of preferred</w:t>
      </w:r>
    </w:p>
    <w:p>
      <w:pPr>
        <w:ind w:left="1300"/>
        <w:spacing w:after="0"/>
        <w:rPr>
          <w:sz w:val="20"/>
          <w:szCs w:val="20"/>
          <w:color w:val="auto"/>
        </w:rPr>
      </w:pPr>
      <w:r>
        <w:rPr>
          <w:rFonts w:ascii="Times New Roman" w:cs="Times New Roman" w:eastAsia="Times New Roman" w:hAnsi="Times New Roman"/>
          <w:sz w:val="14"/>
          <w:szCs w:val="14"/>
          <w:color w:val="auto"/>
        </w:rPr>
        <w:t>stock outstanding.</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04" w:lineRule="exact"/>
        <w:rPr>
          <w:sz w:val="20"/>
          <w:szCs w:val="20"/>
          <w:color w:val="auto"/>
        </w:rPr>
      </w:pPr>
    </w:p>
    <w:p>
      <w:pPr>
        <w:ind w:left="1300" w:right="1339" w:firstLine="280"/>
        <w:spacing w:after="0"/>
        <w:rPr>
          <w:sz w:val="20"/>
          <w:szCs w:val="20"/>
          <w:color w:val="auto"/>
        </w:rPr>
      </w:pPr>
      <w:r>
        <w:rPr>
          <w:rFonts w:ascii="Times New Roman" w:cs="Times New Roman" w:eastAsia="Times New Roman" w:hAnsi="Times New Roman"/>
          <w:sz w:val="14"/>
          <w:szCs w:val="14"/>
          <w:color w:val="auto"/>
        </w:rPr>
        <w:t>Holders of our common stock are entitled to one vote for each share of common stock held of record for the election of directors and on all matters submitted to a vote of stockholders. Holders of our common stock are also entitled to receive dividends ratably, if any, as may be declared by our board of directors out of legally available funds, subject to any preferential dividend rights of any preferred stock then outstanding. Upon our dissolution, liquidation or winding up, holders of our common stock are entitled to share ratably in our net assets legally available after the payment of all our debts and other liabilities, subject to the preferential rights of any preferred stock then outstanding. Holders of our common stock have no subscription, preemptive, redemption or conversion rights. The rights, preferences and privileges of holders of common stock are subject to, and may be adversely affected by, the rights of the holders of shares of any series of preferred stock that we may designate and issue in the future. Except with respect to the election of directors (which is determined by our stockholders by a plurality of the votes cast by the stockholders entitled to vote on the election) and as described below in “Provisions of our Certificate of Incorporation and Bylaws and Delaware Anti-Takeover Law,” a majority vote of common stockholders is generally required to take action under our amended and restated certificate of incorporation and amended and restated bylaws.</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14" w:lineRule="exact"/>
        <w:rPr>
          <w:sz w:val="20"/>
          <w:szCs w:val="20"/>
          <w:color w:val="auto"/>
        </w:rPr>
      </w:pPr>
    </w:p>
    <w:p>
      <w:pPr>
        <w:ind w:left="1300" w:right="1579" w:firstLine="28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“AAOI.” On December 18, 2024 the closing price of our common stock, as reported on the NASDAQ Global Market, was $33.97 per share. As of the close of business on December 18, 2024, there were approximately 48 stockholders of record of our common stock.</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14" w:lineRule="exact"/>
        <w:rPr>
          <w:sz w:val="20"/>
          <w:szCs w:val="20"/>
          <w:color w:val="auto"/>
        </w:rPr>
      </w:pPr>
    </w:p>
    <w:p>
      <w:pPr>
        <w:jc w:val="both"/>
        <w:ind w:left="1300" w:right="1499" w:firstLine="280"/>
        <w:spacing w:after="0" w:line="255" w:lineRule="auto"/>
        <w:rPr>
          <w:sz w:val="20"/>
          <w:szCs w:val="20"/>
          <w:color w:val="auto"/>
        </w:rPr>
      </w:pPr>
      <w:r>
        <w:rPr>
          <w:rFonts w:ascii="Times New Roman" w:cs="Times New Roman" w:eastAsia="Times New Roman" w:hAnsi="Times New Roman"/>
          <w:sz w:val="14"/>
          <w:szCs w:val="14"/>
          <w:color w:val="auto"/>
        </w:rPr>
        <w:t>Continental Stock Transfer &amp; Trust Company acts as the transfer agent and registrar for our common stock. The transfer agent and registrar’s address is 1 State Street,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4"/>
          <w:szCs w:val="14"/>
          <w:color w:val="auto"/>
        </w:rPr>
        <w:t xml:space="preserve"> Floor, New York, New York 10004.</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5" w:lineRule="exact"/>
        <w:rPr>
          <w:sz w:val="20"/>
          <w:szCs w:val="20"/>
          <w:color w:val="auto"/>
        </w:rPr>
      </w:pPr>
    </w:p>
    <w:p>
      <w:pPr>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Our board of directors is authorized, without action by the stockholders, to designate and issue up to an aggregate of 5,000,000 shares of preferred stock in one or more series. The board of directors can fix the</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45" w:lineRule="auto"/>
        <w:rPr>
          <w:sz w:val="20"/>
          <w:szCs w:val="20"/>
          <w:color w:val="auto"/>
        </w:rPr>
      </w:pPr>
      <w:r>
        <w:rPr>
          <w:rFonts w:ascii="Times New Roman" w:cs="Times New Roman" w:eastAsia="Times New Roman" w:hAnsi="Times New Roman"/>
          <w:sz w:val="14"/>
          <w:szCs w:val="14"/>
          <w:color w:val="auto"/>
        </w:rPr>
        <w:t>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 providing flexibility in connection with possible future financings and acquisitions and other corporate purposes could, under certain circumstances, have the effect of delaying, deferring or preventing a change in control of our company and might harm the market price of our common stock.</w:t>
      </w:r>
    </w:p>
    <w:p>
      <w:pPr>
        <w:spacing w:after="0" w:line="254" w:lineRule="exact"/>
        <w:rPr>
          <w:sz w:val="20"/>
          <w:szCs w:val="20"/>
          <w:color w:val="auto"/>
        </w:rPr>
      </w:pPr>
    </w:p>
    <w:p>
      <w:pPr>
        <w:ind w:left="1300" w:right="1339" w:firstLine="280"/>
        <w:spacing w:after="0" w:line="283" w:lineRule="auto"/>
        <w:rPr>
          <w:sz w:val="20"/>
          <w:szCs w:val="20"/>
          <w:color w:val="auto"/>
        </w:rPr>
      </w:pPr>
      <w:r>
        <w:rPr>
          <w:rFonts w:ascii="Times New Roman" w:cs="Times New Roman" w:eastAsia="Times New Roman" w:hAnsi="Times New Roman"/>
          <w:sz w:val="14"/>
          <w:szCs w:val="14"/>
          <w:color w:val="auto"/>
        </w:rPr>
        <w:t>Our board of directors will make any determination to issue such shares based on its judgment as to our company’s best interests and the best interests of our stockholders.</w:t>
      </w:r>
    </w:p>
    <w:p>
      <w:pPr>
        <w:spacing w:after="0" w:line="62" w:lineRule="exact"/>
        <w:rPr>
          <w:sz w:val="20"/>
          <w:szCs w:val="20"/>
          <w:color w:val="auto"/>
        </w:rPr>
      </w:pPr>
    </w:p>
    <w:p>
      <w:pPr>
        <w:ind w:left="1300" w:right="1619" w:firstLine="280"/>
        <w:spacing w:after="0" w:line="251" w:lineRule="auto"/>
        <w:rPr>
          <w:sz w:val="20"/>
          <w:szCs w:val="20"/>
          <w:color w:val="auto"/>
        </w:rPr>
      </w:pPr>
      <w:r>
        <w:rPr>
          <w:rFonts w:ascii="Times New Roman" w:cs="Times New Roman" w:eastAsia="Times New Roman" w:hAnsi="Times New Roman"/>
          <w:sz w:val="14"/>
          <w:szCs w:val="14"/>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52" w:lineRule="exact"/>
        <w:rPr>
          <w:sz w:val="20"/>
          <w:szCs w:val="20"/>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authorized;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91" w:lineRule="exact"/>
        <w:rPr>
          <w:rFonts w:ascii="Times New Roman" w:cs="Times New Roman" w:eastAsia="Times New Roman" w:hAnsi="Times New Roman"/>
          <w:sz w:val="14"/>
          <w:szCs w:val="14"/>
          <w:color w:val="auto"/>
        </w:rPr>
      </w:pPr>
    </w:p>
    <w:p>
      <w:pPr>
        <w:ind w:left="1720" w:right="161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91"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80"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and, if applicable, the conversion price, or how it will be calculated, and the conversion period;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91"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United States federal income tax considerations applicable to the preferred stock;</w:t>
      </w:r>
    </w:p>
    <w:p>
      <w:pPr>
        <w:spacing w:after="0" w:line="40" w:lineRule="exact"/>
        <w:rPr>
          <w:rFonts w:ascii="Times New Roman" w:cs="Times New Roman" w:eastAsia="Times New Roman" w:hAnsi="Times New Roman"/>
          <w:sz w:val="14"/>
          <w:szCs w:val="14"/>
          <w:color w:val="auto"/>
        </w:rPr>
      </w:pPr>
    </w:p>
    <w:p>
      <w:pPr>
        <w:ind w:left="1720" w:right="1679" w:hanging="131"/>
        <w:spacing w:after="0" w:line="283"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if we liquidate, dissolve or wind up our affairs;</w:t>
      </w:r>
    </w:p>
    <w:p>
      <w:pPr>
        <w:spacing w:after="0" w:line="40" w:lineRule="exact"/>
        <w:rPr>
          <w:rFonts w:ascii="Times New Roman" w:cs="Times New Roman" w:eastAsia="Times New Roman" w:hAnsi="Times New Roman"/>
          <w:sz w:val="14"/>
          <w:szCs w:val="14"/>
          <w:color w:val="auto"/>
        </w:rPr>
      </w:pPr>
    </w:p>
    <w:p>
      <w:pPr>
        <w:ind w:left="1720" w:right="1379" w:hanging="131"/>
        <w:spacing w:after="0" w:line="267" w:lineRule="auto"/>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123" w:lineRule="exact"/>
        <w:rPr>
          <w:sz w:val="20"/>
          <w:szCs w:val="20"/>
          <w:color w:val="auto"/>
        </w:rPr>
      </w:pPr>
    </w:p>
    <w:p>
      <w:pPr>
        <w:ind w:left="1300" w:right="1819" w:firstLine="280"/>
        <w:spacing w:after="0" w:line="267" w:lineRule="auto"/>
        <w:rPr>
          <w:sz w:val="20"/>
          <w:szCs w:val="20"/>
          <w:color w:val="auto"/>
        </w:rPr>
      </w:pPr>
      <w:r>
        <w:rPr>
          <w:rFonts w:ascii="Times New Roman" w:cs="Times New Roman" w:eastAsia="Times New Roman" w:hAnsi="Times New Roman"/>
          <w:sz w:val="14"/>
          <w:szCs w:val="14"/>
          <w:color w:val="auto"/>
        </w:rPr>
        <w:t>When we issue shares of preferred stock under this prospectus, the shares will fully be paid and nonassessable and will not have, or be subject to, any preemptive or similar rights.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14" w:lineRule="exact"/>
        <w:rPr>
          <w:sz w:val="20"/>
          <w:szCs w:val="20"/>
          <w:color w:val="auto"/>
        </w:rPr>
      </w:pPr>
    </w:p>
    <w:p>
      <w:pPr>
        <w:ind w:left="1300" w:right="1519" w:firstLine="280"/>
        <w:spacing w:after="0" w:line="283" w:lineRule="auto"/>
        <w:rPr>
          <w:sz w:val="20"/>
          <w:szCs w:val="20"/>
          <w:color w:val="auto"/>
        </w:rPr>
      </w:pPr>
      <w:r>
        <w:rPr>
          <w:rFonts w:ascii="Times New Roman" w:cs="Times New Roman" w:eastAsia="Times New Roman" w:hAnsi="Times New Roman"/>
          <w:sz w:val="14"/>
          <w:szCs w:val="14"/>
          <w:color w:val="auto"/>
        </w:rPr>
        <w:t>As of the date hereof, no holder of our common stock is eligible to exercise any contractual rights to require us to register any shares of such holder under the Securities Act.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of Our Certificate of Incorporation and Bylaws and Delaware Anti-Takeover Law</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include a</w:t>
      </w:r>
    </w:p>
    <w:p>
      <w:pPr>
        <w:spacing w:after="0" w:line="13" w:lineRule="exact"/>
        <w:rPr>
          <w:sz w:val="20"/>
          <w:szCs w:val="20"/>
          <w:color w:val="auto"/>
        </w:rPr>
      </w:pPr>
    </w:p>
    <w:p>
      <w:pPr>
        <w:ind w:left="1300" w:right="1419"/>
        <w:spacing w:after="0" w:line="247" w:lineRule="auto"/>
        <w:rPr>
          <w:sz w:val="20"/>
          <w:szCs w:val="20"/>
          <w:color w:val="auto"/>
        </w:rPr>
      </w:pPr>
      <w:r>
        <w:rPr>
          <w:rFonts w:ascii="Times New Roman" w:cs="Times New Roman" w:eastAsia="Times New Roman" w:hAnsi="Times New Roman"/>
          <w:sz w:val="14"/>
          <w:szCs w:val="14"/>
          <w:color w:val="auto"/>
        </w:rPr>
        <w:t>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Board composition and filling vacancies</w:t>
      </w:r>
    </w:p>
    <w:p>
      <w:pPr>
        <w:spacing w:after="0" w:line="125" w:lineRule="exact"/>
        <w:rPr>
          <w:sz w:val="20"/>
          <w:szCs w:val="20"/>
          <w:color w:val="auto"/>
        </w:rPr>
      </w:pPr>
    </w:p>
    <w:p>
      <w:pPr>
        <w:ind w:left="1300" w:right="1519" w:firstLine="280"/>
        <w:spacing w:after="0" w:line="237" w:lineRule="auto"/>
        <w:rPr>
          <w:sz w:val="20"/>
          <w:szCs w:val="20"/>
          <w:color w:val="auto"/>
        </w:rPr>
      </w:pPr>
      <w:r>
        <w:rPr>
          <w:rFonts w:ascii="Times New Roman" w:cs="Times New Roman" w:eastAsia="Times New Roman" w:hAnsi="Times New Roman"/>
          <w:sz w:val="14"/>
          <w:szCs w:val="14"/>
          <w:color w:val="auto"/>
        </w:rPr>
        <w:t>In accordance with our amended and restated certificate of incorporation, our board of directors is divided into three classes serving staggered three year terms, with one class being elected each year. Our amended and restated certificate of incorporation also provides that directors may be removed only for cause and then only by the affirmative vote of the holders of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or more of the shares then entitled to vote at an election of directors. Furthermore, any vacancy on our board of directors, however occurring, including a vacancy resulting from an increase in the size of our board of directors, may only be filled by the affirmative vote of a majority of our directors then in office even if less than a quorum.</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No written consent of stockholders</w:t>
      </w:r>
    </w:p>
    <w:p>
      <w:pPr>
        <w:spacing w:after="0" w:line="125" w:lineRule="exact"/>
        <w:rPr>
          <w:sz w:val="20"/>
          <w:szCs w:val="20"/>
          <w:color w:val="auto"/>
        </w:rPr>
      </w:pPr>
    </w:p>
    <w:p>
      <w:pPr>
        <w:jc w:val="both"/>
        <w:ind w:left="1300" w:right="1359" w:firstLine="28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Meetings of stockholders</w:t>
      </w:r>
    </w:p>
    <w:p>
      <w:pPr>
        <w:spacing w:after="0" w:line="125" w:lineRule="exact"/>
        <w:rPr>
          <w:sz w:val="20"/>
          <w:szCs w:val="20"/>
          <w:color w:val="auto"/>
        </w:rPr>
      </w:pPr>
    </w:p>
    <w:p>
      <w:pPr>
        <w:ind w:left="1300" w:right="1339" w:firstLine="280"/>
        <w:spacing w:after="0" w:line="244" w:lineRule="auto"/>
        <w:rPr>
          <w:sz w:val="20"/>
          <w:szCs w:val="20"/>
          <w:color w:val="auto"/>
        </w:rPr>
      </w:pPr>
      <w:r>
        <w:rPr>
          <w:rFonts w:ascii="Times New Roman" w:cs="Times New Roman" w:eastAsia="Times New Roman" w:hAnsi="Times New Roman"/>
          <w:sz w:val="14"/>
          <w:szCs w:val="14"/>
          <w:color w:val="auto"/>
        </w:rPr>
        <w:t>Our amended and restated bylaws provide that only a majority of the members of our board of directors then in office, the Chairman of the board of directors or the Chief Executive Officer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3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Advance notice requirements</w:t>
      </w:r>
    </w:p>
    <w:p>
      <w:pPr>
        <w:spacing w:after="0" w:line="114" w:lineRule="exact"/>
        <w:rPr>
          <w:sz w:val="20"/>
          <w:szCs w:val="20"/>
          <w:color w:val="auto"/>
        </w:rPr>
      </w:pPr>
    </w:p>
    <w:p>
      <w:pPr>
        <w:ind w:left="1300" w:right="1379" w:firstLine="280"/>
        <w:spacing w:after="0" w:line="245" w:lineRule="auto"/>
        <w:rPr>
          <w:sz w:val="20"/>
          <w:szCs w:val="20"/>
          <w:color w:val="auto"/>
        </w:rPr>
      </w:pPr>
      <w:r>
        <w:rPr>
          <w:rFonts w:ascii="Times New Roman" w:cs="Times New Roman" w:eastAsia="Times New Roman" w:hAnsi="Times New Roman"/>
          <w:sz w:val="14"/>
          <w:szCs w:val="14"/>
          <w:color w:val="auto"/>
        </w:rPr>
        <w:t>Our amended and restated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before the meeting at which the action is to be taken. Generally, to be timely, notice must be received at our principal executive offices not less than 90 days or more than 120 days before the first anniversary date of the annual meeting for the preceding year. The notice must contain certain information specified in our amended and restated bylaws.</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Amendment to bylaws and certificate of incorporation</w:t>
      </w:r>
    </w:p>
    <w:p>
      <w:pPr>
        <w:spacing w:after="0" w:line="125" w:lineRule="exact"/>
        <w:rPr>
          <w:sz w:val="20"/>
          <w:szCs w:val="20"/>
          <w:color w:val="auto"/>
        </w:rPr>
      </w:pPr>
    </w:p>
    <w:p>
      <w:pPr>
        <w:ind w:left="1300" w:right="1359" w:firstLine="280"/>
        <w:spacing w:after="0" w:line="248" w:lineRule="auto"/>
        <w:rPr>
          <w:sz w:val="20"/>
          <w:szCs w:val="20"/>
          <w:color w:val="auto"/>
        </w:rPr>
      </w:pPr>
      <w:r>
        <w:rPr>
          <w:rFonts w:ascii="Times New Roman" w:cs="Times New Roman" w:eastAsia="Times New Roman" w:hAnsi="Times New Roman"/>
          <w:sz w:val="14"/>
          <w:szCs w:val="14"/>
          <w:color w:val="auto"/>
        </w:rPr>
        <w:t>As required by the Delaware General Corporation Law (the “DGCL”), any amendment of our amended and restated certificate of incorporation must first be approved by a majority of our board of directors and, if required by law or our amended and restated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amended and restated bylaws and amended and restated certificate of incorporation must be approved by not less than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shares entitled to vote on the amendment, and not less than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shares</w:t>
      </w:r>
    </w:p>
    <w:p>
      <w:pPr>
        <w:spacing w:after="0" w:line="4" w:lineRule="exact"/>
        <w:rPr>
          <w:sz w:val="20"/>
          <w:szCs w:val="20"/>
          <w:color w:val="auto"/>
        </w:rPr>
      </w:pPr>
    </w:p>
    <w:p>
      <w:pPr>
        <w:ind w:left="1300" w:right="1419"/>
        <w:spacing w:after="0" w:line="250" w:lineRule="auto"/>
        <w:rPr>
          <w:sz w:val="20"/>
          <w:szCs w:val="20"/>
          <w:color w:val="auto"/>
        </w:rPr>
      </w:pPr>
      <w:r>
        <w:rPr>
          <w:rFonts w:ascii="Times New Roman" w:cs="Times New Roman" w:eastAsia="Times New Roman" w:hAnsi="Times New Roman"/>
          <w:sz w:val="14"/>
          <w:szCs w:val="14"/>
          <w:color w:val="auto"/>
        </w:rPr>
        <w:t>of each class entitled to vote thereon as a class. Our bylaws may be amended by the affirmative vote of a majority vote of the directors then in office, subject to any limitations set forth in the bylaws; and may also be amended by the affirmative vote of at least 66</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outstanding shares entitled to vote on the</w:t>
      </w:r>
    </w:p>
    <w:p>
      <w:pPr>
        <w:spacing w:after="0" w:line="2" w:lineRule="exact"/>
        <w:rPr>
          <w:sz w:val="20"/>
          <w:szCs w:val="20"/>
          <w:color w:val="auto"/>
        </w:rPr>
      </w:pPr>
    </w:p>
    <w:p>
      <w:pPr>
        <w:ind w:left="1300" w:right="1459"/>
        <w:spacing w:after="0" w:line="251" w:lineRule="auto"/>
        <w:rPr>
          <w:sz w:val="20"/>
          <w:szCs w:val="20"/>
          <w:color w:val="auto"/>
        </w:rPr>
      </w:pPr>
      <w:r>
        <w:rPr>
          <w:rFonts w:ascii="Times New Roman" w:cs="Times New Roman" w:eastAsia="Times New Roman" w:hAnsi="Times New Roman"/>
          <w:sz w:val="14"/>
          <w:szCs w:val="14"/>
          <w:color w:val="auto"/>
        </w:rPr>
        <w:t>amendment, or, if the board of directors recommends that the stockholders approve the amendment, by the affirmative vote of the majority of the outstanding shares entitled to vote on the amendment, in each case voting together as a single class.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Blank check preferred stock</w:t>
      </w:r>
    </w:p>
    <w:p>
      <w:pPr>
        <w:spacing w:after="0" w:line="125" w:lineRule="exact"/>
        <w:rPr>
          <w:sz w:val="20"/>
          <w:szCs w:val="20"/>
          <w:color w:val="auto"/>
        </w:rPr>
      </w:pPr>
    </w:p>
    <w:p>
      <w:pPr>
        <w:ind w:left="1300" w:right="1339" w:firstLine="280"/>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5,000,000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Choice of Forum</w:t>
      </w:r>
    </w:p>
    <w:p>
      <w:pPr>
        <w:spacing w:after="0" w:line="125" w:lineRule="exact"/>
        <w:rPr>
          <w:sz w:val="20"/>
          <w:szCs w:val="20"/>
          <w:color w:val="auto"/>
        </w:rPr>
      </w:pPr>
    </w:p>
    <w:p>
      <w:pPr>
        <w:ind w:left="1300" w:right="1359" w:firstLine="280"/>
        <w:spacing w:after="0" w:line="252"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Court of Chancery of the State of Delaware will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our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effects of the Delaware General Corporation Law</w:t>
      </w:r>
    </w:p>
    <w:p>
      <w:pPr>
        <w:spacing w:after="0" w:line="114" w:lineRule="exact"/>
        <w:rPr>
          <w:sz w:val="20"/>
          <w:szCs w:val="20"/>
          <w:color w:val="auto"/>
        </w:rPr>
      </w:pPr>
    </w:p>
    <w:p>
      <w:pPr>
        <w:ind w:left="1300" w:right="1339" w:firstLine="280"/>
        <w:spacing w:after="0" w:line="254" w:lineRule="auto"/>
        <w:rPr>
          <w:sz w:val="20"/>
          <w:szCs w:val="20"/>
          <w:color w:val="auto"/>
        </w:rPr>
      </w:pPr>
      <w:r>
        <w:rPr>
          <w:rFonts w:ascii="Times New Roman" w:cs="Times New Roman" w:eastAsia="Times New Roman" w:hAnsi="Times New Roman"/>
          <w:sz w:val="14"/>
          <w:szCs w:val="14"/>
          <w:color w:val="auto"/>
        </w:rPr>
        <w:t>We are subject to the provisions of Section 203 of the DGCL, or Section 203. In general, Section 203 prohibits a publicly held Delaware corporation from engaging in a “business combination” with an “interested stockholder” for a 3-year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the three years before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64" w:lineRule="exact"/>
        <w:rPr>
          <w:sz w:val="20"/>
          <w:szCs w:val="20"/>
          <w:color w:val="auto"/>
        </w:rPr>
      </w:pPr>
    </w:p>
    <w:p>
      <w:pPr>
        <w:ind w:left="1720" w:right="1339" w:hanging="131"/>
        <w:spacing w:after="0" w:line="283"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the board of directors approved either the business combination or the transaction which resulted in the stockholder becoming an interested stockholder;</w:t>
      </w:r>
    </w:p>
    <w:p>
      <w:pPr>
        <w:spacing w:after="0" w:line="51" w:lineRule="exact"/>
        <w:rPr>
          <w:rFonts w:ascii="Times New Roman" w:cs="Times New Roman" w:eastAsia="Times New Roman" w:hAnsi="Times New Roman"/>
          <w:sz w:val="14"/>
          <w:szCs w:val="14"/>
          <w:color w:val="auto"/>
        </w:rPr>
      </w:pPr>
    </w:p>
    <w:p>
      <w:pPr>
        <w:ind w:left="1720" w:right="1359" w:hanging="131"/>
        <w:spacing w:after="0" w:line="258"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359" w:hanging="131"/>
        <w:spacing w:after="0" w:line="261"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88"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The restrictions in Section 203 do not apply to corporations that have elected, in the manner provided in Section 203, not to be subject to Section 203 of the DGCL or, with certain exceptions, which do not have a class of voting stock that is listed on a national securities exchange or authorized for quotation on the NASDAQ Global Market or held of record by more than 2,000 stockholders. Our certificate of incorporation and bylaws do not opt out of Section 203.</w:t>
      </w:r>
    </w:p>
    <w:p>
      <w:pPr>
        <w:spacing w:after="0" w:line="86" w:lineRule="exact"/>
        <w:rPr>
          <w:sz w:val="20"/>
          <w:szCs w:val="20"/>
          <w:color w:val="auto"/>
        </w:rPr>
      </w:pPr>
    </w:p>
    <w:p>
      <w:pPr>
        <w:ind w:left="1300" w:right="1519" w:firstLine="280"/>
        <w:spacing w:after="0" w:line="259" w:lineRule="auto"/>
        <w:rPr>
          <w:sz w:val="20"/>
          <w:szCs w:val="20"/>
          <w:color w:val="auto"/>
        </w:rPr>
      </w:pPr>
      <w:r>
        <w:rPr>
          <w:rFonts w:ascii="Times New Roman" w:cs="Times New Roman" w:eastAsia="Times New Roman" w:hAnsi="Times New Roman"/>
          <w:sz w:val="14"/>
          <w:szCs w:val="14"/>
          <w:color w:val="auto"/>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25" w:lineRule="exact"/>
        <w:rPr>
          <w:sz w:val="20"/>
          <w:szCs w:val="20"/>
          <w:color w:val="auto"/>
        </w:rPr>
      </w:pPr>
    </w:p>
    <w:p>
      <w:pPr>
        <w:ind w:left="1300" w:right="1359" w:firstLine="280"/>
        <w:spacing w:after="0" w:line="24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debt securities that we may offer under this prospectus. While the terms summarized below will apply generally to any warrants that we may offer, we will describe the particular terms of any series of warrants in more detail in the applicable prospectus supplement.</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4" w:lineRule="exact"/>
        <w:rPr>
          <w:sz w:val="20"/>
          <w:szCs w:val="20"/>
          <w:color w:val="auto"/>
        </w:rPr>
      </w:pPr>
    </w:p>
    <w:p>
      <w:pPr>
        <w:ind w:left="1300" w:right="1379" w:firstLine="280"/>
        <w:spacing w:after="0" w:line="248" w:lineRule="auto"/>
        <w:rPr>
          <w:sz w:val="20"/>
          <w:szCs w:val="20"/>
          <w:color w:val="auto"/>
        </w:rPr>
      </w:pPr>
      <w:r>
        <w:rPr>
          <w:rFonts w:ascii="Times New Roman" w:cs="Times New Roman" w:eastAsia="Times New Roman" w:hAnsi="Times New Roman"/>
          <w:sz w:val="14"/>
          <w:szCs w:val="14"/>
          <w:color w:val="auto"/>
        </w:rPr>
        <w:t>The debt securities will be our direct obligations, which may be senior or subordinated, secured or unsecured, and convertible into shares of our common stock, preferred stock or other securities. The debt securities will be issued under an indenture, which may be amended or supplemented from time to time, the form of which will be filed as an exhibit to a post-effective amendment to this registration statement or as an exhibit to a report pursuant to Section 13(a) or 15(d) of the Exchange Act and incorporated herein by reference.</w:t>
      </w:r>
    </w:p>
    <w:p>
      <w:pPr>
        <w:spacing w:after="0" w:line="251" w:lineRule="exact"/>
        <w:rPr>
          <w:sz w:val="20"/>
          <w:szCs w:val="20"/>
          <w:color w:val="auto"/>
        </w:rPr>
      </w:pPr>
    </w:p>
    <w:p>
      <w:pPr>
        <w:ind w:left="1300" w:right="1359" w:firstLine="280"/>
        <w:spacing w:after="0" w:line="244" w:lineRule="auto"/>
        <w:rPr>
          <w:sz w:val="20"/>
          <w:szCs w:val="20"/>
          <w:color w:val="auto"/>
        </w:rPr>
      </w:pPr>
      <w:r>
        <w:rPr>
          <w:rFonts w:ascii="Times New Roman" w:cs="Times New Roman" w:eastAsia="Times New Roman" w:hAnsi="Times New Roman"/>
          <w:sz w:val="14"/>
          <w:szCs w:val="14"/>
          <w:color w:val="auto"/>
        </w:rPr>
        <w:t>The applicable prospectus supplement and/or other offering materials will describe the material terms of the debt securities offered through that prospectus supplement as well as any general terms described in this section that will not apply to those debt securities. To the extent the applicable prospectus supplement or other offering materials relating to an offering of debt securities are inconsistent with this prospectus, the terms of that prospectus supplement or other offering materials will supersede the information in this prospectus.</w:t>
      </w:r>
    </w:p>
    <w:p>
      <w:pPr>
        <w:spacing w:after="0" w:line="254" w:lineRule="exact"/>
        <w:rPr>
          <w:sz w:val="20"/>
          <w:szCs w:val="20"/>
          <w:color w:val="auto"/>
        </w:rPr>
      </w:pPr>
    </w:p>
    <w:p>
      <w:pPr>
        <w:ind w:left="1300" w:right="1499" w:firstLine="280"/>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series of debt securities that we may offer will contain the specific terms of the debt securities. These terms may include the following:</w:t>
      </w:r>
    </w:p>
    <w:p>
      <w:pPr>
        <w:spacing w:after="0" w:line="30" w:lineRule="exact"/>
        <w:rPr>
          <w:sz w:val="20"/>
          <w:szCs w:val="20"/>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principal aggregate amount of the debt securities;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secured or unsecured;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or percentages of principal amount at which such debt securities will be issued;</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the interest rate(s);</w:t>
      </w:r>
    </w:p>
    <w:p>
      <w:pPr>
        <w:spacing w:after="0" w:line="91" w:lineRule="exact"/>
        <w:rPr>
          <w:rFonts w:ascii="Times New Roman" w:cs="Times New Roman" w:eastAsia="Times New Roman" w:hAnsi="Times New Roman"/>
          <w:sz w:val="14"/>
          <w:szCs w:val="14"/>
          <w:color w:val="auto"/>
        </w:rPr>
      </w:pPr>
    </w:p>
    <w:p>
      <w:pPr>
        <w:ind w:left="1720" w:right="1579" w:hanging="131"/>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to whom any interest on the debt securities will be payable;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places where payments on the debt securities will be payable;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with respect to the retirement of any debt securities;</w:t>
      </w:r>
    </w:p>
    <w:p>
      <w:pPr>
        <w:spacing w:after="0" w:line="91" w:lineRule="exact"/>
        <w:rPr>
          <w:rFonts w:ascii="Times New Roman" w:cs="Times New Roman" w:eastAsia="Times New Roman" w:hAnsi="Times New Roman"/>
          <w:sz w:val="14"/>
          <w:szCs w:val="14"/>
          <w:color w:val="auto"/>
        </w:rPr>
      </w:pPr>
    </w:p>
    <w:p>
      <w:pPr>
        <w:ind w:left="1720" w:right="175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subordination of the rights of debt securities to other stockholders or creditors;</w:t>
      </w:r>
    </w:p>
    <w:p>
      <w:pPr>
        <w:spacing w:after="0" w:line="40" w:lineRule="exact"/>
        <w:rPr>
          <w:rFonts w:ascii="Times New Roman" w:cs="Times New Roman" w:eastAsia="Times New Roman" w:hAnsi="Times New Roman"/>
          <w:sz w:val="14"/>
          <w:szCs w:val="14"/>
          <w:color w:val="auto"/>
        </w:rPr>
      </w:pPr>
    </w:p>
    <w:p>
      <w:pPr>
        <w:ind w:left="1720" w:right="143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restricting the declaration of dividends or requiring the maintenance of any asset ratio or the creation or maintenance of reserves;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restricting the incurrence of additional debt or the issuance of additional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of discount or premium, if any, with which such debt securities will be issued;</w:t>
      </w:r>
    </w:p>
    <w:p>
      <w:pPr>
        <w:spacing w:after="0" w:line="80" w:lineRule="exact"/>
        <w:rPr>
          <w:rFonts w:ascii="Times New Roman" w:cs="Times New Roman" w:eastAsia="Times New Roman" w:hAnsi="Times New Roman"/>
          <w:sz w:val="14"/>
          <w:szCs w:val="14"/>
          <w:color w:val="auto"/>
        </w:rPr>
      </w:pPr>
    </w:p>
    <w:p>
      <w:pPr>
        <w:ind w:left="1720" w:right="165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debt securities will be issued in whole or in part in the form of one or more global securities;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of the depositary for global securities;</w:t>
      </w:r>
    </w:p>
    <w:p>
      <w:pPr>
        <w:spacing w:after="0" w:line="91" w:lineRule="exact"/>
        <w:rPr>
          <w:rFonts w:ascii="Times New Roman" w:cs="Times New Roman" w:eastAsia="Times New Roman" w:hAnsi="Times New Roman"/>
          <w:sz w:val="14"/>
          <w:szCs w:val="14"/>
          <w:color w:val="auto"/>
        </w:rPr>
      </w:pPr>
    </w:p>
    <w:p>
      <w:pPr>
        <w:ind w:left="1720" w:right="1519" w:hanging="131"/>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51" w:lineRule="exact"/>
        <w:rPr>
          <w:rFonts w:ascii="Times New Roman" w:cs="Times New Roman" w:eastAsia="Times New Roman" w:hAnsi="Times New Roman"/>
          <w:sz w:val="14"/>
          <w:szCs w:val="14"/>
          <w:color w:val="auto"/>
        </w:rPr>
      </w:pPr>
    </w:p>
    <w:p>
      <w:pPr>
        <w:jc w:val="both"/>
        <w:ind w:left="1720" w:right="1579" w:hanging="131"/>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upon which the beneficial interests in a temporary global security may be exchanged in whole or in part for beneficial interests in a definitive global security or for individual definitive securities;</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covenants applicable to the particular debt securities being issued;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and events of default applicable to the particular debt securities being issued;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if any;</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debt securities;</w:t>
      </w:r>
    </w:p>
    <w:p>
      <w:pPr>
        <w:spacing w:after="0" w:line="91" w:lineRule="exact"/>
        <w:rPr>
          <w:rFonts w:ascii="Times New Roman" w:cs="Times New Roman" w:eastAsia="Times New Roman" w:hAnsi="Times New Roman"/>
          <w:sz w:val="14"/>
          <w:szCs w:val="14"/>
          <w:color w:val="auto"/>
        </w:rPr>
      </w:pPr>
    </w:p>
    <w:p>
      <w:pPr>
        <w:ind w:left="1720" w:right="147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in which the purchase price for, the principal of and any premium and any interest on, such debt securities will be payable;</w:t>
      </w:r>
    </w:p>
    <w:p>
      <w:pPr>
        <w:spacing w:after="0" w:line="40" w:lineRule="exact"/>
        <w:rPr>
          <w:rFonts w:ascii="Times New Roman" w:cs="Times New Roman" w:eastAsia="Times New Roman" w:hAnsi="Times New Roman"/>
          <w:sz w:val="14"/>
          <w:szCs w:val="14"/>
          <w:color w:val="auto"/>
        </w:rPr>
      </w:pPr>
    </w:p>
    <w:p>
      <w:pPr>
        <w:ind w:left="1720" w:right="149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or the purchaser of the debt securities can select the payment currency;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securities exchange(s) on which the securities will be listed,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underwriter(s) will act as market maker(s) for the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to which a secondary market for the securities is expected to develop;</w:t>
      </w:r>
    </w:p>
    <w:p>
      <w:pPr>
        <w:spacing w:after="0" w:line="91" w:lineRule="exact"/>
        <w:rPr>
          <w:rFonts w:ascii="Times New Roman" w:cs="Times New Roman" w:eastAsia="Times New Roman" w:hAnsi="Times New Roman"/>
          <w:sz w:val="14"/>
          <w:szCs w:val="14"/>
          <w:color w:val="auto"/>
        </w:rPr>
      </w:pPr>
    </w:p>
    <w:p>
      <w:pPr>
        <w:ind w:left="1720" w:right="201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obligations or right to redeem, purchase or repay debt securities under a sinking fund, amortization or analogous provision;</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covenant defeasance and legal defeasance;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satisfaction and discharge of the indenture;</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consent of holders of debt securities issued under the indenture;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 that will govern the indenture and debt securities;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terms not inconsistent with the provisions of the indenture.</w:t>
      </w:r>
    </w:p>
    <w:p>
      <w:pPr>
        <w:spacing w:after="0" w:line="112" w:lineRule="exact"/>
        <w:rPr>
          <w:sz w:val="20"/>
          <w:szCs w:val="20"/>
          <w:color w:val="auto"/>
        </w:rPr>
      </w:pPr>
    </w:p>
    <w:p>
      <w:pPr>
        <w:ind w:left="1300" w:right="1379" w:firstLine="280"/>
        <w:spacing w:after="0" w:line="255"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outstanding at the time of issuance. Any such additional debt securities, together with all other outstanding debt securities of that series, will constitute a single series of securities under the applicable indenture. In addition, we will describe in the applicable prospectus supplement material U.S. federal income tax considerations and any other special considerations for any debt securities we sell which are</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59"/>
        <w:spacing w:after="0" w:line="283" w:lineRule="auto"/>
        <w:rPr>
          <w:sz w:val="20"/>
          <w:szCs w:val="20"/>
          <w:color w:val="auto"/>
        </w:rPr>
      </w:pPr>
      <w:r>
        <w:rPr>
          <w:rFonts w:ascii="Times New Roman" w:cs="Times New Roman" w:eastAsia="Times New Roman" w:hAnsi="Times New Roman"/>
          <w:sz w:val="14"/>
          <w:szCs w:val="14"/>
          <w:color w:val="auto"/>
        </w:rPr>
        <w:t>denominated in a currency or currency unit other than U.S. dollars. Unless we inform you otherwise in the applicable prospectus supplement, the debt securities will not be listed on any securities exchange.</w:t>
      </w:r>
    </w:p>
    <w:p>
      <w:pPr>
        <w:spacing w:after="0" w:line="62" w:lineRule="exact"/>
        <w:rPr>
          <w:sz w:val="20"/>
          <w:szCs w:val="20"/>
          <w:color w:val="auto"/>
        </w:rPr>
      </w:pPr>
    </w:p>
    <w:p>
      <w:pPr>
        <w:ind w:left="1300" w:right="1399" w:firstLine="280"/>
        <w:spacing w:after="0" w:line="244"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$1,000 and integral multiples thereof. Subject to the limitations provided in the indenture and in the prospectus supplement, debt securities that are issued in registered form may be transferred or exchanged at the corporate office of the trustee or the principal corporate trust office of the trustee, without the payment of any service charge, other than any tax or other governmental charge payable in connection therewith.</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14" w:lineRule="exact"/>
        <w:rPr>
          <w:sz w:val="20"/>
          <w:szCs w:val="20"/>
          <w:color w:val="auto"/>
        </w:rPr>
      </w:pPr>
    </w:p>
    <w:p>
      <w:pPr>
        <w:ind w:left="1300" w:right="1359" w:firstLine="280"/>
        <w:spacing w:after="0" w:line="255"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6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We do not have any warrants outstanding as of the date 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jc w:val="both"/>
        <w:ind w:left="1300" w:right="1359" w:firstLine="280"/>
        <w:spacing w:after="0" w:line="267"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in one or more series and/or debt securities. We may issue warrants independently or together with debt securities, common stock and/or preferred stock, and the warrants may be attached to or separate from these securities.</w:t>
      </w:r>
    </w:p>
    <w:p>
      <w:pPr>
        <w:spacing w:after="0" w:line="72" w:lineRule="exact"/>
        <w:rPr>
          <w:sz w:val="20"/>
          <w:szCs w:val="20"/>
          <w:color w:val="auto"/>
        </w:rPr>
      </w:pPr>
    </w:p>
    <w:p>
      <w:pPr>
        <w:ind w:left="1300" w:right="1459" w:firstLine="280"/>
        <w:spacing w:after="0" w:line="261"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may enter into the warrant agreement with a warrant agent. We may also choose to act as our own warrant agent. We will indicate the name and address of the warrant agent in the applicable prospectus supplement relating to a particular series of warrants.</w:t>
      </w:r>
    </w:p>
    <w:p>
      <w:pPr>
        <w:spacing w:after="0" w:line="88"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91" w:lineRule="exact"/>
        <w:rPr>
          <w:sz w:val="20"/>
          <w:szCs w:val="20"/>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91" w:lineRule="exact"/>
        <w:rPr>
          <w:rFonts w:ascii="Times New Roman" w:cs="Times New Roman" w:eastAsia="Times New Roman" w:hAnsi="Times New Roman"/>
          <w:sz w:val="14"/>
          <w:szCs w:val="14"/>
          <w:color w:val="auto"/>
        </w:rPr>
      </w:pPr>
    </w:p>
    <w:p>
      <w:pPr>
        <w:ind w:left="1720" w:right="145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40" w:lineRule="exact"/>
        <w:rPr>
          <w:rFonts w:ascii="Times New Roman" w:cs="Times New Roman" w:eastAsia="Times New Roman" w:hAnsi="Times New Roman"/>
          <w:sz w:val="14"/>
          <w:szCs w:val="14"/>
          <w:color w:val="auto"/>
        </w:rPr>
      </w:pPr>
    </w:p>
    <w:p>
      <w:pPr>
        <w:ind w:left="1720" w:right="155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40" w:lineRule="exact"/>
        <w:rPr>
          <w:rFonts w:ascii="Times New Roman" w:cs="Times New Roman" w:eastAsia="Times New Roman" w:hAnsi="Times New Roman"/>
          <w:sz w:val="14"/>
          <w:szCs w:val="14"/>
          <w:color w:val="auto"/>
        </w:rPr>
      </w:pPr>
    </w:p>
    <w:p>
      <w:pPr>
        <w:ind w:left="1720" w:right="1459" w:hanging="131"/>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1" w:lineRule="exact"/>
        <w:rPr>
          <w:rFonts w:ascii="Times New Roman" w:cs="Times New Roman" w:eastAsia="Times New Roman" w:hAnsi="Times New Roman"/>
          <w:sz w:val="14"/>
          <w:szCs w:val="14"/>
          <w:color w:val="auto"/>
        </w:rPr>
      </w:pPr>
    </w:p>
    <w:p>
      <w:pPr>
        <w:ind w:left="1720" w:right="171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1" w:lineRule="exact"/>
        <w:rPr>
          <w:rFonts w:ascii="Times New Roman" w:cs="Times New Roman" w:eastAsia="Times New Roman" w:hAnsi="Times New Roman"/>
          <w:sz w:val="14"/>
          <w:szCs w:val="14"/>
          <w:color w:val="auto"/>
        </w:rPr>
      </w:pPr>
    </w:p>
    <w:p>
      <w:pPr>
        <w:ind w:left="1720" w:right="1539" w:hanging="131"/>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warrants, if any;</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 of the warrants, including any cashless exercise rights;</w:t>
      </w: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91" w:lineRule="exact"/>
        <w:rPr>
          <w:rFonts w:ascii="Times New Roman" w:cs="Times New Roman" w:eastAsia="Times New Roman" w:hAnsi="Times New Roman"/>
          <w:sz w:val="14"/>
          <w:szCs w:val="14"/>
          <w:color w:val="auto"/>
        </w:rPr>
      </w:pPr>
    </w:p>
    <w:p>
      <w:pPr>
        <w:ind w:left="1720" w:right="1339" w:hanging="131"/>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quotation system on which the warrants or any securities deliverable upon exercise of the warrants may be listed or quoted;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23" w:lineRule="exact"/>
        <w:rPr>
          <w:sz w:val="20"/>
          <w:szCs w:val="20"/>
          <w:color w:val="auto"/>
        </w:rPr>
      </w:pPr>
    </w:p>
    <w:p>
      <w:pPr>
        <w:ind w:left="1300" w:right="1479" w:firstLine="280"/>
        <w:spacing w:after="0" w:line="261" w:lineRule="auto"/>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14" w:lineRule="exact"/>
        <w:rPr>
          <w:sz w:val="20"/>
          <w:szCs w:val="20"/>
          <w:color w:val="auto"/>
        </w:rPr>
      </w:pPr>
    </w:p>
    <w:p>
      <w:pPr>
        <w:ind w:left="1300" w:right="1419" w:firstLine="280"/>
        <w:spacing w:after="0" w:line="257"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the close of business, on the expiration date that we set forth in the applicable prospectus supplement. After the close of business on the expiration date, unexercised warrants will become void.</w:t>
      </w:r>
    </w:p>
    <w:p>
      <w:pPr>
        <w:spacing w:after="0" w:line="90" w:lineRule="exact"/>
        <w:rPr>
          <w:sz w:val="20"/>
          <w:szCs w:val="20"/>
          <w:color w:val="auto"/>
        </w:rPr>
      </w:pPr>
    </w:p>
    <w:p>
      <w:pPr>
        <w:ind w:left="1300" w:right="1359" w:firstLine="280"/>
        <w:spacing w:after="0" w:line="258" w:lineRule="auto"/>
        <w:rPr>
          <w:sz w:val="20"/>
          <w:szCs w:val="20"/>
          <w:color w:val="auto"/>
        </w:rPr>
      </w:pPr>
      <w:r>
        <w:rPr>
          <w:rFonts w:ascii="Times New Roman" w:cs="Times New Roman" w:eastAsia="Times New Roman" w:hAnsi="Times New Roman"/>
          <w:sz w:val="14"/>
          <w:szCs w:val="14"/>
          <w:color w:val="auto"/>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91" w:lineRule="exact"/>
        <w:rPr>
          <w:sz w:val="20"/>
          <w:szCs w:val="20"/>
          <w:color w:val="auto"/>
        </w:rPr>
      </w:pPr>
    </w:p>
    <w:p>
      <w:pPr>
        <w:ind w:left="1300" w:right="1339" w:firstLine="280"/>
        <w:spacing w:after="0" w:line="258" w:lineRule="auto"/>
        <w:rPr>
          <w:sz w:val="20"/>
          <w:szCs w:val="20"/>
          <w:color w:val="auto"/>
        </w:rPr>
      </w:pPr>
      <w:r>
        <w:rPr>
          <w:rFonts w:ascii="Times New Roman" w:cs="Times New Roman" w:eastAsia="Times New Roman" w:hAnsi="Times New Roman"/>
          <w:sz w:val="14"/>
          <w:szCs w:val="14"/>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114" w:lineRule="exact"/>
        <w:rPr>
          <w:sz w:val="20"/>
          <w:szCs w:val="20"/>
          <w:color w:val="auto"/>
        </w:rPr>
      </w:pPr>
    </w:p>
    <w:p>
      <w:pPr>
        <w:ind w:left="1300" w:right="1399" w:firstLine="280"/>
        <w:spacing w:after="0" w:line="255" w:lineRule="auto"/>
        <w:rPr>
          <w:sz w:val="20"/>
          <w:szCs w:val="20"/>
          <w:color w:val="auto"/>
        </w:rPr>
      </w:pPr>
      <w:r>
        <w:rPr>
          <w:rFonts w:ascii="Times New Roman" w:cs="Times New Roman" w:eastAsia="Times New Roman" w:hAnsi="Times New Roman"/>
          <w:sz w:val="14"/>
          <w:szCs w:val="14"/>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Warrant Agreement Will Not Be Qualified Under Trust Indenture Act of 1939, as amended (the “TIA”)</w:t>
      </w:r>
    </w:p>
    <w:p>
      <w:pPr>
        <w:spacing w:after="0" w:line="125"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No warrant agreement will be qualified as an indenture, and no warrant agent will be required to qualify as a trustee, under the TIA. Therefore, holders of warrants issued under a warrant agreement will not have the protection of the Trust Indenture Act with respect to their warrants.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issue units comprising two or more securities described in this prospectus in any combination..</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outlines certain</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spacing w:after="0" w:line="254" w:lineRule="auto"/>
        <w:rPr>
          <w:sz w:val="20"/>
          <w:szCs w:val="20"/>
          <w:color w:val="auto"/>
        </w:rPr>
      </w:pPr>
      <w:r>
        <w:rPr>
          <w:rFonts w:ascii="Times New Roman" w:cs="Times New Roman" w:eastAsia="Times New Roman" w:hAnsi="Times New Roman"/>
          <w:sz w:val="14"/>
          <w:szCs w:val="14"/>
          <w:color w:val="auto"/>
        </w:rPr>
        <w:t>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264" w:lineRule="exact"/>
        <w:rPr>
          <w:sz w:val="20"/>
          <w:szCs w:val="20"/>
          <w:color w:val="auto"/>
        </w:rPr>
      </w:pPr>
    </w:p>
    <w:p>
      <w:pPr>
        <w:ind w:left="1300" w:right="1459" w:firstLine="280"/>
        <w:spacing w:after="0" w:line="258"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0" w:lineRule="exact"/>
        <w:rPr>
          <w:sz w:val="20"/>
          <w:szCs w:val="20"/>
          <w:color w:val="auto"/>
        </w:rPr>
      </w:pPr>
    </w:p>
    <w:p>
      <w:pPr>
        <w:ind w:left="1720" w:right="147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91" w:lineRule="exact"/>
        <w:rPr>
          <w:rFonts w:ascii="Times New Roman" w:cs="Times New Roman" w:eastAsia="Times New Roman" w:hAnsi="Times New Roman"/>
          <w:sz w:val="14"/>
          <w:szCs w:val="14"/>
          <w:color w:val="auto"/>
        </w:rPr>
      </w:pPr>
    </w:p>
    <w:p>
      <w:pPr>
        <w:ind w:left="1720" w:right="1699" w:hanging="131"/>
        <w:spacing w:after="0" w:line="283" w:lineRule="auto"/>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23" w:lineRule="exact"/>
        <w:rPr>
          <w:sz w:val="20"/>
          <w:szCs w:val="20"/>
          <w:color w:val="auto"/>
        </w:rPr>
      </w:pPr>
    </w:p>
    <w:p>
      <w:pPr>
        <w:ind w:left="1300" w:right="1319" w:firstLine="280"/>
        <w:spacing w:after="0" w:line="267" w:lineRule="auto"/>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114" w:lineRule="exact"/>
        <w:rPr>
          <w:sz w:val="20"/>
          <w:szCs w:val="20"/>
          <w:color w:val="auto"/>
        </w:rPr>
      </w:pPr>
    </w:p>
    <w:p>
      <w:pPr>
        <w:ind w:left="1300" w:right="1339" w:firstLine="280"/>
        <w:spacing w:after="0" w:line="267"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125" w:lineRule="exact"/>
        <w:rPr>
          <w:sz w:val="20"/>
          <w:szCs w:val="20"/>
          <w:color w:val="auto"/>
        </w:rPr>
      </w:pPr>
    </w:p>
    <w:p>
      <w:pPr>
        <w:ind w:left="1300" w:right="1339" w:firstLine="280"/>
        <w:spacing w:after="0" w:line="261"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300" w:right="1599" w:firstLine="280"/>
        <w:spacing w:after="0" w:line="283" w:lineRule="auto"/>
        <w:rPr>
          <w:sz w:val="20"/>
          <w:szCs w:val="20"/>
          <w:color w:val="auto"/>
        </w:rPr>
      </w:pPr>
      <w:r>
        <w:rPr>
          <w:rFonts w:ascii="Times New Roman" w:cs="Times New Roman" w:eastAsia="Times New Roman" w:hAnsi="Times New Roman"/>
          <w:sz w:val="14"/>
          <w:szCs w:val="14"/>
          <w:color w:val="auto"/>
        </w:rPr>
        <w:t>We may sell the securities offered by this prospectus from time to time in one or more transactions, including, without limitation:</w:t>
      </w:r>
    </w:p>
    <w:p>
      <w:pPr>
        <w:spacing w:after="0" w:line="41" w:lineRule="exact"/>
        <w:rPr>
          <w:sz w:val="20"/>
          <w:szCs w:val="20"/>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brokers or dealers (acting as agent or principal);</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other purchasers;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exercise of rights distributed or issued to our security holders;</w:t>
      </w:r>
    </w:p>
    <w:p>
      <w:pPr>
        <w:spacing w:after="0" w:line="91" w:lineRule="exact"/>
        <w:rPr>
          <w:rFonts w:ascii="Times New Roman" w:cs="Times New Roman" w:eastAsia="Times New Roman" w:hAnsi="Times New Roman"/>
          <w:sz w:val="14"/>
          <w:szCs w:val="14"/>
          <w:color w:val="auto"/>
        </w:rPr>
      </w:pPr>
    </w:p>
    <w:p>
      <w:pPr>
        <w:jc w:val="both"/>
        <w:ind w:left="1720" w:right="1359" w:hanging="131"/>
        <w:spacing w:after="0" w:line="267"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right="143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meanings of Rule 415(a)(4) under the Securities Act of 1933 or through a market maker or into an existing market, on an exchange, or otherwise;</w:t>
      </w:r>
    </w:p>
    <w:p>
      <w:pPr>
        <w:spacing w:after="0" w:line="40" w:lineRule="exact"/>
        <w:rPr>
          <w:rFonts w:ascii="Times New Roman" w:cs="Times New Roman" w:eastAsia="Times New Roman" w:hAnsi="Times New Roman"/>
          <w:sz w:val="14"/>
          <w:szCs w:val="14"/>
          <w:color w:val="auto"/>
        </w:rPr>
      </w:pPr>
    </w:p>
    <w:p>
      <w:pPr>
        <w:ind w:left="1720" w:right="1839" w:hanging="131"/>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through a specific bidding or auction process, on a negotiated basis or otherwise;</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on a best-efforts basis;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pursuant to applicable law;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through a combination of any of the above methods of sale.</w:t>
      </w:r>
    </w:p>
    <w:p>
      <w:pPr>
        <w:spacing w:after="0" w:line="112" w:lineRule="exact"/>
        <w:rPr>
          <w:sz w:val="20"/>
          <w:szCs w:val="20"/>
          <w:color w:val="auto"/>
        </w:rPr>
      </w:pPr>
    </w:p>
    <w:p>
      <w:pPr>
        <w:ind w:left="1300" w:right="1419" w:firstLine="280"/>
        <w:spacing w:after="0" w:line="251" w:lineRule="auto"/>
        <w:rPr>
          <w:sz w:val="20"/>
          <w:szCs w:val="20"/>
          <w:color w:val="auto"/>
        </w:rPr>
      </w:pPr>
      <w:r>
        <w:rPr>
          <w:rFonts w:ascii="Times New Roman" w:cs="Times New Roman" w:eastAsia="Times New Roman" w:hAnsi="Times New Roman"/>
          <w:sz w:val="14"/>
          <w:szCs w:val="14"/>
          <w:color w:val="auto"/>
        </w:rPr>
        <w:t>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w:t>
      </w:r>
    </w:p>
    <w:p>
      <w:pPr>
        <w:spacing w:after="0" w:line="52" w:lineRule="exact"/>
        <w:rPr>
          <w:sz w:val="20"/>
          <w:szCs w:val="20"/>
          <w:color w:val="auto"/>
        </w:rPr>
      </w:pPr>
    </w:p>
    <w:p>
      <w:pPr>
        <w:ind w:left="1720" w:right="1419" w:hanging="131"/>
        <w:spacing w:after="0" w:line="283"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involving short sales of the shares of common stock by underwriters, brokers or dealers;</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shares of common stock short and deliver the shares to close out short positions;</w:t>
      </w:r>
    </w:p>
    <w:p>
      <w:pPr>
        <w:spacing w:after="0" w:line="80" w:lineRule="exact"/>
        <w:rPr>
          <w:rFonts w:ascii="Times New Roman" w:cs="Times New Roman" w:eastAsia="Times New Roman" w:hAnsi="Times New Roman"/>
          <w:sz w:val="14"/>
          <w:szCs w:val="14"/>
          <w:color w:val="auto"/>
        </w:rPr>
      </w:pPr>
    </w:p>
    <w:p>
      <w:pPr>
        <w:jc w:val="both"/>
        <w:ind w:left="1720" w:right="1479" w:hanging="131"/>
        <w:spacing w:after="0" w:line="267"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option or other types of transactions that require us to deliver shares of common stock to an underwriter, broker or dealer, who will then resell or transfer the shares of common stock under this prospectus; or</w:t>
      </w:r>
    </w:p>
    <w:p>
      <w:pPr>
        <w:spacing w:after="0" w:line="40" w:lineRule="exact"/>
        <w:rPr>
          <w:rFonts w:ascii="Times New Roman" w:cs="Times New Roman" w:eastAsia="Times New Roman" w:hAnsi="Times New Roman"/>
          <w:sz w:val="14"/>
          <w:szCs w:val="14"/>
          <w:color w:val="auto"/>
        </w:rPr>
      </w:pPr>
    </w:p>
    <w:p>
      <w:pPr>
        <w:ind w:left="1720" w:right="1659" w:hanging="131"/>
        <w:spacing w:after="0" w:line="283" w:lineRule="auto"/>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or pledge the shares of common stock to an underwriter, broker or dealer, who may sell the loaned shares or, in the event of default, sell the pledged shares.</w:t>
      </w:r>
    </w:p>
    <w:p>
      <w:pPr>
        <w:spacing w:after="0" w:line="72" w:lineRule="exact"/>
        <w:rPr>
          <w:sz w:val="20"/>
          <w:szCs w:val="20"/>
          <w:color w:val="auto"/>
        </w:rPr>
      </w:pPr>
    </w:p>
    <w:p>
      <w:pPr>
        <w:ind w:left="1300" w:right="1339" w:firstLine="280"/>
        <w:spacing w:after="0" w:line="243"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 effective amendment) .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94" w:lineRule="exact"/>
        <w:rPr>
          <w:sz w:val="20"/>
          <w:szCs w:val="20"/>
          <w:color w:val="auto"/>
        </w:rPr>
      </w:pPr>
    </w:p>
    <w:p>
      <w:pPr>
        <w:jc w:val="both"/>
        <w:ind w:left="1300" w:right="1539" w:firstLine="280"/>
        <w:spacing w:after="0" w:line="251" w:lineRule="auto"/>
        <w:rPr>
          <w:sz w:val="20"/>
          <w:szCs w:val="20"/>
          <w:color w:val="auto"/>
        </w:rPr>
      </w:pPr>
      <w:r>
        <w:rPr>
          <w:rFonts w:ascii="Times New Roman" w:cs="Times New Roman" w:eastAsia="Times New Roman" w:hAnsi="Times New Roman"/>
          <w:sz w:val="14"/>
          <w:szCs w:val="14"/>
          <w:color w:val="auto"/>
        </w:rPr>
        <w:t>If we use any underwriter, we will provide a prospectus supplement that will name any underwriter involved in the offer and sale of the securities. The prospectus supplement will also set forth the terms of the offering, including:</w:t>
      </w:r>
    </w:p>
    <w:p>
      <w:pPr>
        <w:spacing w:after="0" w:line="52" w:lineRule="exact"/>
        <w:rPr>
          <w:sz w:val="20"/>
          <w:szCs w:val="20"/>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and the proceeds we will receive from the sale of the securities;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and other items constituting underwriters’ compensation;</w:t>
      </w:r>
    </w:p>
    <w:p>
      <w:pPr>
        <w:spacing w:after="0" w:line="80" w:lineRule="exact"/>
        <w:rPr>
          <w:rFonts w:ascii="Times New Roman" w:cs="Times New Roman" w:eastAsia="Times New Roman" w:hAnsi="Times New Roman"/>
          <w:sz w:val="14"/>
          <w:szCs w:val="14"/>
          <w:color w:val="auto"/>
        </w:rPr>
      </w:pPr>
    </w:p>
    <w:p>
      <w:pPr>
        <w:ind w:left="1720" w:right="1579" w:hanging="131"/>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or purchase price and any discounts or commissions allowed or re-allowed or paid to dealers;</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allowed or paid to agents;</w:t>
      </w:r>
    </w:p>
    <w:p>
      <w:pPr>
        <w:spacing w:after="0" w:line="8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exchanges on which the securities may be listed;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method of distribution of the securities;</w:t>
      </w:r>
    </w:p>
    <w:p>
      <w:pPr>
        <w:spacing w:after="0" w:line="80" w:lineRule="exact"/>
        <w:rPr>
          <w:rFonts w:ascii="Times New Roman" w:cs="Times New Roman" w:eastAsia="Times New Roman" w:hAnsi="Times New Roman"/>
          <w:sz w:val="14"/>
          <w:szCs w:val="14"/>
          <w:color w:val="auto"/>
        </w:rPr>
      </w:pPr>
    </w:p>
    <w:p>
      <w:pPr>
        <w:ind w:left="1720" w:right="1799" w:hanging="131"/>
        <w:spacing w:after="0" w:line="283"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agreement, arrangement or understanding entered into with the underwriters, brokers or dealers; and</w:t>
      </w:r>
    </w:p>
    <w:p>
      <w:pPr>
        <w:spacing w:after="0" w:line="3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we think is important.</w:t>
      </w:r>
    </w:p>
    <w:p>
      <w:pPr>
        <w:spacing w:after="0" w:line="123" w:lineRule="exact"/>
        <w:rPr>
          <w:sz w:val="20"/>
          <w:szCs w:val="20"/>
          <w:color w:val="auto"/>
        </w:rPr>
      </w:pPr>
    </w:p>
    <w:p>
      <w:pPr>
        <w:ind w:left="1300" w:right="1599" w:firstLine="280"/>
        <w:spacing w:after="0" w:line="251"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The securities may be sold from time to time by us in one or more transactions: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20" w:hanging="131"/>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varying prices determined at the time of sale;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1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Such sales may be effected:</w:t>
      </w:r>
    </w:p>
    <w:p>
      <w:pPr>
        <w:spacing w:after="0" w:line="102" w:lineRule="exact"/>
        <w:rPr>
          <w:sz w:val="20"/>
          <w:szCs w:val="20"/>
          <w:color w:val="auto"/>
        </w:rPr>
      </w:pPr>
    </w:p>
    <w:p>
      <w:pPr>
        <w:ind w:left="1720" w:right="1419" w:hanging="131"/>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on any national securities exchange or quotation service on which the securities may be listed or quoted at the time of sale;</w:t>
      </w:r>
    </w:p>
    <w:p>
      <w:pPr>
        <w:spacing w:after="0" w:line="40"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transactions in the over-the-counter market;</w:t>
      </w:r>
    </w:p>
    <w:p>
      <w:pPr>
        <w:spacing w:after="0" w:line="91" w:lineRule="exact"/>
        <w:rPr>
          <w:rFonts w:ascii="Times New Roman" w:cs="Times New Roman" w:eastAsia="Times New Roman" w:hAnsi="Times New Roman"/>
          <w:sz w:val="14"/>
          <w:szCs w:val="14"/>
          <w:color w:val="auto"/>
        </w:rPr>
      </w:pPr>
    </w:p>
    <w:p>
      <w:pPr>
        <w:ind w:left="1720" w:right="1359" w:hanging="131"/>
        <w:spacing w:after="0" w:line="267"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spacing w:after="0" w:line="5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or</w:t>
      </w:r>
    </w:p>
    <w:p>
      <w:pPr>
        <w:spacing w:after="0" w:line="91" w:lineRule="exact"/>
        <w:rPr>
          <w:rFonts w:ascii="Times New Roman" w:cs="Times New Roman" w:eastAsia="Times New Roman" w:hAnsi="Times New Roman"/>
          <w:sz w:val="14"/>
          <w:szCs w:val="14"/>
          <w:color w:val="auto"/>
        </w:rPr>
      </w:pPr>
    </w:p>
    <w:p>
      <w:pPr>
        <w:ind w:left="1720" w:hanging="131"/>
        <w:spacing w:after="0"/>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other types of transactions.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5" w:lineRule="exact"/>
        <w:rPr>
          <w:sz w:val="20"/>
          <w:szCs w:val="20"/>
          <w:color w:val="auto"/>
        </w:rPr>
      </w:pPr>
    </w:p>
    <w:p>
      <w:pPr>
        <w:ind w:left="1300" w:right="1379" w:firstLine="280"/>
        <w:spacing w:after="0" w:line="254" w:lineRule="auto"/>
        <w:rPr>
          <w:sz w:val="20"/>
          <w:szCs w:val="20"/>
          <w:color w:val="auto"/>
        </w:rPr>
      </w:pPr>
      <w:r>
        <w:rPr>
          <w:rFonts w:ascii="Times New Roman" w:cs="Times New Roman" w:eastAsia="Times New Roman" w:hAnsi="Times New Roman"/>
          <w:sz w:val="14"/>
          <w:szCs w:val="14"/>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 In compliance with the guidelines of the Financial Industry Regulatory Authority (“FINRA”), the maximum discount or commission to be received by a FINRA member or independent broker-dealer may not exceed 8% of the aggregate amount of the securities offered pursuant to this prospectus and any applicable prospectus supplement.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114" w:lineRule="exact"/>
        <w:rPr>
          <w:sz w:val="20"/>
          <w:szCs w:val="20"/>
          <w:color w:val="auto"/>
        </w:rPr>
      </w:pPr>
    </w:p>
    <w:p>
      <w:pPr>
        <w:ind w:left="1300" w:right="1359" w:firstLine="280"/>
        <w:spacing w:after="0" w:line="254" w:lineRule="auto"/>
        <w:rPr>
          <w:sz w:val="20"/>
          <w:szCs w:val="20"/>
          <w:color w:val="auto"/>
        </w:rPr>
      </w:pPr>
      <w:r>
        <w:rPr>
          <w:rFonts w:ascii="Times New Roman" w:cs="Times New Roman" w:eastAsia="Times New Roman" w:hAnsi="Times New Roman"/>
          <w:sz w:val="14"/>
          <w:szCs w:val="14"/>
          <w:color w:val="auto"/>
        </w:rPr>
        <w:t>If we reach an agreement with an underwriter or agent on a placement, including the number and types of securities to be offered in the placement and any minimum price below which sales may not be made, such underwriter or agent would agree to use its commercially reasonable efforts, consistent with its normal trading and sales practices, to try to sell such securities on such terms. An underwriter or agent could make sales in privately negotiated transactions and/or any other method permitted by law, including sales deemed to be an “at-the-market” offering as defined in Rule 415 promulgated under the Securities Act, sales made directly on the NASDAQ Global Market, the existing trading market for our common stock, or sales made to or through a market maker other than on an exchange. The name of any such underwriter or agent involved in the offer and sale of the securities, the amounts underwritten, and the nature of its obligations to take the securities will be described in the applicable prospectus supplement.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Underwriters and Agents</w:t>
      </w:r>
    </w:p>
    <w:p>
      <w:pPr>
        <w:spacing w:after="0" w:line="125" w:lineRule="exact"/>
        <w:rPr>
          <w:sz w:val="20"/>
          <w:szCs w:val="20"/>
          <w:color w:val="auto"/>
        </w:rPr>
      </w:pPr>
    </w:p>
    <w:p>
      <w:pPr>
        <w:ind w:left="1300" w:right="1319" w:firstLine="280"/>
        <w:spacing w:after="0" w:line="256" w:lineRule="auto"/>
        <w:rPr>
          <w:sz w:val="20"/>
          <w:szCs w:val="20"/>
          <w:color w:val="auto"/>
        </w:rPr>
      </w:pPr>
      <w:r>
        <w:rPr>
          <w:rFonts w:ascii="Times New Roman" w:cs="Times New Roman" w:eastAsia="Times New Roman" w:hAnsi="Times New Roman"/>
          <w:sz w:val="14"/>
          <w:szCs w:val="14"/>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19" w:firstLine="280"/>
        <w:spacing w:after="0" w:line="245" w:lineRule="auto"/>
        <w:rPr>
          <w:sz w:val="20"/>
          <w:szCs w:val="20"/>
          <w:color w:val="auto"/>
        </w:rPr>
      </w:pPr>
      <w:r>
        <w:rPr>
          <w:rFonts w:ascii="Times New Roman" w:cs="Times New Roman" w:eastAsia="Times New Roman" w:hAnsi="Times New Roman"/>
          <w:sz w:val="14"/>
          <w:szCs w:val="14"/>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254" w:lineRule="exact"/>
        <w:rPr>
          <w:sz w:val="20"/>
          <w:szCs w:val="20"/>
          <w:color w:val="auto"/>
        </w:rPr>
      </w:pPr>
    </w:p>
    <w:p>
      <w:pPr>
        <w:ind w:left="1300" w:right="1339" w:firstLine="280"/>
        <w:spacing w:after="0" w:line="245" w:lineRule="auto"/>
        <w:rPr>
          <w:sz w:val="20"/>
          <w:szCs w:val="20"/>
          <w:color w:val="auto"/>
        </w:rPr>
      </w:pPr>
      <w:r>
        <w:rPr>
          <w:rFonts w:ascii="Times New Roman" w:cs="Times New Roman" w:eastAsia="Times New Roman" w:hAnsi="Times New Roman"/>
          <w:sz w:val="14"/>
          <w:szCs w:val="14"/>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spacing w:after="0" w:line="90" w:lineRule="exact"/>
        <w:rPr>
          <w:sz w:val="20"/>
          <w:szCs w:val="20"/>
          <w:color w:val="auto"/>
        </w:rPr>
      </w:pPr>
    </w:p>
    <w:p>
      <w:pPr>
        <w:ind w:left="1300" w:right="1379" w:firstLine="280"/>
        <w:spacing w:after="0" w:line="247" w:lineRule="auto"/>
        <w:rPr>
          <w:sz w:val="20"/>
          <w:szCs w:val="20"/>
          <w:color w:val="auto"/>
        </w:rPr>
      </w:pPr>
      <w:r>
        <w:rPr>
          <w:rFonts w:ascii="Times New Roman" w:cs="Times New Roman" w:eastAsia="Times New Roman" w:hAnsi="Times New Roman"/>
          <w:sz w:val="14"/>
          <w:szCs w:val="14"/>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Dealers</w:t>
      </w:r>
    </w:p>
    <w:p>
      <w:pPr>
        <w:spacing w:after="0" w:line="125" w:lineRule="exact"/>
        <w:rPr>
          <w:sz w:val="20"/>
          <w:szCs w:val="20"/>
          <w:color w:val="auto"/>
        </w:rPr>
      </w:pPr>
    </w:p>
    <w:p>
      <w:pPr>
        <w:ind w:left="1300" w:right="1359" w:firstLine="280"/>
        <w:spacing w:after="0" w:line="251" w:lineRule="auto"/>
        <w:rPr>
          <w:sz w:val="20"/>
          <w:szCs w:val="20"/>
          <w:color w:val="auto"/>
        </w:rPr>
      </w:pPr>
      <w:r>
        <w:rPr>
          <w:rFonts w:ascii="Times New Roman" w:cs="Times New Roman" w:eastAsia="Times New Roman" w:hAnsi="Times New Roman"/>
          <w:sz w:val="14"/>
          <w:szCs w:val="14"/>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 Sales</w:t>
      </w:r>
    </w:p>
    <w:p>
      <w:pPr>
        <w:spacing w:after="0" w:line="125" w:lineRule="exact"/>
        <w:rPr>
          <w:sz w:val="20"/>
          <w:szCs w:val="20"/>
          <w:color w:val="auto"/>
        </w:rPr>
      </w:pPr>
    </w:p>
    <w:p>
      <w:pPr>
        <w:ind w:left="1300" w:right="1479" w:firstLine="280"/>
        <w:spacing w:after="0" w:line="267" w:lineRule="auto"/>
        <w:rPr>
          <w:sz w:val="20"/>
          <w:szCs w:val="20"/>
          <w:color w:val="auto"/>
        </w:rPr>
      </w:pPr>
      <w:r>
        <w:rPr>
          <w:rFonts w:ascii="Times New Roman" w:cs="Times New Roman" w:eastAsia="Times New Roman" w:hAnsi="Times New Roman"/>
          <w:sz w:val="14"/>
          <w:szCs w:val="14"/>
          <w:color w:val="auto"/>
        </w:rPr>
        <w:t>We may choose to sell the offered securities directly. In this case, no underwriters or agents would be involved.</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Institutional Purchasers</w:t>
      </w:r>
    </w:p>
    <w:p>
      <w:pPr>
        <w:spacing w:after="0" w:line="125" w:lineRule="exact"/>
        <w:rPr>
          <w:sz w:val="20"/>
          <w:szCs w:val="20"/>
          <w:color w:val="auto"/>
        </w:rPr>
      </w:pPr>
    </w:p>
    <w:p>
      <w:pPr>
        <w:ind w:left="1300" w:right="1339" w:firstLine="280"/>
        <w:spacing w:after="0" w:line="247" w:lineRule="auto"/>
        <w:rPr>
          <w:sz w:val="20"/>
          <w:szCs w:val="20"/>
          <w:color w:val="auto"/>
        </w:rPr>
      </w:pPr>
      <w:r>
        <w:rPr>
          <w:rFonts w:ascii="Times New Roman" w:cs="Times New Roman" w:eastAsia="Times New Roman" w:hAnsi="Times New Roman"/>
          <w:sz w:val="14"/>
          <w:szCs w:val="14"/>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86" w:lineRule="exact"/>
        <w:rPr>
          <w:sz w:val="20"/>
          <w:szCs w:val="20"/>
          <w:color w:val="auto"/>
        </w:rPr>
      </w:pPr>
    </w:p>
    <w:p>
      <w:pPr>
        <w:jc w:val="both"/>
        <w:ind w:left="1300" w:right="1559" w:firstLine="280"/>
        <w:spacing w:after="0" w:line="259" w:lineRule="auto"/>
        <w:rPr>
          <w:sz w:val="20"/>
          <w:szCs w:val="20"/>
          <w:color w:val="auto"/>
        </w:rPr>
      </w:pPr>
      <w:r>
        <w:rPr>
          <w:rFonts w:ascii="Times New Roman" w:cs="Times New Roman" w:eastAsia="Times New Roman" w:hAnsi="Times New Roman"/>
          <w:sz w:val="14"/>
          <w:szCs w:val="14"/>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Indemnification; Other Relationships</w:t>
      </w:r>
    </w:p>
    <w:p>
      <w:pPr>
        <w:spacing w:after="0" w:line="125" w:lineRule="exact"/>
        <w:rPr>
          <w:sz w:val="20"/>
          <w:szCs w:val="20"/>
          <w:color w:val="auto"/>
        </w:rPr>
      </w:pPr>
    </w:p>
    <w:p>
      <w:pPr>
        <w:jc w:val="both"/>
        <w:ind w:left="1300" w:right="1459" w:firstLine="280"/>
        <w:spacing w:after="0" w:line="251" w:lineRule="auto"/>
        <w:rPr>
          <w:sz w:val="20"/>
          <w:szCs w:val="20"/>
          <w:color w:val="auto"/>
        </w:rPr>
      </w:pPr>
      <w:r>
        <w:rPr>
          <w:rFonts w:ascii="Times New Roman" w:cs="Times New Roman" w:eastAsia="Times New Roman" w:hAnsi="Times New Roman"/>
          <w:sz w:val="14"/>
          <w:szCs w:val="14"/>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Market-Making, Stabilization and Other Transactions</w:t>
      </w:r>
    </w:p>
    <w:p>
      <w:pPr>
        <w:spacing w:after="0" w:line="125" w:lineRule="exact"/>
        <w:rPr>
          <w:sz w:val="20"/>
          <w:szCs w:val="20"/>
          <w:color w:val="auto"/>
        </w:rPr>
      </w:pPr>
    </w:p>
    <w:p>
      <w:pPr>
        <w:ind w:left="1300" w:right="1459" w:firstLine="280"/>
        <w:spacing w:after="0" w:line="259" w:lineRule="auto"/>
        <w:rPr>
          <w:sz w:val="20"/>
          <w:szCs w:val="20"/>
          <w:color w:val="auto"/>
        </w:rPr>
      </w:pPr>
      <w:r>
        <w:rPr>
          <w:rFonts w:ascii="Times New Roman" w:cs="Times New Roman" w:eastAsia="Times New Roman" w:hAnsi="Times New Roman"/>
          <w:sz w:val="14"/>
          <w:szCs w:val="14"/>
          <w:color w:val="auto"/>
        </w:rPr>
        <w:t>There is currently no market for any particular preferred stock that may be offered. If the preferred stock which may be offered is traded after its initial issuance, it may trade at a discount from its initial offering price, depending upon prevailing interest rates, the market for similar securities and other factors.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56" w:lineRule="auto"/>
        <w:rPr>
          <w:sz w:val="20"/>
          <w:szCs w:val="20"/>
          <w:color w:val="auto"/>
        </w:rPr>
      </w:pPr>
      <w:r>
        <w:rPr>
          <w:rFonts w:ascii="Times New Roman" w:cs="Times New Roman" w:eastAsia="Times New Roman" w:hAnsi="Times New Roman"/>
          <w:sz w:val="14"/>
          <w:szCs w:val="14"/>
          <w:color w:val="auto"/>
        </w:rPr>
        <w:t>While it is possible that an underwriter could inform us that it intends to make a market in any particular preferred stock that may be offered, such underwriter would not be obligated to do so, and any such market-making could be discontinued at any time without notice. Therefore, no assurance is given as to whether an active trading market will develop for any particular preferred stock that may be offered. If we seek to list the preferred stock that may be offered on any exchange or quotation system, any such listing with respect to any particular preferred stock will be described in the applicable prospectus supplement or pricing supplement, as the case may be.</w:t>
      </w:r>
    </w:p>
    <w:p>
      <w:pPr>
        <w:spacing w:after="0" w:line="91" w:lineRule="exact"/>
        <w:rPr>
          <w:sz w:val="20"/>
          <w:szCs w:val="20"/>
          <w:color w:val="auto"/>
        </w:rPr>
      </w:pPr>
    </w:p>
    <w:p>
      <w:pPr>
        <w:ind w:left="1300" w:right="1319" w:firstLine="280"/>
        <w:spacing w:after="0" w:line="257" w:lineRule="auto"/>
        <w:rPr>
          <w:sz w:val="20"/>
          <w:szCs w:val="20"/>
          <w:color w:val="auto"/>
        </w:rPr>
      </w:pPr>
      <w:r>
        <w:rPr>
          <w:rFonts w:ascii="Times New Roman" w:cs="Times New Roman" w:eastAsia="Times New Roman" w:hAnsi="Times New Roman"/>
          <w:sz w:val="14"/>
          <w:szCs w:val="14"/>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90" w:lineRule="exact"/>
        <w:rPr>
          <w:sz w:val="20"/>
          <w:szCs w:val="20"/>
          <w:color w:val="auto"/>
        </w:rPr>
      </w:pPr>
    </w:p>
    <w:p>
      <w:pPr>
        <w:ind w:left="1300" w:right="1439" w:firstLine="280"/>
        <w:spacing w:after="0" w:line="258" w:lineRule="auto"/>
        <w:rPr>
          <w:sz w:val="20"/>
          <w:szCs w:val="20"/>
          <w:color w:val="auto"/>
        </w:rPr>
      </w:pPr>
      <w:r>
        <w:rPr>
          <w:rFonts w:ascii="Times New Roman" w:cs="Times New Roman" w:eastAsia="Times New Roman" w:hAnsi="Times New Roman"/>
          <w:sz w:val="14"/>
          <w:szCs w:val="14"/>
          <w:color w:val="auto"/>
        </w:rPr>
        <w:t>Some of the underwriters, dealers or agents used by us in any offering of securities under this prospectus may be customers of, engage in transactions with, and perform services for us or affiliates of ours in the ordinary course of business. Any underwriters to which offered securities are sold by us for public offering and sale may make a market in such securities, but those underwriters will not be obligated to do so and may discontinue any market making at any time.</w:t>
      </w:r>
    </w:p>
    <w:p>
      <w:pPr>
        <w:spacing w:after="0" w:line="81" w:lineRule="exact"/>
        <w:rPr>
          <w:sz w:val="20"/>
          <w:szCs w:val="20"/>
          <w:color w:val="auto"/>
        </w:rPr>
      </w:pPr>
    </w:p>
    <w:p>
      <w:pPr>
        <w:ind w:left="1300" w:right="1619" w:firstLine="280"/>
        <w:spacing w:after="0" w:line="283" w:lineRule="auto"/>
        <w:rPr>
          <w:sz w:val="20"/>
          <w:szCs w:val="20"/>
          <w:color w:val="auto"/>
        </w:rPr>
      </w:pPr>
      <w:r>
        <w:rPr>
          <w:rFonts w:ascii="Times New Roman" w:cs="Times New Roman" w:eastAsia="Times New Roman" w:hAnsi="Times New Roman"/>
          <w:sz w:val="14"/>
          <w:szCs w:val="14"/>
          <w:color w:val="auto"/>
        </w:rPr>
        <w:t>The anticipated date of delivery of the securities offered by this prospectus will be described in the applicable prospectus supplement relating to the offering.</w:t>
      </w:r>
    </w:p>
    <w:p>
      <w:pPr>
        <w:spacing w:after="0" w:line="72" w:lineRule="exact"/>
        <w:rPr>
          <w:sz w:val="20"/>
          <w:szCs w:val="20"/>
          <w:color w:val="auto"/>
        </w:rPr>
      </w:pPr>
    </w:p>
    <w:p>
      <w:pPr>
        <w:ind w:left="1300" w:right="1339" w:firstLine="280"/>
        <w:spacing w:after="0" w:line="257" w:lineRule="auto"/>
        <w:rPr>
          <w:sz w:val="20"/>
          <w:szCs w:val="20"/>
          <w:color w:val="auto"/>
        </w:rPr>
      </w:pPr>
      <w:r>
        <w:rPr>
          <w:rFonts w:ascii="Times New Roman" w:cs="Times New Roman" w:eastAsia="Times New Roman" w:hAnsi="Times New Roman"/>
          <w:sz w:val="14"/>
          <w:szCs w:val="14"/>
          <w:color w:val="auto"/>
        </w:rPr>
        <w:t>No FINRA member may participate in any offering of securities made under this prospectus if such member has a conflict of interest under FINRA Rule 5121, including if 5% or more of the net proceeds, not including underwriting compensation, of any offering of securities made under this prospectus will be received by a FINRA member participating in the offering or affiliates or associated persons of such FINRA members, unless a qualified independent underwriter has participated in the offering or the offering otherwise complies with FINRA Rule 5121.</w:t>
      </w:r>
    </w:p>
    <w:p>
      <w:pPr>
        <w:spacing w:after="0" w:line="90" w:lineRule="exact"/>
        <w:rPr>
          <w:sz w:val="20"/>
          <w:szCs w:val="20"/>
          <w:color w:val="auto"/>
        </w:rPr>
      </w:pPr>
    </w:p>
    <w:p>
      <w:pPr>
        <w:ind w:left="1300" w:right="1379" w:firstLine="280"/>
        <w:spacing w:after="0" w:line="261" w:lineRule="auto"/>
        <w:rPr>
          <w:sz w:val="20"/>
          <w:szCs w:val="20"/>
          <w:color w:val="auto"/>
        </w:rPr>
      </w:pPr>
      <w:r>
        <w:rPr>
          <w:rFonts w:ascii="Times New Roman" w:cs="Times New Roman" w:eastAsia="Times New Roman" w:hAnsi="Times New Roman"/>
          <w:sz w:val="14"/>
          <w:szCs w:val="14"/>
          <w:color w:val="auto"/>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14" w:lineRule="exact"/>
        <w:rPr>
          <w:sz w:val="20"/>
          <w:szCs w:val="20"/>
          <w:color w:val="auto"/>
        </w:rPr>
      </w:pPr>
    </w:p>
    <w:p>
      <w:pPr>
        <w:ind w:left="1300" w:right="1439" w:firstLine="280"/>
        <w:spacing w:after="0" w:line="261" w:lineRule="auto"/>
        <w:rPr>
          <w:sz w:val="20"/>
          <w:szCs w:val="20"/>
          <w:color w:val="auto"/>
        </w:rPr>
      </w:pPr>
      <w:r>
        <w:rPr>
          <w:rFonts w:ascii="Times New Roman" w:cs="Times New Roman" w:eastAsia="Times New Roman" w:hAnsi="Times New Roman"/>
          <w:sz w:val="14"/>
          <w:szCs w:val="14"/>
          <w:color w:val="auto"/>
        </w:rPr>
        <w:t>The validity of the securities offered by this prospectus has been passed upon for us by Haynes and Boone, LLP, Houston, Texas, counsel to Applied Optoelectronics, Inc. Certain legal matters will be passed upon for any agents or underwriters by counsel for such agents or underwriters identified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419" w:firstLine="280"/>
        <w:spacing w:after="0" w:line="260" w:lineRule="auto"/>
        <w:rPr>
          <w:sz w:val="20"/>
          <w:szCs w:val="20"/>
          <w:color w:val="auto"/>
        </w:rPr>
      </w:pPr>
      <w:r>
        <w:rPr>
          <w:rFonts w:ascii="Times New Roman" w:cs="Times New Roman" w:eastAsia="Times New Roman" w:hAnsi="Times New Roman"/>
          <w:sz w:val="14"/>
          <w:szCs w:val="14"/>
          <w:color w:val="auto"/>
        </w:rPr>
        <w:t>The audited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TO LEARN MORE ABOUT US</w:t>
      </w:r>
    </w:p>
    <w:p>
      <w:pPr>
        <w:spacing w:after="0" w:line="125" w:lineRule="exact"/>
        <w:rPr>
          <w:sz w:val="20"/>
          <w:szCs w:val="20"/>
          <w:color w:val="auto"/>
        </w:rPr>
      </w:pPr>
    </w:p>
    <w:p>
      <w:pPr>
        <w:ind w:left="1300" w:right="1399" w:firstLine="280"/>
        <w:spacing w:after="0" w:line="257"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securities being offered under this prospectus. This prospectus, which forms part of the registration statement, does not contain all of the information in the registration statement. We have omitted certain parts of the registration statement, as permitted by the rules and regulations of the SEC. For further information regarding us and our securities, please see the registration statement and our other filings with the SEC,</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639"/>
        <w:spacing w:after="0" w:line="259" w:lineRule="auto"/>
        <w:rPr>
          <w:sz w:val="20"/>
          <w:szCs w:val="20"/>
          <w:color w:val="auto"/>
        </w:rPr>
      </w:pPr>
      <w:r>
        <w:rPr>
          <w:rFonts w:ascii="Times New Roman" w:cs="Times New Roman" w:eastAsia="Times New Roman" w:hAnsi="Times New Roman"/>
          <w:sz w:val="14"/>
          <w:szCs w:val="14"/>
          <w:color w:val="auto"/>
        </w:rPr>
        <w:t xml:space="preserve">including our Annual Reports on Form 10-K, Quarterly Reports on Form 10-Q, and Current Reports on Form 8-K and any proxy statements, which are available on the SEC’s Internet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ind w:left="1300" w:right="1319" w:firstLine="280"/>
        <w:spacing w:after="0" w:line="243" w:lineRule="auto"/>
        <w:rPr>
          <w:sz w:val="20"/>
          <w:szCs w:val="20"/>
          <w:color w:val="auto"/>
        </w:rPr>
      </w:pPr>
      <w:r>
        <w:rPr>
          <w:rFonts w:ascii="Times New Roman" w:cs="Times New Roman" w:eastAsia="Times New Roman" w:hAnsi="Times New Roman"/>
          <w:sz w:val="14"/>
          <w:szCs w:val="14"/>
          <w:color w:val="auto"/>
        </w:rPr>
        <w:t xml:space="preserve">We furnish holders of our common stock with annual reports containing audited financial statements prepared in accordance with accounting principles generally accepted in the United States following the end of each fiscal year. We file reports and other information with the SEC pursuant to the reporting requirements of the Exchange Act. In addition, the reports, proxy statements and other information that we file with the SEC are available to you free of charge through the Investor Relations page of our website, </w:t>
      </w:r>
      <w:r>
        <w:rPr>
          <w:rFonts w:ascii="Times New Roman" w:cs="Times New Roman" w:eastAsia="Times New Roman" w:hAnsi="Times New Roman"/>
          <w:sz w:val="14"/>
          <w:szCs w:val="14"/>
          <w:i w:val="1"/>
          <w:iCs w:val="1"/>
          <w:color w:val="auto"/>
        </w:rPr>
        <w:t>http://ao- inc.com/</w:t>
      </w:r>
      <w:r>
        <w:rPr>
          <w:rFonts w:ascii="Times New Roman" w:cs="Times New Roman" w:eastAsia="Times New Roman" w:hAnsi="Times New Roman"/>
          <w:sz w:val="14"/>
          <w:szCs w:val="14"/>
          <w:color w:val="auto"/>
        </w:rPr>
        <w:t>,​ as soon as reasonably practicable after they have been electronically filed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furnished to, the SEC. We have included our website address as a textual reference and do not intend it as an active link to our website. The contents of our website are not part of this prospectus, and you should not consider the contents of our website in making an investment decision with respect to our securities. We have not incorporated by reference into this prospectus the information on our website, and you should not consider it to be a part of this prospectus.</w:t>
      </w:r>
    </w:p>
    <w:p>
      <w:pPr>
        <w:spacing w:after="0" w:line="252" w:lineRule="exact"/>
        <w:rPr>
          <w:sz w:val="20"/>
          <w:szCs w:val="20"/>
          <w:color w:val="auto"/>
        </w:rPr>
      </w:pPr>
    </w:p>
    <w:p>
      <w:pPr>
        <w:ind w:left="1300" w:right="1339" w:firstLine="280"/>
        <w:spacing w:after="0" w:line="251" w:lineRule="auto"/>
        <w:rPr>
          <w:sz w:val="20"/>
          <w:szCs w:val="20"/>
          <w:color w:val="auto"/>
        </w:rPr>
      </w:pPr>
      <w:r>
        <w:rPr>
          <w:rFonts w:ascii="Times New Roman" w:cs="Times New Roman" w:eastAsia="Times New Roman" w:hAnsi="Times New Roman"/>
          <w:sz w:val="14"/>
          <w:szCs w:val="14"/>
          <w:color w:val="auto"/>
        </w:rPr>
        <w:t>Descriptions in this prospectus of documents are intended to be summaries of the material, relevant portions of those documents, but may not be complete descriptions of those documents. For complete copies of those documents, please refer to the exhibits to the registration statement and other documents filed by us with the SEC.</w:t>
      </w:r>
    </w:p>
    <w:p>
      <w:pPr>
        <w:spacing w:after="0" w:line="14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1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w:t>
      </w:r>
    </w:p>
    <w:p>
      <w:pPr>
        <w:spacing w:after="0" w:line="22" w:lineRule="exact"/>
        <w:rPr>
          <w:sz w:val="20"/>
          <w:szCs w:val="20"/>
          <w:color w:val="auto"/>
        </w:rPr>
      </w:pPr>
    </w:p>
    <w:p>
      <w:pPr>
        <w:ind w:left="1300" w:right="1419"/>
        <w:spacing w:after="0" w:line="241" w:lineRule="auto"/>
        <w:rPr>
          <w:sz w:val="20"/>
          <w:szCs w:val="20"/>
          <w:color w:val="auto"/>
        </w:rPr>
      </w:pPr>
      <w:r>
        <w:rPr>
          <w:rFonts w:ascii="Times New Roman" w:cs="Times New Roman" w:eastAsia="Times New Roman" w:hAnsi="Times New Roman"/>
          <w:sz w:val="14"/>
          <w:szCs w:val="14"/>
          <w:color w:val="auto"/>
        </w:rPr>
        <w:t>them, which means that we can disclose important information to you by referring you to those documents. The information that we incorporate by reference into this prospectus is considered to be part of this prospectus, and information that we file later with the SEC automatically updates and supersedes any information in this prospectus. We have filed the following documents with the SEC. These documents are incorporated by reference as of their respective dates of filing, as well as any future documents (excluding information furnished pursuant to Items 2.02 and 7.01 of Form 8- K) we file with the SEC pursuant to Sections 13(a), 13(c), 14 or 15(d) of the Securities Exchange Act of 1934, as amended, subsequent to the date of this prospectus and prior to the termination of the offering:</w:t>
      </w:r>
    </w:p>
    <w:p>
      <w:pPr>
        <w:spacing w:after="0" w:line="90" w:lineRule="exact"/>
        <w:rPr>
          <w:sz w:val="20"/>
          <w:szCs w:val="20"/>
          <w:color w:val="auto"/>
        </w:rPr>
      </w:pPr>
    </w:p>
    <w:p>
      <w:pPr>
        <w:ind w:left="1860" w:right="1519" w:hanging="271"/>
        <w:spacing w:after="0" w:line="283" w:lineRule="auto"/>
        <w:tabs>
          <w:tab w:leader="none" w:pos="1860" w:val="left"/>
        </w:tabs>
        <w:numPr>
          <w:ilvl w:val="0"/>
          <w:numId w:val="19"/>
        </w:numPr>
        <w:rPr>
          <w:rFonts w:ascii="Times New Roman" w:cs="Times New Roman" w:eastAsia="Times New Roman" w:hAnsi="Times New Roman"/>
          <w:sz w:val="14"/>
          <w:szCs w:val="14"/>
          <w:u w:val="single" w:color="auto"/>
          <w:color w:val="0000EE"/>
        </w:rPr>
      </w:pPr>
      <w:hyperlink r:id="rId61">
        <w:r>
          <w:rPr>
            <w:rFonts w:ascii="Times New Roman" w:cs="Times New Roman" w:eastAsia="Times New Roman" w:hAnsi="Times New Roman"/>
            <w:sz w:val="14"/>
            <w:szCs w:val="14"/>
            <w:u w:val="single" w:color="auto"/>
            <w:color w:val="0000EE"/>
          </w:rPr>
          <w:t>our Annual Report on Form 10-K for the fiscal year ended December 31, 2023, as filed with the</w:t>
        </w:r>
      </w:hyperlink>
      <w:r>
        <w:rPr>
          <w:rFonts w:ascii="Times New Roman" w:cs="Times New Roman" w:eastAsia="Times New Roman" w:hAnsi="Times New Roman"/>
          <w:sz w:val="14"/>
          <w:szCs w:val="14"/>
          <w:u w:val="single" w:color="auto"/>
          <w:color w:val="0000EE"/>
        </w:rPr>
        <w:t xml:space="preserve"> </w:t>
      </w:r>
      <w:hyperlink r:id="rId61">
        <w:r>
          <w:rPr>
            <w:rFonts w:ascii="Times New Roman" w:cs="Times New Roman" w:eastAsia="Times New Roman" w:hAnsi="Times New Roman"/>
            <w:sz w:val="14"/>
            <w:szCs w:val="14"/>
            <w:u w:val="single" w:color="auto"/>
            <w:color w:val="0000EE"/>
          </w:rPr>
          <w:t>SEC on February 23, 2024;</w:t>
        </w:r>
      </w:hyperlink>
    </w:p>
    <w:p>
      <w:pPr>
        <w:spacing w:after="0" w:line="61" w:lineRule="exact"/>
        <w:rPr>
          <w:rFonts w:ascii="Times New Roman" w:cs="Times New Roman" w:eastAsia="Times New Roman" w:hAnsi="Times New Roman"/>
          <w:sz w:val="14"/>
          <w:szCs w:val="14"/>
          <w:u w:val="single" w:color="auto"/>
          <w:color w:val="0000EE"/>
        </w:rPr>
      </w:pPr>
    </w:p>
    <w:p>
      <w:pPr>
        <w:ind w:left="1860" w:right="1399" w:hanging="271"/>
        <w:spacing w:after="0" w:line="267" w:lineRule="auto"/>
        <w:tabs>
          <w:tab w:leader="none" w:pos="1860" w:val="left"/>
        </w:tabs>
        <w:numPr>
          <w:ilvl w:val="0"/>
          <w:numId w:val="19"/>
        </w:numPr>
        <w:rPr>
          <w:rFonts w:ascii="Times New Roman" w:cs="Times New Roman" w:eastAsia="Times New Roman" w:hAnsi="Times New Roman"/>
          <w:sz w:val="14"/>
          <w:szCs w:val="14"/>
          <w:u w:val="single" w:color="auto"/>
          <w:color w:val="0000EE"/>
        </w:rPr>
      </w:pPr>
      <w:hyperlink r:id="rId81">
        <w:r>
          <w:rPr>
            <w:rFonts w:ascii="Times New Roman" w:cs="Times New Roman" w:eastAsia="Times New Roman" w:hAnsi="Times New Roman"/>
            <w:sz w:val="14"/>
            <w:szCs w:val="14"/>
            <w:u w:val="single" w:color="auto"/>
            <w:color w:val="0000EE"/>
          </w:rPr>
          <w:t>the portions of our Definitive Proxy Statement incorporated by reference to our Annual Report on</w:t>
        </w:r>
      </w:hyperlink>
      <w:r>
        <w:rPr>
          <w:rFonts w:ascii="Times New Roman" w:cs="Times New Roman" w:eastAsia="Times New Roman" w:hAnsi="Times New Roman"/>
          <w:sz w:val="14"/>
          <w:szCs w:val="14"/>
          <w:u w:val="single" w:color="auto"/>
          <w:color w:val="0000EE"/>
        </w:rPr>
        <w:t xml:space="preserve"> </w:t>
      </w:r>
      <w:hyperlink r:id="rId81">
        <w:r>
          <w:rPr>
            <w:rFonts w:ascii="Times New Roman" w:cs="Times New Roman" w:eastAsia="Times New Roman" w:hAnsi="Times New Roman"/>
            <w:sz w:val="14"/>
            <w:szCs w:val="14"/>
            <w:u w:val="single" w:color="auto"/>
            <w:color w:val="0000EE"/>
          </w:rPr>
          <w:t>Form 10-K for the fiscal year ended December 31, 2023, for the 2024 Annual Meeting of</w:t>
        </w:r>
      </w:hyperlink>
      <w:r>
        <w:rPr>
          <w:rFonts w:ascii="Times New Roman" w:cs="Times New Roman" w:eastAsia="Times New Roman" w:hAnsi="Times New Roman"/>
          <w:sz w:val="14"/>
          <w:szCs w:val="14"/>
          <w:u w:val="single" w:color="auto"/>
          <w:color w:val="0000EE"/>
        </w:rPr>
        <w:t xml:space="preserve"> </w:t>
      </w:r>
      <w:hyperlink r:id="rId81">
        <w:r>
          <w:rPr>
            <w:rFonts w:ascii="Times New Roman" w:cs="Times New Roman" w:eastAsia="Times New Roman" w:hAnsi="Times New Roman"/>
            <w:sz w:val="14"/>
            <w:szCs w:val="14"/>
            <w:u w:val="single" w:color="auto"/>
            <w:color w:val="0000EE"/>
          </w:rPr>
          <w:t>Stockholders held on June 6, 2024, as filed with the SEC on April 26, 2024;</w:t>
        </w:r>
      </w:hyperlink>
    </w:p>
    <w:p>
      <w:pPr>
        <w:spacing w:after="0" w:line="82" w:lineRule="exact"/>
        <w:rPr>
          <w:rFonts w:ascii="Times New Roman" w:cs="Times New Roman" w:eastAsia="Times New Roman" w:hAnsi="Times New Roman"/>
          <w:sz w:val="14"/>
          <w:szCs w:val="14"/>
          <w:u w:val="single" w:color="auto"/>
          <w:color w:val="0000EE"/>
        </w:rPr>
      </w:pPr>
    </w:p>
    <w:p>
      <w:pPr>
        <w:jc w:val="both"/>
        <w:ind w:left="1860" w:right="1599" w:hanging="271"/>
        <w:spacing w:after="0" w:line="267" w:lineRule="auto"/>
        <w:tabs>
          <w:tab w:leader="none" w:pos="1860" w:val="left"/>
        </w:tabs>
        <w:numPr>
          <w:ilvl w:val="0"/>
          <w:numId w:val="1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Quarterly Reports on Form 10-Q for the quarterly periods ended March 31, 2024, June 30, 2024, and September 30, 2024, as filed with the SEC on </w:t>
      </w:r>
      <w:hyperlink r:id="rId62">
        <w:r>
          <w:rPr>
            <w:rFonts w:ascii="Times New Roman" w:cs="Times New Roman" w:eastAsia="Times New Roman" w:hAnsi="Times New Roman"/>
            <w:sz w:val="14"/>
            <w:szCs w:val="14"/>
            <w:u w:val="single" w:color="auto"/>
            <w:color w:val="0000EE"/>
          </w:rPr>
          <w:t>May 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3">
        <w:r>
          <w:rPr>
            <w:rFonts w:ascii="Times New Roman" w:cs="Times New Roman" w:eastAsia="Times New Roman" w:hAnsi="Times New Roman"/>
            <w:sz w:val="14"/>
            <w:szCs w:val="14"/>
            <w:u w:val="single" w:color="auto"/>
            <w:color w:val="0000EE"/>
          </w:rPr>
          <w:t>August 6,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4">
        <w:r>
          <w:rPr>
            <w:rFonts w:ascii="Times New Roman" w:cs="Times New Roman" w:eastAsia="Times New Roman" w:hAnsi="Times New Roman"/>
            <w:sz w:val="14"/>
            <w:szCs w:val="14"/>
            <w:u w:val="single" w:color="auto"/>
            <w:color w:val="0000EE"/>
          </w:rPr>
          <w:t>November 7, 2024</w:t>
        </w:r>
      </w:hyperlink>
      <w:r>
        <w:rPr>
          <w:rFonts w:ascii="Times New Roman" w:cs="Times New Roman" w:eastAsia="Times New Roman" w:hAnsi="Times New Roman"/>
          <w:sz w:val="14"/>
          <w:szCs w:val="14"/>
          <w:color w:val="000000"/>
        </w:rPr>
        <w:t>;</w:t>
      </w:r>
    </w:p>
    <w:p>
      <w:pPr>
        <w:spacing w:after="0" w:line="72" w:lineRule="exact"/>
        <w:rPr>
          <w:rFonts w:ascii="Times New Roman" w:cs="Times New Roman" w:eastAsia="Times New Roman" w:hAnsi="Times New Roman"/>
          <w:sz w:val="14"/>
          <w:szCs w:val="14"/>
          <w:color w:val="0000EE"/>
        </w:rPr>
      </w:pPr>
    </w:p>
    <w:p>
      <w:pPr>
        <w:ind w:left="1860" w:right="1819" w:hanging="271"/>
        <w:spacing w:after="0" w:line="283" w:lineRule="auto"/>
        <w:tabs>
          <w:tab w:leader="none" w:pos="1860" w:val="left"/>
        </w:tabs>
        <w:numPr>
          <w:ilvl w:val="0"/>
          <w:numId w:val="19"/>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as filed with the SEC on </w:t>
      </w:r>
      <w:hyperlink r:id="rId82">
        <w:r>
          <w:rPr>
            <w:rFonts w:ascii="Times New Roman" w:cs="Times New Roman" w:eastAsia="Times New Roman" w:hAnsi="Times New Roman"/>
            <w:sz w:val="14"/>
            <w:szCs w:val="14"/>
            <w:u w:val="single" w:color="auto"/>
            <w:color w:val="0000EE"/>
          </w:rPr>
          <w:t>March 13, 2024</w:t>
        </w:r>
      </w:hyperlink>
      <w:r>
        <w:rPr>
          <w:rFonts w:ascii="Times New Roman" w:cs="Times New Roman" w:eastAsia="Times New Roman" w:hAnsi="Times New Roman"/>
          <w:sz w:val="14"/>
          <w:szCs w:val="14"/>
          <w:color w:val="auto"/>
        </w:rPr>
        <w:t xml:space="preserve">, </w:t>
      </w:r>
      <w:hyperlink r:id="rId83">
        <w:r>
          <w:rPr>
            <w:rFonts w:ascii="Times New Roman" w:cs="Times New Roman" w:eastAsia="Times New Roman" w:hAnsi="Times New Roman"/>
            <w:sz w:val="14"/>
            <w:szCs w:val="14"/>
            <w:u w:val="single" w:color="auto"/>
            <w:color w:val="0000EE"/>
          </w:rPr>
          <w:t>May 30, 2024</w:t>
        </w:r>
      </w:hyperlink>
      <w:r>
        <w:rPr>
          <w:rFonts w:ascii="Times New Roman" w:cs="Times New Roman" w:eastAsia="Times New Roman" w:hAnsi="Times New Roman"/>
          <w:sz w:val="14"/>
          <w:szCs w:val="14"/>
          <w:color w:val="auto"/>
        </w:rPr>
        <w:t xml:space="preserve">, </w:t>
      </w:r>
      <w:hyperlink r:id="rId84">
        <w:r>
          <w:rPr>
            <w:rFonts w:ascii="Times New Roman" w:cs="Times New Roman" w:eastAsia="Times New Roman" w:hAnsi="Times New Roman"/>
            <w:sz w:val="14"/>
            <w:szCs w:val="14"/>
            <w:u w:val="single" w:color="auto"/>
            <w:color w:val="0000EE"/>
          </w:rPr>
          <w:t>August 6,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85">
        <w:r>
          <w:rPr>
            <w:rFonts w:ascii="Times New Roman" w:cs="Times New Roman" w:eastAsia="Times New Roman" w:hAnsi="Times New Roman"/>
            <w:sz w:val="14"/>
            <w:szCs w:val="14"/>
            <w:u w:val="single" w:color="auto"/>
            <w:color w:val="0000EE"/>
          </w:rPr>
          <w:t xml:space="preserve">October 10, 2024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86">
        <w:r>
          <w:rPr>
            <w:rFonts w:ascii="Times New Roman" w:cs="Times New Roman" w:eastAsia="Times New Roman" w:hAnsi="Times New Roman"/>
            <w:sz w:val="14"/>
            <w:szCs w:val="14"/>
            <w:u w:val="single" w:color="auto"/>
            <w:color w:val="0000EE"/>
          </w:rPr>
          <w:t>November 7, 2024</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72" w:lineRule="exact"/>
        <w:rPr>
          <w:rFonts w:ascii="Times New Roman" w:cs="Times New Roman" w:eastAsia="Times New Roman" w:hAnsi="Times New Roman"/>
          <w:sz w:val="14"/>
          <w:szCs w:val="14"/>
          <w:color w:val="0000EE"/>
        </w:rPr>
      </w:pPr>
    </w:p>
    <w:p>
      <w:pPr>
        <w:ind w:left="1860" w:right="1359" w:hanging="271"/>
        <w:spacing w:after="0" w:line="261" w:lineRule="auto"/>
        <w:tabs>
          <w:tab w:leader="none" w:pos="18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the “Description of Company’s Common Stock” filed as </w:t>
      </w:r>
      <w:hyperlink r:id="rId87">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2023, filed with the SEC on February 23, 2024, including any amendment or reports filed for the purpose of updating such description.</w:t>
      </w:r>
    </w:p>
    <w:p>
      <w:pPr>
        <w:spacing w:after="0" w:line="78" w:lineRule="exact"/>
        <w:rPr>
          <w:rFonts w:ascii="Times New Roman" w:cs="Times New Roman" w:eastAsia="Times New Roman" w:hAnsi="Times New Roman"/>
          <w:sz w:val="14"/>
          <w:szCs w:val="14"/>
          <w:color w:val="0000EE"/>
        </w:rPr>
      </w:pPr>
    </w:p>
    <w:p>
      <w:pPr>
        <w:ind w:left="1300" w:right="1319" w:firstLine="280"/>
        <w:spacing w:after="0" w:line="246"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 13(a), 13(c), 14 and 15(d) of the Exchange Act after the date of this registration statement and prior to the filing of a post -effective amendment that indicates that all securities offered have been sold or that deregisters all securities then remaining unsold, shall be deemed to be incorporated by reference into this registration statement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that is incorporated by reference herein modifies or supersedes such earlier statement. Any such</w:t>
      </w:r>
    </w:p>
    <w:p>
      <w:pPr>
        <w:spacing w:after="0" w:line="278"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200660</wp:posOffset>
            </wp:positionH>
            <wp:positionV relativeFrom="paragraph">
              <wp:posOffset>201295</wp:posOffset>
            </wp:positionV>
            <wp:extent cx="531876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359"/>
        <w:spacing w:after="0" w:line="283" w:lineRule="auto"/>
        <w:rPr>
          <w:sz w:val="20"/>
          <w:szCs w:val="20"/>
          <w:color w:val="auto"/>
        </w:rPr>
      </w:pPr>
      <w:r>
        <w:rPr>
          <w:rFonts w:ascii="Times New Roman" w:cs="Times New Roman" w:eastAsia="Times New Roman" w:hAnsi="Times New Roman"/>
          <w:sz w:val="14"/>
          <w:szCs w:val="14"/>
          <w:color w:val="auto"/>
        </w:rPr>
        <w:t>statement so modified or superseded shall not be deemed, except as so modified or superseded, to constitute a part of this registration statement.</w:t>
      </w:r>
    </w:p>
    <w:p>
      <w:pPr>
        <w:spacing w:after="0" w:line="72" w:lineRule="exact"/>
        <w:rPr>
          <w:sz w:val="20"/>
          <w:szCs w:val="20"/>
          <w:color w:val="auto"/>
        </w:rPr>
      </w:pPr>
    </w:p>
    <w:p>
      <w:pPr>
        <w:ind w:left="1300" w:right="1619" w:firstLine="280"/>
        <w:spacing w:after="0" w:line="283" w:lineRule="auto"/>
        <w:rPr>
          <w:sz w:val="20"/>
          <w:szCs w:val="20"/>
          <w:color w:val="auto"/>
        </w:rPr>
      </w:pPr>
      <w:r>
        <w:rPr>
          <w:rFonts w:ascii="Times New Roman" w:cs="Times New Roman" w:eastAsia="Times New Roman" w:hAnsi="Times New Roman"/>
          <w:sz w:val="14"/>
          <w:szCs w:val="14"/>
          <w:color w:val="auto"/>
        </w:rPr>
        <w:t>Nothing in this registration statement shall be deemed to incorporate information furnished but not filed with the SEC pursuant to Item 2.02 or Item 7.01 of Form 8-K.</w:t>
      </w:r>
    </w:p>
    <w:p>
      <w:pPr>
        <w:spacing w:after="0" w:line="72" w:lineRule="exact"/>
        <w:rPr>
          <w:sz w:val="20"/>
          <w:szCs w:val="20"/>
          <w:color w:val="auto"/>
        </w:rPr>
      </w:pPr>
    </w:p>
    <w:p>
      <w:pPr>
        <w:jc w:val="both"/>
        <w:ind w:left="1300" w:right="1539" w:firstLine="280"/>
        <w:spacing w:after="0" w:line="261" w:lineRule="auto"/>
        <w:rPr>
          <w:sz w:val="20"/>
          <w:szCs w:val="20"/>
          <w:color w:val="auto"/>
        </w:rPr>
      </w:pPr>
      <w:r>
        <w:rPr>
          <w:rFonts w:ascii="Times New Roman" w:cs="Times New Roman" w:eastAsia="Times New Roman" w:hAnsi="Times New Roman"/>
          <w:sz w:val="14"/>
          <w:szCs w:val="14"/>
          <w:color w:val="auto"/>
        </w:rPr>
        <w:t>We will provide, without charge, upon written or oral request of any person to whom a copy of this prospectus is delivered, a copy of any or all of the foregoing documents and information that has been or may be incorporated in this prospectus by reference, other than exhibits to such documents. Requests for such documents and information should be directed to:</w:t>
      </w:r>
    </w:p>
    <w:p>
      <w:pPr>
        <w:spacing w:after="0" w:line="7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Applied Optoelectronics, Inc.</w:t>
      </w:r>
    </w:p>
    <w:p>
      <w:pPr>
        <w:spacing w:after="0" w:line="2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Attn: Dr. Stefan Murry, Chief Financial Officer</w:t>
      </w:r>
    </w:p>
    <w:p>
      <w:pPr>
        <w:spacing w:after="0" w:line="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13139 Jess Pirtle Blvd.</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color w:val="auto"/>
        </w:rPr>
        <w:t>Sugar Land, TX 77478</w:t>
      </w:r>
    </w:p>
    <w:p>
      <w:pPr>
        <w:spacing w:after="0" w:line="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color w:val="auto"/>
        </w:rPr>
        <w:t>(281) 295-1800</w:t>
      </w:r>
    </w:p>
    <w:p>
      <w:pPr>
        <w:spacing w:after="0" w:line="108" w:lineRule="exact"/>
        <w:rPr>
          <w:sz w:val="20"/>
          <w:szCs w:val="20"/>
          <w:color w:val="auto"/>
        </w:rPr>
      </w:pPr>
    </w:p>
    <w:p>
      <w:pPr>
        <w:jc w:val="both"/>
        <w:ind w:left="1300" w:right="1359" w:firstLine="280"/>
        <w:spacing w:after="0" w:line="261" w:lineRule="auto"/>
        <w:rPr>
          <w:sz w:val="20"/>
          <w:szCs w:val="20"/>
          <w:color w:val="auto"/>
        </w:rPr>
      </w:pPr>
      <w:r>
        <w:rPr>
          <w:rFonts w:ascii="Times New Roman" w:cs="Times New Roman" w:eastAsia="Times New Roman" w:hAnsi="Times New Roman"/>
          <w:sz w:val="14"/>
          <w:szCs w:val="14"/>
          <w:color w:val="auto"/>
        </w:rPr>
        <w:t xml:space="preserve">You may also access the documents incorporated by reference in this prospectus through our website at </w:t>
      </w:r>
      <w:r>
        <w:rPr>
          <w:rFonts w:ascii="Times New Roman" w:cs="Times New Roman" w:eastAsia="Times New Roman" w:hAnsi="Times New Roman"/>
          <w:sz w:val="14"/>
          <w:szCs w:val="14"/>
          <w:i w:val="1"/>
          <w:iCs w:val="1"/>
          <w:color w:val="auto"/>
        </w:rPr>
        <w:t>http://ao-inc.com/</w:t>
      </w:r>
      <w:r>
        <w:rPr>
          <w:rFonts w:ascii="Times New Roman" w:cs="Times New Roman" w:eastAsia="Times New Roman" w:hAnsi="Times New Roman"/>
          <w:sz w:val="14"/>
          <w:szCs w:val="14"/>
          <w:color w:val="auto"/>
        </w:rPr>
        <w:t>.​ Except for the specific incorporated documents listed above, no information available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through our website shall be deemed to be incorporated in this prospectus or the registration statement of which it forms a part.</w:t>
      </w:r>
    </w:p>
    <w:p>
      <w:pPr>
        <w:spacing w:after="0" w:line="8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See also “Where to Learn More About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194945</wp:posOffset>
            </wp:positionV>
            <wp:extent cx="531876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-3810</wp:posOffset>
            </wp:positionV>
            <wp:extent cx="405892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4058920" cy="1333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35560</wp:posOffset>
            </wp:positionV>
            <wp:extent cx="405892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490855</wp:posOffset>
            </wp:positionV>
            <wp:extent cx="967740" cy="594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967740"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850900</wp:posOffset>
            </wp:positionV>
            <wp:extent cx="8547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108585</wp:posOffset>
            </wp:positionV>
            <wp:extent cx="8547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8547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319"/>
        <w:spacing w:after="0"/>
        <w:tabs>
          <w:tab w:leader="none" w:pos="2760" w:val="left"/>
        </w:tabs>
        <w:rPr>
          <w:sz w:val="20"/>
          <w:szCs w:val="20"/>
          <w:color w:val="auto"/>
        </w:rPr>
      </w:pPr>
      <w:r>
        <w:rPr>
          <w:rFonts w:ascii="Times New Roman" w:cs="Times New Roman" w:eastAsia="Times New Roman" w:hAnsi="Times New Roman"/>
          <w:sz w:val="24"/>
          <w:szCs w:val="24"/>
          <w:b w:val="1"/>
          <w:bCs w:val="1"/>
          <w:color w:val="auto"/>
        </w:rPr>
        <w:t>RAYMOND JAMES</w:t>
      </w:r>
      <w:r>
        <w:rPr>
          <w:sz w:val="20"/>
          <w:szCs w:val="20"/>
          <w:color w:val="auto"/>
        </w:rPr>
        <w:tab/>
      </w:r>
      <w:r>
        <w:rPr>
          <w:rFonts w:ascii="Times New Roman" w:cs="Times New Roman" w:eastAsia="Times New Roman" w:hAnsi="Times New Roman"/>
          <w:sz w:val="23"/>
          <w:szCs w:val="23"/>
          <w:b w:val="1"/>
          <w:bCs w:val="1"/>
          <w:color w:val="auto"/>
        </w:rPr>
        <w:t>NEEDHAM &amp;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567690</wp:posOffset>
            </wp:positionV>
            <wp:extent cx="405892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40589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-3810</wp:posOffset>
            </wp:positionV>
            <wp:extent cx="4058920" cy="13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4058920" cy="1333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196215</wp:posOffset>
            </wp:positionV>
            <wp:extent cx="531876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5318760"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APPLIED OPTOELECTRONICS,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$ 82,860.00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600,000,000.00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$ 82,860.00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$ 82,860.00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360"/>
        <w:spacing w:after="0" w:line="243" w:lineRule="auto"/>
        <w:rPr>
          <w:sz w:val="20"/>
          <w:szCs w:val="20"/>
          <w:color w:val="auto"/>
        </w:rPr>
      </w:pPr>
      <w:r>
        <w:rPr>
          <w:rFonts w:ascii="Arial" w:cs="Arial" w:eastAsia="Arial" w:hAnsi="Arial"/>
          <w:sz w:val="17"/>
          <w:szCs w:val="17"/>
          <w:color w:val="auto"/>
        </w:rPr>
        <w:t>Calculated in accordance with Rule 457(o) under the Securities Act of 1933, as amended (the "Securities Act"), based on the proposed maximum aggregate offering price and Rule 457(r) under the Securities Act. In accordance with Rules 456(b) and 457(r), the registrant initially deferred payment of all of the registration fee for the Registration Statement on Form S-3ASR (Registration No. 333-283905) filed by the registrant on December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179070</wp:posOffset>
            </wp:positionV>
            <wp:extent cx="714819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40" w:type="dxa"/>
            <w:vAlign w:val="bottom"/>
            <w:shd w:val="clear" w:color="auto" w:fill="9ADAF6"/>
          </w:tcPr>
          <w:p>
            <w:pPr>
              <w:jc w:val="center"/>
              <w:ind w:right="216"/>
              <w:spacing w:after="0" w:line="16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6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2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4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3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6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3"/>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860" w:type="dxa"/>
            <w:vAlign w:val="bottom"/>
            <w:gridSpan w:val="5"/>
            <w:shd w:val="clear" w:color="auto" w:fill="9ADAF6"/>
          </w:tcPr>
          <w:p>
            <w:pPr>
              <w:jc w:val="center"/>
              <w:ind w:right="76"/>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6"/>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restart"/>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18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6"/>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8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jpe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jpe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42" Type="http://schemas.openxmlformats.org/officeDocument/2006/relationships/hyperlink" Target="https://www.sec.gov/ix?doc=/Archives/edgar/data/1158114/000143774926005875/aaoi20251231_10k.htm" TargetMode="External"/><Relationship Id="rId43" Type="http://schemas.openxmlformats.org/officeDocument/2006/relationships/hyperlink" Target="https://www.sec.gov/ix?doc=/Archives/edgar/data/1158114/000110465926048559/tm261409-4_def14a.htm" TargetMode="External"/><Relationship Id="rId44" Type="http://schemas.openxmlformats.org/officeDocument/2006/relationships/hyperlink" Target="https://www.sec.gov/ix?doc=/Archives/edgar/data/1158114/000143774926015620/aaoi20260331_10q.htm" TargetMode="External"/><Relationship Id="rId45" Type="http://schemas.openxmlformats.org/officeDocument/2006/relationships/hyperlink" Target="https://www.sec.gov/ix?doc=/Archives/edgar/data/1158114/000110465926020600/tm266210d2_8k.htm" TargetMode="External"/><Relationship Id="rId46" Type="http://schemas.openxmlformats.org/officeDocument/2006/relationships/hyperlink" Target="https://www.sec.gov/ix?doc=/Archives/edgar/data/1158114/000168316826003817/aaoi_8k.htm" TargetMode="External"/><Relationship Id="rId47" Type="http://schemas.openxmlformats.org/officeDocument/2006/relationships/hyperlink" Target="https://www.sec.gov/Archives/edgar/data/1158114/000143774926005875/ex_921421.htm" TargetMode="External"/><Relationship Id="rId61" Type="http://schemas.openxmlformats.org/officeDocument/2006/relationships/hyperlink" Target="http://www.sec.gov/ix?doc=/Archives/edgar/data/1158114/000143774924005367/aaoi20231231_10k.htm" TargetMode="External"/><Relationship Id="rId62" Type="http://schemas.openxmlformats.org/officeDocument/2006/relationships/hyperlink" Target="http://www.sec.gov/ix?doc=/Archives/edgar/data/1158114/000143774924015696/aaoi20240331c_10q.htm" TargetMode="External"/><Relationship Id="rId63" Type="http://schemas.openxmlformats.org/officeDocument/2006/relationships/hyperlink" Target="http://www.sec.gov/ix?doc=/Archives/edgar/data/1158114/000143774924024888/aaoi20240630_10q.htm" TargetMode="External"/><Relationship Id="rId64" Type="http://schemas.openxmlformats.org/officeDocument/2006/relationships/hyperlink" Target="http://www.sec.gov/ix?doc=/Archives/edgar/data/1158114/000143774924033913/aaoi20240930_10q.htm" TargetMode="External"/><Relationship Id="rId81" Type="http://schemas.openxmlformats.org/officeDocument/2006/relationships/hyperlink" Target="https://www.sec.gov/ix?doc=/Archives/edgar/data/1158114/000110465924052897/tm242667d4_def14a.htm" TargetMode="External"/><Relationship Id="rId82" Type="http://schemas.openxmlformats.org/officeDocument/2006/relationships/hyperlink" Target="http://www.sec.gov/ix?doc=/Archives/edgar/data/1158114/000110465924033988/tm248365d1_8k.htm" TargetMode="External"/><Relationship Id="rId83" Type="http://schemas.openxmlformats.org/officeDocument/2006/relationships/hyperlink" Target="http://www.sec.gov/ix?doc=/Archives/edgar/data/1158114/000168316824003885/appliedopto_8k.htm" TargetMode="External"/><Relationship Id="rId84" Type="http://schemas.openxmlformats.org/officeDocument/2006/relationships/hyperlink" Target="http://www.sec.gov/ix?doc=/Archives/edgar/data/1158114/000168316824005295/appliedopto_8k.htm" TargetMode="External"/><Relationship Id="rId85" Type="http://schemas.openxmlformats.org/officeDocument/2006/relationships/hyperlink" Target="http://www.sec.gov/ix?doc=/Archives/edgar/data/1158114/000168316824007049/appliedopto_8k.htm" TargetMode="External"/><Relationship Id="rId86" Type="http://schemas.openxmlformats.org/officeDocument/2006/relationships/hyperlink" Target="http://www.sec.gov/ix?doc=/Archives/edgar/data/1158114/000168316824007741/appliedopto_8k.htm" TargetMode="External"/><Relationship Id="rId87" Type="http://schemas.openxmlformats.org/officeDocument/2006/relationships/hyperlink" Target="http://www.sec.gov/Archives/edgar/data/1158114/000143774924005367/ex_6259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2026-05-14T15:19:09Z</dcterms:created>
  <dcterms:modified xsi:type="dcterms:W3CDTF">2026-05-14T15:19:09Z</dcterms:modified>
</cp:coreProperties>
</file>