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3740" w:right="1680" w:hanging="3732"/>
        <w:spacing w:after="0" w:line="490" w:lineRule="auto"/>
        <w:tabs>
          <w:tab w:leader="none" w:pos="584"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001-36083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Applied Optoelectronics,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472" w:right="239" w:bottom="1440" w:gutter="0" w:footer="0" w:header="0"/>
        </w:sectPr>
      </w:pPr>
    </w:p>
    <w:p>
      <w:pPr>
        <w:spacing w:after="0" w:line="207"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76-0533927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480" w:space="720"/>
            <w:col w:w="4220"/>
          </w:cols>
          <w:pgMar w:left="240" w:top="472"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13115 Jess Pirtle Blvd.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Sugar Land, TX 77478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4"/>
          <w:szCs w:val="24"/>
          <w:color w:val="auto"/>
        </w:rPr>
      </w:pPr>
    </w:p>
    <w:p>
      <w:pPr>
        <w:ind w:left="5580" w:hanging="428"/>
        <w:spacing w:after="0"/>
        <w:tabs>
          <w:tab w:leader="none" w:pos="5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295-1800</w:t>
      </w:r>
    </w:p>
    <w:p>
      <w:pPr>
        <w:spacing w:after="0" w:line="27" w:lineRule="exact"/>
        <w:rPr>
          <w:rFonts w:ascii="Arial" w:cs="Arial" w:eastAsia="Arial" w:hAnsi="Arial"/>
          <w:sz w:val="18"/>
          <w:szCs w:val="18"/>
          <w:b w:val="1"/>
          <w:bCs w:val="1"/>
          <w:color w:val="auto"/>
        </w:rPr>
      </w:pPr>
    </w:p>
    <w:p>
      <w:pPr>
        <w:ind w:left="4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(Registrant’s telephone number)</w:t>
      </w:r>
    </w:p>
    <w:p>
      <w:pPr>
        <w:spacing w:after="0" w:line="211" w:lineRule="exact"/>
        <w:rPr>
          <w:sz w:val="24"/>
          <w:szCs w:val="24"/>
          <w:color w:val="auto"/>
        </w:rPr>
      </w:pPr>
    </w:p>
    <w:p>
      <w:pPr>
        <w:jc w:val="both"/>
        <w:ind w:firstLine="41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ind w:firstLine="41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ind w:firstLine="416"/>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472" w:right="239" w:bottom="1440" w:gutter="0" w:footer="0" w:header="0"/>
          <w:type w:val="continuous"/>
        </w:sectPr>
      </w:pP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22" w:lineRule="exact"/>
        <w:rPr>
          <w:sz w:val="24"/>
          <w:szCs w:val="24"/>
          <w:color w:val="auto"/>
        </w:rPr>
      </w:pPr>
    </w:p>
    <w:p>
      <w:pPr>
        <w:sectPr>
          <w:pgSz w:w="11900" w:h="16838" w:orient="portrait"/>
          <w:cols w:equalWidth="0" w:num="4">
            <w:col w:w="2280" w:space="720"/>
            <w:col w:w="4180" w:space="720"/>
            <w:col w:w="2240" w:space="720"/>
            <w:col w:w="560"/>
          </w:cols>
          <w:pgMar w:left="240" w:top="472"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x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22" w:lineRule="exact"/>
        <w:rPr>
          <w:sz w:val="24"/>
          <w:szCs w:val="24"/>
          <w:color w:val="auto"/>
        </w:rPr>
      </w:pPr>
    </w:p>
    <w:p>
      <w:pPr>
        <w:sectPr>
          <w:pgSz w:w="11900" w:h="16838" w:orient="portrait"/>
          <w:cols w:equalWidth="0" w:num="4">
            <w:col w:w="2280" w:space="720"/>
            <w:col w:w="4180" w:space="720"/>
            <w:col w:w="2240" w:space="720"/>
            <w:col w:w="560"/>
          </w:cols>
          <w:pgMar w:left="240" w:top="472" w:right="239" w:bottom="1440" w:gutter="0" w:footer="0" w:header="0"/>
          <w:type w:val="continuous"/>
        </w:sectPr>
      </w:pPr>
    </w:p>
    <w:p>
      <w:pPr>
        <w:spacing w:after="0" w:line="48" w:lineRule="exact"/>
        <w:rPr>
          <w:sz w:val="24"/>
          <w:szCs w:val="24"/>
          <w:color w:val="auto"/>
        </w:rPr>
      </w:pPr>
    </w:p>
    <w:p>
      <w:pPr>
        <w:ind w:left="4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r>
    </w:p>
    <w:p>
      <w:pPr>
        <w:spacing w:after="0" w:line="20" w:lineRule="exact"/>
        <w:rPr>
          <w:sz w:val="24"/>
          <w:szCs w:val="24"/>
          <w:color w:val="auto"/>
        </w:rPr>
      </w:pPr>
      <w:r>
        <w:rPr>
          <w:sz w:val="24"/>
          <w:szCs w:val="24"/>
          <w:color w:val="auto"/>
        </w:rPr>
        <w:br w:type="column"/>
      </w:r>
    </w:p>
    <w:p>
      <w:pPr>
        <w:spacing w:after="0" w:line="180"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2">
            <w:col w:w="9040" w:space="140"/>
            <w:col w:w="2240"/>
          </w:cols>
          <w:pgMar w:left="240" w:top="472" w:right="239" w:bottom="1440" w:gutter="0" w:footer="0" w:header="0"/>
          <w:type w:val="continuous"/>
        </w:sectPr>
      </w:pPr>
    </w:p>
    <w:p>
      <w:pPr>
        <w:spacing w:after="0" w:line="48" w:lineRule="exact"/>
        <w:rPr>
          <w:sz w:val="24"/>
          <w:szCs w:val="24"/>
          <w:color w:val="auto"/>
        </w:rPr>
      </w:pPr>
    </w:p>
    <w:p>
      <w:pPr>
        <w:ind w:firstLine="416"/>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November 3, 2014 there were 14,816,055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Applied Optoelectronics,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Page</w:t>
            </w:r>
          </w:p>
        </w:tc>
      </w:tr>
      <w:tr>
        <w:trPr>
          <w:trHeight w:val="385"/>
        </w:trPr>
        <w:tc>
          <w:tcPr>
            <w:tcW w:w="2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4"/>
              </w:rPr>
              <w:t>Part I. Financial Information</w:t>
            </w:r>
          </w:p>
        </w:tc>
        <w:tc>
          <w:tcPr>
            <w:tcW w:w="86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53"/>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rPr>
              <w:t>Condensed Consolidated Financial Statements (Unaudited)</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432"/>
        </w:trPr>
        <w:tc>
          <w:tcPr>
            <w:tcW w:w="900" w:type="dxa"/>
            <w:vAlign w:val="bottom"/>
          </w:tcPr>
          <w:p>
            <w:pPr>
              <w:spacing w:after="0"/>
              <w:rPr>
                <w:sz w:val="24"/>
                <w:szCs w:val="24"/>
                <w:color w:val="auto"/>
              </w:rPr>
            </w:pP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rPr>
              <w:t>Condensed Consolidated Balance Sheets as of September 30, 2014 and December 31, 2013 (Unaudited)</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432"/>
        </w:trPr>
        <w:tc>
          <w:tcPr>
            <w:tcW w:w="900" w:type="dxa"/>
            <w:vAlign w:val="bottom"/>
          </w:tcPr>
          <w:p>
            <w:pPr>
              <w:spacing w:after="0"/>
              <w:rPr>
                <w:sz w:val="24"/>
                <w:szCs w:val="24"/>
                <w:color w:val="auto"/>
              </w:rPr>
            </w:pP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w w:val="91"/>
              </w:rPr>
              <w:t>Condensed Consolidated Statements of Operations for the Three and Nine Months ended September 30, 2014 and 2013 (Unaudited)</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418"/>
        </w:trPr>
        <w:tc>
          <w:tcPr>
            <w:tcW w:w="900" w:type="dxa"/>
            <w:vAlign w:val="bottom"/>
          </w:tcPr>
          <w:p>
            <w:pPr>
              <w:spacing w:after="0"/>
              <w:rPr>
                <w:sz w:val="24"/>
                <w:szCs w:val="24"/>
                <w:color w:val="auto"/>
              </w:rPr>
            </w:pP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w w:val="89"/>
              </w:rPr>
              <w:t>Condensed Consolidated Statements of Comprehensive Income (Loss) for the Three and Nine Months Ended September 30, 2014 and</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30"/>
        </w:trPr>
        <w:tc>
          <w:tcPr>
            <w:tcW w:w="900" w:type="dxa"/>
            <w:vAlign w:val="bottom"/>
          </w:tcPr>
          <w:p>
            <w:pPr>
              <w:spacing w:after="0"/>
              <w:rPr>
                <w:sz w:val="20"/>
                <w:szCs w:val="20"/>
                <w:color w:val="auto"/>
              </w:rPr>
            </w:pP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rPr>
              <w:t>2013 (Unaudited)</w:t>
            </w:r>
          </w:p>
        </w:tc>
        <w:tc>
          <w:tcPr>
            <w:tcW w:w="56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w w:val="98"/>
              </w:rPr>
              <w:t>Condensed Consolidated Statements of Cash Flows for the Nine Months ended September 30, 2014 and 2013 (Unaudited)</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432"/>
        </w:trPr>
        <w:tc>
          <w:tcPr>
            <w:tcW w:w="900" w:type="dxa"/>
            <w:vAlign w:val="bottom"/>
          </w:tcPr>
          <w:p>
            <w:pPr>
              <w:spacing w:after="0"/>
              <w:rPr>
                <w:sz w:val="24"/>
                <w:szCs w:val="24"/>
                <w:color w:val="auto"/>
              </w:rPr>
            </w:pP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rPr>
              <w:t>Notes To Condensed Consolidated Financial Statements (Unaudited)</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rPr>
              <w:t>Controls and Procedures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392"/>
        </w:trPr>
        <w:tc>
          <w:tcPr>
            <w:tcW w:w="10860" w:type="dxa"/>
            <w:vAlign w:val="bottom"/>
            <w:gridSpan w:val="4"/>
          </w:tcPr>
          <w:p>
            <w:pPr>
              <w:spacing w:after="0"/>
              <w:rPr>
                <w:sz w:val="20"/>
                <w:szCs w:val="20"/>
                <w:color w:val="auto"/>
              </w:rPr>
            </w:pPr>
            <w:r>
              <w:rPr>
                <w:rFonts w:ascii="Arial" w:cs="Arial" w:eastAsia="Arial" w:hAnsi="Arial"/>
                <w:sz w:val="18"/>
                <w:szCs w:val="18"/>
                <w:b w:val="1"/>
                <w:bCs w:val="1"/>
                <w:color w:val="auto"/>
              </w:rPr>
              <w:t>Part II. Other Information</w:t>
            </w:r>
          </w:p>
        </w:tc>
        <w:tc>
          <w:tcPr>
            <w:tcW w:w="560" w:type="dxa"/>
            <w:vAlign w:val="bottom"/>
          </w:tcPr>
          <w:p>
            <w:pPr>
              <w:spacing w:after="0"/>
              <w:rPr>
                <w:sz w:val="24"/>
                <w:szCs w:val="24"/>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53"/>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rPr>
              <w:t>Legal Proceedings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24</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rPr>
              <w:t>Risk Factors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24</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rPr>
              <w:t>Unregistered Sales of Equity Securities and Use of Proceeds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rPr>
              <w:t>Defaults Upon Senior Securities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rPr>
              <w:t>Mine Safety Disclosures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rPr>
              <w:t>Other Information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rPr>
              <w:t>Exhibits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432"/>
        </w:trPr>
        <w:tc>
          <w:tcPr>
            <w:tcW w:w="900" w:type="dxa"/>
            <w:vAlign w:val="bottom"/>
          </w:tcPr>
          <w:p>
            <w:pPr>
              <w:spacing w:after="0"/>
              <w:rPr>
                <w:sz w:val="24"/>
                <w:szCs w:val="24"/>
                <w:color w:val="auto"/>
              </w:rPr>
            </w:pPr>
          </w:p>
        </w:tc>
        <w:tc>
          <w:tcPr>
            <w:tcW w:w="9960" w:type="dxa"/>
            <w:vAlign w:val="bottom"/>
            <w:gridSpan w:val="3"/>
          </w:tcPr>
          <w:p>
            <w:pPr>
              <w:ind w:left="260"/>
              <w:spacing w:after="0"/>
              <w:rPr>
                <w:sz w:val="20"/>
                <w:szCs w:val="20"/>
                <w:color w:val="auto"/>
              </w:rPr>
            </w:pPr>
            <w:r>
              <w:rPr>
                <w:rFonts w:ascii="Arial" w:cs="Arial" w:eastAsia="Arial" w:hAnsi="Arial"/>
                <w:sz w:val="18"/>
                <w:szCs w:val="18"/>
                <w:color w:val="auto"/>
              </w:rPr>
              <w:t>Signatures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648"/>
        </w:trPr>
        <w:tc>
          <w:tcPr>
            <w:tcW w:w="90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gridSpan w:val="3"/>
          </w:tcPr>
          <w:p>
            <w:pPr>
              <w:ind w:left="4760"/>
              <w:spacing w:after="0"/>
              <w:rPr>
                <w:sz w:val="20"/>
                <w:szCs w:val="20"/>
                <w:color w:val="auto"/>
              </w:rPr>
            </w:pPr>
            <w:r>
              <w:rPr>
                <w:rFonts w:ascii="Arial" w:cs="Arial" w:eastAsia="Arial" w:hAnsi="Arial"/>
                <w:sz w:val="18"/>
                <w:szCs w:val="18"/>
                <w:color w:val="auto"/>
              </w:rPr>
              <w:t>2</w:t>
            </w: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jc w:val="center"/>
              <w:ind w:left="3090"/>
              <w:spacing w:after="0"/>
              <w:rPr>
                <w:sz w:val="20"/>
                <w:szCs w:val="20"/>
                <w:color w:val="auto"/>
              </w:rPr>
            </w:pPr>
            <w:r>
              <w:rPr>
                <w:rFonts w:ascii="Arial" w:cs="Arial" w:eastAsia="Arial" w:hAnsi="Arial"/>
                <w:sz w:val="18"/>
                <w:szCs w:val="18"/>
                <w:b w:val="1"/>
                <w:bCs w:val="1"/>
                <w:color w:val="auto"/>
                <w:w w:val="95"/>
              </w:rPr>
              <w:t>Part I. Financial Information</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240" w:type="dxa"/>
            <w:vAlign w:val="bottom"/>
          </w:tcPr>
          <w:p>
            <w:pPr>
              <w:spacing w:after="0"/>
              <w:rPr>
                <w:sz w:val="20"/>
                <w:szCs w:val="20"/>
                <w:color w:val="auto"/>
              </w:rPr>
            </w:pPr>
            <w:r>
              <w:rPr>
                <w:rFonts w:ascii="Arial" w:cs="Arial" w:eastAsia="Arial" w:hAnsi="Arial"/>
                <w:sz w:val="18"/>
                <w:szCs w:val="18"/>
                <w:b w:val="1"/>
                <w:bCs w:val="1"/>
                <w:color w:val="auto"/>
              </w:rPr>
              <w:t>Item 1. Condensed Consolidated Financial Statements</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8240" w:type="dxa"/>
            <w:vAlign w:val="bottom"/>
          </w:tcPr>
          <w:p>
            <w:pPr>
              <w:jc w:val="center"/>
              <w:ind w:left="3110"/>
              <w:spacing w:after="0"/>
              <w:rPr>
                <w:sz w:val="20"/>
                <w:szCs w:val="20"/>
                <w:color w:val="auto"/>
              </w:rPr>
            </w:pPr>
            <w:r>
              <w:rPr>
                <w:rFonts w:ascii="Arial" w:cs="Arial" w:eastAsia="Arial" w:hAnsi="Arial"/>
                <w:sz w:val="18"/>
                <w:szCs w:val="18"/>
                <w:b w:val="1"/>
                <w:bCs w:val="1"/>
                <w:color w:val="auto"/>
                <w:w w:val="89"/>
              </w:rPr>
              <w:t>Applied Optoelectronics, Inc. and Subsidiaries</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240" w:type="dxa"/>
            <w:vAlign w:val="bottom"/>
          </w:tcPr>
          <w:p>
            <w:pPr>
              <w:jc w:val="center"/>
              <w:ind w:left="30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8240" w:type="dxa"/>
            <w:vAlign w:val="bottom"/>
          </w:tcPr>
          <w:p>
            <w:pPr>
              <w:jc w:val="center"/>
              <w:ind w:left="3110"/>
              <w:spacing w:after="0"/>
              <w:rPr>
                <w:sz w:val="20"/>
                <w:szCs w:val="20"/>
                <w:color w:val="auto"/>
              </w:rPr>
            </w:pPr>
            <w:r>
              <w:rPr>
                <w:rFonts w:ascii="Arial" w:cs="Arial" w:eastAsia="Arial" w:hAnsi="Arial"/>
                <w:sz w:val="18"/>
                <w:szCs w:val="18"/>
                <w:b w:val="1"/>
                <w:bCs w:val="1"/>
                <w:color w:val="auto"/>
                <w:w w:val="89"/>
              </w:rPr>
              <w:t>(Unaudited, in thousands, except per share data)</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8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0"/>
              </w:rPr>
              <w:t>September 30,</w:t>
            </w:r>
          </w:p>
        </w:tc>
        <w:tc>
          <w:tcPr>
            <w:tcW w:w="12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240" w:type="dxa"/>
            <w:vAlign w:val="bottom"/>
            <w:tcBorders>
              <w:bottom w:val="single" w:sz="8" w:color="EEEEEE"/>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EEEEE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EEEEEE"/>
            </w:tcBorders>
          </w:tcPr>
          <w:p>
            <w:pPr>
              <w:spacing w:after="0"/>
              <w:rPr>
                <w:sz w:val="20"/>
                <w:szCs w:val="20"/>
                <w:color w:val="auto"/>
              </w:rPr>
            </w:pPr>
          </w:p>
        </w:tc>
        <w:tc>
          <w:tcPr>
            <w:tcW w:w="80" w:type="dxa"/>
            <w:vAlign w:val="bottom"/>
            <w:tcBorders>
              <w:bottom w:val="single" w:sz="8" w:color="EEEEEE"/>
            </w:tcBorders>
          </w:tcPr>
          <w:p>
            <w:pPr>
              <w:spacing w:after="0"/>
              <w:rPr>
                <w:sz w:val="20"/>
                <w:szCs w:val="20"/>
                <w:color w:val="auto"/>
              </w:rPr>
            </w:pPr>
          </w:p>
        </w:tc>
      </w:tr>
      <w:tr>
        <w:trPr>
          <w:trHeight w:val="210"/>
        </w:trPr>
        <w:tc>
          <w:tcPr>
            <w:tcW w:w="8240" w:type="dxa"/>
            <w:vAlign w:val="bottom"/>
            <w:shd w:val="clear" w:color="auto" w:fill="EEEEEE"/>
          </w:tcPr>
          <w:p>
            <w:pPr>
              <w:ind w:left="100"/>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8240" w:type="dxa"/>
            <w:vAlign w:val="bottom"/>
          </w:tcPr>
          <w:p>
            <w:pPr>
              <w:ind w:left="10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37,034</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22,006</w:t>
            </w:r>
          </w:p>
        </w:tc>
        <w:tc>
          <w:tcPr>
            <w:tcW w:w="80" w:type="dxa"/>
            <w:vAlign w:val="bottom"/>
            <w:shd w:val="clear" w:color="auto" w:fill="EEEEEE"/>
          </w:tcPr>
          <w:p>
            <w:pPr>
              <w:spacing w:after="0"/>
              <w:rPr>
                <w:sz w:val="18"/>
                <w:szCs w:val="18"/>
                <w:color w:val="auto"/>
              </w:rPr>
            </w:pPr>
          </w:p>
        </w:tc>
      </w:tr>
      <w:tr>
        <w:trPr>
          <w:trHeight w:val="216"/>
        </w:trPr>
        <w:tc>
          <w:tcPr>
            <w:tcW w:w="8240" w:type="dxa"/>
            <w:vAlign w:val="bottom"/>
          </w:tcPr>
          <w:p>
            <w:pPr>
              <w:ind w:left="24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18"/>
                <w:szCs w:val="18"/>
                <w:color w:val="auto"/>
              </w:rPr>
            </w:pPr>
          </w:p>
        </w:tc>
      </w:tr>
      <w:tr>
        <w:trPr>
          <w:trHeight w:val="216"/>
        </w:trPr>
        <w:tc>
          <w:tcPr>
            <w:tcW w:w="82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7,958</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7,970</w:t>
            </w:r>
          </w:p>
        </w:tc>
        <w:tc>
          <w:tcPr>
            <w:tcW w:w="80" w:type="dxa"/>
            <w:vAlign w:val="bottom"/>
            <w:shd w:val="clear" w:color="auto" w:fill="EEEEEE"/>
          </w:tcPr>
          <w:p>
            <w:pPr>
              <w:spacing w:after="0"/>
              <w:rPr>
                <w:sz w:val="18"/>
                <w:szCs w:val="18"/>
                <w:color w:val="auto"/>
              </w:rPr>
            </w:pPr>
          </w:p>
        </w:tc>
      </w:tr>
      <w:tr>
        <w:trPr>
          <w:trHeight w:val="216"/>
        </w:trPr>
        <w:tc>
          <w:tcPr>
            <w:tcW w:w="8240" w:type="dxa"/>
            <w:vAlign w:val="bottom"/>
          </w:tcPr>
          <w:p>
            <w:pPr>
              <w:ind w:left="240"/>
              <w:spacing w:after="0"/>
              <w:rPr>
                <w:sz w:val="20"/>
                <w:szCs w:val="20"/>
                <w:color w:val="auto"/>
              </w:rPr>
            </w:pPr>
            <w:r>
              <w:rPr>
                <w:rFonts w:ascii="Arial" w:cs="Arial" w:eastAsia="Arial" w:hAnsi="Arial"/>
                <w:sz w:val="18"/>
                <w:szCs w:val="18"/>
                <w:color w:val="auto"/>
              </w:rPr>
              <w:t>Accounts receivable - trade, net</w:t>
            </w:r>
          </w:p>
        </w:tc>
        <w:tc>
          <w:tcPr>
            <w:tcW w:w="1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24,181</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22,089</w:t>
            </w:r>
          </w:p>
        </w:tc>
        <w:tc>
          <w:tcPr>
            <w:tcW w:w="80" w:type="dxa"/>
            <w:vAlign w:val="bottom"/>
          </w:tcPr>
          <w:p>
            <w:pPr>
              <w:spacing w:after="0"/>
              <w:rPr>
                <w:sz w:val="18"/>
                <w:szCs w:val="18"/>
                <w:color w:val="auto"/>
              </w:rPr>
            </w:pPr>
          </w:p>
        </w:tc>
      </w:tr>
      <w:tr>
        <w:trPr>
          <w:trHeight w:val="216"/>
        </w:trPr>
        <w:tc>
          <w:tcPr>
            <w:tcW w:w="82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33,129</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19,608</w:t>
            </w:r>
          </w:p>
        </w:tc>
        <w:tc>
          <w:tcPr>
            <w:tcW w:w="80" w:type="dxa"/>
            <w:vAlign w:val="bottom"/>
            <w:shd w:val="clear" w:color="auto" w:fill="EEEEEE"/>
          </w:tcPr>
          <w:p>
            <w:pPr>
              <w:spacing w:after="0"/>
              <w:rPr>
                <w:sz w:val="18"/>
                <w:szCs w:val="18"/>
                <w:color w:val="auto"/>
              </w:rPr>
            </w:pP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7,847</w:t>
            </w:r>
          </w:p>
        </w:tc>
        <w:tc>
          <w:tcPr>
            <w:tcW w:w="1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5,488</w:t>
            </w:r>
          </w:p>
        </w:tc>
        <w:tc>
          <w:tcPr>
            <w:tcW w:w="80" w:type="dxa"/>
            <w:vAlign w:val="bottom"/>
          </w:tcPr>
          <w:p>
            <w:pPr>
              <w:spacing w:after="0"/>
              <w:rPr>
                <w:sz w:val="19"/>
                <w:szCs w:val="19"/>
                <w:color w:val="auto"/>
              </w:rPr>
            </w:pPr>
          </w:p>
        </w:tc>
      </w:tr>
      <w:tr>
        <w:trPr>
          <w:trHeight w:val="210"/>
        </w:trPr>
        <w:tc>
          <w:tcPr>
            <w:tcW w:w="8240" w:type="dxa"/>
            <w:vAlign w:val="bottom"/>
            <w:tcBorders>
              <w:top w:val="single" w:sz="8" w:color="EEEEEE"/>
            </w:tcBorders>
            <w:shd w:val="clear" w:color="auto" w:fill="EEEEEE"/>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110,936</w:t>
            </w:r>
          </w:p>
        </w:tc>
        <w:tc>
          <w:tcPr>
            <w:tcW w:w="3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77,936</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8240" w:type="dxa"/>
            <w:vAlign w:val="bottom"/>
          </w:tcPr>
          <w:p>
            <w:pPr>
              <w:ind w:left="24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51,267</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31,134</w:t>
            </w:r>
          </w:p>
        </w:tc>
        <w:tc>
          <w:tcPr>
            <w:tcW w:w="80" w:type="dxa"/>
            <w:vAlign w:val="bottom"/>
          </w:tcPr>
          <w:p>
            <w:pPr>
              <w:spacing w:after="0"/>
              <w:rPr>
                <w:sz w:val="18"/>
                <w:szCs w:val="18"/>
                <w:color w:val="auto"/>
              </w:rPr>
            </w:pPr>
          </w:p>
        </w:tc>
      </w:tr>
      <w:tr>
        <w:trPr>
          <w:trHeight w:val="216"/>
        </w:trPr>
        <w:tc>
          <w:tcPr>
            <w:tcW w:w="82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Land use rights, net</w:t>
            </w:r>
          </w:p>
        </w:tc>
        <w:tc>
          <w:tcPr>
            <w:tcW w:w="10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931</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959</w:t>
            </w:r>
          </w:p>
        </w:tc>
        <w:tc>
          <w:tcPr>
            <w:tcW w:w="80" w:type="dxa"/>
            <w:vAlign w:val="bottom"/>
            <w:shd w:val="clear" w:color="auto" w:fill="EEEEEE"/>
          </w:tcPr>
          <w:p>
            <w:pPr>
              <w:spacing w:after="0"/>
              <w:rPr>
                <w:sz w:val="18"/>
                <w:szCs w:val="18"/>
                <w:color w:val="auto"/>
              </w:rPr>
            </w:pPr>
          </w:p>
        </w:tc>
      </w:tr>
      <w:tr>
        <w:trPr>
          <w:trHeight w:val="216"/>
        </w:trPr>
        <w:tc>
          <w:tcPr>
            <w:tcW w:w="8240" w:type="dxa"/>
            <w:vAlign w:val="bottom"/>
          </w:tcPr>
          <w:p>
            <w:pPr>
              <w:ind w:left="24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3,830</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851</w:t>
            </w:r>
          </w:p>
        </w:tc>
        <w:tc>
          <w:tcPr>
            <w:tcW w:w="80" w:type="dxa"/>
            <w:vAlign w:val="bottom"/>
          </w:tcPr>
          <w:p>
            <w:pPr>
              <w:spacing w:after="0"/>
              <w:rPr>
                <w:sz w:val="18"/>
                <w:szCs w:val="18"/>
                <w:color w:val="auto"/>
              </w:rPr>
            </w:pPr>
          </w:p>
        </w:tc>
      </w:tr>
      <w:tr>
        <w:trPr>
          <w:trHeight w:val="230"/>
        </w:trPr>
        <w:tc>
          <w:tcPr>
            <w:tcW w:w="82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assets, net</w:t>
            </w:r>
          </w:p>
        </w:tc>
        <w:tc>
          <w:tcPr>
            <w:tcW w:w="10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1,190</w:t>
            </w:r>
          </w:p>
        </w:tc>
        <w:tc>
          <w:tcPr>
            <w:tcW w:w="1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EEEEEE"/>
          </w:tcPr>
          <w:p>
            <w:pPr>
              <w:spacing w:after="0"/>
              <w:rPr>
                <w:sz w:val="19"/>
                <w:szCs w:val="19"/>
                <w:color w:val="auto"/>
              </w:rPr>
            </w:pPr>
          </w:p>
        </w:tc>
      </w:tr>
      <w:tr>
        <w:trPr>
          <w:trHeight w:val="263"/>
        </w:trPr>
        <w:tc>
          <w:tcPr>
            <w:tcW w:w="8240" w:type="dxa"/>
            <w:vAlign w:val="bottom"/>
            <w:tcBorders>
              <w:bottom w:val="single" w:sz="8" w:color="EEEEEE"/>
            </w:tcBorders>
          </w:tcPr>
          <w:p>
            <w:pPr>
              <w:ind w:left="24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168,154</w:t>
            </w:r>
          </w:p>
        </w:tc>
        <w:tc>
          <w:tcPr>
            <w:tcW w:w="340" w:type="dxa"/>
            <w:vAlign w:val="bottom"/>
            <w:tcBorders>
              <w:bottom w:val="single" w:sz="8" w:color="EEEEEE"/>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111,057</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r>
      <w:tr>
        <w:trPr>
          <w:trHeight w:val="197"/>
        </w:trPr>
        <w:tc>
          <w:tcPr>
            <w:tcW w:w="8240" w:type="dxa"/>
            <w:vAlign w:val="bottom"/>
            <w:shd w:val="clear" w:color="auto" w:fill="EEEEEE"/>
          </w:tcPr>
          <w:p>
            <w:pPr>
              <w:ind w:left="100"/>
              <w:spacing w:after="0" w:line="196" w:lineRule="exact"/>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8240" w:type="dxa"/>
            <w:vAlign w:val="bottom"/>
          </w:tcPr>
          <w:p>
            <w:pPr>
              <w:ind w:left="10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2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Current portion of notes payable and long-term debt</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9,392</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17,185</w:t>
            </w:r>
          </w:p>
        </w:tc>
        <w:tc>
          <w:tcPr>
            <w:tcW w:w="80" w:type="dxa"/>
            <w:vAlign w:val="bottom"/>
            <w:shd w:val="clear" w:color="auto" w:fill="EEEEEE"/>
          </w:tcPr>
          <w:p>
            <w:pPr>
              <w:spacing w:after="0"/>
              <w:rPr>
                <w:sz w:val="18"/>
                <w:szCs w:val="18"/>
                <w:color w:val="auto"/>
              </w:rPr>
            </w:pPr>
          </w:p>
        </w:tc>
      </w:tr>
      <w:tr>
        <w:trPr>
          <w:trHeight w:val="216"/>
        </w:trPr>
        <w:tc>
          <w:tcPr>
            <w:tcW w:w="824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22,616</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15,010</w:t>
            </w:r>
          </w:p>
        </w:tc>
        <w:tc>
          <w:tcPr>
            <w:tcW w:w="80" w:type="dxa"/>
            <w:vAlign w:val="bottom"/>
          </w:tcPr>
          <w:p>
            <w:pPr>
              <w:spacing w:after="0"/>
              <w:rPr>
                <w:sz w:val="18"/>
                <w:szCs w:val="18"/>
                <w:color w:val="auto"/>
              </w:rPr>
            </w:pPr>
          </w:p>
        </w:tc>
      </w:tr>
      <w:tr>
        <w:trPr>
          <w:trHeight w:val="216"/>
        </w:trPr>
        <w:tc>
          <w:tcPr>
            <w:tcW w:w="82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Bank acceptance payable</w:t>
            </w:r>
          </w:p>
        </w:tc>
        <w:tc>
          <w:tcPr>
            <w:tcW w:w="10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2,115</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2,347</w:t>
            </w:r>
          </w:p>
        </w:tc>
        <w:tc>
          <w:tcPr>
            <w:tcW w:w="80" w:type="dxa"/>
            <w:vAlign w:val="bottom"/>
            <w:shd w:val="clear" w:color="auto" w:fill="EEEEEE"/>
          </w:tcPr>
          <w:p>
            <w:pPr>
              <w:spacing w:after="0"/>
              <w:rPr>
                <w:sz w:val="18"/>
                <w:szCs w:val="18"/>
                <w:color w:val="auto"/>
              </w:rPr>
            </w:pP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9"/>
                <w:szCs w:val="19"/>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4,960</w:t>
            </w:r>
          </w:p>
        </w:tc>
        <w:tc>
          <w:tcPr>
            <w:tcW w:w="1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4,515</w:t>
            </w:r>
          </w:p>
        </w:tc>
        <w:tc>
          <w:tcPr>
            <w:tcW w:w="80" w:type="dxa"/>
            <w:vAlign w:val="bottom"/>
          </w:tcPr>
          <w:p>
            <w:pPr>
              <w:spacing w:after="0"/>
              <w:rPr>
                <w:sz w:val="19"/>
                <w:szCs w:val="19"/>
                <w:color w:val="auto"/>
              </w:rPr>
            </w:pPr>
          </w:p>
        </w:tc>
      </w:tr>
      <w:tr>
        <w:trPr>
          <w:trHeight w:val="210"/>
        </w:trPr>
        <w:tc>
          <w:tcPr>
            <w:tcW w:w="8240" w:type="dxa"/>
            <w:vAlign w:val="bottom"/>
            <w:tcBorders>
              <w:top w:val="single" w:sz="8" w:color="EEEEEE"/>
            </w:tcBorders>
            <w:shd w:val="clear" w:color="auto" w:fill="EEEEEE"/>
          </w:tcPr>
          <w:p>
            <w:pPr>
              <w:ind w:left="4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39,083</w:t>
            </w:r>
          </w:p>
        </w:tc>
        <w:tc>
          <w:tcPr>
            <w:tcW w:w="3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39,057</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8240" w:type="dxa"/>
            <w:vAlign w:val="bottom"/>
          </w:tcPr>
          <w:p>
            <w:pPr>
              <w:ind w:left="240"/>
              <w:spacing w:after="0"/>
              <w:rPr>
                <w:sz w:val="20"/>
                <w:szCs w:val="20"/>
                <w:color w:val="auto"/>
              </w:rPr>
            </w:pPr>
            <w:r>
              <w:rPr>
                <w:rFonts w:ascii="Arial" w:cs="Arial" w:eastAsia="Arial" w:hAnsi="Arial"/>
                <w:sz w:val="18"/>
                <w:szCs w:val="18"/>
                <w:color w:val="auto"/>
              </w:rPr>
              <w:t>Notes payable and long-term debt, less current portion</w:t>
            </w:r>
          </w:p>
        </w:tc>
        <w:tc>
          <w:tcPr>
            <w:tcW w:w="1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14,000</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8,923</w:t>
            </w:r>
          </w:p>
        </w:tc>
        <w:tc>
          <w:tcPr>
            <w:tcW w:w="80" w:type="dxa"/>
            <w:vAlign w:val="bottom"/>
          </w:tcPr>
          <w:p>
            <w:pPr>
              <w:spacing w:after="0"/>
              <w:rPr>
                <w:sz w:val="18"/>
                <w:szCs w:val="18"/>
                <w:color w:val="auto"/>
              </w:rPr>
            </w:pPr>
          </w:p>
        </w:tc>
      </w:tr>
      <w:tr>
        <w:trPr>
          <w:trHeight w:val="230"/>
        </w:trPr>
        <w:tc>
          <w:tcPr>
            <w:tcW w:w="82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long term liabilities</w:t>
            </w:r>
          </w:p>
        </w:tc>
        <w:tc>
          <w:tcPr>
            <w:tcW w:w="10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EEEEEE"/>
          </w:tcPr>
          <w:p>
            <w:pPr>
              <w:spacing w:after="0"/>
              <w:rPr>
                <w:sz w:val="19"/>
                <w:szCs w:val="19"/>
                <w:color w:val="auto"/>
              </w:rPr>
            </w:pPr>
          </w:p>
        </w:tc>
        <w:tc>
          <w:tcPr>
            <w:tcW w:w="13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240" w:type="dxa"/>
            <w:vAlign w:val="bottom"/>
            <w:tcBorders>
              <w:bottom w:val="single" w:sz="8" w:color="EEEEEE"/>
            </w:tcBorders>
          </w:tcPr>
          <w:p>
            <w:pPr>
              <w:ind w:left="24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54,333</w:t>
            </w:r>
          </w:p>
        </w:tc>
        <w:tc>
          <w:tcPr>
            <w:tcW w:w="340" w:type="dxa"/>
            <w:vAlign w:val="bottom"/>
            <w:tcBorders>
              <w:bottom w:val="single" w:sz="8" w:color="EEEEEE"/>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47,980</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r>
      <w:tr>
        <w:trPr>
          <w:trHeight w:val="210"/>
        </w:trPr>
        <w:tc>
          <w:tcPr>
            <w:tcW w:w="8240" w:type="dxa"/>
            <w:vAlign w:val="bottom"/>
            <w:shd w:val="clear" w:color="auto" w:fill="EEEEEE"/>
          </w:tcPr>
          <w:p>
            <w:pPr>
              <w:ind w:left="100"/>
              <w:spacing w:after="0"/>
              <w:rPr>
                <w:sz w:val="20"/>
                <w:szCs w:val="20"/>
                <w:color w:val="auto"/>
              </w:rPr>
            </w:pPr>
            <w:r>
              <w:rPr>
                <w:rFonts w:ascii="Arial" w:cs="Arial" w:eastAsia="Arial" w:hAnsi="Arial"/>
                <w:sz w:val="18"/>
                <w:szCs w:val="18"/>
                <w:color w:val="auto"/>
              </w:rPr>
              <w:t>Stockholders' equity (deficit):</w:t>
            </w:r>
          </w:p>
        </w:tc>
        <w:tc>
          <w:tcPr>
            <w:tcW w:w="1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02"/>
        </w:trPr>
        <w:tc>
          <w:tcPr>
            <w:tcW w:w="8240" w:type="dxa"/>
            <w:vAlign w:val="bottom"/>
          </w:tcPr>
          <w:p>
            <w:pPr>
              <w:ind w:left="360"/>
              <w:spacing w:after="0" w:line="201" w:lineRule="exact"/>
              <w:rPr>
                <w:sz w:val="20"/>
                <w:szCs w:val="20"/>
                <w:color w:val="auto"/>
              </w:rPr>
            </w:pPr>
            <w:r>
              <w:rPr>
                <w:rFonts w:ascii="Arial" w:cs="Arial" w:eastAsia="Arial" w:hAnsi="Arial"/>
                <w:sz w:val="18"/>
                <w:szCs w:val="18"/>
                <w:color w:val="auto"/>
                <w:w w:val="94"/>
              </w:rPr>
              <w:t>Preferred Stock: 5,000 shares authorized; no shares issued and outstanding at September 30, 2014 and</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240" w:type="dxa"/>
            <w:vAlign w:val="bottom"/>
          </w:tcPr>
          <w:p>
            <w:pPr>
              <w:ind w:left="580"/>
              <w:spacing w:after="0"/>
              <w:rPr>
                <w:sz w:val="20"/>
                <w:szCs w:val="20"/>
                <w:color w:val="auto"/>
              </w:rPr>
            </w:pPr>
            <w:r>
              <w:rPr>
                <w:rFonts w:ascii="Arial" w:cs="Arial" w:eastAsia="Arial" w:hAnsi="Arial"/>
                <w:sz w:val="18"/>
                <w:szCs w:val="18"/>
                <w:color w:val="auto"/>
              </w:rPr>
              <w:t>December 31, 2013, $0.001 par value</w:t>
            </w:r>
          </w:p>
        </w:tc>
        <w:tc>
          <w:tcPr>
            <w:tcW w:w="100" w:type="dxa"/>
            <w:vAlign w:val="bottom"/>
          </w:tcPr>
          <w:p>
            <w:pPr>
              <w:spacing w:after="0"/>
              <w:rPr>
                <w:sz w:val="20"/>
                <w:szCs w:val="20"/>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240" w:type="dxa"/>
            <w:vAlign w:val="bottom"/>
            <w:shd w:val="clear" w:color="auto" w:fill="EEEEEE"/>
          </w:tcPr>
          <w:p>
            <w:pPr>
              <w:ind w:left="360"/>
              <w:spacing w:after="0" w:line="201" w:lineRule="exact"/>
              <w:rPr>
                <w:sz w:val="20"/>
                <w:szCs w:val="20"/>
                <w:color w:val="auto"/>
              </w:rPr>
            </w:pPr>
            <w:r>
              <w:rPr>
                <w:rFonts w:ascii="Arial" w:cs="Arial" w:eastAsia="Arial" w:hAnsi="Arial"/>
                <w:sz w:val="18"/>
                <w:szCs w:val="18"/>
                <w:color w:val="auto"/>
                <w:w w:val="93"/>
              </w:rPr>
              <w:t>Common Stock: 45,000 shares authorized; 14,815 shares issued and outstanding at September 30, 2014,</w:t>
            </w:r>
          </w:p>
        </w:tc>
        <w:tc>
          <w:tcPr>
            <w:tcW w:w="1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30"/>
        </w:trPr>
        <w:tc>
          <w:tcPr>
            <w:tcW w:w="8240" w:type="dxa"/>
            <w:vAlign w:val="bottom"/>
            <w:shd w:val="clear" w:color="auto" w:fill="EEEEEE"/>
          </w:tcPr>
          <w:p>
            <w:pPr>
              <w:ind w:left="580"/>
              <w:spacing w:after="0"/>
              <w:rPr>
                <w:sz w:val="20"/>
                <w:szCs w:val="20"/>
                <w:color w:val="auto"/>
              </w:rPr>
            </w:pPr>
            <w:r>
              <w:rPr>
                <w:rFonts w:ascii="Arial" w:cs="Arial" w:eastAsia="Arial" w:hAnsi="Arial"/>
                <w:sz w:val="18"/>
                <w:szCs w:val="18"/>
                <w:color w:val="auto"/>
                <w:w w:val="98"/>
              </w:rPr>
              <w:t>$0.001 par value; 12,644 shares issued and outstanding at December 31, 2013, $0.001 par value</w:t>
            </w:r>
          </w:p>
        </w:tc>
        <w:tc>
          <w:tcPr>
            <w:tcW w:w="100" w:type="dxa"/>
            <w:vAlign w:val="bottom"/>
            <w:shd w:val="clear" w:color="auto" w:fill="EEEEEE"/>
          </w:tcPr>
          <w:p>
            <w:pPr>
              <w:spacing w:after="0"/>
              <w:rPr>
                <w:sz w:val="20"/>
                <w:szCs w:val="20"/>
                <w:color w:val="auto"/>
              </w:rPr>
            </w:pP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EEEEEE"/>
          </w:tcPr>
          <w:p>
            <w:pPr>
              <w:spacing w:after="0"/>
              <w:rPr>
                <w:sz w:val="20"/>
                <w:szCs w:val="20"/>
                <w:color w:val="auto"/>
              </w:rPr>
            </w:pPr>
          </w:p>
        </w:tc>
      </w:tr>
      <w:tr>
        <w:trPr>
          <w:trHeight w:val="216"/>
        </w:trPr>
        <w:tc>
          <w:tcPr>
            <w:tcW w:w="82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191,439</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144,023</w:t>
            </w:r>
          </w:p>
        </w:tc>
        <w:tc>
          <w:tcPr>
            <w:tcW w:w="80" w:type="dxa"/>
            <w:vAlign w:val="bottom"/>
          </w:tcPr>
          <w:p>
            <w:pPr>
              <w:spacing w:after="0"/>
              <w:rPr>
                <w:sz w:val="18"/>
                <w:szCs w:val="18"/>
                <w:color w:val="auto"/>
              </w:rPr>
            </w:pPr>
          </w:p>
        </w:tc>
      </w:tr>
      <w:tr>
        <w:trPr>
          <w:trHeight w:val="216"/>
        </w:trPr>
        <w:tc>
          <w:tcPr>
            <w:tcW w:w="82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Accumulated other comprehensive gain</w:t>
            </w:r>
          </w:p>
        </w:tc>
        <w:tc>
          <w:tcPr>
            <w:tcW w:w="10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2,109</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2,364</w:t>
            </w:r>
          </w:p>
        </w:tc>
        <w:tc>
          <w:tcPr>
            <w:tcW w:w="80" w:type="dxa"/>
            <w:vAlign w:val="bottom"/>
            <w:shd w:val="clear" w:color="auto" w:fill="EEEEEE"/>
          </w:tcPr>
          <w:p>
            <w:pPr>
              <w:spacing w:after="0"/>
              <w:rPr>
                <w:sz w:val="18"/>
                <w:szCs w:val="18"/>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(79,742)</w:t>
            </w:r>
          </w:p>
        </w:tc>
        <w:tc>
          <w:tcPr>
            <w:tcW w:w="12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(83,323)</w:t>
            </w:r>
          </w:p>
        </w:tc>
      </w:tr>
      <w:tr>
        <w:trPr>
          <w:trHeight w:val="210"/>
        </w:trPr>
        <w:tc>
          <w:tcPr>
            <w:tcW w:w="8240" w:type="dxa"/>
            <w:vAlign w:val="bottom"/>
            <w:tcBorders>
              <w:top w:val="single" w:sz="8" w:color="EEEEEE"/>
            </w:tcBorders>
            <w:shd w:val="clear" w:color="auto" w:fill="EEEEEE"/>
          </w:tcPr>
          <w:p>
            <w:pPr>
              <w:ind w:left="2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113,821</w:t>
            </w:r>
          </w:p>
        </w:tc>
        <w:tc>
          <w:tcPr>
            <w:tcW w:w="3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63,077</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23"/>
        </w:trPr>
        <w:tc>
          <w:tcPr>
            <w:tcW w:w="8240" w:type="dxa"/>
            <w:vAlign w:val="bottom"/>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168,154</w:t>
            </w:r>
          </w:p>
        </w:tc>
        <w:tc>
          <w:tcPr>
            <w:tcW w:w="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111,057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6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89"/>
              </w:rPr>
              <w:t>Three months ended September 30,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EEEEEE"/>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34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32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Revenue, net</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36,549</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20,766</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94,058</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54,680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0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24,403</w:t>
            </w: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14,445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62,071</w:t>
            </w: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38,327</w:t>
            </w:r>
          </w:p>
        </w:tc>
        <w:tc>
          <w:tcPr>
            <w:tcW w:w="0" w:type="dxa"/>
            <w:vAlign w:val="bottom"/>
          </w:tcPr>
          <w:p>
            <w:pPr>
              <w:spacing w:after="0"/>
              <w:rPr>
                <w:sz w:val="1"/>
                <w:szCs w:val="1"/>
                <w:color w:val="auto"/>
              </w:rPr>
            </w:pPr>
          </w:p>
        </w:tc>
      </w:tr>
      <w:tr>
        <w:trPr>
          <w:trHeight w:val="210"/>
        </w:trPr>
        <w:tc>
          <w:tcPr>
            <w:tcW w:w="4820" w:type="dxa"/>
            <w:vAlign w:val="bottom"/>
            <w:tcBorders>
              <w:top w:val="single" w:sz="8" w:color="EEEEEE"/>
            </w:tcBorders>
            <w:shd w:val="clear" w:color="auto" w:fill="EEEEEE"/>
          </w:tcPr>
          <w:p>
            <w:pPr>
              <w:ind w:left="10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12,146</w:t>
            </w:r>
          </w:p>
        </w:tc>
        <w:tc>
          <w:tcPr>
            <w:tcW w:w="3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6,321</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31,987</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16,353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10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4,194</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2,210</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11,749</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6,112</w:t>
            </w:r>
          </w:p>
        </w:tc>
        <w:tc>
          <w:tcPr>
            <w:tcW w:w="0" w:type="dxa"/>
            <w:vAlign w:val="bottom"/>
          </w:tcPr>
          <w:p>
            <w:pPr>
              <w:spacing w:after="0"/>
              <w:rPr>
                <w:sz w:val="1"/>
                <w:szCs w:val="1"/>
                <w:color w:val="auto"/>
              </w:rPr>
            </w:pPr>
          </w:p>
        </w:tc>
      </w:tr>
      <w:tr>
        <w:trPr>
          <w:trHeight w:val="216"/>
        </w:trPr>
        <w:tc>
          <w:tcPr>
            <w:tcW w:w="482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1,622</w:t>
            </w: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4,452</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30"/>
        </w:trPr>
        <w:tc>
          <w:tcPr>
            <w:tcW w:w="48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4,458</w:t>
            </w:r>
          </w:p>
        </w:tc>
        <w:tc>
          <w:tcPr>
            <w:tcW w:w="3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2,436</w:t>
            </w:r>
          </w:p>
        </w:tc>
        <w:tc>
          <w:tcPr>
            <w:tcW w:w="1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11,964</w:t>
            </w:r>
          </w:p>
        </w:tc>
        <w:tc>
          <w:tcPr>
            <w:tcW w:w="3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7,257</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EEEEEE"/>
            </w:tcBorders>
          </w:tcPr>
          <w:p>
            <w:pPr>
              <w:ind w:left="10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10,274</w:t>
            </w:r>
          </w:p>
        </w:tc>
        <w:tc>
          <w:tcPr>
            <w:tcW w:w="34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5,680</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28,165</w:t>
            </w:r>
          </w:p>
        </w:tc>
        <w:tc>
          <w:tcPr>
            <w:tcW w:w="3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16,363</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bottom w:val="single" w:sz="8" w:color="auto"/>
            </w:tcBorders>
            <w:shd w:val="clear" w:color="auto" w:fill="EEEEEE"/>
          </w:tcPr>
          <w:p>
            <w:pPr>
              <w:spacing w:after="0"/>
              <w:rPr>
                <w:sz w:val="18"/>
                <w:szCs w:val="18"/>
                <w:color w:val="auto"/>
              </w:rPr>
            </w:pPr>
          </w:p>
        </w:tc>
        <w:tc>
          <w:tcPr>
            <w:tcW w:w="12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1,872</w:t>
            </w:r>
          </w:p>
        </w:tc>
        <w:tc>
          <w:tcPr>
            <w:tcW w:w="340" w:type="dxa"/>
            <w:vAlign w:val="bottom"/>
            <w:shd w:val="clear" w:color="auto" w:fill="EEEEEE"/>
          </w:tcPr>
          <w:p>
            <w:pPr>
              <w:spacing w:after="0"/>
              <w:rPr>
                <w:sz w:val="18"/>
                <w:szCs w:val="18"/>
                <w:color w:val="auto"/>
              </w:rPr>
            </w:pPr>
          </w:p>
        </w:tc>
        <w:tc>
          <w:tcPr>
            <w:tcW w:w="300" w:type="dxa"/>
            <w:vAlign w:val="bottom"/>
            <w:tcBorders>
              <w:bottom w:val="single" w:sz="8" w:color="auto"/>
            </w:tcBorders>
            <w:shd w:val="clear" w:color="auto" w:fill="EEEEEE"/>
          </w:tcPr>
          <w:p>
            <w:pPr>
              <w:spacing w:after="0"/>
              <w:rPr>
                <w:sz w:val="18"/>
                <w:szCs w:val="18"/>
                <w:color w:val="auto"/>
              </w:rPr>
            </w:pPr>
          </w:p>
        </w:tc>
        <w:tc>
          <w:tcPr>
            <w:tcW w:w="10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641</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tcBorders>
              <w:bottom w:val="single" w:sz="8" w:color="auto"/>
            </w:tcBorders>
            <w:shd w:val="clear" w:color="auto" w:fill="EEEEEE"/>
          </w:tcPr>
          <w:p>
            <w:pPr>
              <w:spacing w:after="0"/>
              <w:rPr>
                <w:sz w:val="18"/>
                <w:szCs w:val="18"/>
                <w:color w:val="auto"/>
              </w:rPr>
            </w:pPr>
          </w:p>
        </w:tc>
        <w:tc>
          <w:tcPr>
            <w:tcW w:w="12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3,822</w:t>
            </w:r>
          </w:p>
        </w:tc>
        <w:tc>
          <w:tcPr>
            <w:tcW w:w="320" w:type="dxa"/>
            <w:vAlign w:val="bottom"/>
            <w:shd w:val="clear" w:color="auto" w:fill="EEEEEE"/>
          </w:tcPr>
          <w:p>
            <w:pPr>
              <w:spacing w:after="0"/>
              <w:rPr>
                <w:sz w:val="18"/>
                <w:szCs w:val="18"/>
                <w:color w:val="auto"/>
              </w:rPr>
            </w:pPr>
          </w:p>
        </w:tc>
        <w:tc>
          <w:tcPr>
            <w:tcW w:w="300" w:type="dxa"/>
            <w:vAlign w:val="bottom"/>
            <w:tcBorders>
              <w:bottom w:val="single" w:sz="8" w:color="auto"/>
            </w:tcBorders>
            <w:shd w:val="clear" w:color="auto" w:fill="EEEEEE"/>
          </w:tcPr>
          <w:p>
            <w:pPr>
              <w:spacing w:after="0"/>
              <w:rPr>
                <w:sz w:val="18"/>
                <w:szCs w:val="18"/>
                <w:color w:val="auto"/>
              </w:rPr>
            </w:pPr>
          </w:p>
        </w:tc>
        <w:tc>
          <w:tcPr>
            <w:tcW w:w="10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4820" w:type="dxa"/>
            <w:vAlign w:val="bottom"/>
          </w:tcPr>
          <w:p>
            <w:pPr>
              <w:ind w:left="100"/>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280</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8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(277)</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30"/>
        </w:trPr>
        <w:tc>
          <w:tcPr>
            <w:tcW w:w="48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expense, net</w:t>
            </w:r>
          </w:p>
        </w:tc>
        <w:tc>
          <w:tcPr>
            <w:tcW w:w="1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(258)</w:t>
            </w:r>
          </w:p>
        </w:tc>
        <w:tc>
          <w:tcPr>
            <w:tcW w:w="3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(57)</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20" w:type="dxa"/>
            <w:vAlign w:val="bottom"/>
          </w:tcPr>
          <w:p>
            <w:pPr>
              <w:ind w:left="100"/>
              <w:spacing w:after="0"/>
              <w:rPr>
                <w:sz w:val="20"/>
                <w:szCs w:val="20"/>
                <w:color w:val="auto"/>
              </w:rPr>
            </w:pPr>
            <w:r>
              <w:rPr>
                <w:rFonts w:ascii="Arial" w:cs="Arial" w:eastAsia="Arial" w:hAnsi="Arial"/>
                <w:sz w:val="18"/>
                <w:szCs w:val="18"/>
                <w:color w:val="auto"/>
              </w:rPr>
              <w:t>Total other expense</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1,654</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391</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3,768</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30"/>
        </w:trPr>
        <w:tc>
          <w:tcPr>
            <w:tcW w:w="4820" w:type="dxa"/>
            <w:vAlign w:val="bottom"/>
          </w:tcPr>
          <w:p>
            <w:pPr>
              <w:ind w:left="10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(187)</w:t>
            </w: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tcBorders>
              <w:top w:val="single" w:sz="8" w:color="EEEEEE"/>
              <w:bottom w:val="single" w:sz="8" w:color="EEEEEE"/>
            </w:tcBorders>
            <w:shd w:val="clear" w:color="auto" w:fill="EEEEEE"/>
          </w:tcPr>
          <w:p>
            <w:pPr>
              <w:ind w:left="10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1,577</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391</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3,581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100"/>
              <w:spacing w:after="0"/>
              <w:rPr>
                <w:sz w:val="20"/>
                <w:szCs w:val="20"/>
                <w:color w:val="auto"/>
              </w:rPr>
            </w:pPr>
            <w:r>
              <w:rPr>
                <w:rFonts w:ascii="Arial" w:cs="Arial" w:eastAsia="Arial" w:hAnsi="Arial"/>
                <w:sz w:val="18"/>
                <w:szCs w:val="18"/>
                <w:color w:val="auto"/>
              </w:rPr>
              <w:t>Net income (loss) per share</w:t>
            </w: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0.11</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0.04</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0.25</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4820" w:type="dxa"/>
            <w:vAlign w:val="bottom"/>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0.10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0.04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0.24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2"/>
        </w:trPr>
        <w:tc>
          <w:tcPr>
            <w:tcW w:w="4820" w:type="dxa"/>
            <w:vAlign w:val="bottom"/>
            <w:shd w:val="clear" w:color="auto" w:fill="EEEEEE"/>
          </w:tcPr>
          <w:p>
            <w:pPr>
              <w:ind w:left="100"/>
              <w:spacing w:after="0" w:line="201" w:lineRule="exact"/>
              <w:rPr>
                <w:sz w:val="20"/>
                <w:szCs w:val="20"/>
                <w:color w:val="auto"/>
              </w:rPr>
            </w:pPr>
            <w:r>
              <w:rPr>
                <w:rFonts w:ascii="Arial" w:cs="Arial" w:eastAsia="Arial" w:hAnsi="Arial"/>
                <w:sz w:val="18"/>
                <w:szCs w:val="18"/>
                <w:color w:val="auto"/>
                <w:w w:val="96"/>
              </w:rPr>
              <w:t>Weighted average shares used to compute net income (loss)</w:t>
            </w:r>
          </w:p>
        </w:tc>
        <w:tc>
          <w:tcPr>
            <w:tcW w:w="1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per share</w:t>
            </w:r>
          </w:p>
        </w:tc>
        <w:tc>
          <w:tcPr>
            <w:tcW w:w="14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8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2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0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14,805,668</w:t>
            </w: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8,995,727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14,135,184</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272,878</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15,594,544</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9,154,602</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14,949,827</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272,878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4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4"/>
              </w:rPr>
              <w:t>Three months ended September 30,</w:t>
            </w:r>
          </w:p>
        </w:tc>
        <w:tc>
          <w:tcPr>
            <w:tcW w:w="140" w:type="dxa"/>
            <w:vAlign w:val="bottom"/>
          </w:tcPr>
          <w:p>
            <w:pPr>
              <w:spacing w:after="0"/>
              <w:rPr>
                <w:sz w:val="20"/>
                <w:szCs w:val="20"/>
                <w:color w:val="auto"/>
              </w:rPr>
            </w:pPr>
          </w:p>
        </w:tc>
        <w:tc>
          <w:tcPr>
            <w:tcW w:w="300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4820" w:type="dxa"/>
            <w:vAlign w:val="bottom"/>
            <w:tcBorders>
              <w:bottom w:val="single" w:sz="8" w:color="EEEEEE"/>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4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360" w:type="dxa"/>
            <w:vAlign w:val="bottom"/>
            <w:tcBorders>
              <w:bottom w:val="single" w:sz="8" w:color="EEEEEE"/>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32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EEEEEE"/>
            </w:tcBorders>
          </w:tcPr>
          <w:p>
            <w:pPr>
              <w:spacing w:after="0"/>
              <w:rPr>
                <w:sz w:val="19"/>
                <w:szCs w:val="19"/>
                <w:color w:val="auto"/>
              </w:rPr>
            </w:pPr>
          </w:p>
        </w:tc>
      </w:tr>
      <w:tr>
        <w:trPr>
          <w:trHeight w:val="210"/>
        </w:trPr>
        <w:tc>
          <w:tcPr>
            <w:tcW w:w="48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Net income (loss)</w:t>
            </w:r>
          </w:p>
        </w:tc>
        <w:tc>
          <w:tcPr>
            <w:tcW w:w="920" w:type="dxa"/>
            <w:vAlign w:val="bottom"/>
            <w:shd w:val="clear" w:color="auto" w:fill="EEEEEE"/>
          </w:tcPr>
          <w:p>
            <w:pPr>
              <w:jc w:val="right"/>
              <w:ind w:right="75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1,577</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391</w:t>
            </w:r>
          </w:p>
        </w:tc>
        <w:tc>
          <w:tcPr>
            <w:tcW w:w="360" w:type="dxa"/>
            <w:vAlign w:val="bottom"/>
            <w:shd w:val="clear" w:color="auto" w:fill="EEEEEE"/>
          </w:tcPr>
          <w:p>
            <w:pPr>
              <w:spacing w:after="0"/>
              <w:rPr>
                <w:sz w:val="18"/>
                <w:szCs w:val="18"/>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3,581</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EEEEEE"/>
          </w:tcPr>
          <w:p>
            <w:pPr>
              <w:spacing w:after="0"/>
              <w:rPr>
                <w:sz w:val="18"/>
                <w:szCs w:val="18"/>
                <w:color w:val="auto"/>
              </w:rPr>
            </w:pPr>
          </w:p>
        </w:tc>
      </w:tr>
      <w:tr>
        <w:trPr>
          <w:trHeight w:val="230"/>
        </w:trPr>
        <w:tc>
          <w:tcPr>
            <w:tcW w:w="4820" w:type="dxa"/>
            <w:vAlign w:val="bottom"/>
          </w:tcPr>
          <w:p>
            <w:pPr>
              <w:ind w:left="100"/>
              <w:spacing w:after="0"/>
              <w:rPr>
                <w:sz w:val="20"/>
                <w:szCs w:val="20"/>
                <w:color w:val="auto"/>
              </w:rPr>
            </w:pPr>
            <w:r>
              <w:rPr>
                <w:rFonts w:ascii="Arial" w:cs="Arial" w:eastAsia="Arial" w:hAnsi="Arial"/>
                <w:sz w:val="18"/>
                <w:szCs w:val="18"/>
                <w:color w:val="auto"/>
              </w:rPr>
              <w:t>Foreign currency translation adjustment, net of tax</w:t>
            </w:r>
          </w:p>
        </w:tc>
        <w:tc>
          <w:tcPr>
            <w:tcW w:w="92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9"/>
                <w:szCs w:val="19"/>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(255)</w:t>
            </w: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305</w:t>
            </w:r>
          </w:p>
        </w:tc>
      </w:tr>
      <w:tr>
        <w:trPr>
          <w:trHeight w:val="223"/>
        </w:trPr>
        <w:tc>
          <w:tcPr>
            <w:tcW w:w="4820" w:type="dxa"/>
            <w:vAlign w:val="bottom"/>
            <w:tcBorders>
              <w:top w:val="single" w:sz="8" w:color="EEEEEE"/>
              <w:bottom w:val="single" w:sz="8" w:color="EEEEEE"/>
            </w:tcBorders>
            <w:shd w:val="clear" w:color="auto" w:fill="EEEEEE"/>
          </w:tcPr>
          <w:p>
            <w:pPr>
              <w:ind w:left="100"/>
              <w:spacing w:after="0"/>
              <w:rPr>
                <w:sz w:val="20"/>
                <w:szCs w:val="20"/>
                <w:color w:val="auto"/>
              </w:rPr>
            </w:pPr>
            <w:r>
              <w:rPr>
                <w:rFonts w:ascii="Arial" w:cs="Arial" w:eastAsia="Arial" w:hAnsi="Arial"/>
                <w:sz w:val="18"/>
                <w:szCs w:val="18"/>
                <w:color w:val="auto"/>
              </w:rPr>
              <w:t>Comprehensive income (loss)</w:t>
            </w:r>
          </w:p>
        </w:tc>
        <w:tc>
          <w:tcPr>
            <w:tcW w:w="920" w:type="dxa"/>
            <w:vAlign w:val="bottom"/>
            <w:tcBorders>
              <w:top w:val="single" w:sz="8" w:color="auto"/>
              <w:bottom w:val="single" w:sz="8" w:color="auto"/>
            </w:tcBorders>
            <w:shd w:val="clear" w:color="auto" w:fill="EEEEEE"/>
          </w:tcPr>
          <w:p>
            <w:pPr>
              <w:jc w:val="right"/>
              <w:ind w:right="75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7"/>
              </w:rPr>
              <w:t>1,462</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457</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3,326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EEEEEE"/>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EEEEEE"/>
          </w:tcPr>
          <w:p>
            <w:pPr>
              <w:ind w:left="100"/>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3,581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82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400"/>
              <w:spacing w:after="0"/>
              <w:rPr>
                <w:sz w:val="20"/>
                <w:szCs w:val="20"/>
                <w:color w:val="auto"/>
              </w:rPr>
            </w:pPr>
            <w:r>
              <w:rPr>
                <w:rFonts w:ascii="Arial" w:cs="Arial" w:eastAsia="Arial" w:hAnsi="Arial"/>
                <w:sz w:val="18"/>
                <w:szCs w:val="18"/>
                <w:color w:val="auto"/>
              </w:rPr>
              <w:t>Provision for obsolete inventory</w:t>
            </w:r>
          </w:p>
        </w:tc>
        <w:tc>
          <w:tcPr>
            <w:tcW w:w="16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1,182</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82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4,349</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16"/>
        </w:trPr>
        <w:tc>
          <w:tcPr>
            <w:tcW w:w="8240" w:type="dxa"/>
            <w:vAlign w:val="bottom"/>
          </w:tcPr>
          <w:p>
            <w:pPr>
              <w:ind w:left="400"/>
              <w:spacing w:after="0"/>
              <w:rPr>
                <w:sz w:val="20"/>
                <w:szCs w:val="20"/>
                <w:color w:val="auto"/>
              </w:rPr>
            </w:pPr>
            <w:r>
              <w:rPr>
                <w:rFonts w:ascii="Arial" w:cs="Arial" w:eastAsia="Arial" w:hAnsi="Arial"/>
                <w:sz w:val="18"/>
                <w:szCs w:val="18"/>
                <w:color w:val="auto"/>
              </w:rPr>
              <w:t>Loss on disposal of assets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Share-based compensation and warrant expense</w:t>
            </w:r>
          </w:p>
        </w:tc>
        <w:tc>
          <w:tcPr>
            <w:tcW w:w="16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1,494</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824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(2,171)</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16"/>
        </w:trPr>
        <w:tc>
          <w:tcPr>
            <w:tcW w:w="8240" w:type="dxa"/>
            <w:vAlign w:val="bottom"/>
          </w:tcPr>
          <w:p>
            <w:pPr>
              <w:ind w:left="40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(15,016)</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(4,389)</w:t>
            </w:r>
          </w:p>
        </w:tc>
        <w:tc>
          <w:tcPr>
            <w:tcW w:w="0" w:type="dxa"/>
            <w:vAlign w:val="bottom"/>
          </w:tcPr>
          <w:p>
            <w:pPr>
              <w:spacing w:after="0"/>
              <w:rPr>
                <w:sz w:val="1"/>
                <w:szCs w:val="1"/>
                <w:color w:val="auto"/>
              </w:rPr>
            </w:pPr>
          </w:p>
        </w:tc>
      </w:tr>
      <w:tr>
        <w:trPr>
          <w:trHeight w:val="216"/>
        </w:trPr>
        <w:tc>
          <w:tcPr>
            <w:tcW w:w="82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(2,404)</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16"/>
        </w:trPr>
        <w:tc>
          <w:tcPr>
            <w:tcW w:w="824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9,137</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30"/>
        </w:trPr>
        <w:tc>
          <w:tcPr>
            <w:tcW w:w="82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487</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0"/>
        </w:trPr>
        <w:tc>
          <w:tcPr>
            <w:tcW w:w="8240" w:type="dxa"/>
            <w:vAlign w:val="bottom"/>
            <w:tcBorders>
              <w:bottom w:val="single" w:sz="8" w:color="EEEEEE"/>
            </w:tcBorders>
          </w:tcPr>
          <w:p>
            <w:pPr>
              <w:ind w:left="10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34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(2,454</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8240" w:type="dxa"/>
            <w:vAlign w:val="bottom"/>
            <w:shd w:val="clear" w:color="auto" w:fill="EEEEEE"/>
          </w:tcPr>
          <w:p>
            <w:pPr>
              <w:ind w:left="100"/>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240"/>
              <w:spacing w:after="0"/>
              <w:rPr>
                <w:sz w:val="20"/>
                <w:szCs w:val="20"/>
                <w:color w:val="auto"/>
              </w:rPr>
            </w:pPr>
            <w:r>
              <w:rPr>
                <w:rFonts w:ascii="Arial" w:cs="Arial" w:eastAsia="Arial" w:hAnsi="Arial"/>
                <w:sz w:val="18"/>
                <w:szCs w:val="18"/>
                <w:color w:val="auto"/>
              </w:rPr>
              <w:t>Purchase of short-term investments</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Purchase of property, plant and equipment</w:t>
            </w:r>
          </w:p>
        </w:tc>
        <w:tc>
          <w:tcPr>
            <w:tcW w:w="16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(24,773)</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16"/>
        </w:trPr>
        <w:tc>
          <w:tcPr>
            <w:tcW w:w="8240" w:type="dxa"/>
            <w:vAlign w:val="bottom"/>
          </w:tcPr>
          <w:p>
            <w:pPr>
              <w:ind w:left="240"/>
              <w:spacing w:after="0"/>
              <w:rPr>
                <w:sz w:val="20"/>
                <w:szCs w:val="20"/>
                <w:color w:val="auto"/>
              </w:rPr>
            </w:pPr>
            <w:r>
              <w:rPr>
                <w:rFonts w:ascii="Arial" w:cs="Arial" w:eastAsia="Arial" w:hAnsi="Arial"/>
                <w:sz w:val="18"/>
                <w:szCs w:val="18"/>
                <w:color w:val="auto"/>
              </w:rPr>
              <w:t>Proceeds from disposal of equipment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Deposits and deferred charges</w:t>
            </w:r>
          </w:p>
        </w:tc>
        <w:tc>
          <w:tcPr>
            <w:tcW w:w="16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(1,034)</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Purchase of intangible assets</w:t>
            </w:r>
          </w:p>
        </w:tc>
        <w:tc>
          <w:tcPr>
            <w:tcW w:w="16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(3,237)</w:t>
            </w:r>
          </w:p>
        </w:tc>
        <w:tc>
          <w:tcPr>
            <w:tcW w:w="3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8240" w:type="dxa"/>
            <w:vAlign w:val="bottom"/>
            <w:tcBorders>
              <w:top w:val="single" w:sz="8" w:color="EEEEEE"/>
            </w:tcBorders>
            <w:shd w:val="clear" w:color="auto" w:fill="EEEEEE"/>
          </w:tcPr>
          <w:p>
            <w:pPr>
              <w:ind w:left="10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(29,052</w:t>
            </w:r>
          </w:p>
        </w:tc>
        <w:tc>
          <w:tcPr>
            <w:tcW w:w="340" w:type="dxa"/>
            <w:vAlign w:val="bottom"/>
            <w:tcBorders>
              <w:top w:val="single" w:sz="8" w:color="EEEEEE"/>
            </w:tcBorders>
            <w:shd w:val="clear" w:color="auto" w:fill="EEEEEE"/>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(4,817</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8240" w:type="dxa"/>
            <w:vAlign w:val="bottom"/>
          </w:tcPr>
          <w:p>
            <w:pPr>
              <w:ind w:left="10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Proceeds from issuance of notes payable and long-term debt</w:t>
            </w:r>
          </w:p>
        </w:tc>
        <w:tc>
          <w:tcPr>
            <w:tcW w:w="16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3,150</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2,851</w:t>
            </w:r>
          </w:p>
        </w:tc>
        <w:tc>
          <w:tcPr>
            <w:tcW w:w="0" w:type="dxa"/>
            <w:vAlign w:val="bottom"/>
          </w:tcPr>
          <w:p>
            <w:pPr>
              <w:spacing w:after="0"/>
              <w:rPr>
                <w:sz w:val="1"/>
                <w:szCs w:val="1"/>
                <w:color w:val="auto"/>
              </w:rPr>
            </w:pPr>
          </w:p>
        </w:tc>
      </w:tr>
      <w:tr>
        <w:trPr>
          <w:trHeight w:val="216"/>
        </w:trPr>
        <w:tc>
          <w:tcPr>
            <w:tcW w:w="8240" w:type="dxa"/>
            <w:vAlign w:val="bottom"/>
          </w:tcPr>
          <w:p>
            <w:pPr>
              <w:ind w:left="240"/>
              <w:spacing w:after="0"/>
              <w:rPr>
                <w:sz w:val="20"/>
                <w:szCs w:val="20"/>
                <w:color w:val="auto"/>
              </w:rPr>
            </w:pPr>
            <w:r>
              <w:rPr>
                <w:rFonts w:ascii="Arial" w:cs="Arial" w:eastAsia="Arial" w:hAnsi="Arial"/>
                <w:sz w:val="18"/>
                <w:szCs w:val="18"/>
                <w:color w:val="auto"/>
              </w:rPr>
              <w:t>Principal payments of long-term debt and notes payable</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(8,076)</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82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Proceeds from line of credit borrowings</w:t>
            </w:r>
          </w:p>
        </w:tc>
        <w:tc>
          <w:tcPr>
            <w:tcW w:w="16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30,294</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16,159</w:t>
            </w:r>
          </w:p>
        </w:tc>
        <w:tc>
          <w:tcPr>
            <w:tcW w:w="0" w:type="dxa"/>
            <w:vAlign w:val="bottom"/>
          </w:tcPr>
          <w:p>
            <w:pPr>
              <w:spacing w:after="0"/>
              <w:rPr>
                <w:sz w:val="1"/>
                <w:szCs w:val="1"/>
                <w:color w:val="auto"/>
              </w:rPr>
            </w:pPr>
          </w:p>
        </w:tc>
      </w:tr>
      <w:tr>
        <w:trPr>
          <w:trHeight w:val="216"/>
        </w:trPr>
        <w:tc>
          <w:tcPr>
            <w:tcW w:w="8240" w:type="dxa"/>
            <w:vAlign w:val="bottom"/>
          </w:tcPr>
          <w:p>
            <w:pPr>
              <w:ind w:left="240"/>
              <w:spacing w:after="0"/>
              <w:rPr>
                <w:sz w:val="20"/>
                <w:szCs w:val="20"/>
                <w:color w:val="auto"/>
              </w:rPr>
            </w:pPr>
            <w:r>
              <w:rPr>
                <w:rFonts w:ascii="Arial" w:cs="Arial" w:eastAsia="Arial" w:hAnsi="Arial"/>
                <w:sz w:val="18"/>
                <w:szCs w:val="18"/>
                <w:color w:val="auto"/>
              </w:rPr>
              <w:t>Repayments of line of credit borrowings</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(27,924)</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(15,406)</w:t>
            </w:r>
          </w:p>
        </w:tc>
        <w:tc>
          <w:tcPr>
            <w:tcW w:w="0" w:type="dxa"/>
            <w:vAlign w:val="bottom"/>
          </w:tcPr>
          <w:p>
            <w:pPr>
              <w:spacing w:after="0"/>
              <w:rPr>
                <w:sz w:val="1"/>
                <w:szCs w:val="1"/>
                <w:color w:val="auto"/>
              </w:rPr>
            </w:pPr>
          </w:p>
        </w:tc>
      </w:tr>
      <w:tr>
        <w:trPr>
          <w:trHeight w:val="216"/>
        </w:trPr>
        <w:tc>
          <w:tcPr>
            <w:tcW w:w="82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Proceeds from bank acceptance payable</w:t>
            </w:r>
          </w:p>
        </w:tc>
        <w:tc>
          <w:tcPr>
            <w:tcW w:w="16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5,337</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216"/>
        </w:trPr>
        <w:tc>
          <w:tcPr>
            <w:tcW w:w="8240" w:type="dxa"/>
            <w:vAlign w:val="bottom"/>
          </w:tcPr>
          <w:p>
            <w:pPr>
              <w:ind w:left="240"/>
              <w:spacing w:after="0"/>
              <w:rPr>
                <w:sz w:val="20"/>
                <w:szCs w:val="20"/>
                <w:color w:val="auto"/>
              </w:rPr>
            </w:pPr>
            <w:r>
              <w:rPr>
                <w:rFonts w:ascii="Arial" w:cs="Arial" w:eastAsia="Arial" w:hAnsi="Arial"/>
                <w:sz w:val="18"/>
                <w:szCs w:val="18"/>
                <w:color w:val="auto"/>
              </w:rPr>
              <w:t>Repayments of bank acceptance payable</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(5,545)</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(3,282)</w:t>
            </w:r>
          </w:p>
        </w:tc>
        <w:tc>
          <w:tcPr>
            <w:tcW w:w="0" w:type="dxa"/>
            <w:vAlign w:val="bottom"/>
          </w:tcPr>
          <w:p>
            <w:pPr>
              <w:spacing w:after="0"/>
              <w:rPr>
                <w:sz w:val="1"/>
                <w:szCs w:val="1"/>
                <w:color w:val="auto"/>
              </w:rPr>
            </w:pPr>
          </w:p>
        </w:tc>
      </w:tr>
      <w:tr>
        <w:trPr>
          <w:trHeight w:val="216"/>
        </w:trPr>
        <w:tc>
          <w:tcPr>
            <w:tcW w:w="82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Increase in restricted cash</w:t>
            </w:r>
          </w:p>
        </w:tc>
        <w:tc>
          <w:tcPr>
            <w:tcW w:w="16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(21)</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8240" w:type="dxa"/>
            <w:vAlign w:val="bottom"/>
          </w:tcPr>
          <w:p>
            <w:pPr>
              <w:ind w:left="240"/>
              <w:spacing w:after="0"/>
              <w:rPr>
                <w:sz w:val="20"/>
                <w:szCs w:val="20"/>
                <w:color w:val="auto"/>
              </w:rPr>
            </w:pPr>
            <w:r>
              <w:rPr>
                <w:rFonts w:ascii="Arial" w:cs="Arial" w:eastAsia="Arial" w:hAnsi="Arial"/>
                <w:sz w:val="18"/>
                <w:szCs w:val="18"/>
                <w:color w:val="auto"/>
              </w:rPr>
              <w:t>Exercise of stock options</w:t>
            </w:r>
          </w:p>
        </w:tc>
        <w:tc>
          <w:tcPr>
            <w:tcW w:w="16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310</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82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Exercise of warrants</w:t>
            </w:r>
          </w:p>
        </w:tc>
        <w:tc>
          <w:tcPr>
            <w:tcW w:w="16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Proceeds from public offering, net</w:t>
            </w:r>
          </w:p>
        </w:tc>
        <w:tc>
          <w:tcPr>
            <w:tcW w:w="160" w:type="dxa"/>
            <w:vAlign w:val="bottom"/>
          </w:tcPr>
          <w:p>
            <w:pPr>
              <w:spacing w:after="0"/>
              <w:rPr>
                <w:sz w:val="19"/>
                <w:szCs w:val="19"/>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45,630</w:t>
            </w:r>
          </w:p>
        </w:tc>
        <w:tc>
          <w:tcPr>
            <w:tcW w:w="3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10"/>
        </w:trPr>
        <w:tc>
          <w:tcPr>
            <w:tcW w:w="8240" w:type="dxa"/>
            <w:vAlign w:val="bottom"/>
            <w:tcBorders>
              <w:top w:val="single" w:sz="8" w:color="EEEEEE"/>
            </w:tcBorders>
            <w:shd w:val="clear" w:color="auto" w:fill="EEEEEE"/>
          </w:tcPr>
          <w:p>
            <w:pPr>
              <w:ind w:left="10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43,155</w:t>
            </w:r>
          </w:p>
        </w:tc>
        <w:tc>
          <w:tcPr>
            <w:tcW w:w="3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3,695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40" w:type="dxa"/>
            <w:vAlign w:val="bottom"/>
            <w:tcBorders>
              <w:bottom w:val="single" w:sz="8" w:color="EEEEEE"/>
            </w:tcBorders>
          </w:tcPr>
          <w:p>
            <w:pPr>
              <w:ind w:left="2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340" w:type="dxa"/>
            <w:vAlign w:val="bottom"/>
            <w:tcBorders>
              <w:bottom w:val="single" w:sz="8" w:color="EEEEEE"/>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EEEEEE"/>
          </w:tcPr>
          <w:p>
            <w:pPr>
              <w:ind w:left="100"/>
              <w:spacing w:after="0"/>
              <w:rPr>
                <w:sz w:val="20"/>
                <w:szCs w:val="20"/>
                <w:color w:val="auto"/>
              </w:rPr>
            </w:pPr>
            <w:r>
              <w:rPr>
                <w:rFonts w:ascii="Arial" w:cs="Arial" w:eastAsia="Arial" w:hAnsi="Arial"/>
                <w:sz w:val="18"/>
                <w:szCs w:val="18"/>
                <w:color w:val="auto"/>
              </w:rPr>
              <w:t>Net increase (decrease) in cash</w:t>
            </w:r>
          </w:p>
        </w:tc>
        <w:tc>
          <w:tcPr>
            <w:tcW w:w="16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15,028</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(3,398)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0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19"/>
                <w:szCs w:val="19"/>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22,006</w:t>
            </w: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10,723</w:t>
            </w:r>
          </w:p>
        </w:tc>
        <w:tc>
          <w:tcPr>
            <w:tcW w:w="0" w:type="dxa"/>
            <w:vAlign w:val="bottom"/>
          </w:tcPr>
          <w:p>
            <w:pPr>
              <w:spacing w:after="0"/>
              <w:rPr>
                <w:sz w:val="1"/>
                <w:szCs w:val="1"/>
                <w:color w:val="auto"/>
              </w:rPr>
            </w:pPr>
          </w:p>
        </w:tc>
      </w:tr>
      <w:tr>
        <w:trPr>
          <w:trHeight w:val="223"/>
        </w:trPr>
        <w:tc>
          <w:tcPr>
            <w:tcW w:w="8240" w:type="dxa"/>
            <w:vAlign w:val="bottom"/>
            <w:tcBorders>
              <w:top w:val="single" w:sz="8" w:color="EEEEEE"/>
              <w:bottom w:val="single" w:sz="8" w:color="EEEEEE"/>
            </w:tcBorders>
            <w:shd w:val="clear" w:color="auto" w:fill="EEEEEE"/>
          </w:tcPr>
          <w:p>
            <w:pPr>
              <w:ind w:left="10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37,034</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7,325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ind w:left="100"/>
              <w:spacing w:after="0"/>
              <w:rPr>
                <w:sz w:val="20"/>
                <w:szCs w:val="20"/>
                <w:color w:val="auto"/>
              </w:rPr>
            </w:pPr>
            <w:r>
              <w:rPr>
                <w:rFonts w:ascii="Arial" w:cs="Arial" w:eastAsia="Arial" w:hAnsi="Arial"/>
                <w:sz w:val="18"/>
                <w:szCs w:val="18"/>
                <w:color w:val="auto"/>
              </w:rPr>
              <w:t>Supplemental disclosure of cash flow information:</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Cash paid for:</w:t>
            </w:r>
          </w:p>
        </w:tc>
        <w:tc>
          <w:tcPr>
            <w:tcW w:w="1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10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306</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8240" w:type="dxa"/>
            <w:vAlign w:val="bottom"/>
            <w:shd w:val="clear" w:color="auto" w:fill="EEEEEE"/>
          </w:tcPr>
          <w:p>
            <w:pPr>
              <w:ind w:left="100"/>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148</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Overview</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Applied Optoelectronics, Inc., or AOI, was originally incorporated in Texas in February of 1997 and then converted to a Delaware corporation in March of 2013. AOI together with its wholly-owned subsidiaries are collectively referred to as the Company. The Company is a leading, vertically integrated provider of fiber-optic networking products, primarily for three networking end-markets: cable television, fiber-to-the-home and internet data centers. The Company designs and manufactures a wide range of optical communications products at varying levels of integration, from components, subassemblies and modules to complete turn-key equipment.</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Company has manufacturing and research and development facilities in all three of its locations, located in the U.S., Taiwan and China. At its corporate headquarters and manufacturing facilities in Sugar Land, Texas, the Company primarily manufactures lasers and laser components and performs research and development activities for laser component products. The Company operates a division in Taipei, Taiwan that primarily manufactures transceivers for both the data center and FTTH markets and performs research and development activities for the transceiver products. The Company operates in Ningbo, China through its wholly-owned subsidiary Prime World International Holdings, Ltd. (incorporated in the British Virgin Islands), the sole parent of Global Technology, Inc. (incorporated in the People’s Republic of China). Through Global Technology, the Company primarily manufactures Cable TV Broadband (“CATV”) systems and equipment and performs research and development activities for the CATV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Statements</w:t>
      </w:r>
    </w:p>
    <w:p>
      <w:pPr>
        <w:spacing w:after="0" w:line="22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condensed consolidated financial statements of the Company, as of September 30, 2014 and December 31, 2013 and for the three and nine months ended September 30, 2014 and 2013, have been prepared in accordance with the instructions on Form 10-Q pursuant to the rules and regulations of the Securities and Exchange Commission (“SEC”). In accordance with those rules and regulations, the Company has omitted certain information and notes normally provided in the Company’s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but does not include all disclosures required by U.S. generally accepted accounting principles (“GAAP”). These condensed consolidated financial statements should be read in conjunction with the Consolidated Financial Statements and Notes thereto included in the Company’s Annual Report on Form 10-K (“Annual Report”) for the fiscal year ended December 31, 2013. The results of operations for the three and nine months ended September 30, 2014 are not necessarily indicative of the results expected for the entire fiscal year. All significant intercompany accounts and transactions have been eliminated.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and the accompanying notes relate to, among other things, allowance for doubtful accounts, valuation allowances for deferred tax assets, inventory reserve, share-based compensation expense, estimated useful lives of property and equipment, and taxes.</w:t>
      </w:r>
    </w:p>
    <w:p>
      <w:pPr>
        <w:spacing w:after="0" w:line="15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Significant Accounting Policies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There have been no changes in the Company’s significant accounting policies for the three months ended September 30, 2014, as compared to the significant accounting policies described in its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No.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(“ASU 2014-09”). The standard provides companies with a single model for use in accounting for revenue arising from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with customers and supersedes current revenue recognition guidance, including industry-specific revenue guidance. The core principle of the model is to recognize revenue when control of the goods or services transfers to the customer, as opposed to recognizing revenue when the risks and rewards transfer to the customer under the existing revenue guidance. ASU 2014-09 is effective for annual reporting periods beginning after December 15, 2016. Early adoption is not permitted. The guidance permits companies to either apply the requirements retrospectively to all prior periods presented, or apply the requirements in the year of adoption, through a cumulative adjustment. The Company is in the process of evaluating the impact of adoption on its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spacing w:after="0"/>
        <w:tabs>
          <w:tab w:leader="none" w:pos="7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Fair Value of Financial Instruments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presents a summary of the Company’s financial instruments measured at fair value on a recurring basis for the periods indicated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0"/>
              </w:rPr>
              <w:t>As of September 30, 2014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As of December 31, 2013</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ind w:left="8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(Level 1)</w:t>
            </w:r>
          </w:p>
        </w:tc>
        <w:tc>
          <w:tcPr>
            <w:tcW w:w="10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1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840" w:type="dxa"/>
            <w:vAlign w:val="bottom"/>
            <w:tcBorders>
              <w:top w:val="single" w:sz="8" w:color="auto"/>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72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74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100"/>
              <w:spacing w:after="0"/>
              <w:rPr>
                <w:sz w:val="20"/>
                <w:szCs w:val="20"/>
                <w:color w:val="auto"/>
              </w:rPr>
            </w:pPr>
            <w:r>
              <w:rPr>
                <w:rFonts w:ascii="Arial" w:cs="Arial" w:eastAsia="Arial" w:hAnsi="Arial"/>
                <w:sz w:val="18"/>
                <w:szCs w:val="18"/>
                <w:color w:val="auto"/>
              </w:rPr>
              <w:t>Short term investments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7,958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661"/>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7,958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7,970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7,970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7,958</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820" w:type="dxa"/>
            <w:vAlign w:val="bottom"/>
            <w:tcBorders>
              <w:top w:val="single" w:sz="8" w:color="auto"/>
              <w:bottom w:val="single" w:sz="8" w:color="auto"/>
            </w:tcBorders>
            <w:shd w:val="clear" w:color="auto" w:fill="EEEEEE"/>
          </w:tcPr>
          <w:p>
            <w:pPr>
              <w:jc w:val="right"/>
              <w:ind w:right="661"/>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EEEEEE"/>
          </w:tcPr>
          <w:p>
            <w:pPr>
              <w:ind w:left="2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EEEEEE"/>
          </w:tcPr>
          <w:p>
            <w:pPr>
              <w:ind w:left="320"/>
              <w:spacing w:after="0"/>
              <w:rPr>
                <w:sz w:val="20"/>
                <w:szCs w:val="20"/>
                <w:color w:val="auto"/>
              </w:rPr>
            </w:pPr>
            <w:r>
              <w:rPr>
                <w:rFonts w:ascii="Arial" w:cs="Arial" w:eastAsia="Arial" w:hAnsi="Arial"/>
                <w:sz w:val="18"/>
                <w:szCs w:val="18"/>
                <w:color w:val="auto"/>
                <w:w w:val="84"/>
              </w:rPr>
              <w:t>7,958</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7,970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EEEEEE"/>
          </w:tcPr>
          <w:p>
            <w:pPr>
              <w:ind w:left="72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7,970</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1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EEEEEE"/>
          </w:tcPr>
          <w:p>
            <w:pPr>
              <w:ind w:left="100"/>
              <w:spacing w:after="0"/>
              <w:rPr>
                <w:sz w:val="20"/>
                <w:szCs w:val="20"/>
                <w:color w:val="auto"/>
              </w:rPr>
            </w:pPr>
            <w:r>
              <w:rPr>
                <w:rFonts w:ascii="Arial" w:cs="Arial" w:eastAsia="Arial" w:hAnsi="Arial"/>
                <w:sz w:val="18"/>
                <w:szCs w:val="18"/>
                <w:color w:val="auto"/>
                <w:w w:val="99"/>
              </w:rPr>
              <w:t>Bank acceptance payable</w:t>
            </w:r>
          </w:p>
        </w:tc>
        <w:tc>
          <w:tcPr>
            <w:tcW w:w="2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2,115</w:t>
            </w:r>
          </w:p>
        </w:tc>
        <w:tc>
          <w:tcPr>
            <w:tcW w:w="820" w:type="dxa"/>
            <w:vAlign w:val="bottom"/>
            <w:shd w:val="clear" w:color="auto" w:fill="EEEEEE"/>
          </w:tcPr>
          <w:p>
            <w:pPr>
              <w:spacing w:after="0"/>
              <w:rPr>
                <w:sz w:val="19"/>
                <w:szCs w:val="19"/>
                <w:color w:val="auto"/>
              </w:rPr>
            </w:pPr>
          </w:p>
        </w:tc>
        <w:tc>
          <w:tcPr>
            <w:tcW w:w="3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840" w:type="dxa"/>
            <w:vAlign w:val="bottom"/>
            <w:gridSpan w:val="2"/>
            <w:shd w:val="clear" w:color="auto" w:fill="EEEEEE"/>
          </w:tcPr>
          <w:p>
            <w:pPr>
              <w:ind w:left="340"/>
              <w:spacing w:after="0"/>
              <w:rPr>
                <w:sz w:val="20"/>
                <w:szCs w:val="20"/>
                <w:color w:val="auto"/>
              </w:rPr>
            </w:pPr>
            <w:r>
              <w:rPr>
                <w:rFonts w:ascii="Arial" w:cs="Arial" w:eastAsia="Arial" w:hAnsi="Arial"/>
                <w:sz w:val="18"/>
                <w:szCs w:val="18"/>
                <w:color w:val="auto"/>
              </w:rPr>
              <w:t>2,115</w:t>
            </w: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2,347</w:t>
            </w:r>
          </w:p>
        </w:tc>
        <w:tc>
          <w:tcPr>
            <w:tcW w:w="10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ind w:left="7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2,347</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80" w:type="dxa"/>
            <w:vAlign w:val="bottom"/>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w:t>
            </w: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79"/>
              </w:rPr>
              <w:t>2,115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2,347</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carrying value amounts of accounts receivable, prepaid expenses and other current assets, borrowings from our credit facility, accounts payable, accrued expenses and other current liabilities approximate fair value because of the short-term maturity of these instruments.</w:t>
      </w:r>
    </w:p>
    <w:p>
      <w:pPr>
        <w:spacing w:after="0" w:line="14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Basic net income (loss) per share has been computed using the weighted-average number of shares of common stock outstanding during the period. Diluted net income (loss) per share has been computed using the weighted-average number of shares of common stock and dilutive potential common shares from options and warrants outstanding during the period. In periods with net losses, normally dilutive shares become anti-dilutive, and therefore for those periods basic and dilutive earnings per share are the same.</w:t>
      </w:r>
    </w:p>
    <w:p>
      <w:pPr>
        <w:spacing w:after="0" w:line="18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sets forth the computation of the basic and diluted net loss per share for the periods indicated (in thousands, except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28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4"/>
              </w:rPr>
              <w:t>Three months ended September 30,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48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r>
      <w:tr>
        <w:trPr>
          <w:trHeight w:val="210"/>
        </w:trPr>
        <w:tc>
          <w:tcPr>
            <w:tcW w:w="4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Numerator:</w:t>
            </w: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4820" w:type="dxa"/>
            <w:vAlign w:val="bottom"/>
          </w:tcPr>
          <w:p>
            <w:pPr>
              <w:ind w:left="100"/>
              <w:spacing w:after="0"/>
              <w:rPr>
                <w:sz w:val="20"/>
                <w:szCs w:val="20"/>
                <w:color w:val="auto"/>
              </w:rPr>
            </w:pPr>
            <w:r>
              <w:rPr>
                <w:rFonts w:ascii="Arial" w:cs="Arial" w:eastAsia="Arial" w:hAnsi="Arial"/>
                <w:sz w:val="18"/>
                <w:szCs w:val="18"/>
                <w:color w:val="auto"/>
              </w:rPr>
              <w:t>Net income (loss)</w:t>
            </w:r>
          </w:p>
        </w:tc>
        <w:tc>
          <w:tcPr>
            <w:tcW w:w="880" w:type="dxa"/>
            <w:vAlign w:val="bottom"/>
          </w:tcPr>
          <w:p>
            <w:pPr>
              <w:jc w:val="right"/>
              <w:ind w:right="719"/>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1,577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391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3,581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(885)</w:t>
            </w:r>
          </w:p>
        </w:tc>
      </w:tr>
      <w:tr>
        <w:trPr>
          <w:trHeight w:val="210"/>
        </w:trPr>
        <w:tc>
          <w:tcPr>
            <w:tcW w:w="4820" w:type="dxa"/>
            <w:vAlign w:val="bottom"/>
            <w:tcBorders>
              <w:top w:val="single" w:sz="8" w:color="EEEEEE"/>
            </w:tcBorders>
            <w:shd w:val="clear" w:color="auto" w:fill="EEEEEE"/>
          </w:tcPr>
          <w:p>
            <w:pPr>
              <w:ind w:left="100"/>
              <w:spacing w:after="0"/>
              <w:rPr>
                <w:sz w:val="20"/>
                <w:szCs w:val="20"/>
                <w:color w:val="auto"/>
              </w:rPr>
            </w:pPr>
            <w:r>
              <w:rPr>
                <w:rFonts w:ascii="Arial" w:cs="Arial" w:eastAsia="Arial" w:hAnsi="Arial"/>
                <w:sz w:val="18"/>
                <w:szCs w:val="18"/>
                <w:color w:val="auto"/>
              </w:rPr>
              <w:t>Denominator:</w:t>
            </w:r>
          </w:p>
        </w:tc>
        <w:tc>
          <w:tcPr>
            <w:tcW w:w="880" w:type="dxa"/>
            <w:vAlign w:val="bottom"/>
            <w:tcBorders>
              <w:top w:val="single" w:sz="8" w:color="auto"/>
            </w:tcBorders>
            <w:shd w:val="clear" w:color="auto" w:fill="EEEEEE"/>
          </w:tcPr>
          <w:p>
            <w:pPr>
              <w:spacing w:after="0"/>
              <w:rPr>
                <w:sz w:val="18"/>
                <w:szCs w:val="18"/>
                <w:color w:val="auto"/>
              </w:rPr>
            </w:pPr>
          </w:p>
        </w:tc>
        <w:tc>
          <w:tcPr>
            <w:tcW w:w="50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02"/>
        </w:trPr>
        <w:tc>
          <w:tcPr>
            <w:tcW w:w="4820" w:type="dxa"/>
            <w:vAlign w:val="bottom"/>
          </w:tcPr>
          <w:p>
            <w:pPr>
              <w:ind w:left="100"/>
              <w:spacing w:after="0" w:line="201" w:lineRule="exact"/>
              <w:rPr>
                <w:sz w:val="20"/>
                <w:szCs w:val="20"/>
                <w:color w:val="auto"/>
              </w:rPr>
            </w:pPr>
            <w:r>
              <w:rPr>
                <w:rFonts w:ascii="Arial" w:cs="Arial" w:eastAsia="Arial" w:hAnsi="Arial"/>
                <w:sz w:val="18"/>
                <w:szCs w:val="18"/>
                <w:color w:val="auto"/>
                <w:w w:val="96"/>
              </w:rPr>
              <w:t>Weighted average shares used to compute net income (loss)</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820" w:type="dxa"/>
            <w:vAlign w:val="bottom"/>
          </w:tcPr>
          <w:p>
            <w:pPr>
              <w:ind w:left="240"/>
              <w:spacing w:after="0"/>
              <w:rPr>
                <w:sz w:val="20"/>
                <w:szCs w:val="20"/>
                <w:color w:val="auto"/>
              </w:rPr>
            </w:pPr>
            <w:r>
              <w:rPr>
                <w:rFonts w:ascii="Arial" w:cs="Arial" w:eastAsia="Arial" w:hAnsi="Arial"/>
                <w:sz w:val="18"/>
                <w:szCs w:val="18"/>
                <w:color w:val="auto"/>
              </w:rPr>
              <w:t>per share</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8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Basic</w:t>
            </w:r>
          </w:p>
        </w:tc>
        <w:tc>
          <w:tcPr>
            <w:tcW w:w="8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7"/>
              </w:rPr>
              <w:t>14,806</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8,995</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14,135</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273</w:t>
            </w:r>
          </w:p>
        </w:tc>
      </w:tr>
      <w:tr>
        <w:trPr>
          <w:trHeight w:val="230"/>
        </w:trPr>
        <w:tc>
          <w:tcPr>
            <w:tcW w:w="4820" w:type="dxa"/>
            <w:vAlign w:val="bottom"/>
          </w:tcPr>
          <w:p>
            <w:pPr>
              <w:ind w:left="240"/>
              <w:spacing w:after="0"/>
              <w:rPr>
                <w:sz w:val="20"/>
                <w:szCs w:val="20"/>
                <w:color w:val="auto"/>
              </w:rPr>
            </w:pPr>
            <w:r>
              <w:rPr>
                <w:rFonts w:ascii="Arial" w:cs="Arial" w:eastAsia="Arial" w:hAnsi="Arial"/>
                <w:sz w:val="18"/>
                <w:szCs w:val="18"/>
                <w:color w:val="auto"/>
              </w:rPr>
              <w:t>Effective of dilutive options and warrants</w:t>
            </w:r>
          </w:p>
        </w:tc>
        <w:tc>
          <w:tcPr>
            <w:tcW w:w="88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789</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815</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820" w:type="dxa"/>
            <w:vAlign w:val="bottom"/>
            <w:tcBorders>
              <w:top w:val="single" w:sz="8" w:color="EEEEEE"/>
            </w:tcBorders>
            <w:shd w:val="clear" w:color="auto" w:fill="EEEEEE"/>
          </w:tcPr>
          <w:p>
            <w:pPr>
              <w:ind w:left="240"/>
              <w:spacing w:after="0"/>
              <w:rPr>
                <w:sz w:val="20"/>
                <w:szCs w:val="20"/>
                <w:color w:val="auto"/>
              </w:rPr>
            </w:pPr>
            <w:r>
              <w:rPr>
                <w:rFonts w:ascii="Arial" w:cs="Arial" w:eastAsia="Arial" w:hAnsi="Arial"/>
                <w:sz w:val="18"/>
                <w:szCs w:val="18"/>
                <w:color w:val="auto"/>
              </w:rPr>
              <w:t>Diluted</w:t>
            </w:r>
          </w:p>
        </w:tc>
        <w:tc>
          <w:tcPr>
            <w:tcW w:w="880" w:type="dxa"/>
            <w:vAlign w:val="bottom"/>
            <w:tcBorders>
              <w:top w:val="single" w:sz="8" w:color="auto"/>
            </w:tcBorders>
            <w:shd w:val="clear" w:color="auto" w:fill="EEEEEE"/>
          </w:tcPr>
          <w:p>
            <w:pPr>
              <w:spacing w:after="0"/>
              <w:rPr>
                <w:sz w:val="18"/>
                <w:szCs w:val="18"/>
                <w:color w:val="auto"/>
              </w:rPr>
            </w:pPr>
          </w:p>
        </w:tc>
        <w:tc>
          <w:tcPr>
            <w:tcW w:w="5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15,595</w:t>
            </w:r>
          </w:p>
        </w:tc>
        <w:tc>
          <w:tcPr>
            <w:tcW w:w="3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9,155</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14,950</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820" w:type="dxa"/>
            <w:vAlign w:val="bottom"/>
          </w:tcPr>
          <w:p>
            <w:pPr>
              <w:ind w:left="100"/>
              <w:spacing w:after="0"/>
              <w:rPr>
                <w:sz w:val="20"/>
                <w:szCs w:val="20"/>
                <w:color w:val="auto"/>
              </w:rPr>
            </w:pPr>
            <w:r>
              <w:rPr>
                <w:rFonts w:ascii="Arial" w:cs="Arial" w:eastAsia="Arial" w:hAnsi="Arial"/>
                <w:sz w:val="18"/>
                <w:szCs w:val="18"/>
                <w:color w:val="auto"/>
              </w:rPr>
              <w:t>Net income (loss) per share</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Basic</w:t>
            </w:r>
          </w:p>
        </w:tc>
        <w:tc>
          <w:tcPr>
            <w:tcW w:w="880" w:type="dxa"/>
            <w:vAlign w:val="bottom"/>
            <w:shd w:val="clear" w:color="auto" w:fill="EEEEEE"/>
          </w:tcPr>
          <w:p>
            <w:pPr>
              <w:jc w:val="right"/>
              <w:ind w:right="719"/>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0.11</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0.04</w:t>
            </w:r>
          </w:p>
        </w:tc>
        <w:tc>
          <w:tcPr>
            <w:tcW w:w="3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0.25</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(3.24)</w:t>
            </w:r>
          </w:p>
        </w:tc>
      </w:tr>
      <w:tr>
        <w:trPr>
          <w:trHeight w:val="230"/>
        </w:trPr>
        <w:tc>
          <w:tcPr>
            <w:tcW w:w="4820" w:type="dxa"/>
            <w:vAlign w:val="bottom"/>
          </w:tcPr>
          <w:p>
            <w:pPr>
              <w:ind w:left="240"/>
              <w:spacing w:after="0"/>
              <w:rPr>
                <w:sz w:val="20"/>
                <w:szCs w:val="20"/>
                <w:color w:val="auto"/>
              </w:rPr>
            </w:pPr>
            <w:r>
              <w:rPr>
                <w:rFonts w:ascii="Arial" w:cs="Arial" w:eastAsia="Arial" w:hAnsi="Arial"/>
                <w:sz w:val="18"/>
                <w:szCs w:val="18"/>
                <w:color w:val="auto"/>
              </w:rPr>
              <w:t>Diluted</w:t>
            </w:r>
          </w:p>
        </w:tc>
        <w:tc>
          <w:tcPr>
            <w:tcW w:w="880" w:type="dxa"/>
            <w:vAlign w:val="bottom"/>
          </w:tcPr>
          <w:p>
            <w:pPr>
              <w:jc w:val="right"/>
              <w:ind w:right="719"/>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0.10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0.04</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0.24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(3.24)</w:t>
            </w:r>
          </w:p>
        </w:tc>
      </w:tr>
    </w:tbl>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potentially dilutive securities were excluded from the computation of diluted net income (loss) per share as their effect would have been anti-dilutive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460" w:type="dxa"/>
            <w:vAlign w:val="bottom"/>
            <w:gridSpan w:val="4"/>
          </w:tcPr>
          <w:p>
            <w:pPr>
              <w:ind w:left="180"/>
              <w:spacing w:after="0"/>
              <w:rPr>
                <w:sz w:val="20"/>
                <w:szCs w:val="20"/>
                <w:color w:val="auto"/>
              </w:rPr>
            </w:pPr>
            <w:r>
              <w:rPr>
                <w:rFonts w:ascii="Arial" w:cs="Arial" w:eastAsia="Arial" w:hAnsi="Arial"/>
                <w:sz w:val="18"/>
                <w:szCs w:val="18"/>
                <w:b w:val="1"/>
                <w:bCs w:val="1"/>
                <w:color w:val="auto"/>
              </w:rPr>
              <w:t>Three months ended September 30,</w:t>
            </w:r>
          </w:p>
        </w:tc>
        <w:tc>
          <w:tcPr>
            <w:tcW w:w="3140" w:type="dxa"/>
            <w:vAlign w:val="bottom"/>
            <w:gridSpan w:val="5"/>
          </w:tcPr>
          <w:p>
            <w:pPr>
              <w:ind w:left="200"/>
              <w:spacing w:after="0"/>
              <w:rPr>
                <w:sz w:val="20"/>
                <w:szCs w:val="20"/>
                <w:color w:val="auto"/>
              </w:rPr>
            </w:pPr>
            <w:r>
              <w:rPr>
                <w:rFonts w:ascii="Arial" w:cs="Arial" w:eastAsia="Arial" w:hAnsi="Arial"/>
                <w:sz w:val="18"/>
                <w:szCs w:val="18"/>
                <w:b w:val="1"/>
                <w:bCs w:val="1"/>
                <w:color w:val="auto"/>
                <w:w w:val="98"/>
              </w:rPr>
              <w:t>Nine months ended September 30,</w:t>
            </w:r>
          </w:p>
        </w:tc>
      </w:tr>
      <w:tr>
        <w:trPr>
          <w:trHeight w:val="223"/>
        </w:trPr>
        <w:tc>
          <w:tcPr>
            <w:tcW w:w="4820" w:type="dxa"/>
            <w:vAlign w:val="bottom"/>
          </w:tcPr>
          <w:p>
            <w:pPr>
              <w:spacing w:after="0"/>
              <w:rPr>
                <w:sz w:val="19"/>
                <w:szCs w:val="19"/>
                <w:color w:val="auto"/>
              </w:rPr>
            </w:pPr>
          </w:p>
        </w:tc>
        <w:tc>
          <w:tcPr>
            <w:tcW w:w="13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top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360" w:type="dxa"/>
            <w:vAlign w:val="bottom"/>
          </w:tcPr>
          <w:p>
            <w:pPr>
              <w:spacing w:after="0"/>
              <w:rPr>
                <w:sz w:val="19"/>
                <w:szCs w:val="19"/>
                <w:color w:val="auto"/>
              </w:rPr>
            </w:pPr>
          </w:p>
        </w:tc>
        <w:tc>
          <w:tcPr>
            <w:tcW w:w="13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top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Employee stock options</w:t>
            </w:r>
          </w:p>
        </w:tc>
        <w:tc>
          <w:tcPr>
            <w:tcW w:w="1720" w:type="dxa"/>
            <w:vAlign w:val="bottom"/>
            <w:gridSpan w:val="2"/>
            <w:shd w:val="clear" w:color="auto" w:fill="EEEEEE"/>
          </w:tcPr>
          <w:p>
            <w:pPr>
              <w:ind w:left="12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1,347</w:t>
            </w:r>
          </w:p>
        </w:tc>
        <w:tc>
          <w:tcPr>
            <w:tcW w:w="1680" w:type="dxa"/>
            <w:vAlign w:val="bottom"/>
            <w:gridSpan w:val="2"/>
            <w:shd w:val="clear" w:color="auto" w:fill="EEEEEE"/>
          </w:tcPr>
          <w:p>
            <w:pPr>
              <w:ind w:left="1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1,484</w:t>
            </w:r>
          </w:p>
        </w:tc>
        <w:tc>
          <w:tcPr>
            <w:tcW w:w="80" w:type="dxa"/>
            <w:vAlign w:val="bottom"/>
            <w:shd w:val="clear" w:color="auto" w:fill="EEEEEE"/>
          </w:tcPr>
          <w:p>
            <w:pPr>
              <w:spacing w:after="0"/>
              <w:rPr>
                <w:sz w:val="18"/>
                <w:szCs w:val="18"/>
                <w:color w:val="auto"/>
              </w:rPr>
            </w:pPr>
          </w:p>
        </w:tc>
      </w:tr>
      <w:tr>
        <w:trPr>
          <w:trHeight w:val="216"/>
        </w:trPr>
        <w:tc>
          <w:tcPr>
            <w:tcW w:w="4820" w:type="dxa"/>
            <w:vAlign w:val="bottom"/>
          </w:tcPr>
          <w:p>
            <w:pPr>
              <w:ind w:left="100"/>
              <w:spacing w:after="0"/>
              <w:rPr>
                <w:sz w:val="20"/>
                <w:szCs w:val="20"/>
                <w:color w:val="auto"/>
              </w:rPr>
            </w:pPr>
            <w:r>
              <w:rPr>
                <w:rFonts w:ascii="Arial" w:cs="Arial" w:eastAsia="Arial" w:hAnsi="Arial"/>
                <w:sz w:val="18"/>
                <w:szCs w:val="18"/>
                <w:color w:val="auto"/>
              </w:rPr>
              <w:t>Preferred stock warrants</w:t>
            </w:r>
          </w:p>
        </w:tc>
        <w:tc>
          <w:tcPr>
            <w:tcW w:w="17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168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r>
      <w:tr>
        <w:trPr>
          <w:trHeight w:val="230"/>
        </w:trPr>
        <w:tc>
          <w:tcPr>
            <w:tcW w:w="48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Restricted stock units</w:t>
            </w:r>
          </w:p>
        </w:tc>
        <w:tc>
          <w:tcPr>
            <w:tcW w:w="1720" w:type="dxa"/>
            <w:vAlign w:val="bottom"/>
            <w:gridSpan w:val="2"/>
            <w:shd w:val="clear" w:color="auto" w:fill="EEEEEE"/>
          </w:tcPr>
          <w:p>
            <w:pPr>
              <w:ind w:left="12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EEEEE"/>
          </w:tcPr>
          <w:p>
            <w:pPr>
              <w:ind w:left="126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820" w:type="dxa"/>
            <w:vAlign w:val="bottom"/>
          </w:tcPr>
          <w:p>
            <w:pPr>
              <w:spacing w:after="0"/>
              <w:rPr>
                <w:sz w:val="19"/>
                <w:szCs w:val="19"/>
                <w:color w:val="auto"/>
              </w:rPr>
            </w:pPr>
          </w:p>
        </w:tc>
        <w:tc>
          <w:tcPr>
            <w:tcW w:w="1380" w:type="dxa"/>
            <w:vAlign w:val="bottom"/>
            <w:tcBorders>
              <w:top w:val="single" w:sz="8" w:color="auto"/>
              <w:bottom w:val="single" w:sz="8" w:color="auto"/>
            </w:tcBorders>
          </w:tcPr>
          <w:p>
            <w:pPr>
              <w:ind w:left="1280"/>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360" w:type="dxa"/>
            <w:vAlign w:val="bottom"/>
          </w:tcPr>
          <w:p>
            <w:pPr>
              <w:spacing w:after="0"/>
              <w:rPr>
                <w:sz w:val="19"/>
                <w:szCs w:val="19"/>
                <w:color w:val="auto"/>
              </w:rPr>
            </w:pPr>
          </w:p>
        </w:tc>
        <w:tc>
          <w:tcPr>
            <w:tcW w:w="136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 of the following for the periods indicated (in thousands):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240" w:type="dxa"/>
            <w:vAlign w:val="bottom"/>
            <w:tcBorders>
              <w:bottom w:val="single" w:sz="8" w:color="EEEEEE"/>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EEEEE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EEEEEE"/>
            </w:tcBorders>
          </w:tcPr>
          <w:p>
            <w:pPr>
              <w:spacing w:after="0"/>
              <w:rPr>
                <w:sz w:val="20"/>
                <w:szCs w:val="20"/>
                <w:color w:val="auto"/>
              </w:rPr>
            </w:pPr>
          </w:p>
        </w:tc>
        <w:tc>
          <w:tcPr>
            <w:tcW w:w="80" w:type="dxa"/>
            <w:vAlign w:val="bottom"/>
            <w:tcBorders>
              <w:bottom w:val="single" w:sz="8" w:color="EEEEEE"/>
            </w:tcBorders>
          </w:tcPr>
          <w:p>
            <w:pPr>
              <w:spacing w:after="0"/>
              <w:rPr>
                <w:sz w:val="20"/>
                <w:szCs w:val="20"/>
                <w:color w:val="auto"/>
              </w:rPr>
            </w:pPr>
          </w:p>
        </w:tc>
      </w:tr>
      <w:tr>
        <w:trPr>
          <w:trHeight w:val="210"/>
        </w:trPr>
        <w:tc>
          <w:tcPr>
            <w:tcW w:w="82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4,824</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8,832</w:t>
            </w: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8240" w:type="dxa"/>
            <w:vAlign w:val="bottom"/>
          </w:tcPr>
          <w:p>
            <w:pPr>
              <w:ind w:left="240"/>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14,957</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8,708</w:t>
            </w:r>
          </w:p>
        </w:tc>
        <w:tc>
          <w:tcPr>
            <w:tcW w:w="80" w:type="dxa"/>
            <w:vAlign w:val="bottom"/>
          </w:tcPr>
          <w:p>
            <w:pPr>
              <w:spacing w:after="0"/>
              <w:rPr>
                <w:sz w:val="18"/>
                <w:szCs w:val="18"/>
                <w:color w:val="auto"/>
              </w:rPr>
            </w:pPr>
          </w:p>
        </w:tc>
      </w:tr>
      <w:tr>
        <w:trPr>
          <w:trHeight w:val="230"/>
        </w:trPr>
        <w:tc>
          <w:tcPr>
            <w:tcW w:w="82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13,348</w:t>
            </w:r>
          </w:p>
        </w:tc>
        <w:tc>
          <w:tcPr>
            <w:tcW w:w="1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2,068</w:t>
            </w:r>
          </w:p>
        </w:tc>
        <w:tc>
          <w:tcPr>
            <w:tcW w:w="80" w:type="dxa"/>
            <w:vAlign w:val="bottom"/>
            <w:shd w:val="clear" w:color="auto" w:fill="EEEEEE"/>
          </w:tcPr>
          <w:p>
            <w:pPr>
              <w:spacing w:after="0"/>
              <w:rPr>
                <w:sz w:val="19"/>
                <w:szCs w:val="19"/>
                <w:color w:val="auto"/>
              </w:rPr>
            </w:pPr>
          </w:p>
        </w:tc>
      </w:tr>
      <w:tr>
        <w:trPr>
          <w:trHeight w:val="223"/>
        </w:trPr>
        <w:tc>
          <w:tcPr>
            <w:tcW w:w="8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33,129</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lower of cost or market adjustment expensed for inventory for the three months ended September 30, 2014 and 2013 was $0.4 million and $0.1 million, respectively. The lower of cost or market adjustment expensed for inventory for the nine months ended September 30, 2014 and 2013 was $1.1 million and $0.5 million, respectively.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Arial" w:cs="Arial" w:eastAsia="Arial" w:hAnsi="Arial"/>
                <w:sz w:val="18"/>
                <w:szCs w:val="18"/>
                <w:b w:val="1"/>
                <w:bCs w:val="1"/>
                <w:color w:val="auto"/>
              </w:rPr>
              <w:t>Note 6.   Property, Plant &amp; Equipment</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240" w:type="dxa"/>
            <w:vAlign w:val="bottom"/>
          </w:tcPr>
          <w:p>
            <w:pPr>
              <w:ind w:left="660"/>
              <w:spacing w:after="0"/>
              <w:rPr>
                <w:sz w:val="20"/>
                <w:szCs w:val="20"/>
                <w:color w:val="auto"/>
              </w:rPr>
            </w:pPr>
            <w:r>
              <w:rPr>
                <w:rFonts w:ascii="Arial" w:cs="Arial" w:eastAsia="Arial" w:hAnsi="Arial"/>
                <w:sz w:val="18"/>
                <w:szCs w:val="18"/>
                <w:color w:val="auto"/>
                <w:w w:val="98"/>
              </w:rPr>
              <w:t>Property, plant and equipment consisted of the following for the periods indicated (in thousands):</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8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0"/>
              </w:rPr>
              <w:t>September 30,</w:t>
            </w:r>
          </w:p>
        </w:tc>
        <w:tc>
          <w:tcPr>
            <w:tcW w:w="12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240" w:type="dxa"/>
            <w:vAlign w:val="bottom"/>
            <w:tcBorders>
              <w:bottom w:val="single" w:sz="8" w:color="EEEEEE"/>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EEEEE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EEEEEE"/>
            </w:tcBorders>
          </w:tcPr>
          <w:p>
            <w:pPr>
              <w:spacing w:after="0"/>
              <w:rPr>
                <w:sz w:val="20"/>
                <w:szCs w:val="20"/>
                <w:color w:val="auto"/>
              </w:rPr>
            </w:pPr>
          </w:p>
        </w:tc>
        <w:tc>
          <w:tcPr>
            <w:tcW w:w="80" w:type="dxa"/>
            <w:vAlign w:val="bottom"/>
            <w:tcBorders>
              <w:bottom w:val="single" w:sz="8" w:color="EEEEEE"/>
            </w:tcBorders>
          </w:tcPr>
          <w:p>
            <w:pPr>
              <w:spacing w:after="0"/>
              <w:rPr>
                <w:sz w:val="20"/>
                <w:szCs w:val="20"/>
                <w:color w:val="auto"/>
              </w:rPr>
            </w:pPr>
          </w:p>
        </w:tc>
      </w:tr>
      <w:tr>
        <w:trPr>
          <w:trHeight w:val="210"/>
        </w:trPr>
        <w:tc>
          <w:tcPr>
            <w:tcW w:w="82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Land improvements</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w:t>
            </w: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8240" w:type="dxa"/>
            <w:vAlign w:val="bottom"/>
          </w:tcPr>
          <w:p>
            <w:pPr>
              <w:ind w:left="240"/>
              <w:spacing w:after="0"/>
              <w:rPr>
                <w:sz w:val="20"/>
                <w:szCs w:val="20"/>
                <w:color w:val="auto"/>
              </w:rPr>
            </w:pPr>
            <w:r>
              <w:rPr>
                <w:rFonts w:ascii="Arial" w:cs="Arial" w:eastAsia="Arial" w:hAnsi="Arial"/>
                <w:sz w:val="18"/>
                <w:szCs w:val="18"/>
                <w:color w:val="auto"/>
              </w:rPr>
              <w:t>Building and improvements</w:t>
            </w:r>
          </w:p>
        </w:tc>
        <w:tc>
          <w:tcPr>
            <w:tcW w:w="1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16,104</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16,016</w:t>
            </w:r>
          </w:p>
        </w:tc>
        <w:tc>
          <w:tcPr>
            <w:tcW w:w="80" w:type="dxa"/>
            <w:vAlign w:val="bottom"/>
          </w:tcPr>
          <w:p>
            <w:pPr>
              <w:spacing w:after="0"/>
              <w:rPr>
                <w:sz w:val="18"/>
                <w:szCs w:val="18"/>
                <w:color w:val="auto"/>
              </w:rPr>
            </w:pPr>
          </w:p>
        </w:tc>
      </w:tr>
      <w:tr>
        <w:trPr>
          <w:trHeight w:val="216"/>
        </w:trPr>
        <w:tc>
          <w:tcPr>
            <w:tcW w:w="82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Machinery and equipment</w:t>
            </w:r>
          </w:p>
        </w:tc>
        <w:tc>
          <w:tcPr>
            <w:tcW w:w="10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52,694</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37,490</w:t>
            </w:r>
          </w:p>
        </w:tc>
        <w:tc>
          <w:tcPr>
            <w:tcW w:w="80" w:type="dxa"/>
            <w:vAlign w:val="bottom"/>
            <w:shd w:val="clear" w:color="auto" w:fill="EEEEEE"/>
          </w:tcPr>
          <w:p>
            <w:pPr>
              <w:spacing w:after="0"/>
              <w:rPr>
                <w:sz w:val="18"/>
                <w:szCs w:val="18"/>
                <w:color w:val="auto"/>
              </w:rPr>
            </w:pPr>
          </w:p>
        </w:tc>
      </w:tr>
      <w:tr>
        <w:trPr>
          <w:trHeight w:val="216"/>
        </w:trPr>
        <w:tc>
          <w:tcPr>
            <w:tcW w:w="8240" w:type="dxa"/>
            <w:vAlign w:val="bottom"/>
          </w:tcPr>
          <w:p>
            <w:pPr>
              <w:ind w:left="240"/>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18"/>
                <w:szCs w:val="18"/>
                <w:color w:val="auto"/>
              </w:rPr>
            </w:pPr>
          </w:p>
        </w:tc>
      </w:tr>
      <w:tr>
        <w:trPr>
          <w:trHeight w:val="216"/>
        </w:trPr>
        <w:tc>
          <w:tcPr>
            <w:tcW w:w="82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Computer equipment and software</w:t>
            </w:r>
          </w:p>
        </w:tc>
        <w:tc>
          <w:tcPr>
            <w:tcW w:w="10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4,567</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3,563</w:t>
            </w:r>
          </w:p>
        </w:tc>
        <w:tc>
          <w:tcPr>
            <w:tcW w:w="80" w:type="dxa"/>
            <w:vAlign w:val="bottom"/>
            <w:shd w:val="clear" w:color="auto" w:fill="EEEEEE"/>
          </w:tcPr>
          <w:p>
            <w:pPr>
              <w:spacing w:after="0"/>
              <w:rPr>
                <w:sz w:val="18"/>
                <w:szCs w:val="18"/>
                <w:color w:val="auto"/>
              </w:rPr>
            </w:pP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Transportation equipment</w:t>
            </w:r>
          </w:p>
        </w:tc>
        <w:tc>
          <w:tcPr>
            <w:tcW w:w="100" w:type="dxa"/>
            <w:vAlign w:val="bottom"/>
          </w:tcPr>
          <w:p>
            <w:pPr>
              <w:spacing w:after="0"/>
              <w:rPr>
                <w:sz w:val="19"/>
                <w:szCs w:val="19"/>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9"/>
                <w:szCs w:val="19"/>
                <w:color w:val="auto"/>
              </w:rPr>
            </w:pPr>
          </w:p>
        </w:tc>
      </w:tr>
      <w:tr>
        <w:trPr>
          <w:trHeight w:val="210"/>
        </w:trPr>
        <w:tc>
          <w:tcPr>
            <w:tcW w:w="82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75,190</w:t>
            </w:r>
          </w:p>
        </w:tc>
        <w:tc>
          <w:tcPr>
            <w:tcW w:w="3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58,407</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(30,977)</w:t>
            </w:r>
          </w:p>
        </w:tc>
        <w:tc>
          <w:tcPr>
            <w:tcW w:w="12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(28,145)</w:t>
            </w:r>
          </w:p>
        </w:tc>
      </w:tr>
      <w:tr>
        <w:trPr>
          <w:trHeight w:val="210"/>
        </w:trPr>
        <w:tc>
          <w:tcPr>
            <w:tcW w:w="82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44,213</w:t>
            </w:r>
          </w:p>
        </w:tc>
        <w:tc>
          <w:tcPr>
            <w:tcW w:w="3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30,262</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8240" w:type="dxa"/>
            <w:vAlign w:val="bottom"/>
          </w:tcPr>
          <w:p>
            <w:pPr>
              <w:ind w:left="240"/>
              <w:spacing w:after="0"/>
              <w:rPr>
                <w:sz w:val="20"/>
                <w:szCs w:val="20"/>
                <w:color w:val="auto"/>
              </w:rPr>
            </w:pPr>
            <w:r>
              <w:rPr>
                <w:rFonts w:ascii="Arial" w:cs="Arial" w:eastAsia="Arial" w:hAnsi="Arial"/>
                <w:sz w:val="18"/>
                <w:szCs w:val="18"/>
                <w:color w:val="auto"/>
              </w:rPr>
              <w:t>Construction in progress</w:t>
            </w:r>
          </w:p>
        </w:tc>
        <w:tc>
          <w:tcPr>
            <w:tcW w:w="1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5,953</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r>
      <w:tr>
        <w:trPr>
          <w:trHeight w:val="230"/>
        </w:trPr>
        <w:tc>
          <w:tcPr>
            <w:tcW w:w="82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1,101</w:t>
            </w:r>
          </w:p>
        </w:tc>
        <w:tc>
          <w:tcPr>
            <w:tcW w:w="1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733</w:t>
            </w:r>
          </w:p>
        </w:tc>
        <w:tc>
          <w:tcPr>
            <w:tcW w:w="80" w:type="dxa"/>
            <w:vAlign w:val="bottom"/>
            <w:shd w:val="clear" w:color="auto" w:fill="EEEEEE"/>
          </w:tcPr>
          <w:p>
            <w:pPr>
              <w:spacing w:after="0"/>
              <w:rPr>
                <w:sz w:val="19"/>
                <w:szCs w:val="19"/>
                <w:color w:val="auto"/>
              </w:rPr>
            </w:pPr>
          </w:p>
        </w:tc>
      </w:tr>
      <w:tr>
        <w:trPr>
          <w:trHeight w:val="223"/>
        </w:trPr>
        <w:tc>
          <w:tcPr>
            <w:tcW w:w="8240" w:type="dxa"/>
            <w:vAlign w:val="bottom"/>
          </w:tcPr>
          <w:p>
            <w:pPr>
              <w:ind w:left="24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51,267</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31,134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For the three and nine months ended September 30, 2014, depreciation expense of property, plant and equipment was $1.6 million and $4.1 million,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Note 7.   Notes Payable and Long-Term Debt</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40" w:type="dxa"/>
            <w:vAlign w:val="bottom"/>
            <w:gridSpan w:val="2"/>
          </w:tcPr>
          <w:p>
            <w:pPr>
              <w:ind w:left="660"/>
              <w:spacing w:after="0"/>
              <w:rPr>
                <w:sz w:val="20"/>
                <w:szCs w:val="20"/>
                <w:color w:val="auto"/>
              </w:rPr>
            </w:pPr>
            <w:r>
              <w:rPr>
                <w:rFonts w:ascii="Arial" w:cs="Arial" w:eastAsia="Arial" w:hAnsi="Arial"/>
                <w:sz w:val="18"/>
                <w:szCs w:val="18"/>
                <w:color w:val="auto"/>
                <w:w w:val="94"/>
              </w:rPr>
              <w:t>Notes payable and long-term debt consisted of the following for the periods indicated (in thousands):</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8240" w:type="dxa"/>
            <w:vAlign w:val="bottom"/>
            <w:gridSpan w:val="2"/>
            <w:vMerge w:val="restart"/>
          </w:tcPr>
          <w:p>
            <w:pPr>
              <w:ind w:left="2720"/>
              <w:spacing w:after="0"/>
              <w:rPr>
                <w:sz w:val="20"/>
                <w:szCs w:val="20"/>
                <w:color w:val="auto"/>
              </w:rPr>
            </w:pPr>
            <w:r>
              <w:rPr>
                <w:rFonts w:ascii="Arial" w:cs="Arial" w:eastAsia="Arial" w:hAnsi="Arial"/>
                <w:sz w:val="18"/>
                <w:szCs w:val="18"/>
                <w:b w:val="1"/>
                <w:bCs w:val="1"/>
                <w:color w:val="auto"/>
              </w:rPr>
              <w:t>Long-Term and Short-Term Debt</w:t>
            </w: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00" w:type="dxa"/>
            <w:vAlign w:val="bottom"/>
            <w:tcBorders>
              <w:top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w w:val="92"/>
              </w:rPr>
              <w:t>Term loan with a U.S. bank with monthly payments of principal and interest at prime plus 0.75% (floor rate:</w:t>
            </w:r>
          </w:p>
        </w:tc>
        <w:tc>
          <w:tcPr>
            <w:tcW w:w="240" w:type="dxa"/>
            <w:vAlign w:val="bottom"/>
            <w:tcBorders>
              <w:top w:val="single" w:sz="8" w:color="EEEEEE"/>
            </w:tcBorders>
            <w:shd w:val="clear" w:color="auto" w:fill="EEEEEE"/>
          </w:tcPr>
          <w:p>
            <w:pPr>
              <w:spacing w:after="0"/>
              <w:rPr>
                <w:sz w:val="16"/>
                <w:szCs w:val="16"/>
                <w:color w:val="auto"/>
              </w:rPr>
            </w:pPr>
          </w:p>
        </w:tc>
        <w:tc>
          <w:tcPr>
            <w:tcW w:w="100" w:type="dxa"/>
            <w:vAlign w:val="bottom"/>
            <w:tcBorders>
              <w:top w:val="single" w:sz="8" w:color="EEEEEE"/>
            </w:tcBorders>
            <w:shd w:val="clear" w:color="auto" w:fill="EEEEEE"/>
          </w:tcPr>
          <w:p>
            <w:pPr>
              <w:spacing w:after="0"/>
              <w:rPr>
                <w:sz w:val="16"/>
                <w:szCs w:val="16"/>
                <w:color w:val="auto"/>
              </w:rPr>
            </w:pPr>
          </w:p>
        </w:tc>
        <w:tc>
          <w:tcPr>
            <w:tcW w:w="1280" w:type="dxa"/>
            <w:vAlign w:val="bottom"/>
            <w:tcBorders>
              <w:top w:val="single" w:sz="8" w:color="EEEEEE"/>
            </w:tcBorders>
            <w:shd w:val="clear" w:color="auto" w:fill="EEEEEE"/>
          </w:tcPr>
          <w:p>
            <w:pPr>
              <w:spacing w:after="0"/>
              <w:rPr>
                <w:sz w:val="16"/>
                <w:szCs w:val="16"/>
                <w:color w:val="auto"/>
              </w:rPr>
            </w:pPr>
          </w:p>
        </w:tc>
        <w:tc>
          <w:tcPr>
            <w:tcW w:w="340" w:type="dxa"/>
            <w:vAlign w:val="bottom"/>
            <w:tcBorders>
              <w:top w:val="single" w:sz="8" w:color="EEEEEE"/>
            </w:tcBorders>
            <w:shd w:val="clear" w:color="auto" w:fill="EEEEEE"/>
          </w:tcPr>
          <w:p>
            <w:pPr>
              <w:spacing w:after="0"/>
              <w:rPr>
                <w:sz w:val="16"/>
                <w:szCs w:val="16"/>
                <w:color w:val="auto"/>
              </w:rPr>
            </w:pPr>
          </w:p>
        </w:tc>
        <w:tc>
          <w:tcPr>
            <w:tcW w:w="120" w:type="dxa"/>
            <w:vAlign w:val="bottom"/>
            <w:tcBorders>
              <w:top w:val="single" w:sz="8" w:color="EEEEEE"/>
            </w:tcBorders>
            <w:shd w:val="clear" w:color="auto" w:fill="EEEEEE"/>
          </w:tcPr>
          <w:p>
            <w:pPr>
              <w:spacing w:after="0"/>
              <w:rPr>
                <w:sz w:val="16"/>
                <w:szCs w:val="16"/>
                <w:color w:val="auto"/>
              </w:rPr>
            </w:pPr>
          </w:p>
        </w:tc>
        <w:tc>
          <w:tcPr>
            <w:tcW w:w="1240" w:type="dxa"/>
            <w:vAlign w:val="bottom"/>
            <w:tcBorders>
              <w:top w:val="single" w:sz="8" w:color="EEEEEE"/>
            </w:tcBorders>
            <w:shd w:val="clear" w:color="auto" w:fill="EEEEEE"/>
          </w:tcPr>
          <w:p>
            <w:pPr>
              <w:spacing w:after="0"/>
              <w:rPr>
                <w:sz w:val="16"/>
                <w:szCs w:val="16"/>
                <w:color w:val="auto"/>
              </w:rPr>
            </w:pPr>
          </w:p>
        </w:tc>
        <w:tc>
          <w:tcPr>
            <w:tcW w:w="100" w:type="dxa"/>
            <w:vAlign w:val="bottom"/>
            <w:tcBorders>
              <w:top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4%), maturing November 15, 2014</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02"/>
        </w:trPr>
        <w:tc>
          <w:tcPr>
            <w:tcW w:w="82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Revolving line of credit with a U.S. bank up to $15,000 with interest at LIBOR plus 2.75%, maturing</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gridSpan w:val="2"/>
          </w:tcPr>
          <w:p>
            <w:pPr>
              <w:ind w:left="240"/>
              <w:spacing w:after="0"/>
              <w:rPr>
                <w:sz w:val="20"/>
                <w:szCs w:val="20"/>
                <w:color w:val="auto"/>
              </w:rPr>
            </w:pPr>
            <w:r>
              <w:rPr>
                <w:rFonts w:ascii="Arial" w:cs="Arial" w:eastAsia="Arial" w:hAnsi="Arial"/>
                <w:sz w:val="18"/>
                <w:szCs w:val="18"/>
                <w:color w:val="auto"/>
              </w:rPr>
              <w:t>July 15, 2017</w:t>
            </w:r>
          </w:p>
        </w:tc>
        <w:tc>
          <w:tcPr>
            <w:tcW w:w="100" w:type="dxa"/>
            <w:vAlign w:val="bottom"/>
          </w:tcPr>
          <w:p>
            <w:pPr>
              <w:spacing w:after="0"/>
              <w:rPr>
                <w:sz w:val="20"/>
                <w:szCs w:val="20"/>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14,000</w:t>
            </w:r>
          </w:p>
        </w:tc>
        <w:tc>
          <w:tcPr>
            <w:tcW w:w="1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02"/>
        </w:trPr>
        <w:tc>
          <w:tcPr>
            <w:tcW w:w="8240" w:type="dxa"/>
            <w:vAlign w:val="bottom"/>
            <w:gridSpan w:val="2"/>
            <w:shd w:val="clear" w:color="auto" w:fill="EEEEEE"/>
          </w:tcPr>
          <w:p>
            <w:pPr>
              <w:ind w:left="100"/>
              <w:spacing w:after="0" w:line="201" w:lineRule="exact"/>
              <w:rPr>
                <w:sz w:val="20"/>
                <w:szCs w:val="20"/>
                <w:color w:val="auto"/>
              </w:rPr>
            </w:pPr>
            <w:r>
              <w:rPr>
                <w:rFonts w:ascii="Arial" w:cs="Arial" w:eastAsia="Arial" w:hAnsi="Arial"/>
                <w:sz w:val="18"/>
                <w:szCs w:val="18"/>
                <w:color w:val="auto"/>
                <w:w w:val="95"/>
              </w:rPr>
              <w:t>Term loan with a U.S. bank with monthly payments of principal and interest at LIBOR plus 2.75%, maturing</w:t>
            </w:r>
          </w:p>
        </w:tc>
        <w:tc>
          <w:tcPr>
            <w:tcW w:w="1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July 1, 2019</w:t>
            </w:r>
          </w:p>
        </w:tc>
        <w:tc>
          <w:tcPr>
            <w:tcW w:w="100" w:type="dxa"/>
            <w:vAlign w:val="bottom"/>
            <w:shd w:val="clear" w:color="auto" w:fill="EEEEEE"/>
          </w:tcPr>
          <w:p>
            <w:pPr>
              <w:spacing w:after="0"/>
              <w:rPr>
                <w:sz w:val="20"/>
                <w:szCs w:val="20"/>
                <w:color w:val="auto"/>
              </w:rPr>
            </w:pPr>
          </w:p>
        </w:tc>
        <w:tc>
          <w:tcPr>
            <w:tcW w:w="16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02"/>
        </w:trPr>
        <w:tc>
          <w:tcPr>
            <w:tcW w:w="824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8"/>
              </w:rPr>
              <w:t>Revolving line of credit with a China bank up to $12,000 with interest at 108% of China prime rate which</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gridSpan w:val="2"/>
          </w:tcPr>
          <w:p>
            <w:pPr>
              <w:ind w:left="240"/>
              <w:spacing w:after="0"/>
              <w:rPr>
                <w:sz w:val="20"/>
                <w:szCs w:val="20"/>
                <w:color w:val="auto"/>
              </w:rPr>
            </w:pPr>
            <w:r>
              <w:rPr>
                <w:rFonts w:ascii="Arial" w:cs="Arial" w:eastAsia="Arial" w:hAnsi="Arial"/>
                <w:sz w:val="18"/>
                <w:szCs w:val="18"/>
                <w:color w:val="auto"/>
              </w:rPr>
              <w:t>was 6.48% in 2013</w:t>
            </w:r>
          </w:p>
        </w:tc>
        <w:tc>
          <w:tcPr>
            <w:tcW w:w="100" w:type="dxa"/>
            <w:vAlign w:val="bottom"/>
          </w:tcPr>
          <w:p>
            <w:pPr>
              <w:spacing w:after="0"/>
              <w:rPr>
                <w:sz w:val="20"/>
                <w:szCs w:val="20"/>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7,053</w:t>
            </w:r>
          </w:p>
        </w:tc>
        <w:tc>
          <w:tcPr>
            <w:tcW w:w="0" w:type="dxa"/>
            <w:vAlign w:val="bottom"/>
          </w:tcPr>
          <w:p>
            <w:pPr>
              <w:spacing w:after="0"/>
              <w:rPr>
                <w:sz w:val="1"/>
                <w:szCs w:val="1"/>
                <w:color w:val="auto"/>
              </w:rPr>
            </w:pPr>
          </w:p>
        </w:tc>
      </w:tr>
      <w:tr>
        <w:trPr>
          <w:trHeight w:val="202"/>
        </w:trPr>
        <w:tc>
          <w:tcPr>
            <w:tcW w:w="8240" w:type="dxa"/>
            <w:vAlign w:val="bottom"/>
            <w:gridSpan w:val="2"/>
            <w:shd w:val="clear" w:color="auto" w:fill="EEEEEE"/>
          </w:tcPr>
          <w:p>
            <w:pPr>
              <w:ind w:left="100"/>
              <w:spacing w:after="0" w:line="201" w:lineRule="exact"/>
              <w:rPr>
                <w:sz w:val="20"/>
                <w:szCs w:val="20"/>
                <w:color w:val="auto"/>
              </w:rPr>
            </w:pPr>
            <w:r>
              <w:rPr>
                <w:rFonts w:ascii="Arial" w:cs="Arial" w:eastAsia="Arial" w:hAnsi="Arial"/>
                <w:sz w:val="18"/>
                <w:szCs w:val="18"/>
                <w:color w:val="auto"/>
              </w:rPr>
              <w:t>Revolving line of credit with a China bank up to $3,250 with interest ranged from 2.03% to 2.13% with</w:t>
            </w:r>
          </w:p>
        </w:tc>
        <w:tc>
          <w:tcPr>
            <w:tcW w:w="1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various maturity dates from October 2014 to December 2014</w:t>
            </w:r>
          </w:p>
        </w:tc>
        <w:tc>
          <w:tcPr>
            <w:tcW w:w="100" w:type="dxa"/>
            <w:vAlign w:val="bottom"/>
            <w:shd w:val="clear" w:color="auto" w:fill="EEEEEE"/>
          </w:tcPr>
          <w:p>
            <w:pPr>
              <w:spacing w:after="0"/>
              <w:rPr>
                <w:sz w:val="20"/>
                <w:szCs w:val="20"/>
                <w:color w:val="auto"/>
              </w:rPr>
            </w:pPr>
          </w:p>
        </w:tc>
        <w:tc>
          <w:tcPr>
            <w:tcW w:w="16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1,309</w:t>
            </w:r>
          </w:p>
        </w:tc>
        <w:tc>
          <w:tcPr>
            <w:tcW w:w="1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02"/>
        </w:trPr>
        <w:tc>
          <w:tcPr>
            <w:tcW w:w="824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5"/>
              </w:rPr>
              <w:t>Revolving line of credit with a Taiwan bank up to $4,000 with interest at Taiwan Time Deposit Interest Rate</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gridSpan w:val="2"/>
          </w:tcPr>
          <w:p>
            <w:pPr>
              <w:ind w:left="240"/>
              <w:spacing w:after="0"/>
              <w:rPr>
                <w:sz w:val="20"/>
                <w:szCs w:val="20"/>
                <w:color w:val="auto"/>
              </w:rPr>
            </w:pPr>
            <w:r>
              <w:rPr>
                <w:rFonts w:ascii="Arial" w:cs="Arial" w:eastAsia="Arial" w:hAnsi="Arial"/>
                <w:sz w:val="18"/>
                <w:szCs w:val="18"/>
                <w:color w:val="auto"/>
              </w:rPr>
              <w:t>Index plus 0.41%, maturing December 2014</w:t>
            </w:r>
          </w:p>
        </w:tc>
        <w:tc>
          <w:tcPr>
            <w:tcW w:w="100" w:type="dxa"/>
            <w:vAlign w:val="bottom"/>
          </w:tcPr>
          <w:p>
            <w:pPr>
              <w:spacing w:after="0"/>
              <w:rPr>
                <w:sz w:val="20"/>
                <w:szCs w:val="20"/>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3,676</w:t>
            </w:r>
          </w:p>
        </w:tc>
        <w:tc>
          <w:tcPr>
            <w:tcW w:w="1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3,795</w:t>
            </w:r>
          </w:p>
        </w:tc>
        <w:tc>
          <w:tcPr>
            <w:tcW w:w="0" w:type="dxa"/>
            <w:vAlign w:val="bottom"/>
          </w:tcPr>
          <w:p>
            <w:pPr>
              <w:spacing w:after="0"/>
              <w:rPr>
                <w:sz w:val="1"/>
                <w:szCs w:val="1"/>
                <w:color w:val="auto"/>
              </w:rPr>
            </w:pPr>
          </w:p>
        </w:tc>
      </w:tr>
      <w:tr>
        <w:trPr>
          <w:trHeight w:val="202"/>
        </w:trPr>
        <w:tc>
          <w:tcPr>
            <w:tcW w:w="8240" w:type="dxa"/>
            <w:vAlign w:val="bottom"/>
            <w:gridSpan w:val="2"/>
            <w:shd w:val="clear" w:color="auto" w:fill="EEEEEE"/>
          </w:tcPr>
          <w:p>
            <w:pPr>
              <w:ind w:left="100"/>
              <w:spacing w:after="0" w:line="201" w:lineRule="exact"/>
              <w:rPr>
                <w:sz w:val="20"/>
                <w:szCs w:val="20"/>
                <w:color w:val="auto"/>
              </w:rPr>
            </w:pPr>
            <w:r>
              <w:rPr>
                <w:rFonts w:ascii="Arial" w:cs="Arial" w:eastAsia="Arial" w:hAnsi="Arial"/>
                <w:sz w:val="18"/>
                <w:szCs w:val="18"/>
                <w:color w:val="auto"/>
                <w:w w:val="95"/>
              </w:rPr>
              <w:t>Revolving line of credit with a Taiwan bank up to $4,000 with interest at Taiwan Time Deposit Interest Rate</w:t>
            </w:r>
          </w:p>
        </w:tc>
        <w:tc>
          <w:tcPr>
            <w:tcW w:w="1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Index plus 0.41%, maturing January 2015</w:t>
            </w:r>
          </w:p>
        </w:tc>
        <w:tc>
          <w:tcPr>
            <w:tcW w:w="100" w:type="dxa"/>
            <w:vAlign w:val="bottom"/>
            <w:shd w:val="clear" w:color="auto" w:fill="EEEEEE"/>
          </w:tcPr>
          <w:p>
            <w:pPr>
              <w:spacing w:after="0"/>
              <w:rPr>
                <w:sz w:val="20"/>
                <w:szCs w:val="20"/>
                <w:color w:val="auto"/>
              </w:rPr>
            </w:pPr>
          </w:p>
        </w:tc>
        <w:tc>
          <w:tcPr>
            <w:tcW w:w="16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3,749</w:t>
            </w:r>
          </w:p>
        </w:tc>
        <w:tc>
          <w:tcPr>
            <w:tcW w:w="1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gridSpan w:val="2"/>
          </w:tcPr>
          <w:p>
            <w:pPr>
              <w:ind w:left="100"/>
              <w:spacing w:after="0"/>
              <w:rPr>
                <w:sz w:val="20"/>
                <w:szCs w:val="20"/>
                <w:color w:val="auto"/>
              </w:rPr>
            </w:pPr>
            <w:r>
              <w:rPr>
                <w:rFonts w:ascii="Arial" w:cs="Arial" w:eastAsia="Arial" w:hAnsi="Arial"/>
                <w:sz w:val="18"/>
                <w:szCs w:val="18"/>
                <w:color w:val="auto"/>
                <w:w w:val="95"/>
              </w:rPr>
              <w:t>Note payable to a finance company due in monthly installments with 4.95% interest, maturing July 30, 2015</w:t>
            </w:r>
          </w:p>
        </w:tc>
        <w:tc>
          <w:tcPr>
            <w:tcW w:w="100" w:type="dxa"/>
            <w:vAlign w:val="bottom"/>
          </w:tcPr>
          <w:p>
            <w:pPr>
              <w:spacing w:after="0"/>
              <w:rPr>
                <w:sz w:val="19"/>
                <w:szCs w:val="19"/>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0"/>
        </w:trPr>
        <w:tc>
          <w:tcPr>
            <w:tcW w:w="8240" w:type="dxa"/>
            <w:vAlign w:val="bottom"/>
            <w:tcBorders>
              <w:top w:val="single" w:sz="8" w:color="EEEEEE"/>
            </w:tcBorders>
            <w:gridSpan w:val="2"/>
            <w:shd w:val="clear" w:color="auto" w:fill="EEEEEE"/>
          </w:tcPr>
          <w:p>
            <w:pPr>
              <w:ind w:left="1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23,392</w:t>
            </w:r>
          </w:p>
        </w:tc>
        <w:tc>
          <w:tcPr>
            <w:tcW w:w="3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26,108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gridSpan w:val="2"/>
          </w:tcPr>
          <w:p>
            <w:pPr>
              <w:ind w:left="100"/>
              <w:spacing w:after="0"/>
              <w:rPr>
                <w:sz w:val="20"/>
                <w:szCs w:val="20"/>
                <w:color w:val="auto"/>
              </w:rPr>
            </w:pPr>
            <w:r>
              <w:rPr>
                <w:rFonts w:ascii="Arial" w:cs="Arial" w:eastAsia="Arial" w:hAnsi="Arial"/>
                <w:sz w:val="18"/>
                <w:szCs w:val="18"/>
                <w:color w:val="auto"/>
              </w:rPr>
              <w:t>Less current portion</w:t>
            </w:r>
          </w:p>
        </w:tc>
        <w:tc>
          <w:tcPr>
            <w:tcW w:w="100" w:type="dxa"/>
            <w:vAlign w:val="bottom"/>
          </w:tcPr>
          <w:p>
            <w:pPr>
              <w:spacing w:after="0"/>
              <w:rPr>
                <w:sz w:val="19"/>
                <w:szCs w:val="19"/>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9,392</w:t>
            </w: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17,185</w:t>
            </w:r>
          </w:p>
        </w:tc>
        <w:tc>
          <w:tcPr>
            <w:tcW w:w="0" w:type="dxa"/>
            <w:vAlign w:val="bottom"/>
          </w:tcPr>
          <w:p>
            <w:pPr>
              <w:spacing w:after="0"/>
              <w:rPr>
                <w:sz w:val="1"/>
                <w:szCs w:val="1"/>
                <w:color w:val="auto"/>
              </w:rPr>
            </w:pPr>
          </w:p>
        </w:tc>
      </w:tr>
      <w:tr>
        <w:trPr>
          <w:trHeight w:val="210"/>
        </w:trPr>
        <w:tc>
          <w:tcPr>
            <w:tcW w:w="8240" w:type="dxa"/>
            <w:vAlign w:val="bottom"/>
            <w:tcBorders>
              <w:top w:val="single" w:sz="8" w:color="EEEEEE"/>
            </w:tcBorders>
            <w:gridSpan w:val="2"/>
            <w:shd w:val="clear" w:color="auto" w:fill="EEEEEE"/>
          </w:tcPr>
          <w:p>
            <w:pPr>
              <w:ind w:left="100"/>
              <w:spacing w:after="0"/>
              <w:rPr>
                <w:sz w:val="20"/>
                <w:szCs w:val="20"/>
                <w:color w:val="auto"/>
              </w:rPr>
            </w:pPr>
            <w:r>
              <w:rPr>
                <w:rFonts w:ascii="Arial" w:cs="Arial" w:eastAsia="Arial" w:hAnsi="Arial"/>
                <w:sz w:val="18"/>
                <w:szCs w:val="18"/>
                <w:color w:val="auto"/>
              </w:rPr>
              <w:t>Long term portion</w:t>
            </w: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14,000</w:t>
            </w:r>
          </w:p>
        </w:tc>
        <w:tc>
          <w:tcPr>
            <w:tcW w:w="3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8,923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40" w:type="dxa"/>
            <w:vAlign w:val="bottom"/>
            <w:gridSpan w:val="2"/>
          </w:tcPr>
          <w:p>
            <w:pPr>
              <w:ind w:left="3060"/>
              <w:spacing w:after="0"/>
              <w:rPr>
                <w:sz w:val="20"/>
                <w:szCs w:val="20"/>
                <w:color w:val="auto"/>
              </w:rPr>
            </w:pPr>
            <w:r>
              <w:rPr>
                <w:rFonts w:ascii="Arial" w:cs="Arial" w:eastAsia="Arial" w:hAnsi="Arial"/>
                <w:sz w:val="18"/>
                <w:szCs w:val="18"/>
                <w:b w:val="1"/>
                <w:bCs w:val="1"/>
                <w:color w:val="auto"/>
              </w:rPr>
              <w:t>Bank Acceptance Payable</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00" w:type="dxa"/>
            <w:vAlign w:val="bottom"/>
            <w:tcBorders>
              <w:top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w w:val="90"/>
              </w:rPr>
              <w:t>Bank acceptance notes issued to vendors with a zero percent interest rate, a 30% guarantee deposit of $655,</w:t>
            </w:r>
          </w:p>
        </w:tc>
        <w:tc>
          <w:tcPr>
            <w:tcW w:w="240" w:type="dxa"/>
            <w:vAlign w:val="bottom"/>
            <w:tcBorders>
              <w:top w:val="single" w:sz="8" w:color="EEEEEE"/>
            </w:tcBorders>
            <w:shd w:val="clear" w:color="auto" w:fill="EEEEEE"/>
          </w:tcPr>
          <w:p>
            <w:pPr>
              <w:spacing w:after="0"/>
              <w:rPr>
                <w:sz w:val="16"/>
                <w:szCs w:val="16"/>
                <w:color w:val="auto"/>
              </w:rPr>
            </w:pPr>
          </w:p>
        </w:tc>
        <w:tc>
          <w:tcPr>
            <w:tcW w:w="100" w:type="dxa"/>
            <w:vAlign w:val="bottom"/>
            <w:tcBorders>
              <w:top w:val="single" w:sz="8" w:color="EEEEEE"/>
            </w:tcBorders>
            <w:shd w:val="clear" w:color="auto" w:fill="EEEEEE"/>
          </w:tcPr>
          <w:p>
            <w:pPr>
              <w:spacing w:after="0"/>
              <w:rPr>
                <w:sz w:val="16"/>
                <w:szCs w:val="16"/>
                <w:color w:val="auto"/>
              </w:rPr>
            </w:pPr>
          </w:p>
        </w:tc>
        <w:tc>
          <w:tcPr>
            <w:tcW w:w="1280" w:type="dxa"/>
            <w:vAlign w:val="bottom"/>
            <w:tcBorders>
              <w:top w:val="single" w:sz="8" w:color="EEEEEE"/>
            </w:tcBorders>
            <w:shd w:val="clear" w:color="auto" w:fill="EEEEEE"/>
          </w:tcPr>
          <w:p>
            <w:pPr>
              <w:spacing w:after="0"/>
              <w:rPr>
                <w:sz w:val="16"/>
                <w:szCs w:val="16"/>
                <w:color w:val="auto"/>
              </w:rPr>
            </w:pPr>
          </w:p>
        </w:tc>
        <w:tc>
          <w:tcPr>
            <w:tcW w:w="340" w:type="dxa"/>
            <w:vAlign w:val="bottom"/>
            <w:tcBorders>
              <w:top w:val="single" w:sz="8" w:color="EEEEEE"/>
            </w:tcBorders>
            <w:shd w:val="clear" w:color="auto" w:fill="EEEEEE"/>
          </w:tcPr>
          <w:p>
            <w:pPr>
              <w:spacing w:after="0"/>
              <w:rPr>
                <w:sz w:val="16"/>
                <w:szCs w:val="16"/>
                <w:color w:val="auto"/>
              </w:rPr>
            </w:pPr>
          </w:p>
        </w:tc>
        <w:tc>
          <w:tcPr>
            <w:tcW w:w="120" w:type="dxa"/>
            <w:vAlign w:val="bottom"/>
            <w:tcBorders>
              <w:top w:val="single" w:sz="8" w:color="EEEEEE"/>
            </w:tcBorders>
            <w:shd w:val="clear" w:color="auto" w:fill="EEEEEE"/>
          </w:tcPr>
          <w:p>
            <w:pPr>
              <w:spacing w:after="0"/>
              <w:rPr>
                <w:sz w:val="16"/>
                <w:szCs w:val="16"/>
                <w:color w:val="auto"/>
              </w:rPr>
            </w:pPr>
          </w:p>
        </w:tc>
        <w:tc>
          <w:tcPr>
            <w:tcW w:w="1240" w:type="dxa"/>
            <w:vAlign w:val="bottom"/>
            <w:tcBorders>
              <w:top w:val="single" w:sz="8" w:color="EEEEEE"/>
            </w:tcBorders>
            <w:shd w:val="clear" w:color="auto" w:fill="EEEEEE"/>
          </w:tcPr>
          <w:p>
            <w:pPr>
              <w:spacing w:after="0"/>
              <w:rPr>
                <w:sz w:val="16"/>
                <w:szCs w:val="16"/>
                <w:color w:val="auto"/>
              </w:rPr>
            </w:pPr>
          </w:p>
        </w:tc>
        <w:tc>
          <w:tcPr>
            <w:tcW w:w="100" w:type="dxa"/>
            <w:vAlign w:val="bottom"/>
            <w:tcBorders>
              <w:top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824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and maturity dates ranging from October 2014 to March 2015</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2,115</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642"/>
        </w:trPr>
        <w:tc>
          <w:tcPr>
            <w:tcW w:w="8000" w:type="dxa"/>
            <w:vAlign w:val="bottom"/>
            <w:tcBorders>
              <w:bottom w:val="single" w:sz="8" w:color="auto"/>
            </w:tcBorders>
          </w:tcPr>
          <w:p>
            <w:pPr>
              <w:ind w:left="5660"/>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157" w:gutter="0" w:footer="0" w:header="0"/>
        </w:sectPr>
      </w:pPr>
    </w:p>
    <w:bookmarkStart w:id="9" w:name="page10"/>
    <w:bookmarkEnd w:id="9"/>
    <w:p>
      <w:pPr>
        <w:ind w:right="440" w:firstLine="648"/>
        <w:spacing w:after="0" w:line="277" w:lineRule="auto"/>
        <w:rPr>
          <w:sz w:val="20"/>
          <w:szCs w:val="20"/>
          <w:color w:val="auto"/>
        </w:rPr>
      </w:pPr>
      <w:r>
        <w:rPr>
          <w:rFonts w:ascii="Arial" w:cs="Arial" w:eastAsia="Arial" w:hAnsi="Arial"/>
          <w:sz w:val="18"/>
          <w:szCs w:val="18"/>
          <w:color w:val="auto"/>
        </w:rPr>
        <w:t>The current portion of long-term debt is the amount payable within one year of the balance sheet date of September 30, 2014. The prime rate of interest was 3.25% on December 31, 2013. The one-month LIBOR rate was 0.15% on September 30, 2014.</w:t>
      </w:r>
    </w:p>
    <w:p>
      <w:pPr>
        <w:spacing w:after="0" w:line="170"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The U.S. bank loans and line of credit agreement require the Company to meet certain financial covenants including a minimum current ratio. Collateral for the U.S. bank loans and line of credit includes substantially all of the assets of the Company. As of September 30, 2014, the Company was in compliance with all of its financial and operational covenants associated with these loans. As of September 30, 2014, the Company had $1.0 million of unused borrowing capacity on its line of credit, $3.1 million on its real estate term loan and $5.0 million on its equipment term loan.</w:t>
      </w:r>
    </w:p>
    <w:p>
      <w:pPr>
        <w:spacing w:after="0" w:line="15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On July 15, 2014, the Company renewed its revolving line of credit with a U.S. bank, increasing the line from $7.0 million to $15.0 million, and extending the maturity date to July 15, 2017. The interest rate on this line of credit is the LIBOR Borrowing Rate plus 2.75%.</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On July 31, 2014, the Company renewed its $5.0 million credit agreement with a U.S. bank, extending the maturity date to July 1, 2019. The interest rate on this line of credit is the LIBOR Borrowing Rate plus 2.75%.</w:t>
      </w:r>
    </w:p>
    <w:p>
      <w:pPr>
        <w:spacing w:after="0" w:line="17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Company, through its China subsidiary, established RMB and USD currency lines of credit for $12.0 million and $3.3 million, respectively, with a China bank as of September 30, 2014. The interest rate for the RMB line of credit is 108% of the China prime rate. The interest rate for the USD line of credit ranged from 2.03% to 2.13%. These credit lines are revolving lines that are renewable by its anniversary. Collateral for the loans includes the land use rights, building and equipment located in China. As of September 30, 2014, the Company had approximately $14.0 million of unused borrowing capacity.</w:t>
      </w:r>
    </w:p>
    <w:p>
      <w:pPr>
        <w:spacing w:after="0" w:line="15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extended its equipment financing agreement of $1.0 million with a Taiwan bank in 2013. The financing agreement required equipment collateral. The agreement requires monthly installment payments over 24 months and ends in July 2015. The financing agreement bears interest at the rate of 4.95%.</w:t>
      </w:r>
    </w:p>
    <w:p>
      <w:pPr>
        <w:spacing w:after="0" w:line="18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Company, through its Taiwan branch, established two $4.0 million revolving lines of credit with Taiwan banks in 2013 totaling $8.0 million. The financing agreements require collateral of its time deposits of $8.0 million that is included in short-term investment. The two revolving lines of credit bear interest at a rate (which adjusts quarterly) equal to the Taiwan Time Deposit Interest Rate Index plus 0.41%, currently 1.78%, and at a base rate equal to TAIBOR plus 1%, currently 1.75%. As of September 30, 2014, $7.4 million was outstanding under these credit facilities.</w:t>
      </w:r>
    </w:p>
    <w:p>
      <w:pPr>
        <w:spacing w:after="0" w:line="16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Accrued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3920" w:type="dxa"/>
            <w:vAlign w:val="bottom"/>
            <w:tcBorders>
              <w:bottom w:val="single" w:sz="8" w:color="EEEEEE"/>
            </w:tcBorders>
          </w:tcPr>
          <w:p>
            <w:pPr>
              <w:spacing w:after="0"/>
              <w:rPr>
                <w:sz w:val="20"/>
                <w:szCs w:val="20"/>
                <w:color w:val="auto"/>
              </w:rPr>
            </w:pPr>
          </w:p>
        </w:tc>
        <w:tc>
          <w:tcPr>
            <w:tcW w:w="4320" w:type="dxa"/>
            <w:vAlign w:val="bottom"/>
            <w:tcBorders>
              <w:bottom w:val="single" w:sz="8" w:color="EEEEEE"/>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EEEEE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Accrued payroll</w:t>
            </w:r>
          </w:p>
        </w:tc>
        <w:tc>
          <w:tcPr>
            <w:tcW w:w="4320" w:type="dxa"/>
            <w:vAlign w:val="bottom"/>
            <w:shd w:val="clear" w:color="auto" w:fill="EEEEEE"/>
          </w:tcPr>
          <w:p>
            <w:pPr>
              <w:spacing w:after="0"/>
              <w:rPr>
                <w:sz w:val="18"/>
                <w:szCs w:val="18"/>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3,013</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2,279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40"/>
              <w:spacing w:after="0"/>
              <w:rPr>
                <w:sz w:val="20"/>
                <w:szCs w:val="20"/>
                <w:color w:val="auto"/>
              </w:rPr>
            </w:pPr>
            <w:r>
              <w:rPr>
                <w:rFonts w:ascii="Arial" w:cs="Arial" w:eastAsia="Arial" w:hAnsi="Arial"/>
                <w:sz w:val="18"/>
                <w:szCs w:val="18"/>
                <w:color w:val="auto"/>
              </w:rPr>
              <w:t>Accrued employee benefits</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39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Accrued taxes</w:t>
            </w:r>
          </w:p>
        </w:tc>
        <w:tc>
          <w:tcPr>
            <w:tcW w:w="4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3920" w:type="dxa"/>
            <w:vAlign w:val="bottom"/>
          </w:tcPr>
          <w:p>
            <w:pPr>
              <w:ind w:left="240"/>
              <w:spacing w:after="0"/>
              <w:rPr>
                <w:sz w:val="20"/>
                <w:szCs w:val="20"/>
                <w:color w:val="auto"/>
              </w:rPr>
            </w:pPr>
            <w:r>
              <w:rPr>
                <w:rFonts w:ascii="Arial" w:cs="Arial" w:eastAsia="Arial" w:hAnsi="Arial"/>
                <w:sz w:val="18"/>
                <w:szCs w:val="18"/>
                <w:color w:val="auto"/>
              </w:rPr>
              <w:t>Accrued interest</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9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Advanced payments</w:t>
            </w:r>
          </w:p>
        </w:tc>
        <w:tc>
          <w:tcPr>
            <w:tcW w:w="4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3920" w:type="dxa"/>
            <w:vAlign w:val="bottom"/>
          </w:tcPr>
          <w:p>
            <w:pPr>
              <w:ind w:left="240"/>
              <w:spacing w:after="0"/>
              <w:rPr>
                <w:sz w:val="20"/>
                <w:szCs w:val="20"/>
                <w:color w:val="auto"/>
              </w:rPr>
            </w:pPr>
            <w:r>
              <w:rPr>
                <w:rFonts w:ascii="Arial" w:cs="Arial" w:eastAsia="Arial" w:hAnsi="Arial"/>
                <w:sz w:val="18"/>
                <w:szCs w:val="18"/>
                <w:color w:val="auto"/>
              </w:rPr>
              <w:t>Accrued commissions</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39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Accrued other</w:t>
            </w:r>
          </w:p>
        </w:tc>
        <w:tc>
          <w:tcPr>
            <w:tcW w:w="43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4,960</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320" w:type="dxa"/>
            <w:vAlign w:val="bottom"/>
            <w:vMerge w:val="restart"/>
          </w:tcPr>
          <w:p>
            <w:pPr>
              <w:jc w:val="right"/>
              <w:ind w:right="235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r>
              <w:rPr>
                <w:rFonts w:ascii="Arial" w:cs="Arial" w:eastAsia="Arial" w:hAnsi="Arial"/>
                <w:sz w:val="18"/>
                <w:szCs w:val="18"/>
                <w:b w:val="1"/>
                <w:bCs w:val="1"/>
                <w:color w:val="auto"/>
              </w:rPr>
              <w:t>Note 9.   Other Income and Expense</w:t>
            </w: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540" w:type="dxa"/>
            <w:vAlign w:val="bottom"/>
            <w:gridSpan w:val="5"/>
          </w:tcPr>
          <w:p>
            <w:pPr>
              <w:jc w:val="right"/>
              <w:ind w:right="50"/>
              <w:spacing w:after="0"/>
              <w:rPr>
                <w:sz w:val="20"/>
                <w:szCs w:val="20"/>
                <w:color w:val="auto"/>
              </w:rPr>
            </w:pPr>
            <w:r>
              <w:rPr>
                <w:rFonts w:ascii="Arial" w:cs="Arial" w:eastAsia="Arial" w:hAnsi="Arial"/>
                <w:sz w:val="18"/>
                <w:szCs w:val="18"/>
                <w:color w:val="auto"/>
                <w:w w:val="99"/>
              </w:rPr>
              <w:t>Other income and expense consisted of the following for the periods indicated (in thousands):</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4820" w:type="dxa"/>
            <w:vAlign w:val="bottom"/>
          </w:tcPr>
          <w:p>
            <w:pPr>
              <w:spacing w:after="0"/>
              <w:rPr>
                <w:sz w:val="24"/>
                <w:szCs w:val="24"/>
                <w:color w:val="auto"/>
              </w:rPr>
            </w:pPr>
          </w:p>
        </w:tc>
        <w:tc>
          <w:tcPr>
            <w:tcW w:w="34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4"/>
              </w:rPr>
              <w:t>Three months ended September 30,</w:t>
            </w:r>
          </w:p>
        </w:tc>
        <w:tc>
          <w:tcPr>
            <w:tcW w:w="140" w:type="dxa"/>
            <w:vAlign w:val="bottom"/>
          </w:tcPr>
          <w:p>
            <w:pPr>
              <w:spacing w:after="0"/>
              <w:rPr>
                <w:sz w:val="24"/>
                <w:szCs w:val="24"/>
                <w:color w:val="auto"/>
              </w:rPr>
            </w:pPr>
          </w:p>
        </w:tc>
        <w:tc>
          <w:tcPr>
            <w:tcW w:w="300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4820" w:type="dxa"/>
            <w:vAlign w:val="bottom"/>
            <w:tcBorders>
              <w:bottom w:val="single" w:sz="8" w:color="EEEEEE"/>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2014</w:t>
            </w:r>
          </w:p>
        </w:tc>
        <w:tc>
          <w:tcPr>
            <w:tcW w:w="4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EEEEEE"/>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380" w:type="dxa"/>
            <w:vAlign w:val="bottom"/>
            <w:tcBorders>
              <w:top w:val="single" w:sz="8" w:color="auto"/>
              <w:bottom w:val="single" w:sz="8" w:color="auto"/>
            </w:tcBorders>
          </w:tcPr>
          <w:p>
            <w:pPr>
              <w:spacing w:after="0"/>
              <w:rPr>
                <w:sz w:val="19"/>
                <w:szCs w:val="19"/>
                <w:color w:val="auto"/>
              </w:rPr>
            </w:pPr>
          </w:p>
        </w:tc>
        <w:tc>
          <w:tcPr>
            <w:tcW w:w="360" w:type="dxa"/>
            <w:vAlign w:val="bottom"/>
            <w:tcBorders>
              <w:bottom w:val="single" w:sz="8" w:color="EEEEEE"/>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r>
        <w:trPr>
          <w:trHeight w:val="210"/>
        </w:trPr>
        <w:tc>
          <w:tcPr>
            <w:tcW w:w="48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Unrealized foreign exchange gain (loss)</w:t>
            </w:r>
          </w:p>
        </w:tc>
        <w:tc>
          <w:tcPr>
            <w:tcW w:w="960" w:type="dxa"/>
            <w:vAlign w:val="bottom"/>
            <w:shd w:val="clear" w:color="auto" w:fill="EEEEEE"/>
          </w:tcPr>
          <w:p>
            <w:pPr>
              <w:jc w:val="right"/>
              <w:ind w:right="79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rPr>
              <w:t>(203)</w:t>
            </w:r>
          </w:p>
        </w:tc>
        <w:tc>
          <w:tcPr>
            <w:tcW w:w="34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8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360" w:type="dxa"/>
            <w:vAlign w:val="bottom"/>
            <w:shd w:val="clear" w:color="auto" w:fill="EEEEEE"/>
          </w:tcPr>
          <w:p>
            <w:pPr>
              <w:spacing w:after="0"/>
              <w:rPr>
                <w:sz w:val="18"/>
                <w:szCs w:val="18"/>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(205)</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(257)</w:t>
            </w:r>
          </w:p>
        </w:tc>
        <w:tc>
          <w:tcPr>
            <w:tcW w:w="100" w:type="dxa"/>
            <w:vAlign w:val="bottom"/>
            <w:gridSpan w:val="2"/>
            <w:shd w:val="clear" w:color="auto" w:fill="EEEEEE"/>
          </w:tcPr>
          <w:p>
            <w:pPr>
              <w:spacing w:after="0"/>
              <w:rPr>
                <w:sz w:val="18"/>
                <w:szCs w:val="18"/>
                <w:color w:val="auto"/>
              </w:rPr>
            </w:pPr>
          </w:p>
        </w:tc>
      </w:tr>
      <w:tr>
        <w:trPr>
          <w:trHeight w:val="216"/>
        </w:trPr>
        <w:tc>
          <w:tcPr>
            <w:tcW w:w="4820" w:type="dxa"/>
            <w:vAlign w:val="bottom"/>
          </w:tcPr>
          <w:p>
            <w:pPr>
              <w:ind w:left="100"/>
              <w:spacing w:after="0"/>
              <w:rPr>
                <w:sz w:val="20"/>
                <w:szCs w:val="20"/>
                <w:color w:val="auto"/>
              </w:rPr>
            </w:pPr>
            <w:r>
              <w:rPr>
                <w:rFonts w:ascii="Arial" w:cs="Arial" w:eastAsia="Arial" w:hAnsi="Arial"/>
                <w:sz w:val="18"/>
                <w:szCs w:val="18"/>
                <w:color w:val="auto"/>
              </w:rPr>
              <w:t>Realized foreign exchange gain (loss)</w:t>
            </w:r>
          </w:p>
        </w:tc>
        <w:tc>
          <w:tcPr>
            <w:tcW w:w="9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00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48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Government subsidy income</w:t>
            </w:r>
          </w:p>
        </w:tc>
        <w:tc>
          <w:tcPr>
            <w:tcW w:w="9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108</w:t>
            </w:r>
          </w:p>
        </w:tc>
        <w:tc>
          <w:tcPr>
            <w:tcW w:w="3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EEEEEE"/>
          </w:tcPr>
          <w:p>
            <w:pPr>
              <w:spacing w:after="0"/>
              <w:rPr>
                <w:sz w:val="18"/>
                <w:szCs w:val="18"/>
                <w:color w:val="auto"/>
              </w:rPr>
            </w:pPr>
          </w:p>
        </w:tc>
      </w:tr>
      <w:tr>
        <w:trPr>
          <w:trHeight w:val="216"/>
        </w:trPr>
        <w:tc>
          <w:tcPr>
            <w:tcW w:w="4820" w:type="dxa"/>
            <w:vAlign w:val="bottom"/>
          </w:tcPr>
          <w:p>
            <w:pPr>
              <w:ind w:left="100"/>
              <w:spacing w:after="0"/>
              <w:rPr>
                <w:sz w:val="20"/>
                <w:szCs w:val="20"/>
                <w:color w:val="auto"/>
              </w:rPr>
            </w:pPr>
            <w:r>
              <w:rPr>
                <w:rFonts w:ascii="Arial" w:cs="Arial" w:eastAsia="Arial" w:hAnsi="Arial"/>
                <w:sz w:val="18"/>
                <w:szCs w:val="18"/>
                <w:color w:val="auto"/>
              </w:rPr>
              <w:t>Other non-operating gain (loss)</w:t>
            </w:r>
          </w:p>
        </w:tc>
        <w:tc>
          <w:tcPr>
            <w:tcW w:w="9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0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r>
      <w:tr>
        <w:trPr>
          <w:trHeight w:val="230"/>
        </w:trPr>
        <w:tc>
          <w:tcPr>
            <w:tcW w:w="48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Gain (loss) on disposal of assets</w:t>
            </w:r>
          </w:p>
        </w:tc>
        <w:tc>
          <w:tcPr>
            <w:tcW w:w="96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(27)</w:t>
            </w:r>
          </w:p>
        </w:tc>
        <w:tc>
          <w:tcPr>
            <w:tcW w:w="100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(29)</w:t>
            </w:r>
          </w:p>
        </w:tc>
        <w:tc>
          <w:tcPr>
            <w:tcW w:w="3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shd w:val="clear" w:color="auto" w:fill="EEEEEE"/>
          </w:tcPr>
          <w:p>
            <w:pPr>
              <w:spacing w:after="0"/>
              <w:rPr>
                <w:sz w:val="19"/>
                <w:szCs w:val="19"/>
                <w:color w:val="auto"/>
              </w:rPr>
            </w:pPr>
          </w:p>
        </w:tc>
      </w:tr>
      <w:tr>
        <w:trPr>
          <w:trHeight w:val="223"/>
        </w:trPr>
        <w:tc>
          <w:tcPr>
            <w:tcW w:w="4820" w:type="dxa"/>
            <w:vAlign w:val="bottom"/>
          </w:tcPr>
          <w:p>
            <w:pPr>
              <w:spacing w:after="0"/>
              <w:rPr>
                <w:sz w:val="19"/>
                <w:szCs w:val="19"/>
                <w:color w:val="auto"/>
              </w:rPr>
            </w:pPr>
          </w:p>
        </w:tc>
        <w:tc>
          <w:tcPr>
            <w:tcW w:w="960" w:type="dxa"/>
            <w:vAlign w:val="bottom"/>
            <w:tcBorders>
              <w:top w:val="single" w:sz="8" w:color="auto"/>
            </w:tcBorders>
          </w:tcPr>
          <w:p>
            <w:pPr>
              <w:jc w:val="right"/>
              <w:ind w:right="79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00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Share-Based Compensation</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Accounting Standards Codification (“ASC”) 718 requires companies to record compensation expense for stock options measured at fair value, on the date of grant, using an option –pricing model.</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Company’s board of directors and stockholders previously approved the 1998 Share Incentive Plan, the 2000 Share Incentive Plan, the 2004 Share Incentive Plan and the 2006 Share Incentive Plan, (collectively the “Prior Plans”). Following the Company’s initial public offering, no further awards will be granted under the Prior Plans. However, all outstanding awards under the Prior Plans will continue to exist and will continue to be governed by their existing terms.</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On April 12, 2013, the Company’s board of directors adopted and approved the Company’s 2013 Equity Incentive Plan, (the “2013 Plan”), and it was subsequently approved by the Company’s stockholders on May 21, 2013.</w:t>
      </w:r>
    </w:p>
    <w:p>
      <w:pPr>
        <w:spacing w:after="0" w:line="170"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Company provides share-based compensation to employees, consultants and non-employee directors. Share-based awards for the Prior Plans and the 2013 Plan generally vest over a four year period and have a maximum term of ten years. Stock options under these plans have been granted with an exercise price equal to the fair market value of the common stock on the date of the grant. Nonqualified and incentive stock options and restrictive stock units (“RSUs”) have been granted from these plans. Prior to the Company’s initial public offering, the fair market value of the Company’s stock had been historically determined by the board of directors and from time to time with the assistance of third party valuation specialists.</w:t>
      </w:r>
    </w:p>
    <w:p>
      <w:pPr>
        <w:spacing w:after="0" w:line="15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As of September 30, 2014, the Company had outstanding equity awards to purchase 1,437,044 shares of common stock under its share incentive plans with a weighted average exercise price of $8.94.</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summarizes employee share-based compensation expense resulting from stock options and RSUs for the periods indicated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4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4"/>
              </w:rPr>
              <w:t>Three months ended September 30,</w:t>
            </w:r>
          </w:p>
        </w:tc>
        <w:tc>
          <w:tcPr>
            <w:tcW w:w="140" w:type="dxa"/>
            <w:vAlign w:val="bottom"/>
          </w:tcPr>
          <w:p>
            <w:pPr>
              <w:spacing w:after="0"/>
              <w:rPr>
                <w:sz w:val="20"/>
                <w:szCs w:val="20"/>
                <w:color w:val="auto"/>
              </w:rPr>
            </w:pPr>
          </w:p>
        </w:tc>
        <w:tc>
          <w:tcPr>
            <w:tcW w:w="3000" w:type="dxa"/>
            <w:vAlign w:val="bottom"/>
            <w:gridSpan w:val="5"/>
          </w:tcPr>
          <w:p>
            <w:pPr>
              <w:ind w:left="60"/>
              <w:spacing w:after="0"/>
              <w:rPr>
                <w:sz w:val="20"/>
                <w:szCs w:val="20"/>
                <w:color w:val="auto"/>
              </w:rPr>
            </w:pPr>
            <w:r>
              <w:rPr>
                <w:rFonts w:ascii="Arial" w:cs="Arial" w:eastAsia="Arial" w:hAnsi="Arial"/>
                <w:sz w:val="18"/>
                <w:szCs w:val="18"/>
                <w:b w:val="1"/>
                <w:bCs w:val="1"/>
                <w:color w:val="auto"/>
                <w:w w:val="98"/>
              </w:rPr>
              <w:t>Nine months ended September 30,</w:t>
            </w:r>
          </w:p>
        </w:tc>
      </w:tr>
      <w:tr>
        <w:trPr>
          <w:trHeight w:val="223"/>
        </w:trPr>
        <w:tc>
          <w:tcPr>
            <w:tcW w:w="4820" w:type="dxa"/>
            <w:vAlign w:val="bottom"/>
            <w:tcBorders>
              <w:bottom w:val="single" w:sz="8" w:color="EEEEEE"/>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bottom w:val="single" w:sz="8" w:color="EEEEEE"/>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EEEEEE"/>
            </w:tcBorders>
          </w:tcPr>
          <w:p>
            <w:pPr>
              <w:spacing w:after="0"/>
              <w:rPr>
                <w:sz w:val="19"/>
                <w:szCs w:val="19"/>
                <w:color w:val="auto"/>
              </w:rPr>
            </w:pPr>
          </w:p>
        </w:tc>
      </w:tr>
      <w:tr>
        <w:trPr>
          <w:trHeight w:val="210"/>
        </w:trPr>
        <w:tc>
          <w:tcPr>
            <w:tcW w:w="48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Cost of sales</w:t>
            </w:r>
          </w:p>
        </w:tc>
        <w:tc>
          <w:tcPr>
            <w:tcW w:w="1040" w:type="dxa"/>
            <w:vAlign w:val="bottom"/>
            <w:shd w:val="clear" w:color="auto" w:fill="EEEEEE"/>
          </w:tcPr>
          <w:p>
            <w:pPr>
              <w:jc w:val="right"/>
              <w:ind w:right="87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360" w:type="dxa"/>
            <w:vAlign w:val="bottom"/>
            <w:shd w:val="clear" w:color="auto" w:fill="EEEEEE"/>
          </w:tcPr>
          <w:p>
            <w:pPr>
              <w:spacing w:after="0"/>
              <w:rPr>
                <w:sz w:val="18"/>
                <w:szCs w:val="18"/>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EEEEEE"/>
          </w:tcPr>
          <w:p>
            <w:pPr>
              <w:spacing w:after="0"/>
              <w:rPr>
                <w:sz w:val="18"/>
                <w:szCs w:val="18"/>
                <w:color w:val="auto"/>
              </w:rPr>
            </w:pPr>
          </w:p>
        </w:tc>
      </w:tr>
      <w:tr>
        <w:trPr>
          <w:trHeight w:val="216"/>
        </w:trPr>
        <w:tc>
          <w:tcPr>
            <w:tcW w:w="482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10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48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Sales and marketing</w:t>
            </w:r>
          </w:p>
        </w:tc>
        <w:tc>
          <w:tcPr>
            <w:tcW w:w="104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w:t>
            </w:r>
          </w:p>
        </w:tc>
      </w:tr>
      <w:tr>
        <w:trPr>
          <w:trHeight w:val="230"/>
        </w:trPr>
        <w:tc>
          <w:tcPr>
            <w:tcW w:w="482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040" w:type="dxa"/>
            <w:vAlign w:val="bottom"/>
          </w:tcPr>
          <w:p>
            <w:pPr>
              <w:spacing w:after="0"/>
              <w:rPr>
                <w:sz w:val="19"/>
                <w:szCs w:val="19"/>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428</w:t>
            </w:r>
          </w:p>
        </w:tc>
        <w:tc>
          <w:tcPr>
            <w:tcW w:w="300" w:type="dxa"/>
            <w:vAlign w:val="bottom"/>
          </w:tcPr>
          <w:p>
            <w:pPr>
              <w:spacing w:after="0"/>
              <w:rPr>
                <w:sz w:val="19"/>
                <w:szCs w:val="19"/>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1,278</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r>
      <w:tr>
        <w:trPr>
          <w:trHeight w:val="223"/>
        </w:trPr>
        <w:tc>
          <w:tcPr>
            <w:tcW w:w="482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ind w:right="87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487</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135</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1,494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8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7"/>
          <w:szCs w:val="17"/>
          <w:color w:val="auto"/>
        </w:rPr>
        <w:t>The following is a summary of stock option activity during the nine month period ending September 30, 2014 (in thousands, except price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Weighted</w:t>
            </w: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Average Exercise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Average Fair</w:t>
            </w: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960" w:type="dxa"/>
            <w:vAlign w:val="bottom"/>
          </w:tcPr>
          <w:p>
            <w:pPr>
              <w:ind w:left="440"/>
              <w:spacing w:after="0"/>
              <w:rPr>
                <w:sz w:val="20"/>
                <w:szCs w:val="20"/>
                <w:color w:val="auto"/>
              </w:rPr>
            </w:pPr>
            <w:r>
              <w:rPr>
                <w:rFonts w:ascii="Arial" w:cs="Arial" w:eastAsia="Arial" w:hAnsi="Arial"/>
                <w:sz w:val="18"/>
                <w:szCs w:val="18"/>
                <w:b w:val="1"/>
                <w:bCs w:val="1"/>
                <w:color w:val="auto"/>
                <w:w w:val="83"/>
              </w:rPr>
              <w:t>Shares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Price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Value</w:t>
            </w: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Contractual Life</w:t>
            </w: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10"/>
        </w:trPr>
        <w:tc>
          <w:tcPr>
            <w:tcW w:w="3100" w:type="dxa"/>
            <w:vAlign w:val="bottom"/>
            <w:tcBorders>
              <w:top w:val="single" w:sz="8" w:color="EEEEEE"/>
            </w:tcBorders>
            <w:shd w:val="clear" w:color="auto" w:fill="EEEEEE"/>
          </w:tcPr>
          <w:p>
            <w:pPr>
              <w:ind w:left="100"/>
              <w:spacing w:after="0"/>
              <w:rPr>
                <w:sz w:val="20"/>
                <w:szCs w:val="20"/>
                <w:color w:val="auto"/>
              </w:rPr>
            </w:pPr>
            <w:r>
              <w:rPr>
                <w:rFonts w:ascii="Arial" w:cs="Arial" w:eastAsia="Arial" w:hAnsi="Arial"/>
                <w:sz w:val="18"/>
                <w:szCs w:val="18"/>
                <w:color w:val="auto"/>
              </w:rPr>
              <w:t>Outstanding, December 31, 2013</w:t>
            </w:r>
          </w:p>
        </w:tc>
        <w:tc>
          <w:tcPr>
            <w:tcW w:w="960" w:type="dxa"/>
            <w:vAlign w:val="bottom"/>
            <w:tcBorders>
              <w:top w:val="single" w:sz="8" w:color="auto"/>
            </w:tcBorders>
            <w:shd w:val="clear" w:color="auto" w:fill="EEEEEE"/>
          </w:tcPr>
          <w:p>
            <w:pPr>
              <w:spacing w:after="0"/>
              <w:rPr>
                <w:sz w:val="18"/>
                <w:szCs w:val="18"/>
                <w:color w:val="auto"/>
              </w:rPr>
            </w:pPr>
          </w:p>
        </w:tc>
        <w:tc>
          <w:tcPr>
            <w:tcW w:w="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8"/>
              </w:rPr>
              <w:t>1,468</w:t>
            </w:r>
          </w:p>
        </w:tc>
        <w:tc>
          <w:tcPr>
            <w:tcW w:w="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8.38</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4.17</w:t>
            </w:r>
          </w:p>
        </w:tc>
        <w:tc>
          <w:tcPr>
            <w:tcW w:w="34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9,731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ind w:left="100"/>
              <w:spacing w:after="0"/>
              <w:rPr>
                <w:sz w:val="20"/>
                <w:szCs w:val="20"/>
                <w:color w:val="auto"/>
              </w:rPr>
            </w:pPr>
            <w:r>
              <w:rPr>
                <w:rFonts w:ascii="Arial" w:cs="Arial" w:eastAsia="Arial" w:hAnsi="Arial"/>
                <w:sz w:val="18"/>
                <w:szCs w:val="18"/>
                <w:color w:val="auto"/>
              </w:rPr>
              <w:t>Granted</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7.24</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Exercised</w:t>
            </w:r>
          </w:p>
        </w:tc>
        <w:tc>
          <w:tcPr>
            <w:tcW w:w="62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6.21</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2.56</w:t>
            </w:r>
          </w:p>
        </w:tc>
        <w:tc>
          <w:tcPr>
            <w:tcW w:w="1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16"/>
        </w:trPr>
        <w:tc>
          <w:tcPr>
            <w:tcW w:w="4060" w:type="dxa"/>
            <w:vAlign w:val="bottom"/>
            <w:gridSpan w:val="2"/>
          </w:tcPr>
          <w:p>
            <w:pPr>
              <w:ind w:left="100"/>
              <w:spacing w:after="0"/>
              <w:rPr>
                <w:sz w:val="20"/>
                <w:szCs w:val="20"/>
                <w:color w:val="auto"/>
              </w:rPr>
            </w:pPr>
            <w:r>
              <w:rPr>
                <w:rFonts w:ascii="Arial" w:cs="Arial" w:eastAsia="Arial" w:hAnsi="Arial"/>
                <w:sz w:val="18"/>
                <w:szCs w:val="18"/>
                <w:color w:val="auto"/>
              </w:rPr>
              <w:t>Forfeited</w:t>
            </w: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8.96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6.82</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3100" w:type="dxa"/>
            <w:vAlign w:val="bottom"/>
            <w:shd w:val="clear" w:color="auto" w:fill="EEEEEE"/>
          </w:tcPr>
          <w:p>
            <w:pPr>
              <w:ind w:left="100"/>
              <w:spacing w:after="0"/>
              <w:rPr>
                <w:sz w:val="20"/>
                <w:szCs w:val="20"/>
                <w:color w:val="auto"/>
              </w:rPr>
            </w:pPr>
            <w:r>
              <w:rPr>
                <w:rFonts w:ascii="Arial" w:cs="Arial" w:eastAsia="Arial" w:hAnsi="Arial"/>
                <w:sz w:val="18"/>
                <w:szCs w:val="18"/>
                <w:color w:val="auto"/>
              </w:rPr>
              <w:t>Expired</w:t>
            </w:r>
          </w:p>
        </w:tc>
        <w:tc>
          <w:tcPr>
            <w:tcW w:w="960" w:type="dxa"/>
            <w:vAlign w:val="bottom"/>
            <w:shd w:val="clear" w:color="auto" w:fill="EEEEEE"/>
          </w:tcPr>
          <w:p>
            <w:pPr>
              <w:spacing w:after="0"/>
              <w:rPr>
                <w:sz w:val="19"/>
                <w:szCs w:val="19"/>
                <w:color w:val="auto"/>
              </w:rPr>
            </w:pPr>
          </w:p>
        </w:tc>
        <w:tc>
          <w:tcPr>
            <w:tcW w:w="62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6.21</w:t>
            </w:r>
          </w:p>
        </w:tc>
        <w:tc>
          <w:tcPr>
            <w:tcW w:w="1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2.21</w:t>
            </w:r>
          </w:p>
        </w:tc>
        <w:tc>
          <w:tcPr>
            <w:tcW w:w="136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63"/>
        </w:trPr>
        <w:tc>
          <w:tcPr>
            <w:tcW w:w="3100" w:type="dxa"/>
            <w:vAlign w:val="bottom"/>
            <w:tcBorders>
              <w:bottom w:val="single" w:sz="8" w:color="EEEEEE"/>
            </w:tcBorders>
          </w:tcPr>
          <w:p>
            <w:pPr>
              <w:ind w:left="100"/>
              <w:spacing w:after="0"/>
              <w:rPr>
                <w:sz w:val="20"/>
                <w:szCs w:val="20"/>
                <w:color w:val="auto"/>
              </w:rPr>
            </w:pPr>
            <w:r>
              <w:rPr>
                <w:rFonts w:ascii="Arial" w:cs="Arial" w:eastAsia="Arial" w:hAnsi="Arial"/>
                <w:sz w:val="18"/>
                <w:szCs w:val="18"/>
                <w:color w:val="auto"/>
              </w:rPr>
              <w:t>Outstanding, September 30, 2014</w:t>
            </w:r>
          </w:p>
        </w:tc>
        <w:tc>
          <w:tcPr>
            <w:tcW w:w="96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1,437</w:t>
            </w:r>
          </w:p>
        </w:tc>
        <w:tc>
          <w:tcPr>
            <w:tcW w:w="2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360" w:type="dxa"/>
            <w:vAlign w:val="bottom"/>
            <w:tcBorders>
              <w:bottom w:val="single" w:sz="8" w:color="EEEEEE"/>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EEEEEE"/>
            </w:tcBorders>
            <w:gridSpan w:val="2"/>
          </w:tcPr>
          <w:p>
            <w:pPr>
              <w:jc w:val="right"/>
              <w:ind w:right="180"/>
              <w:spacing w:after="0"/>
              <w:rPr>
                <w:sz w:val="20"/>
                <w:szCs w:val="20"/>
                <w:color w:val="auto"/>
              </w:rPr>
            </w:pPr>
            <w:r>
              <w:rPr>
                <w:rFonts w:ascii="Arial" w:cs="Arial" w:eastAsia="Arial" w:hAnsi="Arial"/>
                <w:sz w:val="18"/>
                <w:szCs w:val="18"/>
                <w:color w:val="auto"/>
              </w:rPr>
              <w:t>8.94</w:t>
            </w:r>
          </w:p>
        </w:tc>
        <w:tc>
          <w:tcPr>
            <w:tcW w:w="320" w:type="dxa"/>
            <w:vAlign w:val="bottom"/>
            <w:tcBorders>
              <w:bottom w:val="single" w:sz="8" w:color="EEEEEE"/>
            </w:tcBorders>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EEEEEE"/>
            </w:tcBorders>
            <w:gridSpan w:val="2"/>
          </w:tcPr>
          <w:p>
            <w:pPr>
              <w:jc w:val="right"/>
              <w:ind w:right="340"/>
              <w:spacing w:after="0"/>
              <w:rPr>
                <w:sz w:val="20"/>
                <w:szCs w:val="20"/>
                <w:color w:val="auto"/>
              </w:rPr>
            </w:pPr>
            <w:r>
              <w:rPr>
                <w:rFonts w:ascii="Arial" w:cs="Arial" w:eastAsia="Arial" w:hAnsi="Arial"/>
                <w:sz w:val="18"/>
                <w:szCs w:val="18"/>
                <w:color w:val="auto"/>
              </w:rPr>
              <w:t>4.47</w:t>
            </w:r>
          </w:p>
        </w:tc>
        <w:tc>
          <w:tcPr>
            <w:tcW w:w="1680" w:type="dxa"/>
            <w:vAlign w:val="bottom"/>
            <w:tcBorders>
              <w:bottom w:val="single" w:sz="8" w:color="EEEEEE"/>
            </w:tcBorders>
            <w:gridSpan w:val="2"/>
          </w:tcPr>
          <w:p>
            <w:pPr>
              <w:jc w:val="right"/>
              <w:ind w:right="320"/>
              <w:spacing w:after="0"/>
              <w:rPr>
                <w:sz w:val="20"/>
                <w:szCs w:val="20"/>
                <w:color w:val="auto"/>
              </w:rPr>
            </w:pPr>
            <w:r>
              <w:rPr>
                <w:rFonts w:ascii="Arial" w:cs="Arial" w:eastAsia="Arial" w:hAnsi="Arial"/>
                <w:sz w:val="18"/>
                <w:szCs w:val="18"/>
                <w:color w:val="auto"/>
              </w:rPr>
              <w:t>8.332</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10,287</w:t>
            </w:r>
          </w:p>
        </w:tc>
        <w:tc>
          <w:tcPr>
            <w:tcW w:w="0" w:type="dxa"/>
            <w:vAlign w:val="bottom"/>
          </w:tcPr>
          <w:p>
            <w:pPr>
              <w:spacing w:after="0"/>
              <w:rPr>
                <w:sz w:val="1"/>
                <w:szCs w:val="1"/>
                <w:color w:val="auto"/>
              </w:rPr>
            </w:pPr>
          </w:p>
        </w:tc>
      </w:tr>
      <w:tr>
        <w:trPr>
          <w:trHeight w:val="197"/>
        </w:trPr>
        <w:tc>
          <w:tcPr>
            <w:tcW w:w="3100" w:type="dxa"/>
            <w:vAlign w:val="bottom"/>
            <w:tcBorders>
              <w:bottom w:val="single" w:sz="8" w:color="EEEEEE"/>
            </w:tcBorders>
            <w:shd w:val="clear" w:color="auto" w:fill="EEEEEE"/>
          </w:tcPr>
          <w:p>
            <w:pPr>
              <w:ind w:left="100"/>
              <w:spacing w:after="0" w:line="196" w:lineRule="exact"/>
              <w:rPr>
                <w:sz w:val="20"/>
                <w:szCs w:val="20"/>
                <w:color w:val="auto"/>
              </w:rPr>
            </w:pPr>
            <w:r>
              <w:rPr>
                <w:rFonts w:ascii="Arial" w:cs="Arial" w:eastAsia="Arial" w:hAnsi="Arial"/>
                <w:sz w:val="18"/>
                <w:szCs w:val="18"/>
                <w:color w:val="auto"/>
              </w:rPr>
              <w:t>Exercisable, September 30, 2014</w:t>
            </w:r>
          </w:p>
        </w:tc>
        <w:tc>
          <w:tcPr>
            <w:tcW w:w="960" w:type="dxa"/>
            <w:vAlign w:val="bottom"/>
            <w:tcBorders>
              <w:bottom w:val="single" w:sz="8" w:color="auto"/>
            </w:tcBorders>
            <w:shd w:val="clear" w:color="auto" w:fill="EEEEEE"/>
          </w:tcPr>
          <w:p>
            <w:pPr>
              <w:spacing w:after="0"/>
              <w:rPr>
                <w:sz w:val="17"/>
                <w:szCs w:val="17"/>
                <w:color w:val="auto"/>
              </w:rPr>
            </w:pPr>
          </w:p>
        </w:tc>
        <w:tc>
          <w:tcPr>
            <w:tcW w:w="42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532</w:t>
            </w:r>
          </w:p>
        </w:tc>
        <w:tc>
          <w:tcPr>
            <w:tcW w:w="2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EEEEEE"/>
            </w:tcBorders>
            <w:gridSpan w:val="2"/>
            <w:shd w:val="clear" w:color="auto" w:fill="EEEEEE"/>
          </w:tcPr>
          <w:p>
            <w:pPr>
              <w:jc w:val="right"/>
              <w:ind w:right="30"/>
              <w:spacing w:after="0" w:line="190"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EEEEEE"/>
            </w:tcBorders>
            <w:gridSpan w:val="2"/>
            <w:shd w:val="clear" w:color="auto" w:fill="EEEEEE"/>
          </w:tcPr>
          <w:p>
            <w:pPr>
              <w:jc w:val="right"/>
              <w:ind w:right="180"/>
              <w:spacing w:after="0" w:line="190" w:lineRule="exact"/>
              <w:rPr>
                <w:sz w:val="20"/>
                <w:szCs w:val="20"/>
                <w:color w:val="auto"/>
              </w:rPr>
            </w:pPr>
            <w:r>
              <w:rPr>
                <w:rFonts w:ascii="Arial" w:cs="Arial" w:eastAsia="Arial" w:hAnsi="Arial"/>
                <w:sz w:val="18"/>
                <w:szCs w:val="18"/>
                <w:color w:val="auto"/>
              </w:rPr>
              <w:t>7.69</w:t>
            </w:r>
          </w:p>
        </w:tc>
        <w:tc>
          <w:tcPr>
            <w:tcW w:w="320" w:type="dxa"/>
            <w:vAlign w:val="bottom"/>
            <w:tcBorders>
              <w:bottom w:val="single" w:sz="8" w:color="EEEEEE"/>
            </w:tcBorders>
            <w:gridSpan w:val="2"/>
            <w:shd w:val="clear" w:color="auto" w:fill="EEEEEE"/>
          </w:tcPr>
          <w:p>
            <w:pPr>
              <w:jc w:val="right"/>
              <w:spacing w:after="0" w:line="190"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EEEEEE"/>
            </w:tcBorders>
            <w:gridSpan w:val="2"/>
            <w:shd w:val="clear" w:color="auto" w:fill="EEEEEE"/>
          </w:tcPr>
          <w:p>
            <w:pPr>
              <w:jc w:val="right"/>
              <w:ind w:right="340"/>
              <w:spacing w:after="0" w:line="190" w:lineRule="exact"/>
              <w:rPr>
                <w:sz w:val="20"/>
                <w:szCs w:val="20"/>
                <w:color w:val="auto"/>
              </w:rPr>
            </w:pPr>
            <w:r>
              <w:rPr>
                <w:rFonts w:ascii="Arial" w:cs="Arial" w:eastAsia="Arial" w:hAnsi="Arial"/>
                <w:sz w:val="18"/>
                <w:szCs w:val="18"/>
                <w:color w:val="auto"/>
              </w:rPr>
              <w:t>3.22</w:t>
            </w:r>
          </w:p>
        </w:tc>
        <w:tc>
          <w:tcPr>
            <w:tcW w:w="1680" w:type="dxa"/>
            <w:vAlign w:val="bottom"/>
            <w:tcBorders>
              <w:bottom w:val="single" w:sz="8" w:color="EEEEEE"/>
            </w:tcBorders>
            <w:gridSpan w:val="2"/>
            <w:shd w:val="clear" w:color="auto" w:fill="EEEEEE"/>
          </w:tcPr>
          <w:p>
            <w:pPr>
              <w:jc w:val="right"/>
              <w:ind w:right="320"/>
              <w:spacing w:after="0" w:line="190" w:lineRule="exact"/>
              <w:rPr>
                <w:sz w:val="20"/>
                <w:szCs w:val="20"/>
                <w:color w:val="auto"/>
              </w:rPr>
            </w:pPr>
            <w:r>
              <w:rPr>
                <w:rFonts w:ascii="Arial" w:cs="Arial" w:eastAsia="Arial" w:hAnsi="Arial"/>
                <w:sz w:val="18"/>
                <w:szCs w:val="18"/>
                <w:color w:val="auto"/>
              </w:rPr>
              <w:t>7.543</w:t>
            </w:r>
          </w:p>
        </w:tc>
        <w:tc>
          <w:tcPr>
            <w:tcW w:w="100" w:type="dxa"/>
            <w:vAlign w:val="bottom"/>
            <w:tcBorders>
              <w:bottom w:val="single" w:sz="8" w:color="EEEEEE"/>
            </w:tcBorders>
            <w:shd w:val="clear" w:color="auto" w:fill="EEEEEE"/>
          </w:tcPr>
          <w:p>
            <w:pPr>
              <w:jc w:val="right"/>
              <w:spacing w:after="0" w:line="190"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EEEEEE"/>
            </w:tcBorders>
            <w:gridSpan w:val="2"/>
            <w:shd w:val="clear" w:color="auto" w:fill="EEEEEE"/>
          </w:tcPr>
          <w:p>
            <w:pPr>
              <w:jc w:val="right"/>
              <w:ind w:right="100"/>
              <w:spacing w:after="0" w:line="190" w:lineRule="exact"/>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0"/>
        </w:trPr>
        <w:tc>
          <w:tcPr>
            <w:tcW w:w="4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8.87</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4.40</w:t>
            </w:r>
          </w:p>
        </w:tc>
        <w:tc>
          <w:tcPr>
            <w:tcW w:w="16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8.290</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9,652</w:t>
            </w:r>
          </w:p>
        </w:tc>
        <w:tc>
          <w:tcPr>
            <w:tcW w:w="0" w:type="dxa"/>
            <w:vAlign w:val="bottom"/>
          </w:tcPr>
          <w:p>
            <w:pPr>
              <w:spacing w:after="0" w:line="20" w:lineRule="exact"/>
              <w:rPr>
                <w:sz w:val="1"/>
                <w:szCs w:val="1"/>
                <w:color w:val="auto"/>
              </w:rPr>
            </w:pPr>
          </w:p>
        </w:tc>
      </w:tr>
      <w:tr>
        <w:trPr>
          <w:trHeight w:val="197"/>
        </w:trPr>
        <w:tc>
          <w:tcPr>
            <w:tcW w:w="3100" w:type="dxa"/>
            <w:vAlign w:val="bottom"/>
          </w:tcPr>
          <w:p>
            <w:pPr>
              <w:ind w:left="100"/>
              <w:spacing w:after="0" w:line="196" w:lineRule="exact"/>
              <w:rPr>
                <w:sz w:val="20"/>
                <w:szCs w:val="20"/>
                <w:color w:val="auto"/>
              </w:rPr>
            </w:pPr>
            <w:r>
              <w:rPr>
                <w:rFonts w:ascii="Arial" w:cs="Arial" w:eastAsia="Arial" w:hAnsi="Arial"/>
                <w:sz w:val="18"/>
                <w:szCs w:val="18"/>
                <w:color w:val="auto"/>
              </w:rPr>
              <w:t>Vested and expected to vest</w:t>
            </w:r>
          </w:p>
        </w:tc>
        <w:tc>
          <w:tcPr>
            <w:tcW w:w="9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1,335</w:t>
            </w:r>
          </w:p>
        </w:tc>
        <w:tc>
          <w:tcPr>
            <w:tcW w:w="2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As of September 30, 2014, total compensation cost related to unvested stock options not yet recognized was $3.9 million, which is expected to be expensed over a weighted-average period of 2.85 years. The aggregated intrinsic value of options outstanding and options exercisable as of September 30, 2014 was $10.3 million and $4.5 million, respectively.</w:t>
      </w:r>
    </w:p>
    <w:p>
      <w:pPr>
        <w:spacing w:after="0" w:line="18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Under the 2013 Plan, participants may be granted RSUs, representing an unfunded, unsecured right to receive common stock on the date specified in the recipient’s award. The Company recognizes compensation expense on a straight-line basis over the applicable vesting term of the award.</w:t>
      </w:r>
    </w:p>
    <w:p>
      <w:pPr>
        <w:spacing w:after="0" w:line="12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During the three months ended September 30, 2014, the Company granted 21,226 RSUs with a total grant-date fair market value of $0.4 million. As of September 30, 2014, there was approximately $0.2 million of unrecognized compensation cost related to RSUs.</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Stockholders’ Equity</w:t>
      </w:r>
    </w:p>
    <w:p>
      <w:pPr>
        <w:spacing w:after="0" w:line="229"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Company has authorized the issuance of up to 45,000,000 shares of common stock, all of which have been designated voting common stock, under its Amended and Restated Certificate of Incorporation.</w:t>
      </w:r>
    </w:p>
    <w:p>
      <w:pPr>
        <w:spacing w:after="0" w:line="170"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Convertible Preferred Stock</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Company has authorized the issuance of up to 5,000,000 shares of preferred stock under the Company’s Amended and Restated Certificate of Incorporation.</w:t>
      </w:r>
    </w:p>
    <w:p>
      <w:pPr>
        <w:spacing w:after="0" w:line="170"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Warrants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As of September 30, 2014, the Company had no outstanding warrants to purchase common or preferred stock.</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Public Offerings of Common Stock</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September 25, 2013, our registration statement on Form S-1 for our initial public offering was declared effective by the Securities and Exchange Commission. The offering commenced on September 26, and the Company sold 3.6 million shares of its common stock in its initial public offering at a price of $10.00 per share, providing proceeds of $31.5 million, net of expenses and underwriting discounts and commissions. The Company’s initial public offering closed on October 1, 2013.</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March 19, 2014, the Company sold 2.0 million shares of its common stock in a secondary offering at a price of $24.25 per share, providing proceeds of $45.6 million, net of expenses and underwriting discounts and commissions. The Company’s sale of 1.6 million shares in the secondary offering closed on March 25, 2014 and the Company’s sale of an additional 0.4 million shares as a result of the underwriters’ exercise of their option to purchase additional shares closed on March 28,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and Geographic Information</w:t>
      </w:r>
    </w:p>
    <w:p>
      <w:pPr>
        <w:spacing w:after="0" w:line="229"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6"/>
          <w:szCs w:val="16"/>
          <w:color w:val="auto"/>
        </w:rPr>
        <w:t>The following tables set forth the Company’s revenue and asset information by geographic region. Revenue is classified based on the location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Company’s product manufacturing plants. Long-lived assets in the tables below comprise only property, plant, equipment and intangible assets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28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4"/>
              </w:rPr>
              <w:t>Three months ended September 30,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5"/>
          </w:tcPr>
          <w:p>
            <w:pPr>
              <w:ind w:left="60"/>
              <w:spacing w:after="0"/>
              <w:rPr>
                <w:sz w:val="20"/>
                <w:szCs w:val="20"/>
                <w:color w:val="auto"/>
              </w:rPr>
            </w:pPr>
            <w:r>
              <w:rPr>
                <w:rFonts w:ascii="Arial" w:cs="Arial" w:eastAsia="Arial" w:hAnsi="Arial"/>
                <w:sz w:val="18"/>
                <w:szCs w:val="18"/>
                <w:b w:val="1"/>
                <w:bCs w:val="1"/>
                <w:color w:val="auto"/>
                <w:w w:val="98"/>
              </w:rPr>
              <w:t>Nine months ended September 30,</w:t>
            </w:r>
          </w:p>
        </w:tc>
      </w:tr>
      <w:tr>
        <w:trPr>
          <w:trHeight w:val="223"/>
        </w:trPr>
        <w:tc>
          <w:tcPr>
            <w:tcW w:w="4820" w:type="dxa"/>
            <w:vAlign w:val="bottom"/>
            <w:tcBorders>
              <w:bottom w:val="single" w:sz="8" w:color="EEEEEE"/>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EEEEEE"/>
            </w:tcBorders>
          </w:tcPr>
          <w:p>
            <w:pPr>
              <w:spacing w:after="0"/>
              <w:rPr>
                <w:sz w:val="19"/>
                <w:szCs w:val="19"/>
                <w:color w:val="auto"/>
              </w:rPr>
            </w:pPr>
          </w:p>
        </w:tc>
      </w:tr>
      <w:tr>
        <w:trPr>
          <w:trHeight w:val="210"/>
        </w:trPr>
        <w:tc>
          <w:tcPr>
            <w:tcW w:w="48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Revenues:</w:t>
            </w: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820" w:type="dxa"/>
            <w:vAlign w:val="bottom"/>
          </w:tcPr>
          <w:p>
            <w:pPr>
              <w:ind w:left="400"/>
              <w:spacing w:after="0"/>
              <w:rPr>
                <w:sz w:val="20"/>
                <w:szCs w:val="20"/>
                <w:color w:val="auto"/>
              </w:rPr>
            </w:pPr>
            <w:r>
              <w:rPr>
                <w:rFonts w:ascii="Arial" w:cs="Arial" w:eastAsia="Arial" w:hAnsi="Arial"/>
                <w:sz w:val="18"/>
                <w:szCs w:val="18"/>
                <w:color w:val="auto"/>
              </w:rPr>
              <w:t>United States</w:t>
            </w:r>
          </w:p>
        </w:tc>
        <w:tc>
          <w:tcPr>
            <w:tcW w:w="880" w:type="dxa"/>
            <w:vAlign w:val="bottom"/>
          </w:tcPr>
          <w:p>
            <w:pPr>
              <w:jc w:val="right"/>
              <w:ind w:right="71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7,826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3,742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19,950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8,364</w:t>
            </w:r>
          </w:p>
        </w:tc>
      </w:tr>
      <w:tr>
        <w:trPr>
          <w:trHeight w:val="216"/>
        </w:trPr>
        <w:tc>
          <w:tcPr>
            <w:tcW w:w="48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Taiwan</w:t>
            </w:r>
          </w:p>
        </w:tc>
        <w:tc>
          <w:tcPr>
            <w:tcW w:w="8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7"/>
              </w:rPr>
              <w:t>23,795</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7,576</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58,684</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22,615</w:t>
            </w:r>
          </w:p>
        </w:tc>
      </w:tr>
      <w:tr>
        <w:trPr>
          <w:trHeight w:val="230"/>
        </w:trPr>
        <w:tc>
          <w:tcPr>
            <w:tcW w:w="4820" w:type="dxa"/>
            <w:vAlign w:val="bottom"/>
          </w:tcPr>
          <w:p>
            <w:pPr>
              <w:ind w:left="400"/>
              <w:spacing w:after="0"/>
              <w:rPr>
                <w:sz w:val="20"/>
                <w:szCs w:val="20"/>
                <w:color w:val="auto"/>
              </w:rPr>
            </w:pPr>
            <w:r>
              <w:rPr>
                <w:rFonts w:ascii="Arial" w:cs="Arial" w:eastAsia="Arial" w:hAnsi="Arial"/>
                <w:sz w:val="18"/>
                <w:szCs w:val="18"/>
                <w:color w:val="auto"/>
              </w:rPr>
              <w:t>China</w:t>
            </w:r>
          </w:p>
        </w:tc>
        <w:tc>
          <w:tcPr>
            <w:tcW w:w="88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4,928</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9,448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15,424</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23,701</w:t>
            </w:r>
          </w:p>
        </w:tc>
      </w:tr>
      <w:tr>
        <w:trPr>
          <w:trHeight w:val="223"/>
        </w:trPr>
        <w:tc>
          <w:tcPr>
            <w:tcW w:w="4820" w:type="dxa"/>
            <w:vAlign w:val="bottom"/>
            <w:tcBorders>
              <w:top w:val="single" w:sz="8" w:color="EEEEEE"/>
              <w:bottom w:val="single" w:sz="8" w:color="EEEEEE"/>
            </w:tcBorders>
            <w:shd w:val="clear" w:color="auto" w:fill="EEEEEE"/>
          </w:tcPr>
          <w:p>
            <w:pPr>
              <w:spacing w:after="0"/>
              <w:rPr>
                <w:sz w:val="19"/>
                <w:szCs w:val="19"/>
                <w:color w:val="auto"/>
              </w:rPr>
            </w:pPr>
          </w:p>
        </w:tc>
        <w:tc>
          <w:tcPr>
            <w:tcW w:w="880" w:type="dxa"/>
            <w:vAlign w:val="bottom"/>
            <w:tcBorders>
              <w:top w:val="single" w:sz="8" w:color="auto"/>
              <w:bottom w:val="single" w:sz="8" w:color="auto"/>
            </w:tcBorders>
            <w:shd w:val="clear" w:color="auto" w:fill="EEEEEE"/>
          </w:tcPr>
          <w:p>
            <w:pPr>
              <w:jc w:val="right"/>
              <w:ind w:right="71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36,549</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20,766</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94,058</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54,680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gridSpan w:val="5"/>
          </w:tcPr>
          <w:p>
            <w:pPr>
              <w:ind w:left="560"/>
              <w:spacing w:after="0"/>
              <w:rPr>
                <w:sz w:val="20"/>
                <w:szCs w:val="20"/>
                <w:color w:val="auto"/>
              </w:rPr>
            </w:pPr>
            <w:r>
              <w:rPr>
                <w:rFonts w:ascii="Arial" w:cs="Arial" w:eastAsia="Arial" w:hAnsi="Arial"/>
                <w:sz w:val="18"/>
                <w:szCs w:val="18"/>
                <w:b w:val="1"/>
                <w:bCs w:val="1"/>
                <w:color w:val="auto"/>
              </w:rPr>
              <w:t>As of the period ended</w:t>
            </w:r>
          </w:p>
        </w:tc>
      </w:tr>
      <w:tr>
        <w:trPr>
          <w:trHeight w:val="223"/>
        </w:trPr>
        <w:tc>
          <w:tcPr>
            <w:tcW w:w="8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9"/>
                <w:szCs w:val="19"/>
                <w:color w:val="auto"/>
              </w:rPr>
            </w:pPr>
          </w:p>
        </w:tc>
      </w:tr>
      <w:tr>
        <w:trPr>
          <w:trHeight w:val="210"/>
        </w:trPr>
        <w:tc>
          <w:tcPr>
            <w:tcW w:w="8240" w:type="dxa"/>
            <w:vAlign w:val="bottom"/>
            <w:tcBorders>
              <w:bottom w:val="single" w:sz="8" w:color="EEEEEE"/>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EEEEEE"/>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EEEEEE"/>
            </w:tcBorders>
          </w:tcPr>
          <w:p>
            <w:pPr>
              <w:spacing w:after="0"/>
              <w:rPr>
                <w:sz w:val="18"/>
                <w:szCs w:val="18"/>
                <w:color w:val="auto"/>
              </w:rPr>
            </w:pPr>
          </w:p>
        </w:tc>
      </w:tr>
      <w:tr>
        <w:trPr>
          <w:trHeight w:val="210"/>
        </w:trPr>
        <w:tc>
          <w:tcPr>
            <w:tcW w:w="8240" w:type="dxa"/>
            <w:vAlign w:val="bottom"/>
            <w:shd w:val="clear" w:color="auto" w:fill="EEEEEE"/>
          </w:tcPr>
          <w:p>
            <w:pPr>
              <w:ind w:left="100"/>
              <w:spacing w:after="0"/>
              <w:rPr>
                <w:sz w:val="20"/>
                <w:szCs w:val="20"/>
                <w:color w:val="auto"/>
              </w:rPr>
            </w:pPr>
            <w:r>
              <w:rPr>
                <w:rFonts w:ascii="Arial" w:cs="Arial" w:eastAsia="Arial" w:hAnsi="Arial"/>
                <w:sz w:val="18"/>
                <w:szCs w:val="18"/>
                <w:color w:val="auto"/>
              </w:rPr>
              <w:t>Long-lived assets:</w:t>
            </w:r>
          </w:p>
        </w:tc>
        <w:tc>
          <w:tcPr>
            <w:tcW w:w="1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240" w:type="dxa"/>
            <w:vAlign w:val="bottom"/>
          </w:tcPr>
          <w:p>
            <w:pPr>
              <w:ind w:left="400"/>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14,502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9,415</w:t>
            </w:r>
          </w:p>
        </w:tc>
      </w:tr>
      <w:tr>
        <w:trPr>
          <w:trHeight w:val="216"/>
        </w:trPr>
        <w:tc>
          <w:tcPr>
            <w:tcW w:w="82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Taiwan</w:t>
            </w:r>
          </w:p>
        </w:tc>
        <w:tc>
          <w:tcPr>
            <w:tcW w:w="10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24,843</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7,192</w:t>
            </w:r>
          </w:p>
        </w:tc>
      </w:tr>
      <w:tr>
        <w:trPr>
          <w:trHeight w:val="230"/>
        </w:trPr>
        <w:tc>
          <w:tcPr>
            <w:tcW w:w="8240" w:type="dxa"/>
            <w:vAlign w:val="bottom"/>
          </w:tcPr>
          <w:p>
            <w:pPr>
              <w:ind w:left="400"/>
              <w:spacing w:after="0"/>
              <w:rPr>
                <w:sz w:val="20"/>
                <w:szCs w:val="20"/>
                <w:color w:val="auto"/>
              </w:rPr>
            </w:pPr>
            <w:r>
              <w:rPr>
                <w:rFonts w:ascii="Arial" w:cs="Arial" w:eastAsia="Arial" w:hAnsi="Arial"/>
                <w:sz w:val="18"/>
                <w:szCs w:val="18"/>
                <w:color w:val="auto"/>
              </w:rPr>
              <w:t>China</w:t>
            </w:r>
          </w:p>
        </w:tc>
        <w:tc>
          <w:tcPr>
            <w:tcW w:w="100" w:type="dxa"/>
            <w:vAlign w:val="bottom"/>
          </w:tcPr>
          <w:p>
            <w:pPr>
              <w:spacing w:after="0"/>
              <w:rPr>
                <w:sz w:val="19"/>
                <w:szCs w:val="19"/>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16,682</w:t>
            </w: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16,337</w:t>
            </w:r>
          </w:p>
        </w:tc>
      </w:tr>
      <w:tr>
        <w:trPr>
          <w:trHeight w:val="223"/>
        </w:trPr>
        <w:tc>
          <w:tcPr>
            <w:tcW w:w="82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56,027</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32,944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October 3, 2014, the Company paid down $14.0 million of borrowings of its US bank line of credit facility.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unaudited condensed consolidated financial statements and the related notes thereto included elsewhere in this Quarterly Report on Form 10-Q for the period ended September 30, 2014 and the audited consolidated financial statements and notes thereto and management’s discussion and analysis of financial condition and results of operations for the fiscal year ended December 31, 2013 included in our Annual Report on Form 10-K. References to “Applied Optoelectronics” “we,” “our” and “us” are to Applied Optoelectronics, Inc. and its subsidiaries unless otherwise specified or the context otherwise requires.</w:t>
      </w:r>
    </w:p>
    <w:p>
      <w:pPr>
        <w:spacing w:after="0" w:line="15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“might,” “objective,” “estimate,” “continue,” “anticipate,” “intend,” “should,” “plan,” “expect,” “predict,” “potential,” “will” or the negative of these terms or other similar expressions is intended to identify forward-looking statements.</w:t>
      </w:r>
    </w:p>
    <w:p>
      <w:pPr>
        <w:spacing w:after="0" w:line="193"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i w:val="1"/>
          <w:iCs w:val="1"/>
          <w:color w:val="auto"/>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We are a leading, vertically integrated provider of fiber-optic access networking products. We target three networking end-markets: Cable TV Broadband, or CATV, Fiber-to-the-Home, or FTTH, and internet data centers. In designing products for our customers, we begin with the fundamental building blocks of lasers and laser components. From these foundational products, we design and manufacture optical communications products at varying levels of integration, from components, subassemblies and modules to complete turn-key equipment. We tailor our products to our customers’ needs and specifications, but leverage fundamental laser technology across our different products.</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three end markets we target are all driven by increasing bandwidth demand fueled by the growth of network-connected devices, video traffic, cloud computing and online social networking. To address this increased bandwidth demand, CATV and FTTH service providers are investing to enhance the capacity and capability of their networks. The trend of rising bandwidth consumption also impacts the internet data center market, as reflected in the shift to higher speed server connections. As a result of these trends, fiber-optic networking technology is becoming essential in all three of our target markets, as it is often the only economic way to deliver the required bandwidth.</w:t>
      </w:r>
    </w:p>
    <w:p>
      <w:pPr>
        <w:spacing w:after="0" w:line="188"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Our vertically integrated manufacturing model provides us several advantages, including rapid product development, fast response times to customer requests and better control over product quality and manufacturing costs. The lasers we manufacture are proven to be reliable over time and highly tolerant of changes in temperature and humidity, making them well-suited to the CATV and FTTH markets where networking equipment is often installed outdoors.</w:t>
      </w:r>
    </w:p>
    <w:p>
      <w:pPr>
        <w:spacing w:after="0" w:line="14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have three manufacturing sites: Sugar Land, Texas; Ningbo, China; and Taipei, Taiwan. Our research and development functions are partnered with our manufacturing locations. In our U.S. facility, we manufacture our laser chips, sub-assemblies and components. We manufacture our laser chips only within our U.S. facility, where our laser R&amp;D team is located. In our Taiwan location, we manufacture transceivers for the FTTH and internet data center markets, which incorporate our own laser chips and components made in the U.S. In our China facility, we take advantage of lower labor costs and manufacture most of our CATV equipment systems, such as headend transmitters and outdoor nodes. Each facility conducts testing on the components, modules or subsystems it manufactures and each facility is certified to ISO 9001:2008.</w:t>
      </w:r>
    </w:p>
    <w:p>
      <w:pPr>
        <w:spacing w:after="0" w:line="17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sales model focuses on direct engagement and close coordination with our customers to determine product design, qualifications, and performance through coordination of our sales, product engineering and manufacturing teams. Our strategy is to use our direct sales force to sell to key accounts within our markets, increasing product penetration within those customers while also growing our overall customer base in certain international and domestic markets. We have direct sales personnel in each of our U.S., Taiwan and China locations focusing on a direct and local interaction with our CATV, FTTH and internet data center customers. Throughout our sales cycle, we work closely with our customers to achieve design wins that we believe provide long-lasting relationships and promotes higher customer retention.</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4" w:name="page15"/>
    <w:bookmarkEnd w:id="14"/>
    <w:p>
      <w:pPr>
        <w:ind w:right="140" w:firstLine="648"/>
        <w:spacing w:after="0" w:line="264" w:lineRule="auto"/>
        <w:rPr>
          <w:sz w:val="20"/>
          <w:szCs w:val="20"/>
          <w:color w:val="auto"/>
        </w:rPr>
      </w:pPr>
      <w:r>
        <w:rPr>
          <w:rFonts w:ascii="Arial" w:cs="Arial" w:eastAsia="Arial" w:hAnsi="Arial"/>
          <w:sz w:val="18"/>
          <w:szCs w:val="18"/>
          <w:color w:val="auto"/>
        </w:rPr>
        <w:t>We have grown our revenue at a 33.1% CAGR between 2009 and 2013, including 23.7% growth year-over-year from 2012 to 2013. Our revenue growth in 2013 was driven primarily by increasing revenue from our internet data center customers. Growth in the first nine months of 2014 has been driven primarily by increasing revenue from our internet data center and FTTH customers.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principal executive offices are located at 13115 Jess Pirtle Blvd., Sugar Land, TX 77478, and our telephone number is (281) 295-1800.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 forth our consolidated results of operations for the periods presented and as a percentage of our revenue for those periods.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3460" w:type="dxa"/>
            <w:vAlign w:val="bottom"/>
            <w:gridSpan w:val="5"/>
          </w:tcPr>
          <w:p>
            <w:pPr>
              <w:jc w:val="right"/>
              <w:ind w:right="470"/>
              <w:spacing w:after="0"/>
              <w:rPr>
                <w:sz w:val="20"/>
                <w:szCs w:val="20"/>
                <w:color w:val="auto"/>
              </w:rPr>
            </w:pPr>
            <w:r>
              <w:rPr>
                <w:rFonts w:ascii="Arial" w:cs="Arial" w:eastAsia="Arial" w:hAnsi="Arial"/>
                <w:sz w:val="18"/>
                <w:szCs w:val="18"/>
                <w:b w:val="1"/>
                <w:bCs w:val="1"/>
                <w:color w:val="auto"/>
                <w:w w:val="94"/>
              </w:rPr>
              <w:t>Three months ended September 30,</w:t>
            </w:r>
          </w:p>
        </w:tc>
        <w:tc>
          <w:tcPr>
            <w:tcW w:w="32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6"/>
              </w:rPr>
              <w:t>Nine months ended September 30,</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EEEEEE"/>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4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EEEEEE"/>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380" w:type="dxa"/>
            <w:vAlign w:val="bottom"/>
            <w:tcBorders>
              <w:bottom w:val="single" w:sz="8" w:color="EEEEEE"/>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380" w:type="dxa"/>
            <w:vAlign w:val="bottom"/>
            <w:tcBorders>
              <w:top w:val="single" w:sz="8" w:color="auto"/>
              <w:bottom w:val="single" w:sz="8" w:color="EEEEEE"/>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16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Revenue, net</w:t>
            </w:r>
          </w:p>
        </w:tc>
        <w:tc>
          <w:tcPr>
            <w:tcW w:w="90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150"/>
              <w:spacing w:after="0"/>
              <w:rPr>
                <w:sz w:val="20"/>
                <w:szCs w:val="20"/>
                <w:color w:val="auto"/>
              </w:rPr>
            </w:pPr>
            <w:r>
              <w:rPr>
                <w:rFonts w:ascii="Arial" w:cs="Arial" w:eastAsia="Arial" w:hAnsi="Arial"/>
                <w:sz w:val="18"/>
                <w:szCs w:val="18"/>
                <w:color w:val="auto"/>
                <w:w w:val="94"/>
              </w:rPr>
              <w:t>100.0%</w:t>
            </w:r>
          </w:p>
        </w:tc>
        <w:tc>
          <w:tcPr>
            <w:tcW w:w="172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100.0%</w:t>
            </w:r>
          </w:p>
        </w:tc>
        <w:tc>
          <w:tcPr>
            <w:tcW w:w="172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100.0%</w:t>
            </w:r>
          </w:p>
        </w:tc>
        <w:tc>
          <w:tcPr>
            <w:tcW w:w="1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620" w:type="dxa"/>
            <w:vAlign w:val="bottom"/>
            <w:gridSpan w:val="2"/>
          </w:tcPr>
          <w:p>
            <w:pPr>
              <w:ind w:left="100"/>
              <w:spacing w:after="0"/>
              <w:rPr>
                <w:sz w:val="20"/>
                <w:szCs w:val="20"/>
                <w:color w:val="auto"/>
              </w:rPr>
            </w:pPr>
            <w:r>
              <w:rPr>
                <w:rFonts w:ascii="Arial" w:cs="Arial" w:eastAsia="Arial" w:hAnsi="Arial"/>
                <w:sz w:val="18"/>
                <w:szCs w:val="18"/>
                <w:color w:val="auto"/>
              </w:rPr>
              <w:t>Cost of goods sold</w:t>
            </w: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66.8%</w:t>
            </w:r>
          </w:p>
        </w:tc>
        <w:tc>
          <w:tcPr>
            <w:tcW w:w="1720" w:type="dxa"/>
            <w:vAlign w:val="bottom"/>
            <w:gridSpan w:val="2"/>
          </w:tcPr>
          <w:p>
            <w:pPr>
              <w:jc w:val="right"/>
              <w:ind w:right="130"/>
              <w:spacing w:after="0"/>
              <w:rPr>
                <w:sz w:val="20"/>
                <w:szCs w:val="20"/>
                <w:color w:val="auto"/>
              </w:rPr>
            </w:pPr>
            <w:r>
              <w:rPr>
                <w:rFonts w:ascii="Arial" w:cs="Arial" w:eastAsia="Arial" w:hAnsi="Arial"/>
                <w:sz w:val="18"/>
                <w:szCs w:val="18"/>
                <w:color w:val="auto"/>
              </w:rPr>
              <w:t>69.6%</w:t>
            </w:r>
          </w:p>
        </w:tc>
        <w:tc>
          <w:tcPr>
            <w:tcW w:w="1720" w:type="dxa"/>
            <w:vAlign w:val="bottom"/>
            <w:gridSpan w:val="2"/>
          </w:tcPr>
          <w:p>
            <w:pPr>
              <w:jc w:val="right"/>
              <w:ind w:right="130"/>
              <w:spacing w:after="0"/>
              <w:rPr>
                <w:sz w:val="20"/>
                <w:szCs w:val="20"/>
                <w:color w:val="auto"/>
              </w:rPr>
            </w:pPr>
            <w:r>
              <w:rPr>
                <w:rFonts w:ascii="Arial" w:cs="Arial" w:eastAsia="Arial" w:hAnsi="Arial"/>
                <w:sz w:val="18"/>
                <w:szCs w:val="18"/>
                <w:color w:val="auto"/>
              </w:rPr>
              <w:t>66.0%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0"/>
        </w:trPr>
        <w:tc>
          <w:tcPr>
            <w:tcW w:w="4720" w:type="dxa"/>
            <w:vAlign w:val="bottom"/>
            <w:tcBorders>
              <w:top w:val="single" w:sz="8" w:color="EEEEEE"/>
            </w:tcBorders>
            <w:shd w:val="clear" w:color="auto" w:fill="EEEEEE"/>
          </w:tcPr>
          <w:p>
            <w:pPr>
              <w:ind w:left="100"/>
              <w:spacing w:after="0"/>
              <w:rPr>
                <w:sz w:val="20"/>
                <w:szCs w:val="20"/>
                <w:color w:val="auto"/>
              </w:rPr>
            </w:pPr>
            <w:r>
              <w:rPr>
                <w:rFonts w:ascii="Arial" w:cs="Arial" w:eastAsia="Arial" w:hAnsi="Arial"/>
                <w:sz w:val="18"/>
                <w:szCs w:val="18"/>
                <w:color w:val="auto"/>
              </w:rPr>
              <w:t>Gross profit</w:t>
            </w:r>
          </w:p>
        </w:tc>
        <w:tc>
          <w:tcPr>
            <w:tcW w:w="900" w:type="dxa"/>
            <w:vAlign w:val="bottom"/>
            <w:tcBorders>
              <w:top w:val="single" w:sz="8" w:color="auto"/>
              <w:bottom w:val="single" w:sz="8" w:color="auto"/>
            </w:tcBorders>
            <w:shd w:val="clear" w:color="auto" w:fill="EEEEEE"/>
          </w:tcPr>
          <w:p>
            <w:pPr>
              <w:spacing w:after="0"/>
              <w:rPr>
                <w:sz w:val="18"/>
                <w:szCs w:val="18"/>
                <w:color w:val="auto"/>
              </w:rPr>
            </w:pP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33.2</w:t>
            </w:r>
          </w:p>
        </w:tc>
        <w:tc>
          <w:tcPr>
            <w:tcW w:w="380" w:type="dxa"/>
            <w:vAlign w:val="bottom"/>
            <w:tcBorders>
              <w:top w:val="single" w:sz="8" w:color="EEEEEE"/>
            </w:tcBorders>
            <w:shd w:val="clear" w:color="auto" w:fill="EEEEEE"/>
          </w:tcPr>
          <w:p>
            <w:pPr>
              <w:jc w:val="right"/>
              <w:ind w:right="150"/>
              <w:spacing w:after="0"/>
              <w:rPr>
                <w:sz w:val="20"/>
                <w:szCs w:val="20"/>
                <w:color w:val="auto"/>
              </w:rPr>
            </w:pPr>
            <w:r>
              <w:rPr>
                <w:rFonts w:ascii="Arial" w:cs="Arial" w:eastAsia="Arial" w:hAnsi="Arial"/>
                <w:sz w:val="18"/>
                <w:szCs w:val="18"/>
                <w:color w:val="auto"/>
                <w:w w:val="74"/>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30.4</w:t>
            </w:r>
          </w:p>
        </w:tc>
        <w:tc>
          <w:tcPr>
            <w:tcW w:w="380" w:type="dxa"/>
            <w:vAlign w:val="bottom"/>
            <w:tcBorders>
              <w:top w:val="single" w:sz="8" w:color="EEEEEE"/>
            </w:tcBorders>
            <w:shd w:val="clear" w:color="auto" w:fill="EEEEEE"/>
          </w:tcPr>
          <w:p>
            <w:pPr>
              <w:jc w:val="right"/>
              <w:ind w:right="130"/>
              <w:spacing w:after="0"/>
              <w:rPr>
                <w:sz w:val="20"/>
                <w:szCs w:val="20"/>
                <w:color w:val="auto"/>
              </w:rPr>
            </w:pPr>
            <w:r>
              <w:rPr>
                <w:rFonts w:ascii="Arial" w:cs="Arial" w:eastAsia="Arial" w:hAnsi="Arial"/>
                <w:sz w:val="18"/>
                <w:szCs w:val="18"/>
                <w:color w:val="auto"/>
                <w:w w:val="87"/>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34.0</w:t>
            </w:r>
          </w:p>
        </w:tc>
        <w:tc>
          <w:tcPr>
            <w:tcW w:w="380" w:type="dxa"/>
            <w:vAlign w:val="bottom"/>
            <w:tcBorders>
              <w:top w:val="single" w:sz="8" w:color="EEEEEE"/>
            </w:tcBorders>
            <w:shd w:val="clear" w:color="auto" w:fill="EEEEEE"/>
          </w:tcPr>
          <w:p>
            <w:pPr>
              <w:jc w:val="right"/>
              <w:ind w:right="130"/>
              <w:spacing w:after="0"/>
              <w:rPr>
                <w:sz w:val="20"/>
                <w:szCs w:val="20"/>
                <w:color w:val="auto"/>
              </w:rPr>
            </w:pPr>
            <w:r>
              <w:rPr>
                <w:rFonts w:ascii="Arial" w:cs="Arial" w:eastAsia="Arial" w:hAnsi="Arial"/>
                <w:sz w:val="18"/>
                <w:szCs w:val="18"/>
                <w:color w:val="auto"/>
                <w:w w:val="87"/>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4720" w:type="dxa"/>
            <w:vAlign w:val="bottom"/>
          </w:tcPr>
          <w:p>
            <w:pPr>
              <w:ind w:left="100"/>
              <w:spacing w:after="0"/>
              <w:rPr>
                <w:sz w:val="20"/>
                <w:szCs w:val="20"/>
                <w:color w:val="auto"/>
              </w:rPr>
            </w:pPr>
            <w:r>
              <w:rPr>
                <w:rFonts w:ascii="Arial" w:cs="Arial" w:eastAsia="Arial" w:hAnsi="Arial"/>
                <w:sz w:val="18"/>
                <w:szCs w:val="18"/>
                <w:color w:val="auto"/>
              </w:rPr>
              <w:t>Operating expenses</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Research and development</w:t>
            </w:r>
          </w:p>
        </w:tc>
        <w:tc>
          <w:tcPr>
            <w:tcW w:w="840" w:type="dxa"/>
            <w:vAlign w:val="bottom"/>
            <w:gridSpan w:val="2"/>
            <w:shd w:val="clear" w:color="auto" w:fill="EEEEEE"/>
          </w:tcPr>
          <w:p>
            <w:pPr>
              <w:jc w:val="right"/>
              <w:ind w:right="150"/>
              <w:spacing w:after="0"/>
              <w:rPr>
                <w:sz w:val="20"/>
                <w:szCs w:val="20"/>
                <w:color w:val="auto"/>
              </w:rPr>
            </w:pPr>
            <w:r>
              <w:rPr>
                <w:rFonts w:ascii="Arial" w:cs="Arial" w:eastAsia="Arial" w:hAnsi="Arial"/>
                <w:sz w:val="18"/>
                <w:szCs w:val="18"/>
                <w:color w:val="auto"/>
              </w:rPr>
              <w:t>11.5%</w:t>
            </w:r>
          </w:p>
        </w:tc>
        <w:tc>
          <w:tcPr>
            <w:tcW w:w="172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10.6%</w:t>
            </w:r>
          </w:p>
        </w:tc>
        <w:tc>
          <w:tcPr>
            <w:tcW w:w="172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12.5%</w:t>
            </w:r>
          </w:p>
        </w:tc>
        <w:tc>
          <w:tcPr>
            <w:tcW w:w="1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5620" w:type="dxa"/>
            <w:vAlign w:val="bottom"/>
            <w:gridSpan w:val="2"/>
          </w:tcPr>
          <w:p>
            <w:pPr>
              <w:ind w:left="240"/>
              <w:spacing w:after="0"/>
              <w:rPr>
                <w:sz w:val="20"/>
                <w:szCs w:val="20"/>
                <w:color w:val="auto"/>
              </w:rPr>
            </w:pPr>
            <w:r>
              <w:rPr>
                <w:rFonts w:ascii="Arial" w:cs="Arial" w:eastAsia="Arial" w:hAnsi="Arial"/>
                <w:sz w:val="18"/>
                <w:szCs w:val="18"/>
                <w:color w:val="auto"/>
              </w:rPr>
              <w:t>Sales and marketing</w:t>
            </w: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4.4%</w:t>
            </w:r>
          </w:p>
        </w:tc>
        <w:tc>
          <w:tcPr>
            <w:tcW w:w="1720" w:type="dxa"/>
            <w:vAlign w:val="bottom"/>
            <w:gridSpan w:val="2"/>
          </w:tcPr>
          <w:p>
            <w:pPr>
              <w:jc w:val="right"/>
              <w:ind w:right="130"/>
              <w:spacing w:after="0"/>
              <w:rPr>
                <w:sz w:val="20"/>
                <w:szCs w:val="20"/>
                <w:color w:val="auto"/>
              </w:rPr>
            </w:pPr>
            <w:r>
              <w:rPr>
                <w:rFonts w:ascii="Arial" w:cs="Arial" w:eastAsia="Arial" w:hAnsi="Arial"/>
                <w:sz w:val="18"/>
                <w:szCs w:val="18"/>
                <w:color w:val="auto"/>
              </w:rPr>
              <w:t>5.0%</w:t>
            </w:r>
          </w:p>
        </w:tc>
        <w:tc>
          <w:tcPr>
            <w:tcW w:w="1720" w:type="dxa"/>
            <w:vAlign w:val="bottom"/>
            <w:gridSpan w:val="2"/>
          </w:tcPr>
          <w:p>
            <w:pPr>
              <w:jc w:val="right"/>
              <w:ind w:right="130"/>
              <w:spacing w:after="0"/>
              <w:rPr>
                <w:sz w:val="20"/>
                <w:szCs w:val="20"/>
                <w:color w:val="auto"/>
              </w:rPr>
            </w:pPr>
            <w:r>
              <w:rPr>
                <w:rFonts w:ascii="Arial" w:cs="Arial" w:eastAsia="Arial" w:hAnsi="Arial"/>
                <w:sz w:val="18"/>
                <w:szCs w:val="18"/>
                <w:color w:val="auto"/>
              </w:rPr>
              <w:t>4.7%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General and administrative</w:t>
            </w:r>
          </w:p>
        </w:tc>
        <w:tc>
          <w:tcPr>
            <w:tcW w:w="840" w:type="dxa"/>
            <w:vAlign w:val="bottom"/>
            <w:gridSpan w:val="2"/>
            <w:shd w:val="clear" w:color="auto" w:fill="EEEEEE"/>
          </w:tcPr>
          <w:p>
            <w:pPr>
              <w:jc w:val="right"/>
              <w:ind w:right="150"/>
              <w:spacing w:after="0"/>
              <w:rPr>
                <w:sz w:val="20"/>
                <w:szCs w:val="20"/>
                <w:color w:val="auto"/>
              </w:rPr>
            </w:pPr>
            <w:r>
              <w:rPr>
                <w:rFonts w:ascii="Arial" w:cs="Arial" w:eastAsia="Arial" w:hAnsi="Arial"/>
                <w:sz w:val="18"/>
                <w:szCs w:val="18"/>
                <w:color w:val="auto"/>
              </w:rPr>
              <w:t>12.2%</w:t>
            </w:r>
          </w:p>
        </w:tc>
        <w:tc>
          <w:tcPr>
            <w:tcW w:w="172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11.7%</w:t>
            </w:r>
          </w:p>
        </w:tc>
        <w:tc>
          <w:tcPr>
            <w:tcW w:w="172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12.7%</w:t>
            </w:r>
          </w:p>
        </w:tc>
        <w:tc>
          <w:tcPr>
            <w:tcW w:w="1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0"/>
        </w:trPr>
        <w:tc>
          <w:tcPr>
            <w:tcW w:w="4720" w:type="dxa"/>
            <w:vAlign w:val="bottom"/>
            <w:tcBorders>
              <w:bottom w:val="single" w:sz="8" w:color="EEEEEE"/>
            </w:tcBorders>
          </w:tcPr>
          <w:p>
            <w:pPr>
              <w:ind w:left="100"/>
              <w:spacing w:after="0"/>
              <w:rPr>
                <w:sz w:val="20"/>
                <w:szCs w:val="20"/>
                <w:color w:val="auto"/>
              </w:rPr>
            </w:pPr>
            <w:r>
              <w:rPr>
                <w:rFonts w:ascii="Arial" w:cs="Arial" w:eastAsia="Arial" w:hAnsi="Arial"/>
                <w:sz w:val="18"/>
                <w:szCs w:val="18"/>
                <w:color w:val="auto"/>
              </w:rPr>
              <w:t>Total operating expenses</w:t>
            </w:r>
          </w:p>
        </w:tc>
        <w:tc>
          <w:tcPr>
            <w:tcW w:w="9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380" w:type="dxa"/>
            <w:vAlign w:val="bottom"/>
            <w:tcBorders>
              <w:bottom w:val="single" w:sz="8" w:color="EEEEEE"/>
            </w:tcBorders>
          </w:tcPr>
          <w:p>
            <w:pPr>
              <w:jc w:val="right"/>
              <w:ind w:right="150"/>
              <w:spacing w:after="0"/>
              <w:rPr>
                <w:sz w:val="20"/>
                <w:szCs w:val="20"/>
                <w:color w:val="auto"/>
              </w:rPr>
            </w:pPr>
            <w:r>
              <w:rPr>
                <w:rFonts w:ascii="Arial" w:cs="Arial" w:eastAsia="Arial" w:hAnsi="Arial"/>
                <w:sz w:val="18"/>
                <w:szCs w:val="18"/>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380" w:type="dxa"/>
            <w:vAlign w:val="bottom"/>
            <w:tcBorders>
              <w:bottom w:val="single" w:sz="8" w:color="EEEEEE"/>
            </w:tcBorders>
          </w:tcPr>
          <w:p>
            <w:pPr>
              <w:jc w:val="right"/>
              <w:ind w:right="130"/>
              <w:spacing w:after="0"/>
              <w:rPr>
                <w:sz w:val="20"/>
                <w:szCs w:val="20"/>
                <w:color w:val="auto"/>
              </w:rPr>
            </w:pPr>
            <w:r>
              <w:rPr>
                <w:rFonts w:ascii="Arial" w:cs="Arial" w:eastAsia="Arial" w:hAnsi="Arial"/>
                <w:sz w:val="18"/>
                <w:szCs w:val="18"/>
                <w:color w:val="auto"/>
                <w:w w:val="87"/>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380" w:type="dxa"/>
            <w:vAlign w:val="bottom"/>
            <w:tcBorders>
              <w:bottom w:val="single" w:sz="8" w:color="EEEEEE"/>
            </w:tcBorders>
          </w:tcPr>
          <w:p>
            <w:pPr>
              <w:jc w:val="right"/>
              <w:ind w:right="130"/>
              <w:spacing w:after="0"/>
              <w:rPr>
                <w:sz w:val="20"/>
                <w:szCs w:val="20"/>
                <w:color w:val="auto"/>
              </w:rPr>
            </w:pPr>
            <w:r>
              <w:rPr>
                <w:rFonts w:ascii="Arial" w:cs="Arial" w:eastAsia="Arial" w:hAnsi="Arial"/>
                <w:sz w:val="18"/>
                <w:szCs w:val="18"/>
                <w:color w:val="auto"/>
                <w:w w:val="87"/>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Borders>
              <w:bottom w:val="single" w:sz="8" w:color="EEEEEE"/>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47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Income (loss) from operations</w:t>
            </w:r>
          </w:p>
        </w:tc>
        <w:tc>
          <w:tcPr>
            <w:tcW w:w="900" w:type="dxa"/>
            <w:vAlign w:val="bottom"/>
            <w:tcBorders>
              <w:bottom w:val="single" w:sz="8" w:color="auto"/>
            </w:tcBorders>
            <w:shd w:val="clear" w:color="auto" w:fill="EEEEEE"/>
          </w:tcPr>
          <w:p>
            <w:pPr>
              <w:spacing w:after="0"/>
              <w:rPr>
                <w:sz w:val="18"/>
                <w:szCs w:val="18"/>
                <w:color w:val="auto"/>
              </w:rPr>
            </w:pPr>
          </w:p>
        </w:tc>
        <w:tc>
          <w:tcPr>
            <w:tcW w:w="4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38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w w:val="74"/>
              </w:rPr>
              <w:t>%</w:t>
            </w:r>
          </w:p>
        </w:tc>
        <w:tc>
          <w:tcPr>
            <w:tcW w:w="13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w:t>
            </w:r>
          </w:p>
        </w:tc>
        <w:tc>
          <w:tcPr>
            <w:tcW w:w="38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87"/>
              </w:rPr>
              <w:t>%</w:t>
            </w:r>
          </w:p>
        </w:tc>
        <w:tc>
          <w:tcPr>
            <w:tcW w:w="13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w:t>
            </w:r>
          </w:p>
        </w:tc>
        <w:tc>
          <w:tcPr>
            <w:tcW w:w="38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87"/>
              </w:rPr>
              <w:t>%</w:t>
            </w:r>
          </w:p>
        </w:tc>
        <w:tc>
          <w:tcPr>
            <w:tcW w:w="13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4720" w:type="dxa"/>
            <w:vAlign w:val="bottom"/>
          </w:tcPr>
          <w:p>
            <w:pPr>
              <w:ind w:left="100"/>
              <w:spacing w:after="0"/>
              <w:rPr>
                <w:sz w:val="20"/>
                <w:szCs w:val="20"/>
                <w:color w:val="auto"/>
              </w:rPr>
            </w:pPr>
            <w:r>
              <w:rPr>
                <w:rFonts w:ascii="Arial" w:cs="Arial" w:eastAsia="Arial" w:hAnsi="Arial"/>
                <w:sz w:val="18"/>
                <w:szCs w:val="18"/>
                <w:color w:val="auto"/>
              </w:rPr>
              <w:t>Other income (expense)</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Interest income</w:t>
            </w:r>
          </w:p>
        </w:tc>
        <w:tc>
          <w:tcPr>
            <w:tcW w:w="840" w:type="dxa"/>
            <w:vAlign w:val="bottom"/>
            <w:gridSpan w:val="2"/>
            <w:shd w:val="clear" w:color="auto" w:fill="EEEEEE"/>
          </w:tcPr>
          <w:p>
            <w:pPr>
              <w:jc w:val="right"/>
              <w:ind w:right="150"/>
              <w:spacing w:after="0"/>
              <w:rPr>
                <w:sz w:val="20"/>
                <w:szCs w:val="20"/>
                <w:color w:val="auto"/>
              </w:rPr>
            </w:pPr>
            <w:r>
              <w:rPr>
                <w:rFonts w:ascii="Arial" w:cs="Arial" w:eastAsia="Arial" w:hAnsi="Arial"/>
                <w:sz w:val="18"/>
                <w:szCs w:val="18"/>
                <w:color w:val="auto"/>
              </w:rPr>
              <w:t>0.3%</w:t>
            </w:r>
          </w:p>
        </w:tc>
        <w:tc>
          <w:tcPr>
            <w:tcW w:w="172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0.1%</w:t>
            </w:r>
          </w:p>
        </w:tc>
        <w:tc>
          <w:tcPr>
            <w:tcW w:w="172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0.3%</w:t>
            </w:r>
          </w:p>
        </w:tc>
        <w:tc>
          <w:tcPr>
            <w:tcW w:w="1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620" w:type="dxa"/>
            <w:vAlign w:val="bottom"/>
            <w:gridSpan w:val="2"/>
          </w:tcPr>
          <w:p>
            <w:pPr>
              <w:ind w:left="240"/>
              <w:spacing w:after="0"/>
              <w:rPr>
                <w:sz w:val="20"/>
                <w:szCs w:val="20"/>
                <w:color w:val="auto"/>
              </w:rPr>
            </w:pPr>
            <w:r>
              <w:rPr>
                <w:rFonts w:ascii="Arial" w:cs="Arial" w:eastAsia="Arial" w:hAnsi="Arial"/>
                <w:sz w:val="18"/>
                <w:szCs w:val="18"/>
                <w:color w:val="auto"/>
              </w:rPr>
              <w:t>Interest expense</w:t>
            </w: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-0.2%</w:t>
            </w:r>
          </w:p>
        </w:tc>
        <w:tc>
          <w:tcPr>
            <w:tcW w:w="1720" w:type="dxa"/>
            <w:vAlign w:val="bottom"/>
            <w:gridSpan w:val="2"/>
          </w:tcPr>
          <w:p>
            <w:pPr>
              <w:jc w:val="right"/>
              <w:ind w:right="130"/>
              <w:spacing w:after="0"/>
              <w:rPr>
                <w:sz w:val="20"/>
                <w:szCs w:val="20"/>
                <w:color w:val="auto"/>
              </w:rPr>
            </w:pPr>
            <w:r>
              <w:rPr>
                <w:rFonts w:ascii="Arial" w:cs="Arial" w:eastAsia="Arial" w:hAnsi="Arial"/>
                <w:sz w:val="18"/>
                <w:szCs w:val="18"/>
                <w:color w:val="auto"/>
              </w:rPr>
              <w:t>-1.6%</w:t>
            </w:r>
          </w:p>
        </w:tc>
        <w:tc>
          <w:tcPr>
            <w:tcW w:w="1720" w:type="dxa"/>
            <w:vAlign w:val="bottom"/>
            <w:gridSpan w:val="2"/>
          </w:tcPr>
          <w:p>
            <w:pPr>
              <w:jc w:val="right"/>
              <w:ind w:right="130"/>
              <w:spacing w:after="0"/>
              <w:rPr>
                <w:sz w:val="20"/>
                <w:szCs w:val="20"/>
                <w:color w:val="auto"/>
              </w:rPr>
            </w:pPr>
            <w:r>
              <w:rPr>
                <w:rFonts w:ascii="Arial" w:cs="Arial" w:eastAsia="Arial" w:hAnsi="Arial"/>
                <w:sz w:val="18"/>
                <w:szCs w:val="18"/>
                <w:color w:val="auto"/>
              </w:rPr>
              <w:t>-0.3%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7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expense, net</w:t>
            </w:r>
          </w:p>
        </w:tc>
        <w:tc>
          <w:tcPr>
            <w:tcW w:w="90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ind w:right="150"/>
              <w:spacing w:after="0"/>
              <w:rPr>
                <w:sz w:val="20"/>
                <w:szCs w:val="20"/>
                <w:color w:val="auto"/>
              </w:rPr>
            </w:pPr>
            <w:r>
              <w:rPr>
                <w:rFonts w:ascii="Arial" w:cs="Arial" w:eastAsia="Arial" w:hAnsi="Arial"/>
                <w:sz w:val="18"/>
                <w:szCs w:val="18"/>
                <w:color w:val="auto"/>
              </w:rPr>
              <w:t>-0.7%</w:t>
            </w:r>
          </w:p>
        </w:tc>
        <w:tc>
          <w:tcPr>
            <w:tcW w:w="172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0.3%</w:t>
            </w:r>
          </w:p>
        </w:tc>
        <w:tc>
          <w:tcPr>
            <w:tcW w:w="172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-0.1%</w:t>
            </w:r>
          </w:p>
        </w:tc>
        <w:tc>
          <w:tcPr>
            <w:tcW w:w="1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100"/>
              <w:spacing w:after="0"/>
              <w:rPr>
                <w:sz w:val="20"/>
                <w:szCs w:val="20"/>
                <w:color w:val="auto"/>
              </w:rPr>
            </w:pPr>
            <w:r>
              <w:rPr>
                <w:rFonts w:ascii="Arial" w:cs="Arial" w:eastAsia="Arial" w:hAnsi="Arial"/>
                <w:sz w:val="18"/>
                <w:szCs w:val="18"/>
                <w:color w:val="auto"/>
              </w:rPr>
              <w:t>Total other expense</w:t>
            </w: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-0.6%</w:t>
            </w:r>
          </w:p>
        </w:tc>
        <w:tc>
          <w:tcPr>
            <w:tcW w:w="1720" w:type="dxa"/>
            <w:vAlign w:val="bottom"/>
            <w:gridSpan w:val="2"/>
          </w:tcPr>
          <w:p>
            <w:pPr>
              <w:jc w:val="right"/>
              <w:ind w:right="130"/>
              <w:spacing w:after="0"/>
              <w:rPr>
                <w:sz w:val="20"/>
                <w:szCs w:val="20"/>
                <w:color w:val="auto"/>
              </w:rPr>
            </w:pPr>
            <w:r>
              <w:rPr>
                <w:rFonts w:ascii="Arial" w:cs="Arial" w:eastAsia="Arial" w:hAnsi="Arial"/>
                <w:sz w:val="18"/>
                <w:szCs w:val="18"/>
                <w:color w:val="auto"/>
              </w:rPr>
              <w:t>-1.2%</w:t>
            </w:r>
          </w:p>
        </w:tc>
        <w:tc>
          <w:tcPr>
            <w:tcW w:w="1720" w:type="dxa"/>
            <w:vAlign w:val="bottom"/>
            <w:gridSpan w:val="2"/>
          </w:tcPr>
          <w:p>
            <w:pPr>
              <w:jc w:val="right"/>
              <w:ind w:right="130"/>
              <w:spacing w:after="0"/>
              <w:rPr>
                <w:sz w:val="20"/>
                <w:szCs w:val="20"/>
                <w:color w:val="auto"/>
              </w:rPr>
            </w:pPr>
            <w:r>
              <w:rPr>
                <w:rFonts w:ascii="Arial" w:cs="Arial" w:eastAsia="Arial" w:hAnsi="Arial"/>
                <w:sz w:val="18"/>
                <w:szCs w:val="18"/>
                <w:color w:val="auto"/>
              </w:rPr>
              <w:t>-0.1%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Income (loss) before income taxes</w:t>
            </w:r>
          </w:p>
        </w:tc>
        <w:tc>
          <w:tcPr>
            <w:tcW w:w="840" w:type="dxa"/>
            <w:vAlign w:val="bottom"/>
            <w:gridSpan w:val="2"/>
            <w:shd w:val="clear" w:color="auto" w:fill="EEEEEE"/>
          </w:tcPr>
          <w:p>
            <w:pPr>
              <w:jc w:val="right"/>
              <w:ind w:right="150"/>
              <w:spacing w:after="0"/>
              <w:rPr>
                <w:sz w:val="20"/>
                <w:szCs w:val="20"/>
                <w:color w:val="auto"/>
              </w:rPr>
            </w:pPr>
            <w:r>
              <w:rPr>
                <w:rFonts w:ascii="Arial" w:cs="Arial" w:eastAsia="Arial" w:hAnsi="Arial"/>
                <w:sz w:val="18"/>
                <w:szCs w:val="18"/>
                <w:color w:val="auto"/>
              </w:rPr>
              <w:t>4.5%</w:t>
            </w:r>
          </w:p>
        </w:tc>
        <w:tc>
          <w:tcPr>
            <w:tcW w:w="172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1.9%</w:t>
            </w:r>
          </w:p>
        </w:tc>
        <w:tc>
          <w:tcPr>
            <w:tcW w:w="172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4.0%</w:t>
            </w:r>
          </w:p>
        </w:tc>
        <w:tc>
          <w:tcPr>
            <w:tcW w:w="1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620" w:type="dxa"/>
            <w:vAlign w:val="bottom"/>
            <w:gridSpan w:val="2"/>
          </w:tcPr>
          <w:p>
            <w:pPr>
              <w:ind w:left="100"/>
              <w:spacing w:after="0"/>
              <w:rPr>
                <w:sz w:val="20"/>
                <w:szCs w:val="20"/>
                <w:color w:val="auto"/>
              </w:rPr>
            </w:pPr>
            <w:r>
              <w:rPr>
                <w:rFonts w:ascii="Arial" w:cs="Arial" w:eastAsia="Arial" w:hAnsi="Arial"/>
                <w:sz w:val="18"/>
                <w:szCs w:val="18"/>
                <w:color w:val="auto"/>
              </w:rPr>
              <w:t>Income taxes</w:t>
            </w: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-0.2%</w:t>
            </w:r>
          </w:p>
        </w:tc>
        <w:tc>
          <w:tcPr>
            <w:tcW w:w="1720" w:type="dxa"/>
            <w:vAlign w:val="bottom"/>
            <w:gridSpan w:val="2"/>
          </w:tcPr>
          <w:p>
            <w:pPr>
              <w:jc w:val="right"/>
              <w:ind w:right="130"/>
              <w:spacing w:after="0"/>
              <w:rPr>
                <w:sz w:val="20"/>
                <w:szCs w:val="20"/>
                <w:color w:val="auto"/>
              </w:rPr>
            </w:pPr>
            <w:r>
              <w:rPr>
                <w:rFonts w:ascii="Arial" w:cs="Arial" w:eastAsia="Arial" w:hAnsi="Arial"/>
                <w:sz w:val="18"/>
                <w:szCs w:val="18"/>
                <w:color w:val="auto"/>
              </w:rPr>
              <w:t>0.0%</w:t>
            </w:r>
          </w:p>
        </w:tc>
        <w:tc>
          <w:tcPr>
            <w:tcW w:w="1720" w:type="dxa"/>
            <w:vAlign w:val="bottom"/>
            <w:gridSpan w:val="2"/>
          </w:tcPr>
          <w:p>
            <w:pPr>
              <w:jc w:val="right"/>
              <w:ind w:right="130"/>
              <w:spacing w:after="0"/>
              <w:rPr>
                <w:sz w:val="20"/>
                <w:szCs w:val="20"/>
                <w:color w:val="auto"/>
              </w:rPr>
            </w:pPr>
            <w:r>
              <w:rPr>
                <w:rFonts w:ascii="Arial" w:cs="Arial" w:eastAsia="Arial" w:hAnsi="Arial"/>
                <w:sz w:val="18"/>
                <w:szCs w:val="18"/>
                <w:color w:val="auto"/>
              </w:rPr>
              <w:t>-0.2%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4720" w:type="dxa"/>
            <w:vAlign w:val="bottom"/>
            <w:tcBorders>
              <w:top w:val="single" w:sz="8" w:color="EEEEEE"/>
              <w:bottom w:val="single" w:sz="8" w:color="EEEEEE"/>
            </w:tcBorders>
            <w:shd w:val="clear" w:color="auto" w:fill="EEEEEE"/>
          </w:tcPr>
          <w:p>
            <w:pPr>
              <w:ind w:left="100"/>
              <w:spacing w:after="0"/>
              <w:rPr>
                <w:sz w:val="20"/>
                <w:szCs w:val="20"/>
                <w:color w:val="auto"/>
              </w:rPr>
            </w:pPr>
            <w:r>
              <w:rPr>
                <w:rFonts w:ascii="Arial" w:cs="Arial" w:eastAsia="Arial" w:hAnsi="Arial"/>
                <w:sz w:val="18"/>
                <w:szCs w:val="18"/>
                <w:color w:val="auto"/>
              </w:rPr>
              <w:t>Net income (loss)</w:t>
            </w:r>
          </w:p>
        </w:tc>
        <w:tc>
          <w:tcPr>
            <w:tcW w:w="900" w:type="dxa"/>
            <w:vAlign w:val="bottom"/>
            <w:tcBorders>
              <w:top w:val="single" w:sz="8" w:color="auto"/>
              <w:bottom w:val="single" w:sz="8" w:color="auto"/>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380" w:type="dxa"/>
            <w:vAlign w:val="bottom"/>
            <w:tcBorders>
              <w:top w:val="single" w:sz="8" w:color="EEEEEE"/>
              <w:bottom w:val="single" w:sz="8" w:color="EEEEEE"/>
            </w:tcBorders>
            <w:shd w:val="clear" w:color="auto" w:fill="EEEEEE"/>
          </w:tcPr>
          <w:p>
            <w:pPr>
              <w:jc w:val="right"/>
              <w:ind w:right="150"/>
              <w:spacing w:after="0"/>
              <w:rPr>
                <w:sz w:val="20"/>
                <w:szCs w:val="20"/>
                <w:color w:val="auto"/>
              </w:rPr>
            </w:pPr>
            <w:r>
              <w:rPr>
                <w:rFonts w:ascii="Arial" w:cs="Arial" w:eastAsia="Arial" w:hAnsi="Arial"/>
                <w:sz w:val="18"/>
                <w:szCs w:val="18"/>
                <w:color w:val="auto"/>
                <w:w w:val="74"/>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380" w:type="dxa"/>
            <w:vAlign w:val="bottom"/>
            <w:tcBorders>
              <w:top w:val="single" w:sz="8" w:color="EEEEEE"/>
              <w:bottom w:val="single" w:sz="8" w:color="EEEEEE"/>
            </w:tcBorders>
            <w:shd w:val="clear" w:color="auto" w:fill="EEEEEE"/>
          </w:tcPr>
          <w:p>
            <w:pPr>
              <w:jc w:val="right"/>
              <w:ind w:right="130"/>
              <w:spacing w:after="0"/>
              <w:rPr>
                <w:sz w:val="20"/>
                <w:szCs w:val="20"/>
                <w:color w:val="auto"/>
              </w:rPr>
            </w:pPr>
            <w:r>
              <w:rPr>
                <w:rFonts w:ascii="Arial" w:cs="Arial" w:eastAsia="Arial" w:hAnsi="Arial"/>
                <w:sz w:val="18"/>
                <w:szCs w:val="18"/>
                <w:color w:val="auto"/>
                <w:w w:val="87"/>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380" w:type="dxa"/>
            <w:vAlign w:val="bottom"/>
            <w:tcBorders>
              <w:top w:val="single" w:sz="8" w:color="EEEEEE"/>
              <w:bottom w:val="single" w:sz="8" w:color="EEEEEE"/>
            </w:tcBorders>
            <w:shd w:val="clear" w:color="auto" w:fill="EEEEEE"/>
          </w:tcPr>
          <w:p>
            <w:pPr>
              <w:jc w:val="right"/>
              <w:ind w:right="130"/>
              <w:spacing w:after="0"/>
              <w:rPr>
                <w:sz w:val="20"/>
                <w:szCs w:val="20"/>
                <w:color w:val="auto"/>
              </w:rPr>
            </w:pPr>
            <w:r>
              <w:rPr>
                <w:rFonts w:ascii="Arial" w:cs="Arial" w:eastAsia="Arial" w:hAnsi="Arial"/>
                <w:sz w:val="18"/>
                <w:szCs w:val="18"/>
                <w:color w:val="auto"/>
                <w:w w:val="87"/>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generate revenue through the sale of our products to equipment providers and network operators for the CATV, FTTH and internet data center markets. We derive a significant portion of our revenue from our top ten customers, and we anticipate that we will continue to do so for the foreseeable future. We also anticipate that our revenue derived from the internet data center market will continue to increase as a percentage of our revenue as we further penetrate and extend our products into this market. The following charts provide the revenue contribution from each of the markets we served for the three and nine months ended September 30, 2014 and 2013: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346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w w:val="94"/>
              </w:rPr>
              <w:t>Three months ended September 30,</w:t>
            </w:r>
          </w:p>
        </w:tc>
        <w:tc>
          <w:tcPr>
            <w:tcW w:w="32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6"/>
              </w:rPr>
              <w:t>Nine months ended September 30,</w:t>
            </w:r>
          </w:p>
        </w:tc>
      </w:tr>
      <w:tr>
        <w:trPr>
          <w:trHeight w:val="223"/>
        </w:trPr>
        <w:tc>
          <w:tcPr>
            <w:tcW w:w="4720" w:type="dxa"/>
            <w:vAlign w:val="bottom"/>
            <w:tcBorders>
              <w:bottom w:val="single" w:sz="8" w:color="EEEEEE"/>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380" w:type="dxa"/>
            <w:vAlign w:val="bottom"/>
            <w:tcBorders>
              <w:top w:val="single" w:sz="8" w:color="auto"/>
              <w:bottom w:val="single" w:sz="8" w:color="EEEEEE"/>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380" w:type="dxa"/>
            <w:vAlign w:val="bottom"/>
            <w:tcBorders>
              <w:bottom w:val="single" w:sz="8" w:color="EEEEEE"/>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380" w:type="dxa"/>
            <w:vAlign w:val="bottom"/>
            <w:tcBorders>
              <w:top w:val="single" w:sz="8" w:color="auto"/>
              <w:bottom w:val="single" w:sz="8" w:color="EEEEEE"/>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bottom w:val="single" w:sz="8" w:color="EEEEEE"/>
            </w:tcBorders>
          </w:tcPr>
          <w:p>
            <w:pPr>
              <w:spacing w:after="0"/>
              <w:rPr>
                <w:sz w:val="19"/>
                <w:szCs w:val="19"/>
                <w:color w:val="auto"/>
              </w:rPr>
            </w:pPr>
          </w:p>
        </w:tc>
      </w:tr>
      <w:tr>
        <w:trPr>
          <w:trHeight w:val="210"/>
        </w:trPr>
        <w:tc>
          <w:tcPr>
            <w:tcW w:w="47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CATV</w:t>
            </w:r>
          </w:p>
        </w:tc>
        <w:tc>
          <w:tcPr>
            <w:tcW w:w="1740" w:type="dxa"/>
            <w:vAlign w:val="bottom"/>
            <w:gridSpan w:val="2"/>
            <w:shd w:val="clear" w:color="auto" w:fill="EEEEEE"/>
          </w:tcPr>
          <w:p>
            <w:pPr>
              <w:jc w:val="right"/>
              <w:ind w:right="150"/>
              <w:spacing w:after="0"/>
              <w:rPr>
                <w:sz w:val="20"/>
                <w:szCs w:val="20"/>
                <w:color w:val="auto"/>
              </w:rPr>
            </w:pPr>
            <w:r>
              <w:rPr>
                <w:rFonts w:ascii="Arial" w:cs="Arial" w:eastAsia="Arial" w:hAnsi="Arial"/>
                <w:sz w:val="18"/>
                <w:szCs w:val="18"/>
                <w:color w:val="auto"/>
              </w:rPr>
              <w:t>33.5%</w:t>
            </w:r>
          </w:p>
        </w:tc>
        <w:tc>
          <w:tcPr>
            <w:tcW w:w="172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70.1%</w:t>
            </w:r>
          </w:p>
        </w:tc>
        <w:tc>
          <w:tcPr>
            <w:tcW w:w="172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34.7%</w:t>
            </w:r>
          </w:p>
        </w:tc>
        <w:tc>
          <w:tcPr>
            <w:tcW w:w="1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61.0%</w:t>
            </w:r>
          </w:p>
        </w:tc>
      </w:tr>
      <w:tr>
        <w:trPr>
          <w:trHeight w:val="216"/>
        </w:trPr>
        <w:tc>
          <w:tcPr>
            <w:tcW w:w="4720" w:type="dxa"/>
            <w:vAlign w:val="bottom"/>
          </w:tcPr>
          <w:p>
            <w:pPr>
              <w:ind w:left="240"/>
              <w:spacing w:after="0"/>
              <w:rPr>
                <w:sz w:val="20"/>
                <w:szCs w:val="20"/>
                <w:color w:val="auto"/>
              </w:rPr>
            </w:pPr>
            <w:r>
              <w:rPr>
                <w:rFonts w:ascii="Arial" w:cs="Arial" w:eastAsia="Arial" w:hAnsi="Arial"/>
                <w:sz w:val="18"/>
                <w:szCs w:val="18"/>
                <w:color w:val="auto"/>
              </w:rPr>
              <w:t>Data Center</w:t>
            </w:r>
          </w:p>
        </w:tc>
        <w:tc>
          <w:tcPr>
            <w:tcW w:w="1740" w:type="dxa"/>
            <w:vAlign w:val="bottom"/>
            <w:gridSpan w:val="2"/>
          </w:tcPr>
          <w:p>
            <w:pPr>
              <w:jc w:val="right"/>
              <w:ind w:right="150"/>
              <w:spacing w:after="0"/>
              <w:rPr>
                <w:sz w:val="20"/>
                <w:szCs w:val="20"/>
                <w:color w:val="auto"/>
              </w:rPr>
            </w:pPr>
            <w:r>
              <w:rPr>
                <w:rFonts w:ascii="Arial" w:cs="Arial" w:eastAsia="Arial" w:hAnsi="Arial"/>
                <w:sz w:val="18"/>
                <w:szCs w:val="18"/>
                <w:color w:val="auto"/>
              </w:rPr>
              <w:t>54.9%</w:t>
            </w:r>
          </w:p>
        </w:tc>
        <w:tc>
          <w:tcPr>
            <w:tcW w:w="1720" w:type="dxa"/>
            <w:vAlign w:val="bottom"/>
            <w:gridSpan w:val="2"/>
          </w:tcPr>
          <w:p>
            <w:pPr>
              <w:jc w:val="right"/>
              <w:ind w:right="130"/>
              <w:spacing w:after="0"/>
              <w:rPr>
                <w:sz w:val="20"/>
                <w:szCs w:val="20"/>
                <w:color w:val="auto"/>
              </w:rPr>
            </w:pPr>
            <w:r>
              <w:rPr>
                <w:rFonts w:ascii="Arial" w:cs="Arial" w:eastAsia="Arial" w:hAnsi="Arial"/>
                <w:sz w:val="18"/>
                <w:szCs w:val="18"/>
                <w:color w:val="auto"/>
              </w:rPr>
              <w:t>15.5%</w:t>
            </w:r>
          </w:p>
        </w:tc>
        <w:tc>
          <w:tcPr>
            <w:tcW w:w="1720" w:type="dxa"/>
            <w:vAlign w:val="bottom"/>
            <w:gridSpan w:val="2"/>
          </w:tcPr>
          <w:p>
            <w:pPr>
              <w:jc w:val="right"/>
              <w:ind w:right="130"/>
              <w:spacing w:after="0"/>
              <w:rPr>
                <w:sz w:val="20"/>
                <w:szCs w:val="20"/>
                <w:color w:val="auto"/>
              </w:rPr>
            </w:pPr>
            <w:r>
              <w:rPr>
                <w:rFonts w:ascii="Arial" w:cs="Arial" w:eastAsia="Arial" w:hAnsi="Arial"/>
                <w:sz w:val="18"/>
                <w:szCs w:val="18"/>
                <w:color w:val="auto"/>
              </w:rPr>
              <w:t>52.7%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47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FTTH</w:t>
            </w:r>
          </w:p>
        </w:tc>
        <w:tc>
          <w:tcPr>
            <w:tcW w:w="1740" w:type="dxa"/>
            <w:vAlign w:val="bottom"/>
            <w:gridSpan w:val="2"/>
            <w:shd w:val="clear" w:color="auto" w:fill="EEEEEE"/>
          </w:tcPr>
          <w:p>
            <w:pPr>
              <w:jc w:val="right"/>
              <w:ind w:right="150"/>
              <w:spacing w:after="0"/>
              <w:rPr>
                <w:sz w:val="20"/>
                <w:szCs w:val="20"/>
                <w:color w:val="auto"/>
              </w:rPr>
            </w:pPr>
            <w:r>
              <w:rPr>
                <w:rFonts w:ascii="Arial" w:cs="Arial" w:eastAsia="Arial" w:hAnsi="Arial"/>
                <w:sz w:val="18"/>
                <w:szCs w:val="18"/>
                <w:color w:val="auto"/>
              </w:rPr>
              <w:t>7.2%</w:t>
            </w:r>
          </w:p>
        </w:tc>
        <w:tc>
          <w:tcPr>
            <w:tcW w:w="172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4.7%</w:t>
            </w:r>
          </w:p>
        </w:tc>
        <w:tc>
          <w:tcPr>
            <w:tcW w:w="172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8.4%</w:t>
            </w:r>
          </w:p>
        </w:tc>
        <w:tc>
          <w:tcPr>
            <w:tcW w:w="1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4720" w:type="dxa"/>
            <w:vAlign w:val="bottom"/>
          </w:tcPr>
          <w:p>
            <w:pPr>
              <w:ind w:left="240"/>
              <w:spacing w:after="0"/>
              <w:rPr>
                <w:sz w:val="20"/>
                <w:szCs w:val="20"/>
                <w:color w:val="auto"/>
              </w:rPr>
            </w:pPr>
            <w:r>
              <w:rPr>
                <w:rFonts w:ascii="Arial" w:cs="Arial" w:eastAsia="Arial" w:hAnsi="Arial"/>
                <w:sz w:val="18"/>
                <w:szCs w:val="18"/>
                <w:color w:val="auto"/>
              </w:rPr>
              <w:t>Other</w:t>
            </w:r>
          </w:p>
        </w:tc>
        <w:tc>
          <w:tcPr>
            <w:tcW w:w="1740" w:type="dxa"/>
            <w:vAlign w:val="bottom"/>
            <w:gridSpan w:val="2"/>
          </w:tcPr>
          <w:p>
            <w:pPr>
              <w:jc w:val="right"/>
              <w:ind w:right="150"/>
              <w:spacing w:after="0"/>
              <w:rPr>
                <w:sz w:val="20"/>
                <w:szCs w:val="20"/>
                <w:color w:val="auto"/>
              </w:rPr>
            </w:pPr>
            <w:r>
              <w:rPr>
                <w:rFonts w:ascii="Arial" w:cs="Arial" w:eastAsia="Arial" w:hAnsi="Arial"/>
                <w:sz w:val="18"/>
                <w:szCs w:val="18"/>
                <w:color w:val="auto"/>
              </w:rPr>
              <w:t>4.5%</w:t>
            </w:r>
          </w:p>
        </w:tc>
        <w:tc>
          <w:tcPr>
            <w:tcW w:w="1720" w:type="dxa"/>
            <w:vAlign w:val="bottom"/>
            <w:gridSpan w:val="2"/>
          </w:tcPr>
          <w:p>
            <w:pPr>
              <w:jc w:val="right"/>
              <w:ind w:right="130"/>
              <w:spacing w:after="0"/>
              <w:rPr>
                <w:sz w:val="20"/>
                <w:szCs w:val="20"/>
                <w:color w:val="auto"/>
              </w:rPr>
            </w:pPr>
            <w:r>
              <w:rPr>
                <w:rFonts w:ascii="Arial" w:cs="Arial" w:eastAsia="Arial" w:hAnsi="Arial"/>
                <w:sz w:val="18"/>
                <w:szCs w:val="18"/>
                <w:color w:val="auto"/>
              </w:rPr>
              <w:t>9.7%</w:t>
            </w:r>
          </w:p>
        </w:tc>
        <w:tc>
          <w:tcPr>
            <w:tcW w:w="1720" w:type="dxa"/>
            <w:vAlign w:val="bottom"/>
            <w:gridSpan w:val="2"/>
          </w:tcPr>
          <w:p>
            <w:pPr>
              <w:jc w:val="right"/>
              <w:ind w:right="130"/>
              <w:spacing w:after="0"/>
              <w:rPr>
                <w:sz w:val="20"/>
                <w:szCs w:val="20"/>
                <w:color w:val="auto"/>
              </w:rPr>
            </w:pPr>
            <w:r>
              <w:rPr>
                <w:rFonts w:ascii="Arial" w:cs="Arial" w:eastAsia="Arial" w:hAnsi="Arial"/>
                <w:sz w:val="18"/>
                <w:szCs w:val="18"/>
                <w:color w:val="auto"/>
              </w:rPr>
              <w:t>4.2%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4720" w:type="dxa"/>
            <w:vAlign w:val="bottom"/>
            <w:tcBorders>
              <w:top w:val="single" w:sz="8" w:color="EEEEEE"/>
              <w:bottom w:val="single" w:sz="8" w:color="EEEEEE"/>
            </w:tcBorders>
            <w:shd w:val="clear" w:color="auto" w:fill="EEEEEE"/>
          </w:tcPr>
          <w:p>
            <w:pPr>
              <w:spacing w:after="0"/>
              <w:rPr>
                <w:sz w:val="19"/>
                <w:szCs w:val="19"/>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top w:val="single" w:sz="8" w:color="EEEEEE"/>
              <w:bottom w:val="single" w:sz="8" w:color="EEEEEE"/>
            </w:tcBorders>
            <w:shd w:val="clear" w:color="auto" w:fill="EEEEEE"/>
          </w:tcPr>
          <w:p>
            <w:pPr>
              <w:jc w:val="right"/>
              <w:ind w:right="150"/>
              <w:spacing w:after="0"/>
              <w:rPr>
                <w:sz w:val="20"/>
                <w:szCs w:val="20"/>
                <w:color w:val="auto"/>
              </w:rPr>
            </w:pPr>
            <w:r>
              <w:rPr>
                <w:rFonts w:ascii="Arial" w:cs="Arial" w:eastAsia="Arial" w:hAnsi="Arial"/>
                <w:sz w:val="18"/>
                <w:szCs w:val="18"/>
                <w:color w:val="auto"/>
                <w:w w:val="74"/>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top w:val="single" w:sz="8" w:color="EEEEEE"/>
              <w:bottom w:val="single" w:sz="8" w:color="EEEEEE"/>
            </w:tcBorders>
            <w:shd w:val="clear" w:color="auto" w:fill="EEEEEE"/>
          </w:tcPr>
          <w:p>
            <w:pPr>
              <w:jc w:val="right"/>
              <w:ind w:right="130"/>
              <w:spacing w:after="0"/>
              <w:rPr>
                <w:sz w:val="20"/>
                <w:szCs w:val="20"/>
                <w:color w:val="auto"/>
              </w:rPr>
            </w:pPr>
            <w:r>
              <w:rPr>
                <w:rFonts w:ascii="Arial" w:cs="Arial" w:eastAsia="Arial" w:hAnsi="Arial"/>
                <w:sz w:val="18"/>
                <w:szCs w:val="18"/>
                <w:color w:val="auto"/>
                <w:w w:val="87"/>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top w:val="single" w:sz="8" w:color="EEEEEE"/>
              <w:bottom w:val="single" w:sz="8" w:color="EEEEEE"/>
            </w:tcBorders>
            <w:shd w:val="clear" w:color="auto" w:fill="EEEEEE"/>
          </w:tcPr>
          <w:p>
            <w:pPr>
              <w:jc w:val="right"/>
              <w:ind w:right="130"/>
              <w:spacing w:after="0"/>
              <w:rPr>
                <w:sz w:val="20"/>
                <w:szCs w:val="20"/>
                <w:color w:val="auto"/>
              </w:rPr>
            </w:pPr>
            <w:r>
              <w:rPr>
                <w:rFonts w:ascii="Arial" w:cs="Arial" w:eastAsia="Arial" w:hAnsi="Arial"/>
                <w:sz w:val="18"/>
                <w:szCs w:val="18"/>
                <w:color w:val="auto"/>
                <w:w w:val="87"/>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7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29"/>
        </w:trPr>
        <w:tc>
          <w:tcPr>
            <w:tcW w:w="4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15</w:t>
            </w: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8"/>
              </w:rPr>
              <w:t>Three months ended</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3"/>
              </w:rPr>
              <w:t>Nine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1220" w:type="dxa"/>
            <w:vAlign w:val="bottom"/>
            <w:gridSpan w:val="3"/>
          </w:tcPr>
          <w:p>
            <w:pPr>
              <w:ind w:left="540"/>
              <w:spacing w:after="0"/>
              <w:rPr>
                <w:sz w:val="20"/>
                <w:szCs w:val="20"/>
                <w:color w:val="auto"/>
              </w:rPr>
            </w:pPr>
            <w:r>
              <w:rPr>
                <w:rFonts w:ascii="Arial" w:cs="Arial" w:eastAsia="Arial" w:hAnsi="Arial"/>
                <w:sz w:val="18"/>
                <w:szCs w:val="18"/>
                <w:b w:val="1"/>
                <w:bCs w:val="1"/>
                <w:color w:val="auto"/>
                <w:w w:val="99"/>
              </w:rPr>
              <w:t>Change</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1220" w:type="dxa"/>
            <w:vAlign w:val="bottom"/>
            <w:gridSpan w:val="3"/>
          </w:tcPr>
          <w:p>
            <w:pPr>
              <w:ind w:left="540"/>
              <w:spacing w:after="0"/>
              <w:rPr>
                <w:sz w:val="20"/>
                <w:szCs w:val="20"/>
                <w:color w:val="auto"/>
              </w:rPr>
            </w:pPr>
            <w:r>
              <w:rPr>
                <w:rFonts w:ascii="Arial" w:cs="Arial" w:eastAsia="Arial" w:hAnsi="Arial"/>
                <w:sz w:val="18"/>
                <w:szCs w:val="18"/>
                <w:b w:val="1"/>
                <w:bCs w:val="1"/>
                <w:color w:val="auto"/>
                <w:w w:val="99"/>
              </w:rPr>
              <w:t>Change</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2580" w:type="dxa"/>
            <w:vAlign w:val="bottom"/>
            <w:tcBorders>
              <w:bottom w:val="single" w:sz="8" w:color="EEEEEE"/>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top w:val="single" w:sz="8" w:color="auto"/>
              <w:bottom w:val="single" w:sz="8" w:color="EEEEEE"/>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EEEEEE"/>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Borders>
              <w:top w:val="single" w:sz="8" w:color="auto"/>
              <w:bottom w:val="single" w:sz="8" w:color="EEEEEE"/>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EEEEEE"/>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top w:val="single" w:sz="8" w:color="auto"/>
              <w:bottom w:val="single" w:sz="8" w:color="EEEEEE"/>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EEEEEE"/>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Borders>
              <w:top w:val="single" w:sz="8" w:color="auto"/>
              <w:bottom w:val="single" w:sz="8" w:color="EEEEEE"/>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EEEEEE"/>
            </w:tcBorders>
          </w:tcPr>
          <w:p>
            <w:pPr>
              <w:spacing w:after="0"/>
              <w:rPr>
                <w:sz w:val="19"/>
                <w:szCs w:val="19"/>
                <w:color w:val="auto"/>
              </w:rPr>
            </w:pPr>
          </w:p>
        </w:tc>
      </w:tr>
      <w:tr>
        <w:trPr>
          <w:trHeight w:val="210"/>
        </w:trPr>
        <w:tc>
          <w:tcPr>
            <w:tcW w:w="2580" w:type="dxa"/>
            <w:vAlign w:val="bottom"/>
            <w:shd w:val="clear" w:color="auto" w:fill="EEEEEE"/>
          </w:tcPr>
          <w:p>
            <w:pPr>
              <w:ind w:left="100"/>
              <w:spacing w:after="0"/>
              <w:rPr>
                <w:sz w:val="20"/>
                <w:szCs w:val="20"/>
                <w:color w:val="auto"/>
              </w:rPr>
            </w:pPr>
            <w:r>
              <w:rPr>
                <w:rFonts w:ascii="Arial" w:cs="Arial" w:eastAsia="Arial" w:hAnsi="Arial"/>
                <w:sz w:val="18"/>
                <w:szCs w:val="18"/>
                <w:color w:val="auto"/>
              </w:rPr>
              <w:t>CATV</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12,245</w:t>
            </w: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14,559</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(2,314)</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32,639</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33,332</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(693)</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580" w:type="dxa"/>
            <w:vAlign w:val="bottom"/>
          </w:tcPr>
          <w:p>
            <w:pPr>
              <w:ind w:left="100"/>
              <w:spacing w:after="0"/>
              <w:rPr>
                <w:sz w:val="20"/>
                <w:szCs w:val="20"/>
                <w:color w:val="auto"/>
              </w:rPr>
            </w:pPr>
            <w:r>
              <w:rPr>
                <w:rFonts w:ascii="Arial" w:cs="Arial" w:eastAsia="Arial" w:hAnsi="Arial"/>
                <w:sz w:val="18"/>
                <w:szCs w:val="18"/>
                <w:color w:val="auto"/>
              </w:rPr>
              <w:t>Data Center</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20,056</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3,216</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16,840</w:t>
            </w:r>
          </w:p>
        </w:tc>
        <w:tc>
          <w:tcPr>
            <w:tcW w:w="200" w:type="dxa"/>
            <w:vAlign w:val="bottom"/>
          </w:tcPr>
          <w:p>
            <w:pPr>
              <w:spacing w:after="0"/>
              <w:rPr>
                <w:sz w:val="18"/>
                <w:szCs w:val="18"/>
                <w:color w:val="auto"/>
              </w:rPr>
            </w:pP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523.6%</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49,530</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13,476</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36,054</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267.5%</w:t>
            </w:r>
          </w:p>
        </w:tc>
      </w:tr>
      <w:tr>
        <w:trPr>
          <w:trHeight w:val="216"/>
        </w:trPr>
        <w:tc>
          <w:tcPr>
            <w:tcW w:w="2580" w:type="dxa"/>
            <w:vAlign w:val="bottom"/>
            <w:shd w:val="clear" w:color="auto" w:fill="EEEEEE"/>
          </w:tcPr>
          <w:p>
            <w:pPr>
              <w:ind w:left="100"/>
              <w:spacing w:after="0"/>
              <w:rPr>
                <w:sz w:val="20"/>
                <w:szCs w:val="20"/>
                <w:color w:val="auto"/>
              </w:rPr>
            </w:pPr>
            <w:r>
              <w:rPr>
                <w:rFonts w:ascii="Arial" w:cs="Arial" w:eastAsia="Arial" w:hAnsi="Arial"/>
                <w:sz w:val="18"/>
                <w:szCs w:val="18"/>
                <w:color w:val="auto"/>
              </w:rPr>
              <w:t>FTTH</w:t>
            </w:r>
          </w:p>
        </w:tc>
        <w:tc>
          <w:tcPr>
            <w:tcW w:w="16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2,616</w:t>
            </w:r>
          </w:p>
        </w:tc>
        <w:tc>
          <w:tcPr>
            <w:tcW w:w="1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1,634</w:t>
            </w:r>
          </w:p>
        </w:tc>
        <w:tc>
          <w:tcPr>
            <w:tcW w:w="20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166.4%</w:t>
            </w: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7,928</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2,774</w:t>
            </w:r>
          </w:p>
        </w:tc>
        <w:tc>
          <w:tcPr>
            <w:tcW w:w="1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5,154</w:t>
            </w:r>
          </w:p>
        </w:tc>
        <w:tc>
          <w:tcPr>
            <w:tcW w:w="2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185.8%</w:t>
            </w:r>
          </w:p>
        </w:tc>
      </w:tr>
      <w:tr>
        <w:trPr>
          <w:trHeight w:val="230"/>
        </w:trPr>
        <w:tc>
          <w:tcPr>
            <w:tcW w:w="2580" w:type="dxa"/>
            <w:vAlign w:val="bottom"/>
          </w:tcPr>
          <w:p>
            <w:pPr>
              <w:ind w:left="10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1,632</w:t>
            </w: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(377)</w:t>
            </w:r>
          </w:p>
        </w:tc>
        <w:tc>
          <w:tcPr>
            <w:tcW w:w="200" w:type="dxa"/>
            <w:vAlign w:val="bottom"/>
          </w:tcPr>
          <w:p>
            <w:pPr>
              <w:spacing w:after="0"/>
              <w:rPr>
                <w:sz w:val="19"/>
                <w:szCs w:val="19"/>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3,961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5,098</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(1,137)</w:t>
            </w:r>
          </w:p>
        </w:tc>
        <w:tc>
          <w:tcPr>
            <w:tcW w:w="2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(22.3%)</w:t>
            </w:r>
          </w:p>
        </w:tc>
      </w:tr>
      <w:tr>
        <w:trPr>
          <w:trHeight w:val="223"/>
        </w:trPr>
        <w:tc>
          <w:tcPr>
            <w:tcW w:w="2580" w:type="dxa"/>
            <w:vAlign w:val="bottom"/>
            <w:tcBorders>
              <w:top w:val="single" w:sz="8" w:color="EEEEEE"/>
              <w:bottom w:val="single" w:sz="8" w:color="EEEEEE"/>
            </w:tcBorders>
            <w:shd w:val="clear" w:color="auto" w:fill="EEEEEE"/>
          </w:tcPr>
          <w:p>
            <w:pPr>
              <w:ind w:left="10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36,549</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20,766</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15,783</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spacing w:after="0"/>
              <w:rPr>
                <w:sz w:val="19"/>
                <w:szCs w:val="19"/>
                <w:color w:val="auto"/>
              </w:rPr>
            </w:pP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76.0</w:t>
            </w:r>
          </w:p>
        </w:tc>
        <w:tc>
          <w:tcPr>
            <w:tcW w:w="320" w:type="dxa"/>
            <w:vAlign w:val="bottom"/>
            <w:tcBorders>
              <w:top w:val="single" w:sz="8" w:color="EEEEEE"/>
              <w:bottom w:val="single" w:sz="8" w:color="EEEEEE"/>
            </w:tcBorders>
            <w:shd w:val="clear" w:color="auto" w:fill="EEEEEE"/>
          </w:tcPr>
          <w:p>
            <w:pPr>
              <w:jc w:val="right"/>
              <w:ind w:right="9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94,058</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54,680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39,378</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spacing w:after="0"/>
              <w:rPr>
                <w:sz w:val="19"/>
                <w:szCs w:val="19"/>
                <w:color w:val="auto"/>
              </w:rPr>
            </w:pP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72.0</w:t>
            </w:r>
          </w:p>
        </w:tc>
        <w:tc>
          <w:tcPr>
            <w:tcW w:w="22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Revenues in the internet data center market were driven primarily by increasing demand for our 10 gigabits per second and 40 gigabits per second transceivers as our customers continued to upgrade their technology infrastructure. Revenues in the FTTH and other markets were driven primarily by increasing demand for our WDM-PON products to existing customers in the FTTH market. The decrease in revenues in the CATV market for the year was a result of market wide weakness in 2013, particularly in China, as well as delays in orders as a consequence of mergers among several of our CATV customers.</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For the three and nine months ended September 30, 2014, our top ten customers represented 88.7% and 86.9% of our revenue,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r>
              <w:rPr>
                <w:rFonts w:ascii="Arial" w:cs="Arial" w:eastAsia="Arial" w:hAnsi="Arial"/>
                <w:sz w:val="18"/>
                <w:szCs w:val="18"/>
                <w:i w:val="1"/>
                <w:iCs w:val="1"/>
                <w:color w:val="auto"/>
              </w:rPr>
              <w:t>Cost of goods sold and gross margin</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8"/>
                <w:szCs w:val="18"/>
                <w:b w:val="1"/>
                <w:bCs w:val="1"/>
                <w:color w:val="auto"/>
              </w:rPr>
              <w:t>Three months ended September 30,</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8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40" w:type="dxa"/>
            <w:vAlign w:val="bottom"/>
          </w:tcPr>
          <w:p>
            <w:pPr>
              <w:jc w:val="center"/>
              <w:ind w:right="210"/>
              <w:spacing w:after="0" w:line="191"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40" w:type="dxa"/>
            <w:vAlign w:val="bottom"/>
          </w:tcPr>
          <w:p>
            <w:pPr>
              <w:jc w:val="center"/>
              <w:ind w:right="210"/>
              <w:spacing w:after="0" w:line="191"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Amount</w:t>
            </w:r>
          </w:p>
        </w:tc>
        <w:tc>
          <w:tcPr>
            <w:tcW w:w="10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w:t>
            </w:r>
          </w:p>
        </w:tc>
        <w:tc>
          <w:tcPr>
            <w:tcW w:w="11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Amount</w:t>
            </w:r>
          </w:p>
        </w:tc>
        <w:tc>
          <w:tcPr>
            <w:tcW w:w="80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80" w:type="dxa"/>
            <w:vAlign w:val="bottom"/>
            <w:gridSpan w:val="5"/>
          </w:tcPr>
          <w:p>
            <w:pPr>
              <w:ind w:left="100"/>
              <w:spacing w:after="0"/>
              <w:rPr>
                <w:sz w:val="20"/>
                <w:szCs w:val="20"/>
                <w:color w:val="auto"/>
              </w:rPr>
            </w:pPr>
            <w:r>
              <w:rPr>
                <w:rFonts w:ascii="Arial" w:cs="Arial" w:eastAsia="Arial" w:hAnsi="Arial"/>
                <w:sz w:val="18"/>
                <w:szCs w:val="18"/>
                <w:b w:val="1"/>
                <w:bCs w:val="1"/>
                <w:color w:val="auto"/>
                <w:w w:val="91"/>
              </w:rPr>
              <w:t>(in thousands, except percentages)</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Cost of goods sold</w:t>
            </w:r>
          </w:p>
        </w:tc>
        <w:tc>
          <w:tcPr>
            <w:tcW w:w="4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rPr>
              <w:t>24,403</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66.8%</w:t>
            </w:r>
          </w:p>
        </w:tc>
        <w:tc>
          <w:tcPr>
            <w:tcW w:w="2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rPr>
              <w:t>14,445</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EEEEEE"/>
          </w:tcPr>
          <w:p>
            <w:pPr>
              <w:jc w:val="right"/>
              <w:ind w:right="470"/>
              <w:spacing w:after="0"/>
              <w:rPr>
                <w:sz w:val="20"/>
                <w:szCs w:val="20"/>
                <w:color w:val="auto"/>
              </w:rPr>
            </w:pPr>
            <w:r>
              <w:rPr>
                <w:rFonts w:ascii="Arial" w:cs="Arial" w:eastAsia="Arial" w:hAnsi="Arial"/>
                <w:sz w:val="18"/>
                <w:szCs w:val="18"/>
                <w:color w:val="auto"/>
              </w:rPr>
              <w:t>9,958</w:t>
            </w: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30"/>
        </w:trPr>
        <w:tc>
          <w:tcPr>
            <w:tcW w:w="2960" w:type="dxa"/>
            <w:vAlign w:val="bottom"/>
          </w:tcPr>
          <w:p>
            <w:pPr>
              <w:ind w:left="100"/>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8"/>
                <w:szCs w:val="18"/>
                <w:b w:val="1"/>
                <w:bCs w:val="1"/>
                <w:color w:val="auto"/>
              </w:rPr>
              <w:t>Nine months ended September 30,</w:t>
            </w: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8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40" w:type="dxa"/>
            <w:vAlign w:val="bottom"/>
          </w:tcPr>
          <w:p>
            <w:pPr>
              <w:jc w:val="center"/>
              <w:ind w:right="210"/>
              <w:spacing w:after="0" w:line="191"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40" w:type="dxa"/>
            <w:vAlign w:val="bottom"/>
          </w:tcPr>
          <w:p>
            <w:pPr>
              <w:jc w:val="center"/>
              <w:ind w:right="210"/>
              <w:spacing w:after="0" w:line="191"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Amount</w:t>
            </w:r>
          </w:p>
        </w:tc>
        <w:tc>
          <w:tcPr>
            <w:tcW w:w="10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Amount</w:t>
            </w:r>
          </w:p>
        </w:tc>
        <w:tc>
          <w:tcPr>
            <w:tcW w:w="11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Amount</w:t>
            </w:r>
          </w:p>
        </w:tc>
        <w:tc>
          <w:tcPr>
            <w:tcW w:w="80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80" w:type="dxa"/>
            <w:vAlign w:val="bottom"/>
            <w:gridSpan w:val="5"/>
          </w:tcPr>
          <w:p>
            <w:pPr>
              <w:ind w:left="100"/>
              <w:spacing w:after="0"/>
              <w:rPr>
                <w:sz w:val="20"/>
                <w:szCs w:val="20"/>
                <w:color w:val="auto"/>
              </w:rPr>
            </w:pPr>
            <w:r>
              <w:rPr>
                <w:rFonts w:ascii="Arial" w:cs="Arial" w:eastAsia="Arial" w:hAnsi="Arial"/>
                <w:sz w:val="18"/>
                <w:szCs w:val="18"/>
                <w:b w:val="1"/>
                <w:bCs w:val="1"/>
                <w:color w:val="auto"/>
                <w:w w:val="91"/>
              </w:rPr>
              <w:t>(in thousands, except percentages)</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Cost of goods sold</w:t>
            </w:r>
          </w:p>
        </w:tc>
        <w:tc>
          <w:tcPr>
            <w:tcW w:w="4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rPr>
              <w:t>62,071</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66.0%</w:t>
            </w:r>
          </w:p>
        </w:tc>
        <w:tc>
          <w:tcPr>
            <w:tcW w:w="2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rPr>
              <w:t>38,327</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EEEEEE"/>
          </w:tcPr>
          <w:p>
            <w:pPr>
              <w:jc w:val="right"/>
              <w:ind w:right="470"/>
              <w:spacing w:after="0"/>
              <w:rPr>
                <w:sz w:val="20"/>
                <w:szCs w:val="20"/>
                <w:color w:val="auto"/>
              </w:rPr>
            </w:pPr>
            <w:r>
              <w:rPr>
                <w:rFonts w:ascii="Arial" w:cs="Arial" w:eastAsia="Arial" w:hAnsi="Arial"/>
                <w:sz w:val="18"/>
                <w:szCs w:val="18"/>
                <w:color w:val="auto"/>
              </w:rPr>
              <w:t>23,744</w:t>
            </w: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30"/>
        </w:trPr>
        <w:tc>
          <w:tcPr>
            <w:tcW w:w="2960" w:type="dxa"/>
            <w:vAlign w:val="bottom"/>
          </w:tcPr>
          <w:p>
            <w:pPr>
              <w:ind w:left="100"/>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Cost of goods sold increased by $10.0 million, or 68.9%, from the three months ended September 30, 2014 to the three months ended September 30, 2013, primarily due to a $16 million or 76.0% increase in sales over the prior year.</w:t>
      </w:r>
    </w:p>
    <w:p>
      <w:pPr>
        <w:spacing w:after="0" w:line="170" w:lineRule="exact"/>
        <w:rPr>
          <w:sz w:val="20"/>
          <w:szCs w:val="20"/>
          <w:color w:val="auto"/>
        </w:rPr>
      </w:pPr>
    </w:p>
    <w:p>
      <w:pPr>
        <w:jc w:val="both"/>
        <w:ind w:right="160" w:firstLine="648"/>
        <w:spacing w:after="0" w:line="277" w:lineRule="auto"/>
        <w:rPr>
          <w:sz w:val="20"/>
          <w:szCs w:val="20"/>
          <w:color w:val="auto"/>
        </w:rPr>
      </w:pPr>
      <w:r>
        <w:rPr>
          <w:rFonts w:ascii="Arial" w:cs="Arial" w:eastAsia="Arial" w:hAnsi="Arial"/>
          <w:sz w:val="18"/>
          <w:szCs w:val="18"/>
          <w:color w:val="auto"/>
        </w:rPr>
        <w:t>Cost of goods sold increased by $23.7 million, or 62.0%, from the nine months ended September 30, 2014 to the nine months ended September 30, 2013, primarily due to a $39.4 million or 72.0% increase in sales over the prior year.</w:t>
      </w:r>
    </w:p>
    <w:p>
      <w:pPr>
        <w:spacing w:after="0" w:line="170"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Within our markets, we sell similar products in different geographic regions at different prices, and therefore realize different gross margins among these similar products. The increase in gross margin from 30.4% to 33.2% for the three months ended September 30, 2014 and 29.9% to 34.0% for the nine months ended September 30, 2014, was the result of sales of higher margin data center and CATV products.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2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11"/>
          </w:tcPr>
          <w:p>
            <w:pPr>
              <w:ind w:left="180"/>
              <w:spacing w:after="0"/>
              <w:rPr>
                <w:sz w:val="20"/>
                <w:szCs w:val="20"/>
                <w:color w:val="auto"/>
              </w:rPr>
            </w:pPr>
            <w:r>
              <w:rPr>
                <w:rFonts w:ascii="Arial" w:cs="Arial" w:eastAsia="Arial" w:hAnsi="Arial"/>
                <w:sz w:val="18"/>
                <w:szCs w:val="18"/>
                <w:b w:val="1"/>
                <w:bCs w:val="1"/>
                <w:color w:val="auto"/>
              </w:rPr>
              <w:t>Three months ended September 30,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3"/>
        </w:trPr>
        <w:tc>
          <w:tcPr>
            <w:tcW w:w="2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2"/>
          </w:tcPr>
          <w:p>
            <w:pPr>
              <w:jc w:val="right"/>
              <w:ind w:right="830"/>
              <w:spacing w:after="0"/>
              <w:rPr>
                <w:sz w:val="20"/>
                <w:szCs w:val="20"/>
                <w:color w:val="auto"/>
              </w:rPr>
            </w:pPr>
            <w:r>
              <w:rPr>
                <w:rFonts w:ascii="Arial" w:cs="Arial" w:eastAsia="Arial" w:hAnsi="Arial"/>
                <w:sz w:val="18"/>
                <w:szCs w:val="18"/>
                <w:b w:val="1"/>
                <w:bCs w:val="1"/>
                <w:color w:val="auto"/>
                <w:w w:val="94"/>
              </w:rPr>
              <w:t>2014</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2"/>
          </w:tcPr>
          <w:p>
            <w:pPr>
              <w:jc w:val="right"/>
              <w:ind w:right="830"/>
              <w:spacing w:after="0"/>
              <w:rPr>
                <w:sz w:val="20"/>
                <w:szCs w:val="20"/>
                <w:color w:val="auto"/>
              </w:rPr>
            </w:pPr>
            <w:r>
              <w:rPr>
                <w:rFonts w:ascii="Arial" w:cs="Arial" w:eastAsia="Arial" w:hAnsi="Arial"/>
                <w:sz w:val="18"/>
                <w:szCs w:val="18"/>
                <w:b w:val="1"/>
                <w:bCs w:val="1"/>
                <w:color w:val="auto"/>
                <w:w w:val="94"/>
              </w:rPr>
              <w:t>2013</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Change</w:t>
            </w:r>
          </w:p>
        </w:tc>
        <w:tc>
          <w:tcPr>
            <w:tcW w:w="8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 of Revenue</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3"/>
              </w:rPr>
              <w:t>% of Revenue</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2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8"/>
          </w:tcPr>
          <w:p>
            <w:pPr>
              <w:ind w:left="100"/>
              <w:spacing w:after="0"/>
              <w:rPr>
                <w:sz w:val="20"/>
                <w:szCs w:val="20"/>
                <w:color w:val="auto"/>
              </w:rPr>
            </w:pPr>
            <w:r>
              <w:rPr>
                <w:rFonts w:ascii="Arial" w:cs="Arial" w:eastAsia="Arial" w:hAnsi="Arial"/>
                <w:sz w:val="18"/>
                <w:szCs w:val="18"/>
                <w:b w:val="1"/>
                <w:bCs w:val="1"/>
                <w:color w:val="auto"/>
                <w:w w:val="91"/>
              </w:rPr>
              <w:t>(in thousands, except percentages)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6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Research and development</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4,194</w:t>
            </w:r>
          </w:p>
        </w:tc>
        <w:tc>
          <w:tcPr>
            <w:tcW w:w="14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11.5%</w:t>
            </w:r>
          </w:p>
        </w:tc>
        <w:tc>
          <w:tcPr>
            <w:tcW w:w="2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2,210</w:t>
            </w:r>
          </w:p>
        </w:tc>
        <w:tc>
          <w:tcPr>
            <w:tcW w:w="14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1,984</w:t>
            </w:r>
          </w:p>
        </w:tc>
        <w:tc>
          <w:tcPr>
            <w:tcW w:w="3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89.8%</w:t>
            </w:r>
          </w:p>
        </w:tc>
      </w:tr>
      <w:tr>
        <w:trPr>
          <w:trHeight w:val="216"/>
        </w:trPr>
        <w:tc>
          <w:tcPr>
            <w:tcW w:w="2660" w:type="dxa"/>
            <w:vAlign w:val="bottom"/>
          </w:tcPr>
          <w:p>
            <w:pPr>
              <w:ind w:left="100"/>
              <w:spacing w:after="0"/>
              <w:rPr>
                <w:sz w:val="20"/>
                <w:szCs w:val="20"/>
                <w:color w:val="auto"/>
              </w:rPr>
            </w:pPr>
            <w:r>
              <w:rPr>
                <w:rFonts w:ascii="Arial" w:cs="Arial" w:eastAsia="Arial" w:hAnsi="Arial"/>
                <w:sz w:val="18"/>
                <w:szCs w:val="18"/>
                <w:color w:val="auto"/>
              </w:rPr>
              <w:t>Sales and marketing</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1,622</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1,034</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588</w:t>
            </w:r>
          </w:p>
        </w:tc>
        <w:tc>
          <w:tcPr>
            <w:tcW w:w="34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56.9%</w:t>
            </w:r>
          </w:p>
        </w:tc>
      </w:tr>
      <w:tr>
        <w:trPr>
          <w:trHeight w:val="230"/>
        </w:trPr>
        <w:tc>
          <w:tcPr>
            <w:tcW w:w="26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4,458</w:t>
            </w:r>
          </w:p>
        </w:tc>
        <w:tc>
          <w:tcPr>
            <w:tcW w:w="14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2,436</w:t>
            </w:r>
          </w:p>
        </w:tc>
        <w:tc>
          <w:tcPr>
            <w:tcW w:w="14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2,022</w:t>
            </w:r>
          </w:p>
        </w:tc>
        <w:tc>
          <w:tcPr>
            <w:tcW w:w="340" w:type="dxa"/>
            <w:vAlign w:val="bottom"/>
            <w:shd w:val="clear" w:color="auto" w:fill="EEEEEE"/>
          </w:tcPr>
          <w:p>
            <w:pPr>
              <w:spacing w:after="0"/>
              <w:rPr>
                <w:sz w:val="19"/>
                <w:szCs w:val="19"/>
                <w:color w:val="auto"/>
              </w:rPr>
            </w:pPr>
          </w:p>
        </w:tc>
        <w:tc>
          <w:tcPr>
            <w:tcW w:w="9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83.0%</w:t>
            </w:r>
          </w:p>
        </w:tc>
      </w:tr>
      <w:tr>
        <w:trPr>
          <w:trHeight w:val="223"/>
        </w:trPr>
        <w:tc>
          <w:tcPr>
            <w:tcW w:w="2660" w:type="dxa"/>
            <w:vAlign w:val="bottom"/>
          </w:tcPr>
          <w:p>
            <w:pPr>
              <w:ind w:left="100"/>
              <w:spacing w:after="0"/>
              <w:rPr>
                <w:sz w:val="20"/>
                <w:szCs w:val="20"/>
                <w:color w:val="auto"/>
              </w:rPr>
            </w:pPr>
            <w:r>
              <w:rPr>
                <w:rFonts w:ascii="Arial" w:cs="Arial" w:eastAsia="Arial" w:hAnsi="Arial"/>
                <w:sz w:val="18"/>
                <w:szCs w:val="18"/>
                <w:color w:val="auto"/>
              </w:rPr>
              <w:t>Total operating expenses</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10,274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4,594</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2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83"/>
        </w:trPr>
        <w:tc>
          <w:tcPr>
            <w:tcW w:w="2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60" w:type="dxa"/>
            <w:vAlign w:val="bottom"/>
            <w:gridSpan w:val="10"/>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3"/>
        </w:trPr>
        <w:tc>
          <w:tcPr>
            <w:tcW w:w="2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2"/>
          </w:tcPr>
          <w:p>
            <w:pPr>
              <w:jc w:val="right"/>
              <w:ind w:right="830"/>
              <w:spacing w:after="0"/>
              <w:rPr>
                <w:sz w:val="20"/>
                <w:szCs w:val="20"/>
                <w:color w:val="auto"/>
              </w:rPr>
            </w:pPr>
            <w:r>
              <w:rPr>
                <w:rFonts w:ascii="Arial" w:cs="Arial" w:eastAsia="Arial" w:hAnsi="Arial"/>
                <w:sz w:val="18"/>
                <w:szCs w:val="18"/>
                <w:b w:val="1"/>
                <w:bCs w:val="1"/>
                <w:color w:val="auto"/>
                <w:w w:val="94"/>
              </w:rPr>
              <w:t>2014</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2"/>
          </w:tcPr>
          <w:p>
            <w:pPr>
              <w:jc w:val="right"/>
              <w:ind w:right="830"/>
              <w:spacing w:after="0"/>
              <w:rPr>
                <w:sz w:val="20"/>
                <w:szCs w:val="20"/>
                <w:color w:val="auto"/>
              </w:rPr>
            </w:pPr>
            <w:r>
              <w:rPr>
                <w:rFonts w:ascii="Arial" w:cs="Arial" w:eastAsia="Arial" w:hAnsi="Arial"/>
                <w:sz w:val="18"/>
                <w:szCs w:val="18"/>
                <w:b w:val="1"/>
                <w:bCs w:val="1"/>
                <w:color w:val="auto"/>
                <w:w w:val="94"/>
              </w:rPr>
              <w:t>2013</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Change</w:t>
            </w:r>
          </w:p>
        </w:tc>
        <w:tc>
          <w:tcPr>
            <w:tcW w:w="8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of Revenue</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of Revenue</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2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8"/>
          </w:tcPr>
          <w:p>
            <w:pPr>
              <w:ind w:left="100"/>
              <w:spacing w:after="0"/>
              <w:rPr>
                <w:sz w:val="20"/>
                <w:szCs w:val="20"/>
                <w:color w:val="auto"/>
              </w:rPr>
            </w:pPr>
            <w:r>
              <w:rPr>
                <w:rFonts w:ascii="Arial" w:cs="Arial" w:eastAsia="Arial" w:hAnsi="Arial"/>
                <w:sz w:val="18"/>
                <w:szCs w:val="18"/>
                <w:b w:val="1"/>
                <w:bCs w:val="1"/>
                <w:color w:val="auto"/>
                <w:w w:val="91"/>
              </w:rPr>
              <w:t>(in thousands, except percentages)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6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Research and development</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11,749</w:t>
            </w:r>
          </w:p>
        </w:tc>
        <w:tc>
          <w:tcPr>
            <w:tcW w:w="20" w:type="dxa"/>
            <w:vAlign w:val="bottom"/>
            <w:shd w:val="clear" w:color="auto" w:fill="EEEEEE"/>
          </w:tcPr>
          <w:p>
            <w:pPr>
              <w:spacing w:after="0"/>
              <w:rPr>
                <w:sz w:val="18"/>
                <w:szCs w:val="18"/>
                <w:color w:val="auto"/>
              </w:rPr>
            </w:pPr>
          </w:p>
        </w:tc>
        <w:tc>
          <w:tcPr>
            <w:tcW w:w="14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12.5%</w:t>
            </w:r>
          </w:p>
        </w:tc>
        <w:tc>
          <w:tcPr>
            <w:tcW w:w="2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6,112</w:t>
            </w:r>
          </w:p>
        </w:tc>
        <w:tc>
          <w:tcPr>
            <w:tcW w:w="14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5,637</w:t>
            </w:r>
          </w:p>
        </w:tc>
        <w:tc>
          <w:tcPr>
            <w:tcW w:w="34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92.2%</w:t>
            </w:r>
          </w:p>
        </w:tc>
      </w:tr>
      <w:tr>
        <w:trPr>
          <w:trHeight w:val="216"/>
        </w:trPr>
        <w:tc>
          <w:tcPr>
            <w:tcW w:w="2660" w:type="dxa"/>
            <w:vAlign w:val="bottom"/>
          </w:tcPr>
          <w:p>
            <w:pPr>
              <w:ind w:left="100"/>
              <w:spacing w:after="0"/>
              <w:rPr>
                <w:sz w:val="20"/>
                <w:szCs w:val="20"/>
                <w:color w:val="auto"/>
              </w:rPr>
            </w:pPr>
            <w:r>
              <w:rPr>
                <w:rFonts w:ascii="Arial" w:cs="Arial" w:eastAsia="Arial" w:hAnsi="Arial"/>
                <w:sz w:val="18"/>
                <w:szCs w:val="18"/>
                <w:color w:val="auto"/>
              </w:rPr>
              <w:t>Sales and marketing</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4,452</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2,994</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1,458</w:t>
            </w:r>
          </w:p>
        </w:tc>
        <w:tc>
          <w:tcPr>
            <w:tcW w:w="34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48.7%</w:t>
            </w:r>
          </w:p>
        </w:tc>
      </w:tr>
      <w:tr>
        <w:trPr>
          <w:trHeight w:val="230"/>
        </w:trPr>
        <w:tc>
          <w:tcPr>
            <w:tcW w:w="26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11,964</w:t>
            </w:r>
          </w:p>
        </w:tc>
        <w:tc>
          <w:tcPr>
            <w:tcW w:w="20" w:type="dxa"/>
            <w:vAlign w:val="bottom"/>
            <w:shd w:val="clear" w:color="auto" w:fill="EEEEEE"/>
          </w:tcPr>
          <w:p>
            <w:pPr>
              <w:spacing w:after="0"/>
              <w:rPr>
                <w:sz w:val="19"/>
                <w:szCs w:val="19"/>
                <w:color w:val="auto"/>
              </w:rPr>
            </w:pPr>
          </w:p>
        </w:tc>
        <w:tc>
          <w:tcPr>
            <w:tcW w:w="14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7,257</w:t>
            </w:r>
          </w:p>
        </w:tc>
        <w:tc>
          <w:tcPr>
            <w:tcW w:w="14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4,707</w:t>
            </w:r>
          </w:p>
        </w:tc>
        <w:tc>
          <w:tcPr>
            <w:tcW w:w="340" w:type="dxa"/>
            <w:vAlign w:val="bottom"/>
            <w:shd w:val="clear" w:color="auto" w:fill="EEEEEE"/>
          </w:tcPr>
          <w:p>
            <w:pPr>
              <w:spacing w:after="0"/>
              <w:rPr>
                <w:sz w:val="19"/>
                <w:szCs w:val="19"/>
                <w:color w:val="auto"/>
              </w:rPr>
            </w:pPr>
          </w:p>
        </w:tc>
        <w:tc>
          <w:tcPr>
            <w:tcW w:w="9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64.9%</w:t>
            </w:r>
          </w:p>
        </w:tc>
      </w:tr>
      <w:tr>
        <w:trPr>
          <w:trHeight w:val="223"/>
        </w:trPr>
        <w:tc>
          <w:tcPr>
            <w:tcW w:w="2660" w:type="dxa"/>
            <w:vAlign w:val="bottom"/>
          </w:tcPr>
          <w:p>
            <w:pPr>
              <w:ind w:left="100"/>
              <w:spacing w:after="0"/>
              <w:rPr>
                <w:sz w:val="20"/>
                <w:szCs w:val="20"/>
                <w:color w:val="auto"/>
              </w:rPr>
            </w:pPr>
            <w:r>
              <w:rPr>
                <w:rFonts w:ascii="Arial" w:cs="Arial" w:eastAsia="Arial" w:hAnsi="Arial"/>
                <w:sz w:val="18"/>
                <w:szCs w:val="18"/>
                <w:color w:val="auto"/>
              </w:rPr>
              <w:t>Total operating expenses</w:t>
            </w:r>
          </w:p>
        </w:tc>
        <w:tc>
          <w:tcPr>
            <w:tcW w:w="6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28,165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16,363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11,802</w:t>
            </w:r>
          </w:p>
        </w:tc>
        <w:tc>
          <w:tcPr>
            <w:tcW w:w="2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2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Research and development expense increased by $2.0 million, or 89.8%, from the three months ended September 30, 2013 compared to the three months ended September 30, 2014. Research and development expense increased by $5.6 million, or 92.2%, from the nine months ended September 30, 2013 compared to the nine months ended September 30, 2014. This was primarily due to increases in personnel costs, rent and utilities, R&amp;D work orders and project costs related to FTTH WDM-PON products, 40 G and 100G data center products and other new product development, and increase in depreciation expense resulting from additional R&amp;D equipment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Sales and marketing expense increased by $0.6 million, or 56.9%, from the three months ended September 30, 2013 compared to the three months ended September 30, 2014. Sales and marketing expense increased by $1.5 million, or 48.7%, from the nine months ended September 30, 2013 compared to the nine months ended September 30, 2014. This was due to an increase in personnel costs from additional sales and marketing staff to better serve our customers, expenses for a new sales incentive program and an increase in sales commissions directly related to our revenue growth.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General and administrative expense increased by $2.0 million, or 83.0%, from the three months ended September 30, 2013 compared to the three months ended September 30, 2014. General and administrative expense increased by $4.7 million, or 64.9%, from the nine months ended September 30, 2013 compared to the nine months ended September 30, 2014. This was primarily due to an increase in share-based compensation expense and various expenses incurred due to becoming a public company as well as non-recurring expenses related to the relocation of our Taiwan plant and CFO separation costs.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Arial" w:cs="Arial" w:eastAsia="Arial" w:hAnsi="Arial"/>
                <w:sz w:val="18"/>
                <w:szCs w:val="18"/>
                <w:i w:val="1"/>
                <w:iCs w:val="1"/>
                <w:color w:val="auto"/>
              </w:rPr>
              <w:t>Other income (expense), net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2"/>
        </w:trPr>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20" w:type="dxa"/>
            <w:vAlign w:val="bottom"/>
            <w:gridSpan w:val="10"/>
          </w:tcPr>
          <w:p>
            <w:pPr>
              <w:jc w:val="center"/>
              <w:ind w:right="1440"/>
              <w:spacing w:after="0"/>
              <w:rPr>
                <w:sz w:val="20"/>
                <w:szCs w:val="20"/>
                <w:color w:val="auto"/>
              </w:rPr>
            </w:pPr>
            <w:r>
              <w:rPr>
                <w:rFonts w:ascii="Arial" w:cs="Arial" w:eastAsia="Arial" w:hAnsi="Arial"/>
                <w:sz w:val="18"/>
                <w:szCs w:val="18"/>
                <w:b w:val="1"/>
                <w:bCs w:val="1"/>
                <w:color w:val="auto"/>
                <w:w w:val="89"/>
              </w:rPr>
              <w:t>Three months ended September 30,</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3"/>
        </w:trPr>
        <w:tc>
          <w:tcPr>
            <w:tcW w:w="3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gridSpan w:val="2"/>
          </w:tcPr>
          <w:p>
            <w:pPr>
              <w:jc w:val="right"/>
              <w:ind w:right="79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gridSpan w:val="2"/>
          </w:tcPr>
          <w:p>
            <w:pPr>
              <w:jc w:val="right"/>
              <w:ind w:right="790"/>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3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Amount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w w:val="91"/>
              </w:rPr>
              <w:t>% of Revenue</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w w:val="91"/>
              </w:rPr>
              <w:t>% of Revenue</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0"/>
        </w:trPr>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8"/>
          </w:tcPr>
          <w:p>
            <w:pPr>
              <w:ind w:left="80"/>
              <w:spacing w:after="0"/>
              <w:rPr>
                <w:sz w:val="20"/>
                <w:szCs w:val="20"/>
                <w:color w:val="auto"/>
              </w:rPr>
            </w:pPr>
            <w:r>
              <w:rPr>
                <w:rFonts w:ascii="Arial" w:cs="Arial" w:eastAsia="Arial" w:hAnsi="Arial"/>
                <w:sz w:val="18"/>
                <w:szCs w:val="18"/>
                <w:b w:val="1"/>
                <w:bCs w:val="1"/>
                <w:color w:val="auto"/>
                <w:w w:val="92"/>
              </w:rPr>
              <w:t>(in thousands, except percentages)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180" w:type="dxa"/>
            <w:vAlign w:val="bottom"/>
            <w:shd w:val="clear" w:color="auto" w:fill="EEEEEE"/>
          </w:tcPr>
          <w:p>
            <w:pPr>
              <w:ind w:left="10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95</w:t>
            </w:r>
          </w:p>
        </w:tc>
        <w:tc>
          <w:tcPr>
            <w:tcW w:w="14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0.3%</w:t>
            </w: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14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533.3%</w:t>
            </w:r>
          </w:p>
        </w:tc>
      </w:tr>
      <w:tr>
        <w:trPr>
          <w:trHeight w:val="216"/>
        </w:trPr>
        <w:tc>
          <w:tcPr>
            <w:tcW w:w="318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(323)</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268</w:t>
            </w:r>
          </w:p>
        </w:tc>
        <w:tc>
          <w:tcPr>
            <w:tcW w:w="3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(83.0%)</w:t>
            </w:r>
          </w:p>
        </w:tc>
      </w:tr>
      <w:tr>
        <w:trPr>
          <w:trHeight w:val="230"/>
        </w:trPr>
        <w:tc>
          <w:tcPr>
            <w:tcW w:w="3180" w:type="dxa"/>
            <w:vAlign w:val="bottom"/>
            <w:shd w:val="clear" w:color="auto" w:fill="EEEEEE"/>
          </w:tcPr>
          <w:p>
            <w:pPr>
              <w:ind w:left="100"/>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(258)</w:t>
            </w:r>
          </w:p>
        </w:tc>
        <w:tc>
          <w:tcPr>
            <w:tcW w:w="14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14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(316)</w:t>
            </w:r>
          </w:p>
        </w:tc>
        <w:tc>
          <w:tcPr>
            <w:tcW w:w="340" w:type="dxa"/>
            <w:vAlign w:val="bottom"/>
            <w:shd w:val="clear" w:color="auto" w:fill="EEEEEE"/>
          </w:tcPr>
          <w:p>
            <w:pPr>
              <w:spacing w:after="0"/>
              <w:rPr>
                <w:sz w:val="19"/>
                <w:szCs w:val="19"/>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(544.8%)</w:t>
            </w:r>
          </w:p>
        </w:tc>
      </w:tr>
      <w:tr>
        <w:trPr>
          <w:trHeight w:val="223"/>
        </w:trPr>
        <w:tc>
          <w:tcPr>
            <w:tcW w:w="3180" w:type="dxa"/>
            <w:vAlign w:val="bottom"/>
          </w:tcPr>
          <w:p>
            <w:pPr>
              <w:ind w:left="20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jc w:val="right"/>
              <w:spacing w:after="0"/>
              <w:rPr>
                <w:sz w:val="20"/>
                <w:szCs w:val="20"/>
                <w:color w:val="auto"/>
              </w:rPr>
            </w:pPr>
            <w:r>
              <w:rPr>
                <w:rFonts w:ascii="Arial" w:cs="Arial" w:eastAsia="Arial" w:hAnsi="Arial"/>
                <w:sz w:val="18"/>
                <w:szCs w:val="18"/>
                <w:color w:val="auto"/>
                <w:w w:val="81"/>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r>
      <w:tr>
        <w:trPr>
          <w:trHeight w:val="20"/>
        </w:trPr>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683"/>
        </w:trPr>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20" w:type="dxa"/>
            <w:vAlign w:val="bottom"/>
            <w:gridSpan w:val="10"/>
          </w:tcPr>
          <w:p>
            <w:pPr>
              <w:jc w:val="center"/>
              <w:ind w:right="1440"/>
              <w:spacing w:after="0"/>
              <w:rPr>
                <w:sz w:val="20"/>
                <w:szCs w:val="20"/>
                <w:color w:val="auto"/>
              </w:rPr>
            </w:pPr>
            <w:r>
              <w:rPr>
                <w:rFonts w:ascii="Arial" w:cs="Arial" w:eastAsia="Arial" w:hAnsi="Arial"/>
                <w:sz w:val="18"/>
                <w:szCs w:val="18"/>
                <w:b w:val="1"/>
                <w:bCs w:val="1"/>
                <w:color w:val="auto"/>
                <w:w w:val="88"/>
              </w:rPr>
              <w:t>Nine months ended September 30,</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3"/>
        </w:trPr>
        <w:tc>
          <w:tcPr>
            <w:tcW w:w="3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gridSpan w:val="2"/>
          </w:tcPr>
          <w:p>
            <w:pPr>
              <w:jc w:val="right"/>
              <w:ind w:right="79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gridSpan w:val="2"/>
          </w:tcPr>
          <w:p>
            <w:pPr>
              <w:jc w:val="right"/>
              <w:ind w:right="790"/>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3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Amount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w w:val="91"/>
              </w:rPr>
              <w:t>% of Revenue</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w w:val="91"/>
              </w:rPr>
              <w:t>% of Revenue</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0"/>
        </w:trPr>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8"/>
          </w:tcPr>
          <w:p>
            <w:pPr>
              <w:ind w:left="80"/>
              <w:spacing w:after="0"/>
              <w:rPr>
                <w:sz w:val="20"/>
                <w:szCs w:val="20"/>
                <w:color w:val="auto"/>
              </w:rPr>
            </w:pPr>
            <w:r>
              <w:rPr>
                <w:rFonts w:ascii="Arial" w:cs="Arial" w:eastAsia="Arial" w:hAnsi="Arial"/>
                <w:sz w:val="18"/>
                <w:szCs w:val="18"/>
                <w:b w:val="1"/>
                <w:bCs w:val="1"/>
                <w:color w:val="auto"/>
                <w:w w:val="92"/>
              </w:rPr>
              <w:t>(in thousands, except percentages)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180" w:type="dxa"/>
            <w:vAlign w:val="bottom"/>
            <w:shd w:val="clear" w:color="auto" w:fill="EEEEEE"/>
          </w:tcPr>
          <w:p>
            <w:pPr>
              <w:ind w:left="10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280</w:t>
            </w:r>
          </w:p>
        </w:tc>
        <w:tc>
          <w:tcPr>
            <w:tcW w:w="14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0.3%</w:t>
            </w: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14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230</w:t>
            </w:r>
          </w:p>
        </w:tc>
        <w:tc>
          <w:tcPr>
            <w:tcW w:w="34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460.0%</w:t>
            </w:r>
          </w:p>
        </w:tc>
      </w:tr>
      <w:tr>
        <w:trPr>
          <w:trHeight w:val="216"/>
        </w:trPr>
        <w:tc>
          <w:tcPr>
            <w:tcW w:w="318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(277)</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(925)</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648</w:t>
            </w:r>
          </w:p>
        </w:tc>
        <w:tc>
          <w:tcPr>
            <w:tcW w:w="3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(70.1%)</w:t>
            </w:r>
          </w:p>
        </w:tc>
      </w:tr>
      <w:tr>
        <w:trPr>
          <w:trHeight w:val="230"/>
        </w:trPr>
        <w:tc>
          <w:tcPr>
            <w:tcW w:w="3180" w:type="dxa"/>
            <w:vAlign w:val="bottom"/>
            <w:shd w:val="clear" w:color="auto" w:fill="EEEEEE"/>
          </w:tcPr>
          <w:p>
            <w:pPr>
              <w:ind w:left="100"/>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14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(57)</w:t>
            </w:r>
          </w:p>
        </w:tc>
        <w:tc>
          <w:tcPr>
            <w:tcW w:w="340" w:type="dxa"/>
            <w:vAlign w:val="bottom"/>
            <w:shd w:val="clear" w:color="auto" w:fill="EEEEEE"/>
          </w:tcPr>
          <w:p>
            <w:pPr>
              <w:spacing w:after="0"/>
              <w:rPr>
                <w:sz w:val="19"/>
                <w:szCs w:val="19"/>
                <w:color w:val="auto"/>
              </w:rPr>
            </w:pPr>
          </w:p>
        </w:tc>
        <w:tc>
          <w:tcPr>
            <w:tcW w:w="7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r>
      <w:tr>
        <w:trPr>
          <w:trHeight w:val="223"/>
        </w:trPr>
        <w:tc>
          <w:tcPr>
            <w:tcW w:w="3180" w:type="dxa"/>
            <w:vAlign w:val="bottom"/>
          </w:tcPr>
          <w:p>
            <w:pPr>
              <w:ind w:left="20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w w:val="81"/>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2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r>
      <w:tr>
        <w:trPr>
          <w:trHeight w:val="20"/>
        </w:trPr>
        <w:tc>
          <w:tcPr>
            <w:tcW w:w="3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increased over the same prior year periods due to higher cash and investment balances.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decreased overall for the periods due to the benefit of lower interest rates as well as lower loan balances.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Other income (expense), net increased by $0.3 million from the three months ended September 30, 2013 compared to the three months ended September 30, 2014 due to unrealized foreign exchange loss resulting from the depreciation of Asia currencies against the U.S. dollar compared to the same prior year period.</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Other income (expense), net increased by $0.1 million from the nine months ended September 30, 2013 compared to the nine months ended September 30, 2014. Other net expense increased due to unrealized foreign exchange losses recognized resulting from the depreciation of the Asia currencies against the U.S. dollar compared to unrealized foreign exchange losses in the same prior year period. We qualify as a high-tech enterprise in China, as determined by the Chinese government, and are paid subsidies from time to time by the Chinese government to foster local high-tech manufacturing. We received less subsidy in 2014 compared to 2013.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i w:val="1"/>
                <w:iCs w:val="1"/>
                <w:color w:val="auto"/>
              </w:rPr>
              <w:t>Provision for income taxes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4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2"/>
          </w:tcPr>
          <w:p>
            <w:pPr>
              <w:jc w:val="right"/>
              <w:ind w:right="950"/>
              <w:spacing w:after="0"/>
              <w:rPr>
                <w:sz w:val="20"/>
                <w:szCs w:val="20"/>
                <w:color w:val="auto"/>
              </w:rPr>
            </w:pPr>
            <w:r>
              <w:rPr>
                <w:rFonts w:ascii="Arial" w:cs="Arial" w:eastAsia="Arial" w:hAnsi="Arial"/>
                <w:sz w:val="18"/>
                <w:szCs w:val="18"/>
                <w:b w:val="1"/>
                <w:bCs w:val="1"/>
                <w:color w:val="auto"/>
                <w:w w:val="89"/>
              </w:rPr>
              <w:t>Three months ended September 30,</w:t>
            </w:r>
          </w:p>
        </w:tc>
        <w:tc>
          <w:tcPr>
            <w:tcW w:w="8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4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2013</w:t>
            </w:r>
          </w:p>
        </w:tc>
        <w:tc>
          <w:tcPr>
            <w:tcW w:w="1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0"/>
        </w:trPr>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w w:val="88"/>
              </w:rPr>
              <w:t>(in thousands, except percentages)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(77)</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EEEEEE"/>
          </w:tcPr>
          <w:p>
            <w:pPr>
              <w:jc w:val="right"/>
              <w:ind w:right="590"/>
              <w:spacing w:after="0"/>
              <w:rPr>
                <w:sz w:val="20"/>
                <w:szCs w:val="20"/>
                <w:color w:val="auto"/>
              </w:rPr>
            </w:pPr>
            <w:r>
              <w:rPr>
                <w:rFonts w:ascii="Arial" w:cs="Arial" w:eastAsia="Arial" w:hAnsi="Arial"/>
                <w:sz w:val="18"/>
                <w:szCs w:val="18"/>
                <w:color w:val="auto"/>
              </w:rPr>
              <w:t>–</w:t>
            </w:r>
          </w:p>
        </w:tc>
        <w:tc>
          <w:tcPr>
            <w:tcW w:w="1860" w:type="dxa"/>
            <w:vAlign w:val="bottom"/>
            <w:shd w:val="clear" w:color="auto" w:fill="EEEEEE"/>
          </w:tcPr>
          <w:p>
            <w:pPr>
              <w:jc w:val="right"/>
              <w:ind w:right="710"/>
              <w:spacing w:after="0"/>
              <w:rPr>
                <w:sz w:val="20"/>
                <w:szCs w:val="20"/>
                <w:color w:val="auto"/>
              </w:rPr>
            </w:pPr>
            <w:r>
              <w:rPr>
                <w:rFonts w:ascii="Arial" w:cs="Arial" w:eastAsia="Arial" w:hAnsi="Arial"/>
                <w:sz w:val="18"/>
                <w:szCs w:val="18"/>
                <w:color w:val="auto"/>
              </w:rPr>
              <w:t>(77)</w:t>
            </w:r>
          </w:p>
        </w:tc>
        <w:tc>
          <w:tcPr>
            <w:tcW w:w="9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100.0%</w:t>
            </w:r>
          </w:p>
        </w:tc>
      </w:tr>
      <w:tr>
        <w:trPr>
          <w:trHeight w:val="473"/>
        </w:trPr>
        <w:tc>
          <w:tcPr>
            <w:tcW w:w="4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2"/>
          </w:tcPr>
          <w:p>
            <w:pPr>
              <w:jc w:val="right"/>
              <w:ind w:right="1010"/>
              <w:spacing w:after="0"/>
              <w:rPr>
                <w:sz w:val="20"/>
                <w:szCs w:val="20"/>
                <w:color w:val="auto"/>
              </w:rPr>
            </w:pPr>
            <w:r>
              <w:rPr>
                <w:rFonts w:ascii="Arial" w:cs="Arial" w:eastAsia="Arial" w:hAnsi="Arial"/>
                <w:sz w:val="18"/>
                <w:szCs w:val="18"/>
                <w:b w:val="1"/>
                <w:bCs w:val="1"/>
                <w:color w:val="auto"/>
                <w:w w:val="90"/>
              </w:rPr>
              <w:t>Nine months ended September 30,</w:t>
            </w:r>
          </w:p>
        </w:tc>
        <w:tc>
          <w:tcPr>
            <w:tcW w:w="8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4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2013</w:t>
            </w:r>
          </w:p>
        </w:tc>
        <w:tc>
          <w:tcPr>
            <w:tcW w:w="1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0"/>
        </w:trPr>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w w:val="88"/>
              </w:rPr>
              <w:t>(in thousands, except percentages)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8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EEEEEE"/>
          </w:tcPr>
          <w:p>
            <w:pPr>
              <w:jc w:val="right"/>
              <w:ind w:right="590"/>
              <w:spacing w:after="0"/>
              <w:rPr>
                <w:sz w:val="20"/>
                <w:szCs w:val="20"/>
                <w:color w:val="auto"/>
              </w:rPr>
            </w:pPr>
            <w:r>
              <w:rPr>
                <w:rFonts w:ascii="Arial" w:cs="Arial" w:eastAsia="Arial" w:hAnsi="Arial"/>
                <w:sz w:val="18"/>
                <w:szCs w:val="18"/>
                <w:color w:val="auto"/>
              </w:rPr>
              <w:t>–</w:t>
            </w:r>
          </w:p>
        </w:tc>
        <w:tc>
          <w:tcPr>
            <w:tcW w:w="1860" w:type="dxa"/>
            <w:vAlign w:val="bottom"/>
            <w:shd w:val="clear" w:color="auto" w:fill="EEEEEE"/>
          </w:tcPr>
          <w:p>
            <w:pPr>
              <w:jc w:val="right"/>
              <w:ind w:right="710"/>
              <w:spacing w:after="0"/>
              <w:rPr>
                <w:sz w:val="20"/>
                <w:szCs w:val="20"/>
                <w:color w:val="auto"/>
              </w:rPr>
            </w:pPr>
            <w:r>
              <w:rPr>
                <w:rFonts w:ascii="Arial" w:cs="Arial" w:eastAsia="Arial" w:hAnsi="Arial"/>
                <w:sz w:val="18"/>
                <w:szCs w:val="18"/>
                <w:color w:val="auto"/>
              </w:rPr>
              <w:t>(187)</w:t>
            </w:r>
          </w:p>
        </w:tc>
        <w:tc>
          <w:tcPr>
            <w:tcW w:w="9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Our income tax expense for the three and nine month ended September 30, 2014 consists of U.S. alternative minimum tax recorded during the periods. Due to historic losses in the U.S., our net deferred tax assets are fully offset by a deferred tax valuation allowance.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From inception until our initial public offering, we financed our operations through private sales of equity securities, cash generated from operations and from various lending arrangements. On October 1, 2013, we completed our initial public offering, in which we issued and sold 3.6 million shares of our common stock at a public offering price of $10.00 per share, providing proceeds of $31.5 million, net of underwriting discounts and commissions and offering expenses. On March 25, 2014, we completed a secondary offering, in which we issued and sold 1.6 million shares of our common stock at an offering price of $24.25 per share, and on March 28, 2014, we sold an additional 0.4 million shares as a result of the underwriters’ exercise of their option to purchase additional shares, providing proceeds of $45.6 million, net of underwriting discounts and commissions and offering expenses. As of September 30, 2014, our cash, cash equivalents, restricted cash and short-term investments totaled $45.8 million. Cash and cash equivalents are held for working capital purposes and are invested primarily in money market or time deposit funds. We do not enter into investments for trading or speculative purposes.</w:t>
      </w:r>
    </w:p>
    <w:p>
      <w:pPr>
        <w:sectPr>
          <w:pgSz w:w="11900" w:h="16838" w:orient="portrait"/>
          <w:cols w:equalWidth="0" w:num="1">
            <w:col w:w="11400"/>
          </w:cols>
          <w:pgMar w:left="240" w:top="877" w:right="259" w:bottom="1440" w:gutter="0" w:footer="0" w:header="0"/>
        </w:sectPr>
      </w:pP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sets forth selected cash flow data for the periods presented (in thousands):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cash used in investing activities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Effect of exchange rates on cash and cash equivalents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Nine months ended September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3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95" w:lineRule="exact"/>
              <w:rPr>
                <w:sz w:val="20"/>
                <w:szCs w:val="20"/>
                <w:color w:val="auto"/>
              </w:rPr>
            </w:pPr>
            <w:r>
              <w:rPr>
                <w:rFonts w:ascii="Arial" w:cs="Arial" w:eastAsia="Arial" w:hAnsi="Arial"/>
                <w:sz w:val="18"/>
                <w:szCs w:val="18"/>
                <w:color w:val="auto"/>
              </w:rPr>
              <w:t>665</w:t>
            </w:r>
          </w:p>
        </w:tc>
        <w:tc>
          <w:tcPr>
            <w:tcW w:w="340" w:type="dxa"/>
            <w:vAlign w:val="bottom"/>
          </w:tcPr>
          <w:p>
            <w:pPr>
              <w:spacing w:after="0"/>
              <w:rPr>
                <w:sz w:val="16"/>
                <w:szCs w:val="16"/>
                <w:color w:val="auto"/>
              </w:rPr>
            </w:pPr>
          </w:p>
        </w:tc>
        <w:tc>
          <w:tcPr>
            <w:tcW w:w="300" w:type="dxa"/>
            <w:vAlign w:val="bottom"/>
          </w:tcPr>
          <w:p>
            <w:pPr>
              <w:jc w:val="right"/>
              <w:ind w:right="110"/>
              <w:spacing w:after="0" w:line="195"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(2,454)</w:t>
            </w: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(29,052)</w:t>
            </w:r>
          </w:p>
        </w:tc>
        <w:tc>
          <w:tcPr>
            <w:tcW w:w="3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(4,817)</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43,155</w:t>
            </w: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3,695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260</w:t>
            </w:r>
          </w:p>
        </w:tc>
        <w:tc>
          <w:tcPr>
            <w:tcW w:w="3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178</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23"/>
        </w:trPr>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15,028</w:t>
            </w: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(3,398</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7520" w:space="720"/>
            <w:col w:w="3160"/>
          </w:cols>
          <w:pgMar w:left="240" w:top="877" w:right="259" w:bottom="1440" w:gutter="0" w:footer="0" w:header="0"/>
          <w:type w:val="continuous"/>
        </w:sectPr>
      </w:pPr>
    </w:p>
    <w:p>
      <w:pPr>
        <w:spacing w:after="0" w:line="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For the nine months ended September 30, 2014, net cash provided by operating activities was $0.7 million. During the nine months ended September 30, 2014, we recorded net income of $3.6 million. The net income incorporated non-cash charges, including depreciation and amortization of $4.3 million, share-based compensation expenses of $1.5 million and non-cash increases to our inventory reserve account of $1.1 million. Cash provided by operating activities primarily related to an increase in accounts receivable from the sale of our products and an increase in inventory related to sales orders, offset by cash provided by an increase in accounts payable to our vendors and an increase in accrued liabilities.</w:t>
      </w:r>
    </w:p>
    <w:p>
      <w:pPr>
        <w:spacing w:after="0" w:line="173"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For the nine months ended September 30, 2013, net cash used in operating activities was $2.5 million. During the nine months ended September 30, 2013, we recognized a net loss of $0.9 million. The net loss incorporated non-cash charges, including depreciation and amortization of $2.4 million, share-based compensation expenses of $0.4 million and non-cash increases to our inventory reserve account of $0.6 million. Cash used in operating activities primarily related to an increase in accounts receivable from the sale of our products, an increase in inventory related to sales orders, offset by cash provided by an increase in accounts payable to our vendors and the decrease in notes receivable from our customers.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For the nine months ended September 30, 2014, net cash used in investing activities was $29.1 million for the purchase of additional machinery and equipment, for investment in leasehold improvements for our Taiwan plant expansion and the payment for intellectual property licenses to support new product development efforts and manufacturing activities as well as an increase in deferred charges.</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For the nine months ended September 30, 2013, net cash used in investing activities was $4.8 million for the purchase of additional machinery and equipment to support new product development efforts and manufacturing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Our financing activities consisted primarily of proceeds from the issuance of common stock and activity associated with our various lending arrangements.</w:t>
      </w:r>
    </w:p>
    <w:p>
      <w:pPr>
        <w:spacing w:after="0" w:line="170"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For the nine months ended September 30, 2014, our financing activities provided $43.2 million in cash. We received $45.6 million in net proceeds from a secondary offering of common stock. We received $0.3 million from the exercise of stock options. These increases were offset by the repayment of $2.8 million in net borrowings associated with our bank loans.</w:t>
      </w:r>
    </w:p>
    <w:p>
      <w:pPr>
        <w:spacing w:after="0" w:line="181"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For the nine months ended September 30, 2013, our financing activities provided $3.7 million in cash. We received $4.9 million in net borrowings associated with our bank acceptance payable and increased our restricted cash by $0.5 million, related to the compensating balances required for bank acceptance notes in China. Cash used was offset by $0.6 million received from the exercise of stock options and warrants.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commitments</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We have lending arrangements with several financial institutions, including a revolving line of credit and a term loan with East West Bank in the U.S., several lines of credit arrangements for our China subsidiary and lines of credit and financing agreements for our Taiwan location.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type w:val="continuous"/>
        </w:sectPr>
      </w:pPr>
    </w:p>
    <w:bookmarkStart w:id="19" w:name="page20"/>
    <w:bookmarkEnd w:id="19"/>
    <w:p>
      <w:pPr>
        <w:ind w:right="20" w:firstLine="648"/>
        <w:spacing w:after="0" w:line="255" w:lineRule="auto"/>
        <w:rPr>
          <w:sz w:val="20"/>
          <w:szCs w:val="20"/>
          <w:color w:val="auto"/>
        </w:rPr>
      </w:pPr>
      <w:r>
        <w:rPr>
          <w:rFonts w:ascii="Arial" w:cs="Arial" w:eastAsia="Arial" w:hAnsi="Arial"/>
          <w:sz w:val="18"/>
          <w:szCs w:val="18"/>
          <w:color w:val="auto"/>
        </w:rPr>
        <w:t>As of September 30, 2014, our loan and security agreement in the U.S. included a $15.0 million revolving line of credit which matures on July 15, 2017. Also included with the same bank is a term loan of up to $5.0 million with monthly payments of principal and interest that matures on July 1, 2019. The interest rate on these loans is the LIBOR Borrowing Rate plus 2.75%. In addition to these loans described above, we also have a term loan of up to $3.1 million with monthly payments of principal and interest that matures on November 15, 2014. The interest rate on this term loan is the prime rate plus 0.75% or a floor rate of 4%. As of September 30, 2014, we had $14.0 million outstanding under the revolving line of credit and no outstanding balances under the term loans.</w:t>
      </w:r>
    </w:p>
    <w:p>
      <w:pPr>
        <w:spacing w:after="0" w:line="193"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Our loan and security agreement requires us to maintain certain financial covenants, including a minimum current ratio and minimum annual EBITDA. The agreement also restricts the percentage of deposit with other banks. As of September 30, 2014, we were in compliance with all covenants contained in this agreement.</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September 30, 2014, our China subsidiary had two lines of credit facility with a China bank totaling $15.3 million, one line is U.S. currency based and the other is RMB currency based. As of September 30, 2014, we had a U.S. currency based loan of $1.3 million outstanding under various notes with three-month terms, maturing from October 2014 to December 2014. There were no outstanding balances under the RMB currency based credit facility as of September 30, 2014.</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Taiwan location had an outstanding note payable with a financing company that matures on July 31, 2015.</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December 2013, our Taiwan location entered into two separate one year revolving credit facility agreements with Taiwan banks, for a total of $8.0 million. Borrowings under these credit facilities will be used for general corporate purposes. Our obligations under the credit facilities are secured by our $8.0 million cash deposit in a one-year CD with such banks. The two revolving lines of credit bear interest at a rate (which adjusts quarterly) equal to the Taiwan Time Deposit Interest Rate Index plus 0.41%, currently 1.78%, and at a base rate equal to TAIBOR plus 1%, currently 1.75%. As of September 30, 2014, $7.4 million was outstanding under these credit facilities.</w:t>
      </w:r>
    </w:p>
    <w:p>
      <w:pPr>
        <w:spacing w:after="0" w:line="18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A customary business practice in China is for customers to exchange accounts receivable with notes receivable issued by their bank. From time to time we accept notes receivable from certain of our customers in China. These notes receivable are non-interest bearing and are generally due within nine months, and such notes receivable may be redeemed with the issuing bank prior to maturity at a discount. Historically, we have collected on the notes receivable in full at the time of maturity.</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Frequently, we also direct our banking partners to issue bank acceptance notes payable to our suppliers in China in exchange for accounts payable. Our China subsidiary’s banks issue the notes to vendors and issue payment to vendors upon redemption. We owe the payable balance to the issuing bank. The notes payable are non-interest bearing and are generally due within nine months of issuance. As a condition of the notes payable lending arrangements, we are required to keep a compensating balance at the issuing banks that is a percentage of the total notes payable balance until the notes payable are paid by our China subsidiary. These balances are classified as restricted cash on our consolidated balance sheets. As of September 30, 2014, our restricted cash totaled $0.8 million, and our outstanding bank acceptance notes payable was $2.1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believe that our existing cash and cash equivalents, and cash flows from our operating activities, will be sufficient to meet our anticipated cash needs for the next 12 to 24 months. Our future capital requirements will depend on many factors including our growth rate, the timing and extent of spending to support our research and development efforts, the expansion of our sales and marketing activities, the introduction of new and enhanced products, the expansion of our manufacturing capacity and the continuing market acceptance of our products. In the event that additional financing is required from outside sources, we may not be able to raise it on terms acceptable to us, if at all. If we are unable to raise additional capital when desired, our business, operating results and financial condition would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contractual obligations as of September 30, 2014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5"/>
              </w:rPr>
              <w:t>Payments due by period</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4"/>
              </w:rPr>
              <w:t>More than 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4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2"/>
              </w:rPr>
              <w:t>Less than 1 Year</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b w:val="1"/>
                <w:bCs w:val="1"/>
                <w:color w:val="auto"/>
              </w:rPr>
              <w:t>1-3 Years</w:t>
            </w:r>
          </w:p>
        </w:tc>
        <w:tc>
          <w:tcPr>
            <w:tcW w:w="22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3-5 Years</w:t>
            </w: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Years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080" w:type="dxa"/>
            <w:vAlign w:val="bottom"/>
            <w:tcBorders>
              <w:top w:val="single" w:sz="8" w:color="EEEEEE"/>
            </w:tcBorders>
            <w:shd w:val="clear" w:color="auto" w:fill="EEEEEE"/>
          </w:tcPr>
          <w:p>
            <w:pPr>
              <w:ind w:left="180"/>
              <w:spacing w:after="0" w:line="186" w:lineRule="exact"/>
              <w:rPr>
                <w:sz w:val="20"/>
                <w:szCs w:val="20"/>
                <w:color w:val="auto"/>
              </w:rPr>
            </w:pPr>
            <w:r>
              <w:rPr>
                <w:rFonts w:ascii="Arial" w:cs="Arial" w:eastAsia="Arial" w:hAnsi="Arial"/>
                <w:sz w:val="18"/>
                <w:szCs w:val="18"/>
                <w:color w:val="auto"/>
              </w:rPr>
              <w:t>Bank acceptance payable and long-</w:t>
            </w:r>
          </w:p>
        </w:tc>
        <w:tc>
          <w:tcPr>
            <w:tcW w:w="300" w:type="dxa"/>
            <w:vAlign w:val="bottom"/>
            <w:tcBorders>
              <w:top w:val="single" w:sz="8" w:color="auto"/>
            </w:tcBorders>
            <w:shd w:val="clear" w:color="auto" w:fill="EEEEEE"/>
          </w:tcPr>
          <w:p>
            <w:pPr>
              <w:spacing w:after="0"/>
              <w:rPr>
                <w:sz w:val="16"/>
                <w:szCs w:val="16"/>
                <w:color w:val="auto"/>
              </w:rPr>
            </w:pPr>
          </w:p>
        </w:tc>
        <w:tc>
          <w:tcPr>
            <w:tcW w:w="1080" w:type="dxa"/>
            <w:vAlign w:val="bottom"/>
            <w:tcBorders>
              <w:top w:val="single" w:sz="8" w:color="auto"/>
            </w:tcBorders>
            <w:shd w:val="clear" w:color="auto" w:fill="EEEEEE"/>
          </w:tcPr>
          <w:p>
            <w:pPr>
              <w:spacing w:after="0"/>
              <w:rPr>
                <w:sz w:val="16"/>
                <w:szCs w:val="16"/>
                <w:color w:val="auto"/>
              </w:rPr>
            </w:pPr>
          </w:p>
        </w:tc>
        <w:tc>
          <w:tcPr>
            <w:tcW w:w="180" w:type="dxa"/>
            <w:vAlign w:val="bottom"/>
            <w:tcBorders>
              <w:top w:val="single" w:sz="8" w:color="EEEEEE"/>
            </w:tcBorders>
            <w:shd w:val="clear" w:color="auto" w:fill="EEEEEE"/>
          </w:tcPr>
          <w:p>
            <w:pPr>
              <w:spacing w:after="0"/>
              <w:rPr>
                <w:sz w:val="16"/>
                <w:szCs w:val="16"/>
                <w:color w:val="auto"/>
              </w:rPr>
            </w:pPr>
          </w:p>
        </w:tc>
        <w:tc>
          <w:tcPr>
            <w:tcW w:w="160" w:type="dxa"/>
            <w:vAlign w:val="bottom"/>
            <w:tcBorders>
              <w:top w:val="single" w:sz="8" w:color="EEEEEE"/>
            </w:tcBorders>
            <w:shd w:val="clear" w:color="auto" w:fill="EEEEEE"/>
          </w:tcPr>
          <w:p>
            <w:pPr>
              <w:spacing w:after="0"/>
              <w:rPr>
                <w:sz w:val="16"/>
                <w:szCs w:val="16"/>
                <w:color w:val="auto"/>
              </w:rPr>
            </w:pPr>
          </w:p>
        </w:tc>
        <w:tc>
          <w:tcPr>
            <w:tcW w:w="460" w:type="dxa"/>
            <w:vAlign w:val="bottom"/>
            <w:tcBorders>
              <w:top w:val="single" w:sz="8" w:color="auto"/>
            </w:tcBorders>
            <w:shd w:val="clear" w:color="auto" w:fill="EEEEEE"/>
          </w:tcPr>
          <w:p>
            <w:pPr>
              <w:spacing w:after="0"/>
              <w:rPr>
                <w:sz w:val="16"/>
                <w:szCs w:val="16"/>
                <w:color w:val="auto"/>
              </w:rPr>
            </w:pPr>
          </w:p>
        </w:tc>
        <w:tc>
          <w:tcPr>
            <w:tcW w:w="920" w:type="dxa"/>
            <w:vAlign w:val="bottom"/>
            <w:tcBorders>
              <w:top w:val="single" w:sz="8" w:color="auto"/>
            </w:tcBorders>
            <w:shd w:val="clear" w:color="auto" w:fill="EEEEEE"/>
          </w:tcPr>
          <w:p>
            <w:pPr>
              <w:spacing w:after="0"/>
              <w:rPr>
                <w:sz w:val="16"/>
                <w:szCs w:val="16"/>
                <w:color w:val="auto"/>
              </w:rPr>
            </w:pPr>
          </w:p>
        </w:tc>
        <w:tc>
          <w:tcPr>
            <w:tcW w:w="40" w:type="dxa"/>
            <w:vAlign w:val="bottom"/>
            <w:tcBorders>
              <w:top w:val="single" w:sz="8" w:color="EEEEEE"/>
            </w:tcBorders>
            <w:shd w:val="clear" w:color="auto" w:fill="EEEEEE"/>
          </w:tcPr>
          <w:p>
            <w:pPr>
              <w:spacing w:after="0"/>
              <w:rPr>
                <w:sz w:val="16"/>
                <w:szCs w:val="16"/>
                <w:color w:val="auto"/>
              </w:rPr>
            </w:pPr>
          </w:p>
        </w:tc>
        <w:tc>
          <w:tcPr>
            <w:tcW w:w="320" w:type="dxa"/>
            <w:vAlign w:val="bottom"/>
            <w:tcBorders>
              <w:top w:val="single" w:sz="8" w:color="EEEEEE"/>
            </w:tcBorders>
            <w:shd w:val="clear" w:color="auto" w:fill="EEEEEE"/>
          </w:tcPr>
          <w:p>
            <w:pPr>
              <w:spacing w:after="0"/>
              <w:rPr>
                <w:sz w:val="16"/>
                <w:szCs w:val="16"/>
                <w:color w:val="auto"/>
              </w:rPr>
            </w:pPr>
          </w:p>
        </w:tc>
        <w:tc>
          <w:tcPr>
            <w:tcW w:w="200" w:type="dxa"/>
            <w:vAlign w:val="bottom"/>
            <w:tcBorders>
              <w:top w:val="single" w:sz="8" w:color="auto"/>
            </w:tcBorders>
            <w:shd w:val="clear" w:color="auto" w:fill="EEEEEE"/>
          </w:tcPr>
          <w:p>
            <w:pPr>
              <w:spacing w:after="0"/>
              <w:rPr>
                <w:sz w:val="16"/>
                <w:szCs w:val="16"/>
                <w:color w:val="auto"/>
              </w:rPr>
            </w:pPr>
          </w:p>
        </w:tc>
        <w:tc>
          <w:tcPr>
            <w:tcW w:w="1180" w:type="dxa"/>
            <w:vAlign w:val="bottom"/>
            <w:tcBorders>
              <w:top w:val="single" w:sz="8" w:color="auto"/>
            </w:tcBorders>
            <w:shd w:val="clear" w:color="auto" w:fill="EEEEEE"/>
          </w:tcPr>
          <w:p>
            <w:pPr>
              <w:spacing w:after="0"/>
              <w:rPr>
                <w:sz w:val="16"/>
                <w:szCs w:val="16"/>
                <w:color w:val="auto"/>
              </w:rPr>
            </w:pPr>
          </w:p>
        </w:tc>
        <w:tc>
          <w:tcPr>
            <w:tcW w:w="340" w:type="dxa"/>
            <w:vAlign w:val="bottom"/>
            <w:tcBorders>
              <w:top w:val="single" w:sz="8" w:color="EEEEEE"/>
            </w:tcBorders>
            <w:shd w:val="clear" w:color="auto" w:fill="EEEEEE"/>
          </w:tcPr>
          <w:p>
            <w:pPr>
              <w:spacing w:after="0"/>
              <w:rPr>
                <w:sz w:val="16"/>
                <w:szCs w:val="16"/>
                <w:color w:val="auto"/>
              </w:rPr>
            </w:pPr>
          </w:p>
        </w:tc>
        <w:tc>
          <w:tcPr>
            <w:tcW w:w="220" w:type="dxa"/>
            <w:vAlign w:val="bottom"/>
            <w:tcBorders>
              <w:top w:val="single" w:sz="8" w:color="auto"/>
            </w:tcBorders>
            <w:shd w:val="clear" w:color="auto" w:fill="EEEEEE"/>
          </w:tcPr>
          <w:p>
            <w:pPr>
              <w:spacing w:after="0"/>
              <w:rPr>
                <w:sz w:val="16"/>
                <w:szCs w:val="16"/>
                <w:color w:val="auto"/>
              </w:rPr>
            </w:pPr>
          </w:p>
        </w:tc>
        <w:tc>
          <w:tcPr>
            <w:tcW w:w="1140" w:type="dxa"/>
            <w:vAlign w:val="bottom"/>
            <w:tcBorders>
              <w:top w:val="single" w:sz="8" w:color="auto"/>
            </w:tcBorders>
            <w:shd w:val="clear" w:color="auto" w:fill="EEEEEE"/>
          </w:tcPr>
          <w:p>
            <w:pPr>
              <w:spacing w:after="0"/>
              <w:rPr>
                <w:sz w:val="16"/>
                <w:szCs w:val="16"/>
                <w:color w:val="auto"/>
              </w:rPr>
            </w:pPr>
          </w:p>
        </w:tc>
        <w:tc>
          <w:tcPr>
            <w:tcW w:w="320" w:type="dxa"/>
            <w:vAlign w:val="bottom"/>
            <w:tcBorders>
              <w:top w:val="single" w:sz="8" w:color="EEEEEE"/>
            </w:tcBorders>
            <w:shd w:val="clear" w:color="auto" w:fill="EEEEEE"/>
          </w:tcPr>
          <w:p>
            <w:pPr>
              <w:spacing w:after="0"/>
              <w:rPr>
                <w:sz w:val="16"/>
                <w:szCs w:val="16"/>
                <w:color w:val="auto"/>
              </w:rPr>
            </w:pPr>
          </w:p>
        </w:tc>
        <w:tc>
          <w:tcPr>
            <w:tcW w:w="140" w:type="dxa"/>
            <w:vAlign w:val="bottom"/>
            <w:tcBorders>
              <w:top w:val="single" w:sz="8" w:color="auto"/>
            </w:tcBorders>
            <w:shd w:val="clear" w:color="auto" w:fill="EEEEEE"/>
          </w:tcPr>
          <w:p>
            <w:pPr>
              <w:spacing w:after="0"/>
              <w:rPr>
                <w:sz w:val="16"/>
                <w:szCs w:val="16"/>
                <w:color w:val="auto"/>
              </w:rPr>
            </w:pPr>
          </w:p>
        </w:tc>
        <w:tc>
          <w:tcPr>
            <w:tcW w:w="1220" w:type="dxa"/>
            <w:vAlign w:val="bottom"/>
            <w:tcBorders>
              <w:top w:val="single" w:sz="8" w:color="auto"/>
            </w:tcBorders>
            <w:shd w:val="clear" w:color="auto" w:fill="EEEEEE"/>
          </w:tcPr>
          <w:p>
            <w:pPr>
              <w:spacing w:after="0"/>
              <w:rPr>
                <w:sz w:val="16"/>
                <w:szCs w:val="16"/>
                <w:color w:val="auto"/>
              </w:rPr>
            </w:pPr>
          </w:p>
        </w:tc>
        <w:tc>
          <w:tcPr>
            <w:tcW w:w="100" w:type="dxa"/>
            <w:vAlign w:val="bottom"/>
            <w:tcBorders>
              <w:top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080" w:type="dxa"/>
            <w:vAlign w:val="bottom"/>
            <w:shd w:val="clear" w:color="auto" w:fill="EEEEEE"/>
          </w:tcPr>
          <w:p>
            <w:pPr>
              <w:ind w:left="320"/>
              <w:spacing w:after="0" w:line="266" w:lineRule="exact"/>
              <w:rPr>
                <w:sz w:val="20"/>
                <w:szCs w:val="20"/>
                <w:color w:val="auto"/>
              </w:rPr>
            </w:pPr>
            <w:r>
              <w:rPr>
                <w:rFonts w:ascii="Arial" w:cs="Arial" w:eastAsia="Arial" w:hAnsi="Arial"/>
                <w:sz w:val="18"/>
                <w:szCs w:val="18"/>
                <w:color w:val="auto"/>
              </w:rPr>
              <w:t>term debt</w:t>
            </w:r>
            <w:r>
              <w:rPr>
                <w:rFonts w:ascii="Arial" w:cs="Arial" w:eastAsia="Arial" w:hAnsi="Arial"/>
                <w:sz w:val="30"/>
                <w:szCs w:val="30"/>
                <w:color w:val="auto"/>
                <w:vertAlign w:val="superscript"/>
              </w:rPr>
              <w:t>(1)</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25,507</w:t>
            </w:r>
          </w:p>
        </w:tc>
        <w:tc>
          <w:tcPr>
            <w:tcW w:w="62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11,507</w:t>
            </w:r>
          </w:p>
        </w:tc>
        <w:tc>
          <w:tcPr>
            <w:tcW w:w="5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14,000</w:t>
            </w:r>
          </w:p>
        </w:tc>
        <w:tc>
          <w:tcPr>
            <w:tcW w:w="220" w:type="dxa"/>
            <w:vAlign w:val="bottom"/>
            <w:shd w:val="clear" w:color="auto" w:fill="EEEEEE"/>
          </w:tcPr>
          <w:p>
            <w:pPr>
              <w:spacing w:after="0"/>
              <w:rPr>
                <w:sz w:val="23"/>
                <w:szCs w:val="23"/>
                <w:color w:val="auto"/>
              </w:rPr>
            </w:pPr>
          </w:p>
        </w:tc>
        <w:tc>
          <w:tcPr>
            <w:tcW w:w="1140" w:type="dxa"/>
            <w:vAlign w:val="bottom"/>
            <w:shd w:val="clear" w:color="auto" w:fill="EEEEEE"/>
          </w:tcPr>
          <w:p>
            <w:pPr>
              <w:spacing w:after="0"/>
              <w:rPr>
                <w:sz w:val="23"/>
                <w:szCs w:val="23"/>
                <w:color w:val="auto"/>
              </w:rPr>
            </w:pPr>
          </w:p>
        </w:tc>
        <w:tc>
          <w:tcPr>
            <w:tcW w:w="320" w:type="dxa"/>
            <w:vAlign w:val="bottom"/>
            <w:shd w:val="clear" w:color="auto" w:fill="EEEEEE"/>
          </w:tcPr>
          <w:p>
            <w:pPr>
              <w:spacing w:after="0"/>
              <w:rPr>
                <w:sz w:val="23"/>
                <w:szCs w:val="23"/>
                <w:color w:val="auto"/>
              </w:rPr>
            </w:pPr>
          </w:p>
        </w:tc>
        <w:tc>
          <w:tcPr>
            <w:tcW w:w="140" w:type="dxa"/>
            <w:vAlign w:val="bottom"/>
            <w:shd w:val="clear" w:color="auto" w:fill="EEEEEE"/>
          </w:tcPr>
          <w:p>
            <w:pPr>
              <w:spacing w:after="0"/>
              <w:rPr>
                <w:sz w:val="23"/>
                <w:szCs w:val="23"/>
                <w:color w:val="auto"/>
              </w:rPr>
            </w:pPr>
          </w:p>
        </w:tc>
        <w:tc>
          <w:tcPr>
            <w:tcW w:w="1220" w:type="dxa"/>
            <w:vAlign w:val="bottom"/>
            <w:shd w:val="clear" w:color="auto" w:fill="EEEEEE"/>
          </w:tcPr>
          <w:p>
            <w:pPr>
              <w:spacing w:after="0"/>
              <w:rPr>
                <w:sz w:val="23"/>
                <w:szCs w:val="23"/>
                <w:color w:val="auto"/>
              </w:rPr>
            </w:pPr>
          </w:p>
        </w:tc>
        <w:tc>
          <w:tcPr>
            <w:tcW w:w="100" w:type="dxa"/>
            <w:vAlign w:val="bottom"/>
            <w:shd w:val="clear" w:color="auto" w:fill="EEEEEE"/>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80" w:type="dxa"/>
            <w:vAlign w:val="bottom"/>
          </w:tcPr>
          <w:p>
            <w:pPr>
              <w:ind w:left="180"/>
              <w:spacing w:after="0" w:line="256" w:lineRule="exact"/>
              <w:rPr>
                <w:sz w:val="20"/>
                <w:szCs w:val="20"/>
                <w:color w:val="auto"/>
              </w:rPr>
            </w:pPr>
            <w:r>
              <w:rPr>
                <w:rFonts w:ascii="Arial" w:cs="Arial" w:eastAsia="Arial" w:hAnsi="Arial"/>
                <w:sz w:val="18"/>
                <w:szCs w:val="18"/>
                <w:color w:val="auto"/>
              </w:rPr>
              <w:t>Operating leases</w:t>
            </w:r>
            <w:r>
              <w:rPr>
                <w:rFonts w:ascii="Arial" w:cs="Arial" w:eastAsia="Arial" w:hAnsi="Arial"/>
                <w:sz w:val="29"/>
                <w:szCs w:val="29"/>
                <w:color w:val="auto"/>
                <w:vertAlign w:val="superscript"/>
              </w:rPr>
              <w:t>(2)</w:t>
            </w:r>
          </w:p>
        </w:tc>
        <w:tc>
          <w:tcPr>
            <w:tcW w:w="30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15,354</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921</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1,806</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1,803</w:t>
            </w:r>
          </w:p>
        </w:tc>
        <w:tc>
          <w:tcPr>
            <w:tcW w:w="140" w:type="dxa"/>
            <w:vAlign w:val="bottom"/>
          </w:tcPr>
          <w:p>
            <w:pPr>
              <w:spacing w:after="0"/>
              <w:rPr>
                <w:sz w:val="22"/>
                <w:szCs w:val="2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10,824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46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Total commitments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40,861</w:t>
            </w:r>
          </w:p>
        </w:tc>
        <w:tc>
          <w:tcPr>
            <w:tcW w:w="6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12,428</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15,806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1,803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10,824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20" w:name="page21"/>
    <w:bookmarkEnd w:id="20"/>
    <w:p>
      <w:pPr>
        <w:ind w:left="580" w:right="60" w:hanging="572"/>
        <w:spacing w:after="0" w:line="258"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several loan and security agreements in China, Taiwan and the U.S. that provide various credit facilities, including lines of credit, term loans and bank acceptance notes. The amount presented in the table represents the principal portion of the obligations.</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entered into various non-cancellable operating lease agreements for our offices in Taiwan and the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months ended September 30, 2014, we did not, and we do not currently,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In our annual report on Form 10-K for the year ended December 31, 2013, we identified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under long-term construction contracts; allowance for doubtful accounts; inventory reserves; impairment of long-lived assets (excluding goodwill and other indefinite-lived intangible assets); goodwill and other indefinite-lived intangible assets; purchase price allocation of acquisitions; service and product warranties;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ind w:right="60" w:firstLine="441"/>
        <w:spacing w:after="0" w:line="312" w:lineRule="auto"/>
        <w:rPr>
          <w:sz w:val="20"/>
          <w:szCs w:val="20"/>
          <w:color w:val="auto"/>
        </w:rPr>
      </w:pPr>
      <w:r>
        <w:rPr>
          <w:rFonts w:ascii="Arial" w:cs="Arial" w:eastAsia="Arial" w:hAnsi="Arial"/>
          <w:sz w:val="16"/>
          <w:szCs w:val="16"/>
          <w:color w:val="auto"/>
        </w:rPr>
        <w:t>The Jumpstart Our Business Startups Act of 2012, or JOBS Act, contains provisions that, among other things, reduce certain reporting requirements for qualifying public companies. As defined in the JOBS Act, a public company whose initial public offering of common equity securities occurred after December 8, 2011 and whose annual gross revenues are less than $1.0 billion will, in general, qualify as an “emerging growth company” until the earliest of:</w:t>
      </w:r>
    </w:p>
    <w:p>
      <w:pPr>
        <w:spacing w:after="0" w:line="147" w:lineRule="exact"/>
        <w:rPr>
          <w:sz w:val="20"/>
          <w:szCs w:val="20"/>
          <w:color w:val="auto"/>
        </w:rPr>
      </w:pPr>
    </w:p>
    <w:p>
      <w:pPr>
        <w:ind w:left="1100" w:hanging="322"/>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last day of its fiscal year following the fifth anniversary of the date of its initial public offering of common equity securities;</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last day of its fiscal year in which it has annual gross revenue of $1.0 billion or more;</w:t>
      </w:r>
    </w:p>
    <w:p>
      <w:pPr>
        <w:spacing w:after="0" w:line="225" w:lineRule="exact"/>
        <w:rPr>
          <w:rFonts w:ascii="Arial" w:cs="Arial" w:eastAsia="Arial" w:hAnsi="Arial"/>
          <w:sz w:val="18"/>
          <w:szCs w:val="18"/>
          <w:color w:val="auto"/>
        </w:rPr>
      </w:pPr>
    </w:p>
    <w:p>
      <w:pPr>
        <w:ind w:left="1100" w:hanging="322"/>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 on which it has, during the previous three-year period, issued more than $1.0 billion in non-convertible debt; and</w:t>
      </w:r>
    </w:p>
    <w:p>
      <w:pPr>
        <w:spacing w:after="0" w:line="225" w:lineRule="exact"/>
        <w:rPr>
          <w:rFonts w:ascii="Arial" w:cs="Arial" w:eastAsia="Arial" w:hAnsi="Arial"/>
          <w:sz w:val="18"/>
          <w:szCs w:val="18"/>
          <w:color w:val="auto"/>
        </w:rPr>
      </w:pPr>
    </w:p>
    <w:p>
      <w:pPr>
        <w:ind w:left="1100" w:right="160" w:hanging="322"/>
        <w:spacing w:after="0" w:line="279" w:lineRule="auto"/>
        <w:tabs>
          <w:tab w:leader="none" w:pos="11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date on which it is deemed to be a “large accelerated filer,” which will occur at such time as the company (a) has an aggregate worldwide market value of common equity securities held by non-affiliates of $700 million or more as of the last business day of its most recently completed second fiscal quarter, (b) has been required to file annual and quarterly reports under the Exchange Act for a period of at least 12 months and (c) has filed at least one annual report pursuant to the Securities Act of 1934, as amended.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this definition, we are an “emerging growth company” and could remain one until as late as December 31, 2018.</w:t>
      </w:r>
    </w:p>
    <w:p>
      <w:pPr>
        <w:spacing w:after="0" w:line="225"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As an “emerging growth company” we have chosen to rely on such exemptions and are therefore not required to, among other things, (i) provide an auditor’s attestation report on our system of internal controls over financial reporting pursuant to Section 404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or PCAOB,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Market risk represents the risk of loss that may impact our financial statements through adverse changes in interest rates, foreign exchange rates and inflation. Our market risk exposure results primarily from fluctuations in foreign exchange rates. We manage our exposure to these market risks through our regular operating and financing activities. We have not historically attempted to reduce our market risks through hedging instruments; we may, however, do so in the future.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cash equivalents consisted primarily of money market funds, and interest and non-interest bearing bank deposits. Our primary objective is to maintain the security of our principal balances and ensure liquidity. We attempt to maximize the return on these balances without significantly increasing risk, but have little opportunity to do so given the short-term nature of our investments and current interest rate environments. We do not anticipate any material effect on our cash balances or investment portfolio due to fluctuations in interest rates.</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are exposed to market risk due to the possibility of changing interest rates associated with certain debt instruments. As of September 30, 2014, our U.S. debt bears a variable rate of interest that is based on LIBOR. The debt subject to variable rates is subject to fluctuation in the LIBOR. As of September 30, 2014, the interest on our China debt varied based on when each term loan is drawn. Once drawn the interest remains fixed for the term of that draw. As of September 30, 2014, we had not hedged our interest rate risk.</w:t>
      </w:r>
    </w:p>
    <w:p>
      <w:pPr>
        <w:spacing w:after="0" w:line="18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With respect to our interest expense for the nine months ended September 30, 2014, an increase of 1.0% in each of our interest rates would have resulted in an increase of $0.2 million in our interest expense for such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Rates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operate on an international basis with a portion of our revenue and expenses being incurred in currencies other than the U.S. dollar. Fluctuations in the value of these foreign currencies in which we conduct our business relative to the U.S. dollar affects our results and will cause U.S. dollar translation of such currencies to vary from one period to another. We cannot predict the effect of exchange rate fluctuations upon our future operating results. The effect on our results of operations from currency fluctuations is reduced, because we have revenue and expenses in each of these foreign currencies. We maintain certain assets, including certain bank accounts, accounts receivables, land and building, in RMB and the NT dollar, which are sensitive to foreign currency exchange rate fluctuations. Certain of our current and long-term liabilities are denominated in these currencies. Additionally, the value of the RMB against the U.S. dollar and other currencies fluctuates and is affected by, among other things, changes in political and economic conditions in China. Under China’s current exchange rate regime, the RMB may appreciate or depreciate significantly in value against the U.S. dollar in the medium to long term.</w:t>
      </w:r>
    </w:p>
    <w:p>
      <w:pPr>
        <w:spacing w:after="0" w:line="166"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We use the U.S. dollar as our functional and reporting currency for our financial statements. All transactions in currencies other than the U.S. dollar during the year are re-measured at the exchange rates prevailing on the respective relevant dates of such transactions. Monetary assets and liabilities existing at the balance sheet date denominated in currencies other than the U.S. dollar are re-measured at the exchange rates prevailing on such date. Exchange differences are recorded in our consolidated income statement. The financial records of our China subsidiary and our Taiwan location are maintained in their respective local currencies, the RMB and the NT dollar, which are the functional currencies for our China subsidiary and our Taiwan location, respectively. Assets and liabilities are translated at the exchange rates at the balance sheet date, equity accounts are translated at historical exchange rates and revenues, expenses, gains and losses are translated using the average rate for the then current period using a monthly average. Translation adjustments are reported as cumulative translation adjustments and are shown as a separate component of accumulated other comprehensive income in our statement of stockholders’ equity (deficit) and comprehensive income. Transaction gains and losses are recognized in our statements of operations in other income (expense).</w:t>
      </w:r>
    </w:p>
    <w:p>
      <w:pPr>
        <w:spacing w:after="0" w:line="16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nine months ended September 30, 2014, 4.3% of our revenue was denominated in RMB and no revenue was denominated in NT dollars. In the nine months ended September 30, 2014, 15.8% of our operating expenses were denominated in RMB and 29.8% of our operating expenses were denominated in NT dollars. Accordingly, fluctuations in exchange rates directly affect our cost of goods sold and net income, and have a significant impact on our operating margins. If exchange rates for RMB and NT dollars for U.S. dollars were 1% higher during the nine months ended September 30, 2014, our operating expenses would have been higher by $0.1 million.</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As of September 30, 2014, we held the U.S. dollar equivalent of approximately $11.2 million in RMB and $1.2 million in NT dollars, including cash and cash equivalents. With respect to our cash and cash equivalents as of September 30, 2014, a 1.0% change in the exchange rates between the RMB and the U.S. dollar or the NT dollar and the U.S. dollar would result in an immaterial change in our total cash and cash equivalents.</w:t>
      </w:r>
    </w:p>
    <w:p>
      <w:pPr>
        <w:spacing w:after="0" w:line="16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During the nine months ended September 30, 2014 and 2013, we recognized a $0.2 million foreign currency transaction loss and an immaterial loss,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believe that the relatively low rate of inflation in the U.S. over the past few years has not had a significant impact on our sales or operating results or on the prices of raw materials. However, an increase in the rate of inflation in the future may have an adverse effect on our levels of gross profit if material prices rise and if sales prices for our products do not proportionately increase. Changes in the proportion of our operations in China or Taiwan may result in the rate of inflation having a more significant impact on our operating results in the future.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2" w:name="page23"/>
    <w:bookmarkEnd w:id="22"/>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78"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September 30, 2014,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2014, we were not involved in any material pending legal proceedings.</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 factors and all other information contained in this Quarterly Report on Form 10-Q, including our condensed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Business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7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generate much of our revenue from a limited number of customers. In 2011, 2012 and 2013 and the nine months ended September 30, 2014, our top ten customers represented 76.6%, 77.6% 76.9% and 86.9% of our revenue, respectively. In 2013, Cisco Systems, Inc. represented 21.8% of our revenue, Amazon represented 18.2% of our revenue and Biogenomics Corp., a distributor, represented 8.7% of our total revenue. For the nine months ended September 30, 2014, a data center customer represented 49.5% of our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If our key customers do not continue to purchase our existing products or fail to purchase additional products from us, our revenue would decline and our results of operations would be adversely affected.</w:t>
      </w:r>
    </w:p>
    <w:p>
      <w:pPr>
        <w:spacing w:after="0" w:line="17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customers do not qualify our products for use on a timely basis, our results of operations may suffer.</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Prior to the sale of new products, our customers typically require us to obtain their approval and qualify our products for use in their applications. Additionally, new customers often audit our manufacturing facilities and perform other evaluations during this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6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Some of these unrecoverable expenses for cancelled or unutilized custom design projects may be significant.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7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Our ability to successfully qualify and scale capacity for new technologies and products is important to our ability to grow our business and market presence, and we may invest a significant amount to scale our capacity to meet potential demand from customers for our new technologies and products. If we are unable to qualify and sell any of our new products in volume, on time, or at all, our results of operations may be adversely affected.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Customer demand is difficult to forecast accurately and, as a result, we may be unable to match production with customer demand.</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18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are subject to the cyclical nature of the markets in which we compete and any future downturn will likely reduce demand for our products and revenue.</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each of our target markets, including the CATV market, our sales depend on the aggregate capital expenditures of service providers as they build out and upgrade their network infrastructure. These markets are highly cyclical and characterized by constant and rapid technological change, price erosion, evolving standards and wide fluctuations in product supply and demand. In the past, these markets have experienced significant downturns, often connected with, or in anticipation of, the maturation of product cycles. These downturns have been characterized by diminished product demand, production overcapacity, high inventory levels and accelerated erosion of average selling prices. Our historical results of operations have been subject to these cyclical fluctuations, and we may experience substantial period-to-period fluctuations in our future results of operations. Any future downturn in any of the markets in which we compete could significantly reduce the demand for our products and therefore may result in a significant reduction in our revenue. Our revenue and results of operations may be materially and adversely affected in the future due to changes in demand from individual customers or cyclical changes in any of the markets utilizing our products. We may not be able to accurately predict these cyclical fluctuations and the impact of these fluctuations may have on our revenue and operating results.</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7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54"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Although the length of our product development cycle varies widely by product and customer, it may take 18 months or longer before we receive our first order. As a result, we may incur significant expenses long before customers accept and purchase our products.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development delays may result from numerous factors, including:</w:t>
      </w:r>
    </w:p>
    <w:p>
      <w:pPr>
        <w:spacing w:after="0" w:line="225" w:lineRule="exact"/>
        <w:rPr>
          <w:sz w:val="20"/>
          <w:szCs w:val="20"/>
          <w:color w:val="auto"/>
        </w:rPr>
      </w:pPr>
    </w:p>
    <w:p>
      <w:pPr>
        <w:ind w:left="1380" w:hanging="319"/>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modification of product specifications and customer requirements;</w:t>
      </w:r>
    </w:p>
    <w:p>
      <w:pPr>
        <w:spacing w:after="0" w:line="225" w:lineRule="exact"/>
        <w:rPr>
          <w:rFonts w:ascii="Arial" w:cs="Arial" w:eastAsia="Arial" w:hAnsi="Arial"/>
          <w:sz w:val="18"/>
          <w:szCs w:val="18"/>
          <w:color w:val="auto"/>
        </w:rPr>
      </w:pPr>
    </w:p>
    <w:p>
      <w:pPr>
        <w:ind w:left="1380" w:hanging="319"/>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unanticipated engineering complexities;</w:t>
      </w:r>
    </w:p>
    <w:p>
      <w:pPr>
        <w:spacing w:after="0" w:line="225" w:lineRule="exact"/>
        <w:rPr>
          <w:rFonts w:ascii="Arial" w:cs="Arial" w:eastAsia="Arial" w:hAnsi="Arial"/>
          <w:sz w:val="18"/>
          <w:szCs w:val="18"/>
          <w:color w:val="auto"/>
        </w:rPr>
      </w:pPr>
    </w:p>
    <w:p>
      <w:pPr>
        <w:ind w:left="1380" w:hanging="319"/>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reallocating engineering resources and overcoming resource limitations; and</w:t>
      </w:r>
    </w:p>
    <w:p>
      <w:pPr>
        <w:spacing w:after="0" w:line="225" w:lineRule="exact"/>
        <w:rPr>
          <w:rFonts w:ascii="Arial" w:cs="Arial" w:eastAsia="Arial" w:hAnsi="Arial"/>
          <w:sz w:val="18"/>
          <w:szCs w:val="18"/>
          <w:color w:val="auto"/>
        </w:rPr>
      </w:pPr>
    </w:p>
    <w:p>
      <w:pPr>
        <w:ind w:left="1380" w:hanging="319"/>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rapidly changing technology or competitive product requirements.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introduction of new products by us or our competitors could result in a slowdown in demand for our existing products and could result in a write-down in the value of our inventory. We have in the past experienced a slowdown in demand for existing products and delays in new product development, and such delays will likely occur in the future. To the extent we experience product development delays for any reason or we fail to qualify our products and obtain their approval for use, which we refer to as a design win, our competitive position would be adversely affected and our ability to grow our revenue would be impaired.</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ind w:right="60" w:firstLine="648"/>
        <w:spacing w:after="0" w:line="273" w:lineRule="auto"/>
        <w:rPr>
          <w:sz w:val="20"/>
          <w:szCs w:val="20"/>
          <w:color w:val="auto"/>
        </w:rPr>
      </w:pPr>
      <w:r>
        <w:rPr>
          <w:rFonts w:ascii="Arial" w:cs="Arial" w:eastAsia="Arial" w:hAnsi="Arial"/>
          <w:sz w:val="17"/>
          <w:szCs w:val="17"/>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CATV market does not continue to develop as we expect, or if there is any downturn in this market, our business would be adversely affected.</w:t>
      </w:r>
    </w:p>
    <w:p>
      <w:pPr>
        <w:spacing w:after="0" w:line="24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Historically, we have generated much of our revenue from the CATV market. In 2011, 2012, 2013 and the nine months ended September 30, 2014, the CATV market represented 81.4%, 78.6%, 60.4% and 34.7% of our revenue, respectively. In the CATV market, we are relying on expected increasing demand for bandwidth-intensive services and applications such as on-demand television programs, high-definition television channels, or HDTV, social media, peer-to-peer file sharing and online video creation and viewing from network service providers. Without network and bandwidth growth, the need for our products will not increase and may decline, adversely affecting our financial condition and results of operations. Although demand for broadband access is increasing, network and bandwidth growth may be limited by several factors, including an uncertain regulatory environment, high infrastructure costs to purchase and install equipment and uncertainty as to which competing content delivery solution, such as telecommunications, wireless or satellite, will gain the most widespread acceptance. CATV network operators may reduce or forego equipment purchases in anticipation of the availability of next generation DOCSIS 3.1 solutions that are expected to be available soon, which may adversely affect our sales. If the trend of outsourcing for the design and manufacture of CATV equipment does not continue, or continues at a slower pace than currently expected, our customers’ demand for our design and manufacturing services may not grow as quickly as expected. If expectations for the growth of the CATV market are not realized, our financial condition or results of operations will be adversely affected. In February 2014, Time Warner and Comcast, the two largest CATV providers in the U.S., announced that they agreed to merge. We are unable to predict what impact this transaction, if completed, would have on the CATV market or on our business. In addition, if the CATV market is adversely impacted, whether due to competitive pressure from telecommunication service providers, regulatory changes, or otherwise, our business would be adversely affected. We may not be able to offset any potential decline in revenue from the CATV market with revenue from new customers in other markets.</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limited operating history in the FTTH and internet data center markets, and our business could be harmed if these markets do not develop as we expect.</w:t>
      </w:r>
    </w:p>
    <w:p>
      <w:pPr>
        <w:spacing w:after="0" w:line="17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For the nine months ended September 30, 2014, we generated 52.7% and 8.4% of our revenue from the data center and FTTH markets, respectively. We have only recently begun offering products to the FTTH market. Our business in these markets is dependent on the deployment of our optical components, modules and subassemblies. In the FTTH market, we are relying on increasing demand for bandwidth-intensive services and telecommunications service providers’ acceptance and deployment of WDM-PON as a technology supporting 1 gigabit per second service to the home. In the internet data center market, we are relying on the emergence of new internet data center providers and their adoption of open internet data center architectures that use a mix of systems and components from a variety of vendors, including non-traditional equipment vendors. Without network and bandwidth growth and adoption of our solutions by operators in these markets, we will not be able to sell our products in these markets in high volume or at our targeted margins, which would adversely affect our financial condition and results of operations. For example, WDM-PON technology may not be adopted by equipment and service providers in the FTTH market as rapidly as we expect or in the volumes we need to achieve acceptable margins, and internet data centers may elect to use larger vendors that require internet data center operators to purchase the optical modules for their systems from such larger vendors. Also, internet data centers may not expand as much or as quickly as expected and any slowdown in expansion could adversely impact our business and growth prospects. Network and bandwidth growth may be limited by several factors, including an uncertain regulatory environment, high infrastructure costs to purchase and install equipment and uncertainty as to which competing content delivery solution, such as CATV, will gain the most widespread acceptance. In addition, as we enter new markets or expand our product offerings in existing markets, our margins may be adversely affected due to competition in those markets and commoditization of competing products. If our expectations for the growth of these markets are not realized, our financial condition or results of operations will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encounter manufacturing problems, we may lose sales and damage our customer relationships.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may experience delays, disruptions or quality control problems in our manufacturing operations. These and other factors may cause less than acceptable yields at our wafer fabrication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an MBE fabrication process to make our lasers, rather than Metal Organic Chemical Vapor Deposition, or MOCVD, the technique most commonly used in optical manufacturing by communications optics vendors, and our Molecular Beam Epitaxy, or MBE, fabrication process relies on custom-manufactured equipment. If our MBE fabrication facility in Sugar Land, Texas were to be damaged or destroyed for any reason, our manufacturing process would be severely disrupted. Any such manufacturing problems would likely delay product shipments to our customers, which would negatively affect our sales, competitive position and reputation. We may also experience delays in production, typically in February, during the Chinese New Year holiday when our facilities in China and Taiwan are closed.</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Increasing costs and shifts in product mix may adversely impact our gross margins.</w:t>
      </w:r>
    </w:p>
    <w:p>
      <w:pPr>
        <w:spacing w:after="0" w:line="22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a high fixed cost base due to our vertically integrated business model, including the fact that 938 of our employees as of December 31, 2013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may continue in the future.</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a history of losses and we may incur additional losses in future periods. In the years ended December 31, 2011, 2012 and 2013, we experienced net losses of $5.3 million, $0.9 million and $1.4 million, respectively. As of December 31, 2013 and September 30, 2014, our accumulated deficit was $83.3 million and $81.2 million, respectively. These losses were due to expenditures made to expand our business, including expenditures for hiring additional research and development, and sales and marketing personnel, and expenditures to expand and maintain our manufacturing facilities and research and development operations. We expect to continue to make significant expenditures related to our business, including expenditures for hiring additional research and development, and sales and marketing personnel, and expenditures to maintain and expand our manufacturing facilities and research and development operations. In addition, we have incurred significant additional time demands and legal, accounting and other expenses since we became a public company in September 2013. Our management and other personnel devote a substantial amount of time to complying with the applicable rules and requirements of being a public company.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financial results may vary significantly from quarter-to-quarter due to a number of factors, which may lead to volatility in our stock price.</w:t>
      </w:r>
    </w:p>
    <w:p>
      <w:pPr>
        <w:spacing w:after="0" w:line="237"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Our quarterly revenue and operating results have varied in the past and will likely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181" w:lineRule="exact"/>
        <w:rPr>
          <w:sz w:val="20"/>
          <w:szCs w:val="20"/>
          <w:color w:val="auto"/>
        </w:rPr>
      </w:pPr>
    </w:p>
    <w:p>
      <w:pPr>
        <w:ind w:left="1380" w:hanging="319"/>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size and mix of sales of our products;</w:t>
      </w:r>
    </w:p>
    <w:p>
      <w:pPr>
        <w:spacing w:after="0" w:line="23" w:lineRule="exact"/>
        <w:rPr>
          <w:rFonts w:ascii="Arial" w:cs="Arial" w:eastAsia="Arial" w:hAnsi="Arial"/>
          <w:sz w:val="18"/>
          <w:szCs w:val="18"/>
          <w:color w:val="auto"/>
        </w:rPr>
      </w:pPr>
    </w:p>
    <w:p>
      <w:pPr>
        <w:ind w:left="1380" w:hanging="319"/>
        <w:spacing w:after="0"/>
        <w:tabs>
          <w:tab w:leader="none" w:pos="1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fluctuations in demand for our products, including the increase, decrease, rescheduling or cancellation of significant customer orders;</w:t>
      </w:r>
    </w:p>
    <w:p>
      <w:pPr>
        <w:spacing w:after="0" w:line="20" w:lineRule="exact"/>
        <w:rPr>
          <w:rFonts w:ascii="Arial" w:cs="Arial" w:eastAsia="Arial" w:hAnsi="Arial"/>
          <w:sz w:val="17"/>
          <w:szCs w:val="17"/>
          <w:color w:val="auto"/>
        </w:rPr>
      </w:pPr>
    </w:p>
    <w:p>
      <w:pPr>
        <w:ind w:left="1380" w:right="400" w:hanging="319"/>
        <w:spacing w:after="0" w:line="250" w:lineRule="auto"/>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to our customers in a timely and cost-effective manner and that meet customer requirements;</w:t>
      </w:r>
    </w:p>
    <w:p>
      <w:pPr>
        <w:ind w:left="1380" w:hanging="319"/>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product introductions and enhancements by us or our competitors;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gain or loss of key customers;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at which our present and potential customers and end users adopt our technologies;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length and variability of the sales cycles of our products;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different capital expenditure and budget cycles for our customers, affecting the timing of their spending for our products;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stability in the areas of the world in which we operate;</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accounting rules;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evolving and unpredictable nature of the markets for products incorporating our solutions; and</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conditions and changes in such conditions specific to our target markets.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ind w:firstLine="648"/>
        <w:spacing w:after="0" w:line="255" w:lineRule="auto"/>
        <w:rPr>
          <w:sz w:val="20"/>
          <w:szCs w:val="20"/>
          <w:color w:val="auto"/>
        </w:rPr>
      </w:pPr>
      <w:r>
        <w:rPr>
          <w:rFonts w:ascii="Arial" w:cs="Arial" w:eastAsia="Arial" w:hAnsi="Arial"/>
          <w:sz w:val="18"/>
          <w:szCs w:val="18"/>
          <w:color w:val="auto"/>
        </w:rPr>
        <w:t>The foregoing factors are difficult to forecast, and these, as well as other factors, could materially adversely affect our quarterly and annual operating results. In addition, a significant amount of our operating expenses is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which could negatively impact our results of operations and market share.</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markets into which we sell our products are highly competitive. Our competitors range from large, international companies offering a wide range of products to smaller companies specializing in niche markets. Current and potential competitors may have substantially greater name recognition, financial, marketing, research and manufacturing resources than we do, and there can be no assurance that our current and future competitors will not be more successful than us in specific product lines or markets. Some of our competitors may also have better-established relationships with our current or potential customers. Some of our competitors have more resources to develop or acquire new products and technologies and create market awareness for their products and technologies. In addition, some of our competitors have the financial resources to offer competitive products at below-market pricing levels that could prevent us from competing effectively and result in a loss of sales or market share or cause us to lower prices for our products. In recent years, there has been consolidation in our industry and we expect such consolidation to continue. Consolidation involving our competitors could result in even more intense competition. Network equipment manufacturers, who are our customers, and network service providers may decide to manufacture the optical subsystems incorporated into their network systems in-house instead of outsourcing such products to companies such as us. We also encounter potential customers that, because of existing relationships with our competitors, are committed to the products offered by our competitors.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key personnel to develop and maintain our technology and manage our business in a rapidly changing market.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Chief Strategy Officer, Senior Vice President of Network Equipment Module Business Unit, Senior Vice President of Optical Module Division and Asia General Manager, may resign at any time. We do not have key person life insurance policies covering any of our employees. To implement our business plan, we also intend to hire additional employees, particularly in the areas of engineering, manufacturing and sales.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suppliers and any supply interruption could have an adverse effect on our business.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w:t>
      </w:r>
    </w:p>
    <w:p>
      <w:pPr>
        <w:spacing w:after="0" w:line="18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We depend upon outside contract manufacturers for a portion of the manufacturing process for some of our products.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Almost all of our products are manufactured internally. However we also rely upon manufacturers in China, Taiwan and other Asia locations to provide back-end manufacturing and produce the finished portion of a few of our products. Our reliance on a contract manufacturer for these products makes us vulnerable to possible capacity constraints and reduced control over delivery schedules, manufacturing yields, manufacturing quality/controls and costs. If one of our contract manufacturers is unable to meet all of our customer demand in a timely fashion, this could have a material adverse effect on the revenue from our products. If the contract manufacturer for one of our product were unable or unwilling to manufacture such produce in required volumes and at high quality levels or to continue our existing supply arrangement, we would have to identify, qualify and select an acceptable alternative contract manufacturer or move these manufacturing operations to our internal manufacturing facilities. An alternative contract manufacturer may not be available to us when needed or may not be in a position to satisfy our quality or production requirements on commercially reasonable terms, including price. Any significant interruption in manufacturing our products would require us to reduce our supply of products to our customers, which in turn, would reduce our revenue, harm our relationships with the customer of these products and cause us to forego potential revenue opportunities.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could contain defects that may cause us to incur significant costs or result in a loss of customers.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As a result, we could incur significant costs to repair or replace defective products under warranty, particularly when such failures occur in installed systems.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While we have not experienced material failures in the past, we will continue to face this risk going forward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variety of risks associated with our international sales and operations.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currently derive, and expect to continue to derive, a significant portion of our revenue from sales to international customers. In 2011, 2012 and 2013, 52.2%, 55.7% and 41.0% of our revenue was derived from sales that occurred outside of North America, respectively. In addition, a significant portion of our manufacturing operations is based in Ningbo, China and Taipei, Taiwan. Our international revenue and operations are subject to a number of material risks, including:</w:t>
      </w:r>
    </w:p>
    <w:p>
      <w:pPr>
        <w:spacing w:after="0" w:line="187" w:lineRule="exact"/>
        <w:rPr>
          <w:sz w:val="20"/>
          <w:szCs w:val="20"/>
          <w:color w:val="auto"/>
        </w:rPr>
      </w:pPr>
    </w:p>
    <w:p>
      <w:pPr>
        <w:ind w:left="1380" w:hanging="319"/>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staffing, managing and supporting operations in more than one country;</w:t>
      </w:r>
    </w:p>
    <w:p>
      <w:pPr>
        <w:spacing w:after="0" w:line="23" w:lineRule="exact"/>
        <w:rPr>
          <w:rFonts w:ascii="Arial" w:cs="Arial" w:eastAsia="Arial" w:hAnsi="Arial"/>
          <w:sz w:val="18"/>
          <w:szCs w:val="18"/>
          <w:color w:val="auto"/>
        </w:rPr>
      </w:pPr>
    </w:p>
    <w:p>
      <w:pPr>
        <w:ind w:left="1380" w:hanging="319"/>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foreign legal systems;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fewer legal protections for intellectual property in foreign jurisdictions;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and U.S. taxation issues and international trade barriers;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difficulties in obtaining any necessary governmental authorizations for the export of our products to certain foreign jurisdictions;</w:t>
      </w:r>
    </w:p>
    <w:p>
      <w:pPr>
        <w:spacing w:after="0" w:line="20" w:lineRule="exact"/>
        <w:rPr>
          <w:rFonts w:ascii="Arial" w:cs="Arial" w:eastAsia="Arial" w:hAnsi="Arial"/>
          <w:sz w:val="17"/>
          <w:szCs w:val="17"/>
          <w:color w:val="auto"/>
        </w:rPr>
      </w:pPr>
    </w:p>
    <w:p>
      <w:pPr>
        <w:ind w:left="1380" w:hanging="319"/>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foreign economies;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 and travel restrictions;</w:t>
      </w:r>
    </w:p>
    <w:p>
      <w:pPr>
        <w:spacing w:after="0" w:line="9" w:lineRule="exact"/>
        <w:rPr>
          <w:rFonts w:ascii="Arial" w:cs="Arial" w:eastAsia="Arial" w:hAnsi="Arial"/>
          <w:sz w:val="18"/>
          <w:szCs w:val="18"/>
          <w:color w:val="auto"/>
        </w:rPr>
      </w:pPr>
    </w:p>
    <w:p>
      <w:pPr>
        <w:ind w:left="1380" w:right="240" w:hanging="319"/>
        <w:spacing w:after="0" w:line="250"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domestic and international economic or political changes, hostilities and other disruptions in regions where we currently operate or may operate in the future;</w:t>
      </w:r>
    </w:p>
    <w:p>
      <w:pPr>
        <w:ind w:left="1380" w:right="320" w:hanging="319"/>
        <w:spacing w:after="0" w:line="250"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 and</w:t>
      </w:r>
    </w:p>
    <w:p>
      <w:pPr>
        <w:ind w:left="1380" w:hanging="319"/>
        <w:spacing w:after="0"/>
        <w:tabs>
          <w:tab w:leader="none" w:pos="1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different and changing legal and regulatory requirements in the jurisdictions in which we currently operate or may operate in the future.</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9" w:name="page30"/>
    <w:bookmarkEnd w:id="29"/>
    <w:p>
      <w:pPr>
        <w:ind w:right="60" w:firstLine="648"/>
        <w:spacing w:after="0" w:line="257" w:lineRule="auto"/>
        <w:rPr>
          <w:sz w:val="20"/>
          <w:szCs w:val="20"/>
          <w:color w:val="auto"/>
        </w:rPr>
      </w:pPr>
      <w:r>
        <w:rPr>
          <w:rFonts w:ascii="Arial" w:cs="Arial" w:eastAsia="Arial" w:hAnsi="Arial"/>
          <w:sz w:val="18"/>
          <w:szCs w:val="18"/>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 economic, political, legal, and social events and developments in China and Taiwan. China does not recognize the sovereignty of Taiwan. Although significant economic and cultural relations have been established during recent years between China and Taiwan, relations have often been strained and the government of China has previously threatened to use military force to gain control over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In some instances, we rely on third parties to assist in selling our products, and the failure of those parties to perform as expected could reduce our future revenue.</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Although we primarily sell our products through direct sales, we also sell our products to some of our customers through third party sales representatives and distributors. Many of such third parties also market and sell products from our competitors. Our third party sales representatives and distributors may terminate their relationships with us at any time, or with short notice. Our future performance will also depend, in part, on our ability to attract additional third party sales representatives and distributors that will be able to market and support our products effectively, especially in markets in which we have not previously distributed our products. If our current third party sales representatives and distributors fail to perform as expected, our revenue and results of operations could be harmed.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manage our growth effectively may adversely affect our financial condition and results of operations.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Successful implementation of our business plan in our target markets requires effective planning and management. Our production volumes are increasing significantly and we have announced plans to increase our production capacity in response to demand for our products, adding both personnel as well as expanding our physical manufacturing facilities. We currently operate facilities in Sugar Land, Texas, Ningbo, China and Taipei, Taiwan. We currently manufacture our lasers using a proprietary process and customized equipment located only in our Sugar Land, Texas facility, and it will be costly to duplicate that facility, to scale our laser manufacturing capacity or to mitigate the risks associated with operating a single facility. The challenges of managing our geographically dispersed operations have increased and will continue to increase the demand on our management systems and resources. Moreover, we are continuing to improve our financial and managerial controls, reporting systems and procedures. Any failure to manage our expansion and the resulting demands on our management systems and resources effectively may adversely affect our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agreements contain restrictive covenants that may adversely affect our ability to conduct our business.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have lending arrangements with several financial institutions, including loan agreements with East West Bank in the U.S., and our Taiwan location and China subsidiary have several lines of credit arrangements. Our loan agreements governing our long-term debt obligations in the U.S. contain certain financial and operating covenants that limit our management’s discretion with respect to certain business matters. Among other things, these covenants require us to maintain certain financial ratios and restrict our ability to incur additional debt, create liens or other encumbrances, change the nature of our business, pay dividends, sell or otherwise dispose of assets and merge or consolidate with other entities. 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U.S. loan agreements with East West Bank are secured by substantially all of our U.S. assets.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ind w:left="1380" w:hanging="319"/>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expansion of research and development;</w:t>
      </w:r>
    </w:p>
    <w:p>
      <w:pPr>
        <w:spacing w:after="0" w:line="23" w:lineRule="exact"/>
        <w:rPr>
          <w:rFonts w:ascii="Arial" w:cs="Arial" w:eastAsia="Arial" w:hAnsi="Arial"/>
          <w:sz w:val="18"/>
          <w:szCs w:val="18"/>
          <w:color w:val="auto"/>
        </w:rPr>
      </w:pPr>
    </w:p>
    <w:p>
      <w:pPr>
        <w:ind w:left="1380" w:hanging="319"/>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expansion of manufacturing capabilities;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hiring of additional technical, sales and other personnel; and</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 of complementary businesses.</w:t>
      </w:r>
    </w:p>
    <w:p>
      <w:pPr>
        <w:spacing w:after="0" w:line="21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we may be unable to meet the demands of existing and prospective customers, adversely affecting our sales and market opportunities and consequently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may adversely affect our financial condition and results of operations.</w:t>
      </w:r>
    </w:p>
    <w:p>
      <w:pPr>
        <w:spacing w:after="0" w:line="225"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81" w:lineRule="exact"/>
        <w:rPr>
          <w:sz w:val="20"/>
          <w:szCs w:val="20"/>
          <w:color w:val="auto"/>
        </w:rPr>
      </w:pPr>
    </w:p>
    <w:p>
      <w:pPr>
        <w:ind w:left="1380" w:hanging="319"/>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integrating the acquired business;</w:t>
      </w:r>
    </w:p>
    <w:p>
      <w:pPr>
        <w:spacing w:after="0" w:line="23" w:lineRule="exact"/>
        <w:rPr>
          <w:rFonts w:ascii="Arial" w:cs="Arial" w:eastAsia="Arial" w:hAnsi="Arial"/>
          <w:sz w:val="18"/>
          <w:szCs w:val="18"/>
          <w:color w:val="auto"/>
        </w:rPr>
      </w:pPr>
    </w:p>
    <w:p>
      <w:pPr>
        <w:ind w:left="1380" w:hanging="319"/>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costs, capital expenditures or liabilities or changes related to research in progress and product development;</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our existing business;</w:t>
      </w:r>
    </w:p>
    <w:p>
      <w:pPr>
        <w:spacing w:after="0" w:line="9" w:lineRule="exact"/>
        <w:rPr>
          <w:rFonts w:ascii="Arial" w:cs="Arial" w:eastAsia="Arial" w:hAnsi="Arial"/>
          <w:sz w:val="18"/>
          <w:szCs w:val="18"/>
          <w:color w:val="auto"/>
        </w:rPr>
      </w:pPr>
    </w:p>
    <w:p>
      <w:pPr>
        <w:ind w:left="1380" w:right="680" w:hanging="319"/>
        <w:spacing w:after="0" w:line="250"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integrating the business relationships with suppliers and customers of the acquired business with our existing business relationships;</w:t>
      </w:r>
    </w:p>
    <w:p>
      <w:pPr>
        <w:ind w:left="1380" w:hanging="319"/>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have little or no prior experience; and</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organizations.</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third-party security breaches, employee error, theft or misuse, malfeasance, power disruptions, natural disasters or accidents could cause a breach of data security, loss of intellectual property and critical data and the release and misappropriation of sensitive competitive information and partner, customer, and employee personal data. Any of these events could harm our competitive position, result in a loss of customer confidence, cause us to incur significant costs to remedy any damages and ultimately materially adversely affect our business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results of operations may be subject to volatility as a result of exposure to fluctuations in currency exchange rates.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have significant foreign currency exposure, and are affected by fluctuations among the U.S. dollar, the Chinese renminbi, or RMB, and the New Taiwan dollar, or NT dollar, because a substantial portion of our business is conducted in China and Taiwan. Our sales, raw materials, components and capital expenditures are denominated in U.S. dollars, RMB and NT dollars in varying amounts.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1" w:name="page32"/>
    <w:bookmarkEnd w:id="31"/>
    <w:p>
      <w:pPr>
        <w:ind w:right="40" w:firstLine="648"/>
        <w:spacing w:after="0" w:line="290" w:lineRule="auto"/>
        <w:rPr>
          <w:sz w:val="20"/>
          <w:szCs w:val="20"/>
          <w:color w:val="auto"/>
        </w:rPr>
      </w:pPr>
      <w:r>
        <w:rPr>
          <w:rFonts w:ascii="Arial" w:cs="Arial" w:eastAsia="Arial" w:hAnsi="Arial"/>
          <w:sz w:val="16"/>
          <w:szCs w:val="16"/>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While the international reaction to the RMB revaluation has generally been positive, there remains significant international pressure on the Chinese government to adopt an even more flexible currency policy, which may result in a further and more significant appreciation of the RMB against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166"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Our sales in Europe are denominated in U.S. dollars and fluctuations in the Euro or our customers’ other local currencies relative to the U.S. dollar may impact our customers and affect our financial performance. If our customers’ local currencies weaken against the U.S. dollar, we may need to lower our prices to remain competitive in our international markets which could have a material adverse effect on our margins. If our customers’ local currencies strengthen against the U.S. dollar and if the local sales prices cannot be raised due to competitive pressures, we will experience a deterioration of our margins.</w:t>
      </w:r>
    </w:p>
    <w:p>
      <w:pPr>
        <w:spacing w:after="0" w:line="15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or other catastrophic events could harm our operations.</w:t>
      </w:r>
    </w:p>
    <w:p>
      <w:pPr>
        <w:spacing w:after="0" w:line="225"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70"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 registrations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registrations in the U.S. or other foreign countries may limit our ability to protect the intellectual property rights that these applications and registrations intended to cover.</w:t>
      </w:r>
    </w:p>
    <w:p>
      <w:pPr>
        <w:spacing w:after="0" w:line="16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9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or misappropriated, our business, results of operations or financial condition could be materially harmed.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ind w:right="100" w:firstLine="648"/>
        <w:spacing w:after="0" w:line="257" w:lineRule="auto"/>
        <w:rPr>
          <w:sz w:val="20"/>
          <w:szCs w:val="20"/>
          <w:color w:val="auto"/>
        </w:rPr>
      </w:pPr>
      <w:r>
        <w:rPr>
          <w:rFonts w:ascii="Arial" w:cs="Arial" w:eastAsia="Arial" w:hAnsi="Arial"/>
          <w:sz w:val="18"/>
          <w:szCs w:val="18"/>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93" w:lineRule="exact"/>
        <w:rPr>
          <w:sz w:val="20"/>
          <w:szCs w:val="20"/>
          <w:color w:val="auto"/>
        </w:rPr>
      </w:pPr>
    </w:p>
    <w:p>
      <w:pPr>
        <w:ind w:left="1380" w:right="40" w:hanging="319"/>
        <w:spacing w:after="0" w:line="258"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from a third party claiming infringement a license to the relevant technology, which may not be available on reasonable terms, or at all;</w:t>
      </w:r>
    </w:p>
    <w:p>
      <w:pPr>
        <w:spacing w:after="0" w:line="1" w:lineRule="exact"/>
        <w:rPr>
          <w:rFonts w:ascii="Arial" w:cs="Arial" w:eastAsia="Arial" w:hAnsi="Arial"/>
          <w:sz w:val="18"/>
          <w:szCs w:val="18"/>
          <w:color w:val="auto"/>
        </w:rPr>
      </w:pPr>
    </w:p>
    <w:p>
      <w:pPr>
        <w:ind w:left="1380" w:hanging="319"/>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use the challenged intellectual property;</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substantial monetary damages; or</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 significant resources to redesign the products that use the technology and to develop non-infringing technology.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fail to obtain the right to use the intellectual property rights of others that are necessary to operate our business, and to protect their intellectual property, our business and results of operations will be adversely affected.</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From time to time we may choose to or be required to license technology or intellectual property from third parties in connection with the development of our products. We cannot assure you that third party licenses will be available to us on commercially reasonable terms, if at all. Generally, a license, if granted, would include payments of up-front fees, ongoing royalties or both. These payments or other terms could have a significant adverse impact on our results of operations. Our inability to obtain a necessary third party license required for our product offerings or to develop new products and product enhancements could require us to substitute technology of lower quality or performance standards, or of greater cost, either of which could adversely affect our business. If we are not able to obtain licenses from third parties, if necessary, then we may also be subject to litigation to defend against infringement claims from these third parties. Our competitors may be able to obtain licenses or cross-license their technology on better terms than we can, which could put us at a competitive disadvantage.</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in the future, the accuracy and timing of our financial reporting may be adversely affected.</w:t>
      </w:r>
    </w:p>
    <w:p>
      <w:pPr>
        <w:spacing w:after="0" w:line="170"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We have not performed an evaluation of our internal control over financial reporting, such as would be required by Section 404 of the Sarbanes-Oxley Act, nor have we engaged our independent registered public accounting firm to perform an audit of our internal control over financial reporting. In addition, for so long as we qualify as an “emerging growth company” under the JOBS Act, which may be up to five years following our initial public offering in September 2013, we will not have to provide an auditor’s attestation report on our internal controls in future annual reports on Form 10-K as otherwise required by Section 404(b) of the Sarbanes-Oxley Act. During the course of any evaluation, documentation or attestation, we or our independent registered public accounting firm may identify weaknesses and deficiencies that we may not otherwise identify in a timely manner or at all as a result of the deferred implementation of this additional level of review.</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3" w:name="page34"/>
    <w:bookmarkEnd w:id="33"/>
    <w:p>
      <w:pPr>
        <w:ind w:firstLine="648"/>
        <w:spacing w:after="0" w:line="291" w:lineRule="auto"/>
        <w:rPr>
          <w:sz w:val="20"/>
          <w:szCs w:val="20"/>
          <w:color w:val="auto"/>
        </w:rPr>
      </w:pPr>
      <w:r>
        <w:rPr>
          <w:rFonts w:ascii="Arial" w:cs="Arial" w:eastAsia="Arial" w:hAnsi="Arial"/>
          <w:sz w:val="16"/>
          <w:szCs w:val="16"/>
          <w:color w:val="auto"/>
        </w:rPr>
        <w:t>We have implemented internal controls that we believe provide reasonable assurance that we will be able to avoid accounting errors or material weaknesses in future periods. However, our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 If we are unable to implement and maintain effective internal control over financial reporting, our ability to accurately and timely report our financial results could be adversely impacted. This could result in late filings of our annual and quarterly reports under the Securities Exchange Act of 1934, or the Exchange Act, restatements of our consolidated financial statements, a decline in our stock price, suspension or delisting of our common stock by NASDAQ, or other material adverse effects on our business, reputation, results of operations or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and certain other tax attributes may be limited.</w:t>
      </w:r>
    </w:p>
    <w:p>
      <w:pPr>
        <w:spacing w:after="0" w:line="225"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As of December 31, 2013, we had U.S. accumulated net operating losses, or NOLs, of approximately $65.7 million for U.S. federal income tax purposes. We also had research and development credit carry forwards totaling $1.6 million as of December 31, 2013, which begin to expire in 2020. Under Section 382 of the Internal Revenue Code of 1986, as amended, if a corporation undergoes an “ownership change,” the corporation’s ability to use its pre-change NOLs, capital loss carry forwards and other pre-change tax attributes to offset its post-change income may be limited. An ownership change is generally defined as a greater than 50% change in equity ownership by value over a 3-year period. Based upon an analysis of our equity ownership, we have experienced an ownership change and our NOL carry forwards are limited in dollar amount. As of December 31, 2013, of the total accumulated NOL, only $40.3 million is available for utilization in 2014 and thereafter to shelter federal taxable income. Each year after 2014, an additional $0.3 million is added to the total available NOL, until a maximum of $43.9 million is reached. The amount of NOL available each year may decrease by the amount of NOL utilized and may increase by the amount of any operating losses incurred. Should we experience additional ownership changes, our NOL carry forwards may be further limited.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may adversely affect our results of operation and our business.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are subject to income taxes in the U.S. and other foreign jurisdictions, including China. We base our tax position on the anticipated nature and conduct of our business and our understanding of the tax laws of the countries in which we have assets or conduct activities. Our tax position may be reviewed or challenged by tax authorities. Moreover, the tax laws currently in effect may change, and such changes may have retroactive effect. We have inter-company arrangements in place providing for administrative and financing services and transfer pricing, which involve a significant degree of judgment and are often subject to close review by tax authorities. The tax authorities may challenge our positions related to these agreements. If the tax authorities successfully challenge our positions, our effective tax rate may increase, adversely affecting our results of operation and our business.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manufacturing operations are subject to environmental regulation that could limit our growth or impose substantial costs, adversely affecting our financial condition and results of operations.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properties, operations and products are subject to the environmental laws and regulations of the jurisdictions in which we operate and sell products. These laws and regulations govern, among other things, air emissions, wastewater discharges, the management and disposal of hazardous materials, the contamination of soil and groundwater, employee health and safety and the content, performance, packaging and disposal of products. Our failure to comply with current and future environmental laws and regulations, or the identification of contamination for which we are liable, could subject us to substantial costs, including fines, clean-up costs, third-party property damages or personal injury claims, and make significant investments to upgrade our facilities or curtail our operations.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operated, as well as at properties we will own or operate in the future, and properties to which we have sent hazardous substances, whether or not we caused the contamination.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adversely affecting our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i w:val="1"/>
          <w:iCs w:val="1"/>
          <w:color w:val="auto"/>
        </w:rPr>
        <w:t>We are exposed to risks and increased expenses and business risk as a result of Restriction on Hazardous Substances, or RoHS directives.</w:t>
      </w:r>
    </w:p>
    <w:p>
      <w:pPr>
        <w:spacing w:after="0" w:line="23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Following the lead of the European Union, or EU, various governmental agencies have either already put into place or are planning to introduce regulations that regulate the permissible levels of hazardous substances in produces sold in various regions of the world. For example, the RoHS directive for EU took effect on July 1, 2006. The labeling provisions of similar legislation in China went into effect on March 1, 2007. Consequently, many suppliers of products sold into the EU have required their suppliers to be compliant with the new directive. Many of our customers have adopted this approach and have required our full compliance. Though we have devoted a significant amount of resources and effort in planning and executing our RoHS program, it is possible that some of our products might be incompatible with such regulations. In such events, we could experience the following consequences: loss of revenue, damages reputation, diversion of resources, monetary penalties, and legal action.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the U.S. Foreign Corrupt Practices Act could subject us to penalties and other adverse consequences.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are subject to the U.S. Foreign Corrupt Practices Act which generally prohibits U.S. companies from engaging in bribery or other prohibited payments to foreign officials for the purpose of obtaining or retaining business. In addition, we are required to maintain records that accurately and fairly represent our transactions and have an adequate system of internal accounting controls. Foreign companies, including some that may compete with us, may not be subject to these prohibitions, and therefore may have a competitive advantage over us. If we are not successful in implementing and maintaining adequate preventative measures, we may be responsible for acts of our employees or other agents engaging in such conduct. We could suffer severe penalties and other consequences that may have a material adverse effect on our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248"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A limited number of our products are exported by license under the Export Control Classification Number, or ECCN, of 5A991. Export Control Classification requirements are dependent upon an item’s technical characteristics, the destination, the end-use, and the end-user, and other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 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Rapidly changing standards and regulations could make our products obsolete, which would cause our revenue and results of operations to suffer.</w:t>
      </w:r>
    </w:p>
    <w:p>
      <w:pPr>
        <w:spacing w:after="0" w:line="248"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We design our products to conform to regulations established by governments and to standards set by industry standards bodies worldwide, such as the American National Standards Institute, the European Telecommunications Standards Institute, the International Telecommunications Union and the Institute of Electrical and Electronics Engineers, Inc. Various industry organizations are currently considering whether and to what extent to create standards applicable to our products. Because certain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demands and new regulations related to conflict-free minerals may adversely affect us.</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Dodd-Frank Wall Street Reform and Consumer Protection Act imposes new disclosure requirements regarding the use of “conflict” minerals mined from the Democratic Republic of the Congo and adjoining countries in products, whether or not these products are manufactured by third parties. These new requirements could affect the pricing, sourcing and availability of minerals used in the manufacture of our products. Certain of our customers are requiring additional information from us regarding the origin of our raw materials, and complying with these customer requirements may cause us to incur additional costs, such as costs related to determining the origin of any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China</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ind w:right="280" w:firstLine="648"/>
        <w:spacing w:after="0" w:line="257" w:lineRule="auto"/>
        <w:rPr>
          <w:sz w:val="20"/>
          <w:szCs w:val="20"/>
          <w:color w:val="auto"/>
        </w:rPr>
      </w:pPr>
      <w:r>
        <w:rPr>
          <w:rFonts w:ascii="Arial" w:cs="Arial" w:eastAsia="Arial" w:hAnsi="Arial"/>
          <w:sz w:val="18"/>
          <w:szCs w:val="18"/>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18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7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termination and expiration or unavailability of our preferential tax treatments in China may have a material adverse effect on our operating results.</w:t>
      </w:r>
    </w:p>
    <w:p>
      <w:pPr>
        <w:spacing w:after="0" w:line="26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Prior to January 1, 2008, entities established in China were generally subject to a 30% state and 3% local enterprise income tax rate. In accordance with the China Income Tax Law for Enterprises with Foreign Investment and Foreign Enterprises, effective through December 31, 2007, our China subsidiary enjoyed preferential income tax rates. Effective January 1, 2008, the China Enterprise Income Tax Law, or the EIT law, imposes a single uniform income tax rate of 25% on all Chinese enterprises, including FIEs, and eliminates or modifies most of the tax exemptions, reductions and preferential treatment available under the previous tax laws and regulations. As a result, our China subsidiary may be subject to the uniform income tax rate of 25% unless we are able to qualify for preferential status. Currently, we have qualified for a preferential 15% tax rate that is available for new and high technology enterprises. The preferential rate applies to calendar years 2012, 2013 and 2014. Any future increase in the enterprise income tax rate applicable to us or the expiration or other limitation of preferential tax rates available to us could increase our tax liabilities and reduce our net income.</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China regulation of loans and direct investment by offshore holding companies to China entities may delay or prevent us from making loans or additional capital contributions to our China subsidiary.</w:t>
      </w:r>
    </w:p>
    <w:p>
      <w:pPr>
        <w:spacing w:after="0" w:line="170"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Any loans that we wish to make to our China subsidiary are subject to China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8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China subsidiary is subject to Chinese labor laws and regulations and Chinese labor laws may increase our operating costs in China.</w:t>
      </w:r>
    </w:p>
    <w:p>
      <w:pPr>
        <w:spacing w:after="0" w:line="23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China Labor Contract Law, together with its implementing rules, provides increased rights to Chinese employees. Previously, an employer had discretionary power in deciding the probation period, not to exceed six months. Additionally, the employment contract could only be terminated for cause. Under these rules,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new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These laws may increase our costs and reduce our flexibility.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ind w:right="680"/>
        <w:spacing w:after="0" w:line="277" w:lineRule="auto"/>
        <w:rPr>
          <w:sz w:val="20"/>
          <w:szCs w:val="20"/>
          <w:color w:val="auto"/>
        </w:rPr>
      </w:pPr>
      <w:r>
        <w:rPr>
          <w:rFonts w:ascii="Arial" w:cs="Arial" w:eastAsia="Arial" w:hAnsi="Arial"/>
          <w:sz w:val="18"/>
          <w:szCs w:val="18"/>
          <w:b w:val="1"/>
          <w:bCs w:val="1"/>
          <w:i w:val="1"/>
          <w:iCs w:val="1"/>
          <w:color w:val="auto"/>
        </w:rPr>
        <w:t>The turnover of direct labor in manufacturing industries in China is high, which could adversely affect our production, shipments and results of operations.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Employee turnover of direct labor in the manufacturing sector in China is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our labor costs in China may adversely affect our business and our profitability.</w:t>
      </w:r>
    </w:p>
    <w:p>
      <w:pPr>
        <w:spacing w:after="0" w:line="225" w:lineRule="exact"/>
        <w:rPr>
          <w:sz w:val="20"/>
          <w:szCs w:val="20"/>
          <w:color w:val="auto"/>
        </w:rPr>
      </w:pPr>
    </w:p>
    <w:p>
      <w:pPr>
        <w:ind w:right="580" w:firstLine="648"/>
        <w:spacing w:after="0" w:line="264" w:lineRule="auto"/>
        <w:rPr>
          <w:sz w:val="20"/>
          <w:szCs w:val="20"/>
          <w:color w:val="auto"/>
        </w:rPr>
      </w:pPr>
      <w:r>
        <w:rPr>
          <w:rFonts w:ascii="Arial" w:cs="Arial" w:eastAsia="Arial" w:hAnsi="Arial"/>
          <w:sz w:val="18"/>
          <w:szCs w:val="18"/>
          <w:color w:val="auto"/>
        </w:rPr>
        <w:t>A significant portion of our workforce is located in China. Labor costs in China have been increasing recently due to labor unrest, strikes and changes in employment laws. If labor costs in China continue to increase, our costs will increase. If we are not able to pass these increases on to our customers, our business, profitability and results of operations may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establishing and maintaining adequate management and financial controls over our China operations.</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Businesses in China have historically not adopted a western style of management and financial reporting concepts and practices, which includes strong corporate governance, internal controls and computer, financial and other control systems. Moreover, familiarity with U.S. GAAP principles and reporting procedures is less common in China. As a consequence, we may have difficulty finding accounting personnel experienced with U.S. GAAP, and we may have difficulty training and integrating our China-based accounting staff with our U.S.-based finance organization. As a result of these factors, we may experience difficulty in establishing management and financial controls over our China operations. These difficulties include collecting financial data and preparing financial statements, books of account and corporate records and instituting business practices that meet U.S. public-company reporting requirements. We may, in turn, experience difficulties in implementing and maintaining adequate internal controls as required under Section 404 of the Sarbanes-Oxley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could decline due to the large number of outstanding shares of our common stock eligible for future sale.</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Sales of substantial amounts of our common stock in the public market, or the perception that these sales could occur, could cause the market price of our common stock to decline. These sales could also make it more difficult for us to sell equity or equity-related securities in the future at a time and price that we deem appropriate.</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As of November 3, 2014, we had 14,816,055 shares of common stock outstanding. Shares beneficially owned by our affiliates and employees are subject to volume restrictions under Rules 144 and 701 under the Securities Act of 1933, as amended, or the Securities Act, various vesting agreements, our insider trading policy and any applicable 10b5-1 trading plan.</w:t>
      </w:r>
    </w:p>
    <w:p>
      <w:pPr>
        <w:spacing w:after="0" w:line="181"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In addition, we have registered 2,600,000 shares of our common stock that we have issued or may issue under our equity plans (1,459,275 shares of which were issued and outstanding as of September 30, 2014). These shares can be freely sold in the public market upon issuance, subject in some cases to volume and other restrictions under Rules 144 and 701 under the Securities Act, and various vesting agreements. In addition, some of our employees, including some of our named executive officers, have entered into 10b5-1 trading plans regarding sales of shares of our common stock. If any of these additional shares are sold, or if it is perceived that they will be sold, in the public market, the trading price of our common stock could decline.</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increased expenses and administrative burdens as a public company, which could have a material adverse effect on our operations and financial results.</w:t>
      </w:r>
    </w:p>
    <w:p>
      <w:pPr>
        <w:spacing w:after="0" w:line="170"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We face increased legal, accounting, administrative and other costs and expenses as a public company that we did not incur as a private company, and greater expenditures may be necessary in the future with the advent of new laws, regulations and stock exchange listing requirements pertaining to public companies. These increased costs will require us to divert a significant amount of money that we could otherwise use to expand our business and achieve our strategic objectives. The Sarbanes-Oxley Act, including the requirements of Section 404, as well as rules and regulations subsequently implemented by the SEC, the Public Company Accounting Oversight Board and the NASDAQ Global Market, impose additional reporting and other obligations on public companies. Compliance with public company requirements has increased our costs and made some activities more time-consuming. For example, we have created new board committees and adopted new internal controls and disclosure controls and procedures. In addition, we will have incurred and will continue to incur additional expenses associated with our SEC reporting requirements. Furthermore, if we identify any issues in complying with those requirements (for example, if we or our auditors identify a material weakness or significant deficiency in our internal control over financial reporting), we could incur additional costs rectifying those issues, and the existence of those issues could adversely affect us, our reputation or investor perceptions of us. Advocacy efforts by stockholders and third parties may also prompt additional changes in governance and reporting requirements, which could further increase our costs.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7" w:name="page38"/>
    <w:bookmarkEnd w:id="37"/>
    <w:p>
      <w:pPr>
        <w:ind w:right="24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currently do not plan to declare or pay dividends on shares of our common stock in the foreseeable future. In addition, the terms of our loan and security agreement with East West Bank restrict our ability to pay dividends.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charter documents, stock incentive plans and Delaware law could prevent a takeover that stockholders consider favorable and could also reduce the market price of our stock.</w:t>
      </w:r>
    </w:p>
    <w:p>
      <w:pPr>
        <w:spacing w:after="0" w:line="170"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addition, the provisions of Section 203 of the Delaware General Corporate Law governs us.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 See “Description of Capital Stock—Preferred stock” and “Description of Capital Stock— Anti-takeover effects of Delaware law.”</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Some provisions of our named executive officers’ agreements regarding change of control or separation of service contain obligations for us to make separation payments to them upon their termination.</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Certain provisions contained in our employment agreements with our named executive officers regarding change of control or separation of service may obligate us to make lump sum severance payments and related payments upon the termination of their employment with us, other than such executive officer’s resignation without good reason or our termination of their employment as a result of their disability or for cause. In the event we are required to make these separation payments, it could have a material adverse effect on our results of operations for the fiscal period in which such payments are made.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be volatile.</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market price of our common stock has been and is likely to be subject to wide fluctuations in response to, among other things, the risk factors described in this section of this Annual Report on Form 10-K, and other factors beyond our control, such as fluctuations in the valuation of companies perceived by investors to be comparable to us.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As an “emerging growth company” within the meaning of the Securities Act, we will utilize certain modified disclosure requirements, and we cannot be certain if these reduced requirements will make our common stock less attractive to investors.</w:t>
      </w:r>
    </w:p>
    <w:p>
      <w:pPr>
        <w:spacing w:after="0" w:line="170"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We are an emerging growth company within the meaning of the rules under the Securities Act. We have in this Annual Report on Form 10-K utilized, and we plan in future filings with the SEC to continue to utilize, the modified disclosure requirements available to emerging growth companies, including reduced disclosure about our executive compensation and omission of compensation discussion and analysis, and an exemption from the requirement of holding a nonbinding advisory vote on executive compensation and an exemption from the requirement that outside auditors attest as to our internal control over financial reporting. As a result, our stockholders may not have access to certain information they may deem important.</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ind w:right="100" w:firstLine="648"/>
        <w:spacing w:after="0" w:line="257" w:lineRule="auto"/>
        <w:rPr>
          <w:sz w:val="20"/>
          <w:szCs w:val="20"/>
          <w:color w:val="auto"/>
        </w:rPr>
      </w:pPr>
      <w:r>
        <w:rPr>
          <w:rFonts w:ascii="Arial" w:cs="Arial" w:eastAsia="Arial" w:hAnsi="Arial"/>
          <w:sz w:val="18"/>
          <w:szCs w:val="18"/>
          <w:color w:val="auto"/>
        </w:rPr>
        <w:t>In addition, Section 107 of the JOBS Act also provides that an emerging growth company can utilize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utilize this extended transition period. Our financial statements may therefore not be comparable to those of companies that comply with such new or revised accounting standards as they become applicable to public companies.</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could remain an “emerging growth company” for up to five years, or until the earliest of (i) the last day of the first fiscal year in which our annual gross revenue exceed $1 billion, (ii)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(iii) the date on which we have issued more than $1 billion in non-convertible debt during the preceding three-year period.</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7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trading market for our common stock will depend on the research and reports that research analysts publish about us and our business. The price of our common stock could decline if one or more research analysts downgrade our common stock or if those analysts issue other unfavorable commentary or cease publishing reports about us or our business. If one or more of the research analysts ceases coverage of our company or fails to publish reports on us regularly, demand for our stock could decrease, which could cause our stock price or trading volume to decline.</w:t>
      </w:r>
    </w:p>
    <w:p>
      <w:pPr>
        <w:spacing w:after="0" w:line="15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660" w:right="8860" w:hanging="652"/>
        <w:spacing w:after="0" w:line="501" w:lineRule="auto"/>
        <w:tabs>
          <w:tab w:leader="none" w:pos="2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Unregistered Securities None.</w:t>
      </w: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 of Proceeds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September 25, 2013, our registration statement on Form S-1 (File No. 333-190591) for our initial public offering was declared effective by the Securities and Exchange Commission. The offering commenced on September 26, 2013. We sold 3,600,000 shares of our common stock at a price to the public of $10.00 per share and the transaction was completed on October 1, 2013. Raymond James &amp; Associates, Inc. and Piper Jaffray &amp; Co. were the managing underwriters. We received net proceeds of $31.5 million after deducting underwriting discounts and commissions of $2.5 million and other offering expenses of approximately $2.0 million.</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On March 25, 2014, we closed our follow-on public offering of 3,000,000 shares of common stock, at a price of $24.25 per share before underwriting discounts and commissions. We sold 1,575,235 of such shares and existing stockholders sold an aggregate of 1,424,765 of such shares. On March 28, 2014 we sold an additional 450,000 shares as a result of the underwriters’ exercise of their option to purchase additional shares. Raymond James &amp; Associates, Inc. and Piper Jaffray &amp; Co. were the managing underwriters. The follow-on public offering generated net proceeds to us of $45.6 million, after deducting underwriting discounts and commissions of $2.7 million and other offering expenses of approximately $0.8 million. We did not receive any proceeds from the sale of shares by the selling stockholders in the follow-on public offering.</w:t>
      </w:r>
    </w:p>
    <w:p>
      <w:pPr>
        <w:spacing w:after="0" w:line="178"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With the net proceeds of our initial public offering and our follow-on public offering, we invested $29.6 million for the purchase of machinery and equipment and intangible assets and $18.3 million for inventory to support our new product development efforts and repaid $17.8 million of outstanding debt.</w:t>
      </w:r>
    </w:p>
    <w:p>
      <w:pPr>
        <w:spacing w:after="0" w:line="12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There have been no material changes in the use of proceeds from our IPO and our follow-on public offering from that described in our registration statements filed with the SEC.</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on page 42.</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77" w:right="1440" w:bottom="1440" w:gutter="0" w:footer="0" w:header="0"/>
        </w:sectPr>
      </w:pPr>
    </w:p>
    <w:bookmarkStart w:id="40" w:name="page41"/>
    <w:bookmarkEnd w:id="40"/>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4980" w:type="dxa"/>
            <w:vAlign w:val="bottom"/>
            <w:gridSpan w:val="3"/>
          </w:tcPr>
          <w:p>
            <w:pPr>
              <w:ind w:left="1860"/>
              <w:spacing w:after="0"/>
              <w:rPr>
                <w:sz w:val="20"/>
                <w:szCs w:val="20"/>
                <w:color w:val="auto"/>
              </w:rPr>
            </w:pPr>
            <w:r>
              <w:rPr>
                <w:rFonts w:ascii="Arial" w:cs="Arial" w:eastAsia="Arial" w:hAnsi="Arial"/>
                <w:sz w:val="18"/>
                <w:szCs w:val="18"/>
                <w:b w:val="1"/>
                <w:bCs w:val="1"/>
                <w:color w:val="auto"/>
              </w:rPr>
              <w:t>APPLIED OPTOELECTRONICS, INC.</w:t>
            </w:r>
          </w:p>
        </w:tc>
      </w:tr>
      <w:tr>
        <w:trPr>
          <w:trHeight w:val="608"/>
        </w:trPr>
        <w:tc>
          <w:tcPr>
            <w:tcW w:w="3760" w:type="dxa"/>
            <w:vAlign w:val="bottom"/>
          </w:tcPr>
          <w:p>
            <w:pPr>
              <w:spacing w:after="0"/>
              <w:rPr>
                <w:sz w:val="20"/>
                <w:szCs w:val="20"/>
                <w:color w:val="auto"/>
              </w:rPr>
            </w:pPr>
            <w:r>
              <w:rPr>
                <w:rFonts w:ascii="Arial" w:cs="Arial" w:eastAsia="Arial" w:hAnsi="Arial"/>
                <w:sz w:val="18"/>
                <w:szCs w:val="18"/>
                <w:color w:val="auto"/>
              </w:rPr>
              <w:t>Date: November 12, 2014</w:t>
            </w:r>
          </w:p>
        </w:tc>
        <w:tc>
          <w:tcPr>
            <w:tcW w:w="4980" w:type="dxa"/>
            <w:vAlign w:val="bottom"/>
            <w:gridSpan w:val="3"/>
          </w:tcPr>
          <w:p>
            <w:pPr>
              <w:ind w:left="1860"/>
              <w:spacing w:after="0"/>
              <w:rPr>
                <w:sz w:val="20"/>
                <w:szCs w:val="20"/>
                <w:color w:val="auto"/>
              </w:rPr>
            </w:pPr>
            <w:r>
              <w:rPr>
                <w:rFonts w:ascii="Arial" w:cs="Arial" w:eastAsia="Arial" w:hAnsi="Arial"/>
                <w:sz w:val="18"/>
                <w:szCs w:val="18"/>
                <w:color w:val="auto"/>
              </w:rPr>
              <w:t>By:    /s/ Stefan J. Murry</w:t>
            </w:r>
          </w:p>
        </w:tc>
      </w:tr>
      <w:tr>
        <w:trPr>
          <w:trHeight w:val="222"/>
        </w:trPr>
        <w:tc>
          <w:tcPr>
            <w:tcW w:w="37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Stefan J. Murry,</w:t>
            </w:r>
          </w:p>
        </w:tc>
        <w:tc>
          <w:tcPr>
            <w:tcW w:w="1220" w:type="dxa"/>
            <w:vAlign w:val="bottom"/>
          </w:tcPr>
          <w:p>
            <w:pPr>
              <w:spacing w:after="0"/>
              <w:rPr>
                <w:sz w:val="19"/>
                <w:szCs w:val="19"/>
                <w:color w:val="auto"/>
              </w:rPr>
            </w:pPr>
          </w:p>
        </w:tc>
      </w:tr>
      <w:tr>
        <w:trPr>
          <w:trHeight w:val="216"/>
        </w:trPr>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216"/>
        </w:trPr>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officer and</w:t>
            </w:r>
          </w:p>
        </w:tc>
      </w:tr>
      <w:tr>
        <w:trPr>
          <w:trHeight w:val="230"/>
        </w:trPr>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560" w:type="dxa"/>
            <w:vAlign w:val="bottom"/>
            <w:gridSpan w:val="2"/>
          </w:tcPr>
          <w:p>
            <w:pPr>
              <w:spacing w:after="0"/>
              <w:rPr>
                <w:sz w:val="20"/>
                <w:szCs w:val="20"/>
                <w:color w:val="auto"/>
              </w:rPr>
            </w:pPr>
            <w:r>
              <w:rPr>
                <w:rFonts w:ascii="Arial" w:cs="Arial" w:eastAsia="Arial" w:hAnsi="Arial"/>
                <w:sz w:val="18"/>
                <w:szCs w:val="18"/>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1094" w:right="39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EXHIBIT 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026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3.1*</w:t>
            </w:r>
          </w:p>
        </w:tc>
        <w:tc>
          <w:tcPr>
            <w:tcW w:w="520" w:type="dxa"/>
            <w:vAlign w:val="bottom"/>
            <w:shd w:val="clear" w:color="auto" w:fill="EEEEEE"/>
          </w:tcPr>
          <w:p>
            <w:pPr>
              <w:spacing w:after="0"/>
              <w:rPr>
                <w:sz w:val="17"/>
                <w:szCs w:val="17"/>
                <w:color w:val="auto"/>
              </w:rPr>
            </w:pPr>
          </w:p>
        </w:tc>
        <w:tc>
          <w:tcPr>
            <w:tcW w:w="1026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w w:val="93"/>
              </w:rPr>
              <w:t>Amended and Restated Certificate of Incorporation, as currently in effect (filed as Exhibit 3.1 to the Registrant’s Quarterly Report on Form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10-Q filed with the Securities and Exchange Commission on November 14,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3.2*</w:t>
            </w:r>
          </w:p>
        </w:tc>
        <w:tc>
          <w:tcPr>
            <w:tcW w:w="520" w:type="dxa"/>
            <w:vAlign w:val="bottom"/>
            <w:shd w:val="clear" w:color="auto" w:fill="EEEEEE"/>
          </w:tcPr>
          <w:p>
            <w:pPr>
              <w:spacing w:after="0"/>
              <w:rPr>
                <w:sz w:val="17"/>
                <w:szCs w:val="17"/>
                <w:color w:val="auto"/>
              </w:rPr>
            </w:pPr>
          </w:p>
        </w:tc>
        <w:tc>
          <w:tcPr>
            <w:tcW w:w="1026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w w:val="93"/>
              </w:rPr>
              <w:t>Amended and Restated Bylaws, as currently in effect (filed as Exhibit 3.2 to the Registrant’s Quarterly Report on Form 10-Q filed with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Securities and Exchange Commission on November 14,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10.1*</w:t>
            </w:r>
          </w:p>
        </w:tc>
        <w:tc>
          <w:tcPr>
            <w:tcW w:w="520" w:type="dxa"/>
            <w:vAlign w:val="bottom"/>
            <w:shd w:val="clear" w:color="auto" w:fill="EEEEEE"/>
          </w:tcPr>
          <w:p>
            <w:pPr>
              <w:spacing w:after="0"/>
              <w:rPr>
                <w:sz w:val="17"/>
                <w:szCs w:val="17"/>
                <w:color w:val="auto"/>
              </w:rPr>
            </w:pPr>
          </w:p>
        </w:tc>
        <w:tc>
          <w:tcPr>
            <w:tcW w:w="1026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w w:val="95"/>
              </w:rPr>
              <w:t>Business Loan Agreement, dated July 31, 2014, between Applied Optoelectronics, Inc. and East West Bank (filed as Exhibit 10.1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Registrant’s Current Report on Form 8-K filed with the Securities and Exchange Commission on August 5, 2014).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line="201" w:lineRule="exact"/>
              <w:rPr>
                <w:sz w:val="20"/>
                <w:szCs w:val="20"/>
                <w:color w:val="auto"/>
              </w:rPr>
            </w:pPr>
            <w:r>
              <w:rPr>
                <w:rFonts w:ascii="Arial" w:cs="Arial" w:eastAsia="Arial" w:hAnsi="Arial"/>
                <w:sz w:val="18"/>
                <w:szCs w:val="18"/>
                <w:color w:val="auto"/>
              </w:rPr>
              <w:t>10.2*</w:t>
            </w:r>
          </w:p>
        </w:tc>
        <w:tc>
          <w:tcPr>
            <w:tcW w:w="520" w:type="dxa"/>
            <w:vAlign w:val="bottom"/>
          </w:tcPr>
          <w:p>
            <w:pPr>
              <w:spacing w:after="0"/>
              <w:rPr>
                <w:sz w:val="17"/>
                <w:szCs w:val="17"/>
                <w:color w:val="auto"/>
              </w:rPr>
            </w:pPr>
          </w:p>
        </w:tc>
        <w:tc>
          <w:tcPr>
            <w:tcW w:w="10260" w:type="dxa"/>
            <w:vAlign w:val="bottom"/>
            <w:gridSpan w:val="3"/>
          </w:tcPr>
          <w:p>
            <w:pPr>
              <w:spacing w:after="0" w:line="201" w:lineRule="exact"/>
              <w:rPr>
                <w:sz w:val="20"/>
                <w:szCs w:val="20"/>
                <w:color w:val="auto"/>
              </w:rPr>
            </w:pPr>
            <w:r>
              <w:rPr>
                <w:rFonts w:ascii="Arial" w:cs="Arial" w:eastAsia="Arial" w:hAnsi="Arial"/>
                <w:sz w:val="18"/>
                <w:szCs w:val="18"/>
                <w:color w:val="auto"/>
                <w:w w:val="91"/>
              </w:rPr>
              <w:t>Commercial Security Agreement, dated July 31, 2014, between Applied Optoelectronics, Inc. and East West Bank (filed as Exhibit 10.1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Registrant’s Current Report on Form 8-K filed with the Securities and Exchange Commission on August 5,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8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tcPr>
          <w:p>
            <w:pPr>
              <w:spacing w:after="0" w:line="201" w:lineRule="exact"/>
              <w:rPr>
                <w:sz w:val="20"/>
                <w:szCs w:val="20"/>
                <w:color w:val="auto"/>
              </w:rPr>
            </w:pPr>
            <w:r>
              <w:rPr>
                <w:rFonts w:ascii="Arial" w:cs="Arial" w:eastAsia="Arial" w:hAnsi="Arial"/>
                <w:sz w:val="18"/>
                <w:szCs w:val="18"/>
                <w:color w:val="auto"/>
              </w:rPr>
              <w:t>10.3</w:t>
            </w:r>
          </w:p>
        </w:tc>
        <w:tc>
          <w:tcPr>
            <w:tcW w:w="520" w:type="dxa"/>
            <w:vAlign w:val="bottom"/>
          </w:tcPr>
          <w:p>
            <w:pPr>
              <w:spacing w:after="0"/>
              <w:rPr>
                <w:sz w:val="17"/>
                <w:szCs w:val="17"/>
                <w:color w:val="auto"/>
              </w:rPr>
            </w:pPr>
          </w:p>
        </w:tc>
        <w:tc>
          <w:tcPr>
            <w:tcW w:w="10260" w:type="dxa"/>
            <w:vAlign w:val="bottom"/>
            <w:gridSpan w:val="3"/>
          </w:tcPr>
          <w:p>
            <w:pPr>
              <w:spacing w:after="0" w:line="201" w:lineRule="exact"/>
              <w:rPr>
                <w:sz w:val="20"/>
                <w:szCs w:val="20"/>
                <w:color w:val="auto"/>
              </w:rPr>
            </w:pPr>
            <w:r>
              <w:rPr>
                <w:rFonts w:ascii="Arial" w:cs="Arial" w:eastAsia="Arial" w:hAnsi="Arial"/>
                <w:sz w:val="18"/>
                <w:szCs w:val="18"/>
                <w:color w:val="auto"/>
                <w:w w:val="93"/>
              </w:rPr>
              <w:t>Promissory Note, dated July 31, 2014, between Applied Optoelectronics, Inc. and East West Bank (filed as Exhibit 10.1 to the Registrant’s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Current Report on Form 8-K filed with the Securities and Exchange Commission on August 5,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20" w:type="dxa"/>
            <w:vAlign w:val="bottom"/>
            <w:shd w:val="clear" w:color="auto" w:fill="EEEEEE"/>
          </w:tcPr>
          <w:p>
            <w:pPr>
              <w:spacing w:after="0"/>
              <w:rPr>
                <w:sz w:val="20"/>
                <w:szCs w:val="20"/>
                <w:color w:val="auto"/>
              </w:rPr>
            </w:pPr>
            <w:r>
              <w:rPr>
                <w:rFonts w:ascii="Arial" w:cs="Arial" w:eastAsia="Arial" w:hAnsi="Arial"/>
                <w:sz w:val="18"/>
                <w:szCs w:val="18"/>
                <w:color w:val="auto"/>
              </w:rPr>
              <w:t>10.4**</w:t>
            </w:r>
          </w:p>
        </w:tc>
        <w:tc>
          <w:tcPr>
            <w:tcW w:w="520" w:type="dxa"/>
            <w:vAlign w:val="bottom"/>
            <w:shd w:val="clear" w:color="auto" w:fill="EEEEEE"/>
          </w:tcPr>
          <w:p>
            <w:pPr>
              <w:spacing w:after="0"/>
              <w:rPr>
                <w:sz w:val="20"/>
                <w:szCs w:val="20"/>
                <w:color w:val="auto"/>
              </w:rPr>
            </w:pPr>
          </w:p>
        </w:tc>
        <w:tc>
          <w:tcPr>
            <w:tcW w:w="10260" w:type="dxa"/>
            <w:vAlign w:val="bottom"/>
            <w:gridSpan w:val="3"/>
            <w:shd w:val="clear" w:color="auto" w:fill="EEEEEE"/>
          </w:tcPr>
          <w:p>
            <w:pPr>
              <w:spacing w:after="0"/>
              <w:rPr>
                <w:sz w:val="20"/>
                <w:szCs w:val="20"/>
                <w:color w:val="auto"/>
              </w:rPr>
            </w:pPr>
            <w:r>
              <w:rPr>
                <w:rFonts w:ascii="Arial" w:cs="Arial" w:eastAsia="Arial" w:hAnsi="Arial"/>
                <w:sz w:val="18"/>
                <w:szCs w:val="18"/>
                <w:color w:val="auto"/>
                <w:w w:val="92"/>
              </w:rPr>
              <w:t>Translation of Chinese form of RMB Working Capital Loan Agreement between the Global Technology Inc. and China Construction Bank –</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0" w:type="dxa"/>
            <w:vAlign w:val="bottom"/>
            <w:shd w:val="clear" w:color="auto" w:fill="EEEEEE"/>
          </w:tcPr>
          <w:p>
            <w:pPr>
              <w:spacing w:after="0"/>
              <w:rPr>
                <w:sz w:val="21"/>
                <w:szCs w:val="21"/>
                <w:color w:val="auto"/>
              </w:rPr>
            </w:pPr>
          </w:p>
        </w:tc>
        <w:tc>
          <w:tcPr>
            <w:tcW w:w="520" w:type="dxa"/>
            <w:vAlign w:val="bottom"/>
            <w:shd w:val="clear" w:color="auto" w:fill="EEEEEE"/>
          </w:tcPr>
          <w:p>
            <w:pPr>
              <w:spacing w:after="0"/>
              <w:rPr>
                <w:sz w:val="21"/>
                <w:szCs w:val="21"/>
                <w:color w:val="auto"/>
              </w:rPr>
            </w:pPr>
          </w:p>
        </w:tc>
        <w:tc>
          <w:tcPr>
            <w:tcW w:w="102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Revolving line of credit with a China bank up to $12 million (Schedule updated as of September 30,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10.5**</w:t>
            </w:r>
          </w:p>
        </w:tc>
        <w:tc>
          <w:tcPr>
            <w:tcW w:w="520" w:type="dxa"/>
            <w:vAlign w:val="bottom"/>
            <w:shd w:val="clear" w:color="auto" w:fill="EEEEEE"/>
          </w:tcPr>
          <w:p>
            <w:pPr>
              <w:spacing w:after="0"/>
              <w:rPr>
                <w:sz w:val="17"/>
                <w:szCs w:val="17"/>
                <w:color w:val="auto"/>
              </w:rPr>
            </w:pPr>
          </w:p>
        </w:tc>
        <w:tc>
          <w:tcPr>
            <w:tcW w:w="1026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w w:val="97"/>
              </w:rPr>
              <w:t>Translation of Chinese form of USD Trust Receipt Loan Agreement between Global Technology Inc. and China Construction Bank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Revolving line of credit with a China bank up to $3.3 million (Schedule updated as of September 30,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31.1**</w:t>
            </w:r>
          </w:p>
        </w:tc>
        <w:tc>
          <w:tcPr>
            <w:tcW w:w="520" w:type="dxa"/>
            <w:vAlign w:val="bottom"/>
            <w:shd w:val="clear" w:color="auto" w:fill="EEEEEE"/>
          </w:tcPr>
          <w:p>
            <w:pPr>
              <w:spacing w:after="0"/>
              <w:rPr>
                <w:sz w:val="17"/>
                <w:szCs w:val="17"/>
                <w:color w:val="auto"/>
              </w:rPr>
            </w:pPr>
          </w:p>
        </w:tc>
        <w:tc>
          <w:tcPr>
            <w:tcW w:w="1026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w w:val="92"/>
              </w:rPr>
              <w:t>Certification of Chief Executive Officer pursuant to Exchange Act Rule, 13a-14(a) and 15d-14(a), as adopted pursuant to Section 302 of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31.2**</w:t>
            </w:r>
          </w:p>
        </w:tc>
        <w:tc>
          <w:tcPr>
            <w:tcW w:w="520" w:type="dxa"/>
            <w:vAlign w:val="bottom"/>
            <w:shd w:val="clear" w:color="auto" w:fill="EEEEEE"/>
          </w:tcPr>
          <w:p>
            <w:pPr>
              <w:spacing w:after="0"/>
              <w:rPr>
                <w:sz w:val="17"/>
                <w:szCs w:val="17"/>
                <w:color w:val="auto"/>
              </w:rPr>
            </w:pPr>
          </w:p>
        </w:tc>
        <w:tc>
          <w:tcPr>
            <w:tcW w:w="1026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w w:val="93"/>
              </w:rPr>
              <w:t>Certification of Chief Financial Officer pursuant to Exchange Act Rule, 13a-14(a) and 15d-14(a), as adopted pursuant to Section 302 of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32.1**</w:t>
            </w:r>
          </w:p>
        </w:tc>
        <w:tc>
          <w:tcPr>
            <w:tcW w:w="520" w:type="dxa"/>
            <w:vAlign w:val="bottom"/>
            <w:shd w:val="clear" w:color="auto" w:fill="EEEEEE"/>
          </w:tcPr>
          <w:p>
            <w:pPr>
              <w:spacing w:after="0"/>
              <w:rPr>
                <w:sz w:val="17"/>
                <w:szCs w:val="17"/>
                <w:color w:val="auto"/>
              </w:rPr>
            </w:pPr>
          </w:p>
        </w:tc>
        <w:tc>
          <w:tcPr>
            <w:tcW w:w="1026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color w:val="auto"/>
                <w:w w:val="91"/>
              </w:rPr>
              <w:t>Certification pursuant to 18 U.S.C. 1350, adopted pursuant to Section 906 of the Sarbanes-Oxley Act of 2002, by Chief Executive Officer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2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85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920" w:firstLine="8"/>
        <w:spacing w:after="0" w:line="258" w:lineRule="auto"/>
        <w:tabs>
          <w:tab w:leader="none" w:pos="4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herein by reference to the indicated filing. ** Filed herewith.</w:t>
      </w:r>
    </w:p>
    <w:p>
      <w:pPr>
        <w:spacing w:after="0" w:line="1" w:lineRule="exact"/>
        <w:rPr>
          <w:rFonts w:ascii="Arial" w:cs="Arial" w:eastAsia="Arial" w:hAnsi="Arial"/>
          <w:sz w:val="18"/>
          <w:szCs w:val="18"/>
          <w:color w:val="auto"/>
        </w:rPr>
      </w:pPr>
    </w:p>
    <w:p>
      <w:pPr>
        <w:ind w:right="20"/>
        <w:spacing w:after="0" w:line="255" w:lineRule="auto"/>
        <w:rPr>
          <w:rFonts w:ascii="Arial" w:cs="Arial" w:eastAsia="Arial" w:hAnsi="Arial"/>
          <w:sz w:val="18"/>
          <w:szCs w:val="18"/>
          <w:color w:val="auto"/>
        </w:rPr>
      </w:pPr>
      <w:r>
        <w:rPr>
          <w:rFonts w:ascii="Arial" w:cs="Arial" w:eastAsia="Arial" w:hAnsi="Arial"/>
          <w:sz w:val="18"/>
          <w:szCs w:val="18"/>
          <w:color w:val="auto"/>
        </w:rPr>
        <w:t>*** XBRL (Extensible Business Reporting Language) information is furnished and not filed or part of a registration statement or prospectus for purposes of Sections 11 or 12 of the Securities Exchange Act of 1933, as amended, is deemed not filed for purpose of Section 18 of the Securities Exchange Act of 1934, as amended, and is not otherwise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Chih-Hsiang (Thompson) Lin, certify that:</w:t>
      </w:r>
    </w:p>
    <w:p>
      <w:pPr>
        <w:spacing w:after="0" w:line="225" w:lineRule="exact"/>
        <w:rPr>
          <w:sz w:val="20"/>
          <w:szCs w:val="20"/>
          <w:color w:val="auto"/>
        </w:rPr>
      </w:pPr>
    </w:p>
    <w:p>
      <w:pPr>
        <w:ind w:left="380" w:hanging="237"/>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333" w:lineRule="exact"/>
        <w:rPr>
          <w:rFonts w:ascii="Arial" w:cs="Arial" w:eastAsia="Arial" w:hAnsi="Arial"/>
          <w:sz w:val="18"/>
          <w:szCs w:val="18"/>
          <w:color w:val="auto"/>
        </w:rPr>
      </w:pPr>
    </w:p>
    <w:p>
      <w:pPr>
        <w:ind w:left="380" w:hanging="237"/>
        <w:spacing w:after="0" w:line="342"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1" w:lineRule="exact"/>
        <w:rPr>
          <w:rFonts w:ascii="Arial" w:cs="Arial" w:eastAsia="Arial" w:hAnsi="Arial"/>
          <w:sz w:val="16"/>
          <w:szCs w:val="16"/>
          <w:color w:val="auto"/>
        </w:rPr>
      </w:pPr>
    </w:p>
    <w:p>
      <w:pPr>
        <w:ind w:left="380" w:hanging="237"/>
        <w:spacing w:after="0" w:line="277"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278" w:lineRule="exact"/>
        <w:rPr>
          <w:rFonts w:ascii="Arial" w:cs="Arial" w:eastAsia="Arial" w:hAnsi="Arial"/>
          <w:sz w:val="18"/>
          <w:szCs w:val="18"/>
          <w:color w:val="auto"/>
        </w:rPr>
      </w:pPr>
    </w:p>
    <w:p>
      <w:pPr>
        <w:ind w:left="380" w:hanging="237"/>
        <w:spacing w:after="0" w:line="277"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78" w:lineRule="exact"/>
        <w:rPr>
          <w:rFonts w:ascii="Arial" w:cs="Arial" w:eastAsia="Arial" w:hAnsi="Arial"/>
          <w:sz w:val="18"/>
          <w:szCs w:val="18"/>
          <w:color w:val="auto"/>
        </w:rPr>
      </w:pPr>
    </w:p>
    <w:p>
      <w:pPr>
        <w:jc w:val="both"/>
        <w:ind w:left="740" w:hanging="237"/>
        <w:spacing w:after="0" w:line="264" w:lineRule="auto"/>
        <w:tabs>
          <w:tab w:leader="none" w:pos="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ind w:left="740" w:hanging="247"/>
        <w:spacing w:after="0" w:line="308" w:lineRule="auto"/>
        <w:tabs>
          <w:tab w:leader="none" w:pos="7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740" w:hanging="237"/>
        <w:spacing w:after="0" w:line="264" w:lineRule="auto"/>
        <w:tabs>
          <w:tab w:leader="none" w:pos="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380" w:hanging="237"/>
        <w:spacing w:after="0" w:line="308" w:lineRule="auto"/>
        <w:tabs>
          <w:tab w:leader="none" w:pos="3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740" w:hanging="237"/>
        <w:spacing w:after="0" w:line="277" w:lineRule="auto"/>
        <w:tabs>
          <w:tab w:leader="none" w:pos="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740" w:hanging="247"/>
        <w:spacing w:after="0" w:line="277" w:lineRule="auto"/>
        <w:tabs>
          <w:tab w:leader="none" w:pos="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Chih-Hsiang (Thompson) 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Chih-Hsiang (Thompson) Lin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Stefan J. Murry, certify that:</w:t>
      </w:r>
    </w:p>
    <w:p>
      <w:pPr>
        <w:spacing w:after="0" w:line="225" w:lineRule="exact"/>
        <w:rPr>
          <w:sz w:val="20"/>
          <w:szCs w:val="20"/>
          <w:color w:val="auto"/>
        </w:rPr>
      </w:pPr>
    </w:p>
    <w:p>
      <w:pPr>
        <w:ind w:left="380" w:hanging="237"/>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333" w:lineRule="exact"/>
        <w:rPr>
          <w:rFonts w:ascii="Arial" w:cs="Arial" w:eastAsia="Arial" w:hAnsi="Arial"/>
          <w:sz w:val="18"/>
          <w:szCs w:val="18"/>
          <w:color w:val="auto"/>
        </w:rPr>
      </w:pPr>
    </w:p>
    <w:p>
      <w:pPr>
        <w:ind w:left="380" w:hanging="237"/>
        <w:spacing w:after="0" w:line="342" w:lineRule="auto"/>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1" w:lineRule="exact"/>
        <w:rPr>
          <w:rFonts w:ascii="Arial" w:cs="Arial" w:eastAsia="Arial" w:hAnsi="Arial"/>
          <w:sz w:val="16"/>
          <w:szCs w:val="16"/>
          <w:color w:val="auto"/>
        </w:rPr>
      </w:pPr>
    </w:p>
    <w:p>
      <w:pPr>
        <w:ind w:left="380" w:hanging="237"/>
        <w:spacing w:after="0" w:line="277"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278" w:lineRule="exact"/>
        <w:rPr>
          <w:rFonts w:ascii="Arial" w:cs="Arial" w:eastAsia="Arial" w:hAnsi="Arial"/>
          <w:sz w:val="18"/>
          <w:szCs w:val="18"/>
          <w:color w:val="auto"/>
        </w:rPr>
      </w:pPr>
    </w:p>
    <w:p>
      <w:pPr>
        <w:ind w:left="380" w:hanging="237"/>
        <w:spacing w:after="0" w:line="277"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78" w:lineRule="exact"/>
        <w:rPr>
          <w:rFonts w:ascii="Arial" w:cs="Arial" w:eastAsia="Arial" w:hAnsi="Arial"/>
          <w:sz w:val="18"/>
          <w:szCs w:val="18"/>
          <w:color w:val="auto"/>
        </w:rPr>
      </w:pPr>
    </w:p>
    <w:p>
      <w:pPr>
        <w:jc w:val="both"/>
        <w:ind w:left="740" w:hanging="237"/>
        <w:spacing w:after="0" w:line="264"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ind w:left="740" w:hanging="247"/>
        <w:spacing w:after="0" w:line="308" w:lineRule="auto"/>
        <w:tabs>
          <w:tab w:leader="none" w:pos="7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740" w:hanging="237"/>
        <w:spacing w:after="0" w:line="264"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380" w:hanging="237"/>
        <w:spacing w:after="0" w:line="308" w:lineRule="auto"/>
        <w:tabs>
          <w:tab w:leader="none" w:pos="3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740" w:hanging="237"/>
        <w:spacing w:after="0" w:line="277"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740" w:hanging="247"/>
        <w:spacing w:after="0" w:line="277"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Stefan J. Murry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Stefan J. Murry,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Senior Vice President</w:t>
      </w:r>
    </w:p>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U.S. Code (18 U.S.C. §1350), Chih-Hsiang (Thompson) Lin, President and Chief Executive Officer of Applied Optoelectronics, Inc. (the “Company”), and Stefan J. Murry, Chief Financial Officer and Senior Vice President of the Company, each hereby certifies that, to the best of his knowledge;</w:t>
      </w:r>
    </w:p>
    <w:p>
      <w:pPr>
        <w:spacing w:after="0" w:line="187" w:lineRule="exact"/>
        <w:rPr>
          <w:sz w:val="20"/>
          <w:szCs w:val="20"/>
          <w:color w:val="auto"/>
        </w:rPr>
      </w:pPr>
    </w:p>
    <w:p>
      <w:pPr>
        <w:ind w:left="660" w:right="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2014, to which this Certification is attached as Exhibit 32.1 (the “Quarterly Report”) fully complies with the requirements of Section 13(a) or Section 15(d) of the Exchange Act; and</w:t>
      </w:r>
    </w:p>
    <w:p>
      <w:pPr>
        <w:spacing w:after="0" w:line="386"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the operation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hereto as of the 12th day of November, 2014.</w:t>
      </w:r>
    </w:p>
    <w:p>
      <w:pPr>
        <w:spacing w:after="0" w:line="208"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4240" w:type="dxa"/>
            <w:vAlign w:val="bottom"/>
            <w:gridSpan w:val="2"/>
          </w:tcPr>
          <w:p>
            <w:pPr>
              <w:spacing w:after="0"/>
              <w:rPr>
                <w:sz w:val="20"/>
                <w:szCs w:val="20"/>
                <w:color w:val="auto"/>
              </w:rPr>
            </w:pPr>
            <w:r>
              <w:rPr>
                <w:rFonts w:ascii="Arial" w:cs="Arial" w:eastAsia="Arial" w:hAnsi="Arial"/>
                <w:sz w:val="18"/>
                <w:szCs w:val="18"/>
                <w:color w:val="auto"/>
              </w:rPr>
              <w:t>/s/ Chih-Hsiang (Thompson) Lin</w:t>
            </w:r>
          </w:p>
        </w:tc>
        <w:tc>
          <w:tcPr>
            <w:tcW w:w="5060" w:type="dxa"/>
            <w:vAlign w:val="bottom"/>
            <w:gridSpan w:val="3"/>
          </w:tcPr>
          <w:p>
            <w:pPr>
              <w:ind w:left="1480"/>
              <w:spacing w:after="0"/>
              <w:rPr>
                <w:sz w:val="20"/>
                <w:szCs w:val="20"/>
                <w:color w:val="auto"/>
              </w:rPr>
            </w:pPr>
            <w:r>
              <w:rPr>
                <w:rFonts w:ascii="Arial" w:cs="Arial" w:eastAsia="Arial" w:hAnsi="Arial"/>
                <w:sz w:val="18"/>
                <w:szCs w:val="18"/>
                <w:color w:val="auto"/>
              </w:rPr>
              <w:t>/s/ Stefan J. Murry</w:t>
            </w:r>
          </w:p>
        </w:tc>
      </w:tr>
      <w:tr>
        <w:trPr>
          <w:trHeight w:val="20"/>
        </w:trPr>
        <w:tc>
          <w:tcPr>
            <w:tcW w:w="23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22"/>
        </w:trPr>
        <w:tc>
          <w:tcPr>
            <w:tcW w:w="2360" w:type="dxa"/>
            <w:vAlign w:val="bottom"/>
          </w:tcPr>
          <w:p>
            <w:pPr>
              <w:spacing w:after="0"/>
              <w:rPr>
                <w:sz w:val="20"/>
                <w:szCs w:val="20"/>
                <w:color w:val="auto"/>
              </w:rPr>
            </w:pPr>
            <w:r>
              <w:rPr>
                <w:rFonts w:ascii="Arial" w:cs="Arial" w:eastAsia="Arial" w:hAnsi="Arial"/>
                <w:sz w:val="18"/>
                <w:szCs w:val="18"/>
                <w:color w:val="auto"/>
              </w:rPr>
              <w:t>Chih-Hsiang (Thompson) Lin</w:t>
            </w:r>
          </w:p>
        </w:tc>
        <w:tc>
          <w:tcPr>
            <w:tcW w:w="1880" w:type="dxa"/>
            <w:vAlign w:val="bottom"/>
          </w:tcPr>
          <w:p>
            <w:pPr>
              <w:spacing w:after="0"/>
              <w:rPr>
                <w:sz w:val="19"/>
                <w:szCs w:val="19"/>
                <w:color w:val="auto"/>
              </w:rPr>
            </w:pPr>
          </w:p>
        </w:tc>
        <w:tc>
          <w:tcPr>
            <w:tcW w:w="5060" w:type="dxa"/>
            <w:vAlign w:val="bottom"/>
            <w:gridSpan w:val="3"/>
          </w:tcPr>
          <w:p>
            <w:pPr>
              <w:ind w:left="1480"/>
              <w:spacing w:after="0"/>
              <w:rPr>
                <w:sz w:val="20"/>
                <w:szCs w:val="20"/>
                <w:color w:val="auto"/>
              </w:rPr>
            </w:pPr>
            <w:r>
              <w:rPr>
                <w:rFonts w:ascii="Arial" w:cs="Arial" w:eastAsia="Arial" w:hAnsi="Arial"/>
                <w:sz w:val="18"/>
                <w:szCs w:val="18"/>
                <w:color w:val="auto"/>
              </w:rPr>
              <w:t>Stefan J. Murry,</w:t>
            </w: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5060" w:type="dxa"/>
            <w:vAlign w:val="bottom"/>
            <w:gridSpan w:val="3"/>
          </w:tcPr>
          <w:p>
            <w:pPr>
              <w:ind w:left="1480"/>
              <w:spacing w:after="0"/>
              <w:rPr>
                <w:sz w:val="20"/>
                <w:szCs w:val="20"/>
                <w:color w:val="auto"/>
              </w:rPr>
            </w:pPr>
            <w:r>
              <w:rPr>
                <w:rFonts w:ascii="Arial" w:cs="Arial" w:eastAsia="Arial" w:hAnsi="Arial"/>
                <w:sz w:val="18"/>
                <w:szCs w:val="18"/>
                <w:color w:val="auto"/>
                <w:w w:val="91"/>
              </w:rPr>
              <w:t>Chief Financial Officer and Senior Vice President</w:t>
            </w:r>
          </w:p>
        </w:tc>
      </w:tr>
    </w:tbl>
    <w:p>
      <w:pPr>
        <w:spacing w:after="0" w:line="202"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Act of 1934, as amended (whether made before or after the date of the Quarterly Report), irrespective of any general incorporation language contained in such filing.</w:t>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10.04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Contract No.: 1230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 TECHNOLOGY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Borrower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CHINA CONSTRUCTION BANK - NINGBO YINZHOU BRANCH</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6" w:name="page47"/>
    <w:bookmarkEnd w:id="46"/>
    <w:p>
      <w:pPr>
        <w:ind w:right="80"/>
        <w:spacing w:after="0" w:line="29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RMB Loan Agreement</w:t>
      </w:r>
      <w:r>
        <w:rPr>
          <w:rFonts w:ascii="Arial" w:cs="Arial" w:eastAsia="Arial" w:hAnsi="Arial"/>
          <w:sz w:val="18"/>
          <w:szCs w:val="18"/>
          <w:color w:val="auto"/>
        </w:rPr>
        <w:t xml:space="preserve"> (the “</w:t>
      </w:r>
      <w:r>
        <w:rPr>
          <w:rFonts w:ascii="Arial" w:cs="Arial" w:eastAsia="Arial" w:hAnsi="Arial"/>
          <w:sz w:val="18"/>
          <w:szCs w:val="18"/>
          <w:b w:val="1"/>
          <w:bCs w:val="1"/>
          <w:color w:val="auto"/>
        </w:rPr>
        <w:t>Contract</w:t>
      </w:r>
      <w:r>
        <w:rPr>
          <w:rFonts w:ascii="Arial" w:cs="Arial" w:eastAsia="Arial" w:hAnsi="Arial"/>
          <w:sz w:val="18"/>
          <w:szCs w:val="18"/>
          <w:color w:val="auto"/>
        </w:rPr>
        <w:t>”) is entered into in order for the company’s daily operation expense [, including material purchase payment and employee’s salary], by and between:</w:t>
      </w:r>
    </w:p>
    <w:p>
      <w:pPr>
        <w:spacing w:after="0" w:line="134" w:lineRule="exact"/>
        <w:rPr>
          <w:sz w:val="20"/>
          <w:szCs w:val="20"/>
          <w:color w:val="auto"/>
        </w:rPr>
      </w:pPr>
    </w:p>
    <w:p>
      <w:pPr>
        <w:ind w:right="500"/>
        <w:spacing w:after="0" w:line="313" w:lineRule="auto"/>
        <w:rPr>
          <w:sz w:val="20"/>
          <w:szCs w:val="20"/>
          <w:color w:val="auto"/>
        </w:rPr>
      </w:pPr>
      <w:r>
        <w:rPr>
          <w:rFonts w:ascii="Arial" w:cs="Arial" w:eastAsia="Arial" w:hAnsi="Arial"/>
          <w:sz w:val="17"/>
          <w:szCs w:val="17"/>
          <w:b w:val="1"/>
          <w:bCs w:val="1"/>
          <w:color w:val="auto"/>
        </w:rPr>
        <w:t>GLOBAL TECHNOLOGY INC.</w:t>
      </w:r>
      <w:r>
        <w:rPr>
          <w:rFonts w:ascii="Arial" w:cs="Arial" w:eastAsia="Arial" w:hAnsi="Arial"/>
          <w:sz w:val="17"/>
          <w:szCs w:val="17"/>
          <w:color w:val="auto"/>
        </w:rPr>
        <w:t xml:space="preserve">, located at NO. 88, QIUSHI RD, WANGCHUN INDUSTRIAL PART, NINGBO, CHINA, P.C.315176 with CHIH-HSIANG LIN as its legal representative and its fax number 88133820 and its telephone number 574-88133818 as borrower </w:t>
      </w:r>
      <w:r>
        <w:rPr>
          <w:rFonts w:ascii="Arial" w:cs="Arial" w:eastAsia="Arial" w:hAnsi="Arial"/>
          <w:sz w:val="17"/>
          <w:szCs w:val="17"/>
          <w:b w:val="1"/>
          <w:bCs w:val="1"/>
          <w:color w:val="auto"/>
        </w:rPr>
        <w:t>(“Party A”)</w:t>
      </w:r>
      <w:r>
        <w:rPr>
          <w:rFonts w:ascii="Arial" w:cs="Arial" w:eastAsia="Arial" w:hAnsi="Arial"/>
          <w:sz w:val="17"/>
          <w:szCs w:val="17"/>
          <w:color w:val="auto"/>
        </w:rPr>
        <w:t>; and</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CHINA CONSTRUCTION BANK - NINGBO YINZHOU BRANCH</w:t>
      </w:r>
      <w:r>
        <w:rPr>
          <w:rFonts w:ascii="Arial" w:cs="Arial" w:eastAsia="Arial" w:hAnsi="Arial"/>
          <w:sz w:val="18"/>
          <w:szCs w:val="18"/>
          <w:color w:val="auto"/>
        </w:rPr>
        <w:t>, located at TAIKANG ZHONG RD S. COMMERCIAL AREA 2ND FL, GUOHUA</w:t>
      </w:r>
      <w:r>
        <w:rPr>
          <w:rFonts w:ascii="Arial" w:cs="Arial" w:eastAsia="Arial" w:hAnsi="Arial"/>
          <w:sz w:val="18"/>
          <w:szCs w:val="18"/>
          <w:b w:val="1"/>
          <w:bCs w:val="1"/>
          <w:color w:val="auto"/>
        </w:rPr>
        <w:t xml:space="preserve"> </w:t>
      </w:r>
      <w:r>
        <w:rPr>
          <w:rFonts w:ascii="Arial" w:cs="Arial" w:eastAsia="Arial" w:hAnsi="Arial"/>
          <w:sz w:val="18"/>
          <w:szCs w:val="18"/>
          <w:color w:val="auto"/>
        </w:rPr>
        <w:t>INT’L BLDG NO. 500, 315040 with · as its principal officer and its fax number being 87370029 and its telephone number being 87374267, as lender (“</w:t>
      </w:r>
      <w:r>
        <w:rPr>
          <w:rFonts w:ascii="Arial" w:cs="Arial" w:eastAsia="Arial" w:hAnsi="Arial"/>
          <w:sz w:val="18"/>
          <w:szCs w:val="18"/>
          <w:b w:val="1"/>
          <w:bCs w:val="1"/>
          <w:color w:val="auto"/>
        </w:rPr>
        <w:t>Party</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Party A wishes to apply to Party B for a loan, and Party B agrees to extend to Party A such loan.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NOW THEREFORE upon consultation in accordance with applicable laws and regulations, both parties hereto agree as follows:</w:t>
      </w:r>
    </w:p>
    <w:p>
      <w:pPr>
        <w:spacing w:after="0" w:line="221"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LOAN AMOUNT</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amount of the loan that Party B provides to Party A hereunder shall be RMB </w:t>
      </w:r>
      <w:r>
        <w:rPr>
          <w:rFonts w:ascii="Arial" w:cs="Arial" w:eastAsia="Arial" w:hAnsi="Arial"/>
          <w:sz w:val="18"/>
          <w:szCs w:val="18"/>
          <w:b w:val="1"/>
          <w:bCs w:val="1"/>
          <w:color w:val="auto"/>
        </w:rPr>
        <w:t>[see Schedule A]</w:t>
      </w:r>
      <w:r>
        <w:rPr>
          <w:rFonts w:ascii="Arial" w:cs="Arial" w:eastAsia="Arial" w:hAnsi="Arial"/>
          <w:sz w:val="18"/>
          <w:szCs w:val="18"/>
          <w:color w:val="auto"/>
        </w:rPr>
        <w:t xml:space="preserve"> (the “</w:t>
      </w:r>
      <w:r>
        <w:rPr>
          <w:rFonts w:ascii="Arial" w:cs="Arial" w:eastAsia="Arial" w:hAnsi="Arial"/>
          <w:sz w:val="18"/>
          <w:szCs w:val="18"/>
          <w:b w:val="1"/>
          <w:bCs w:val="1"/>
          <w:color w:val="auto"/>
        </w:rPr>
        <w:t>Loan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340" w:right="5000" w:hanging="332"/>
        <w:spacing w:after="0" w:line="533" w:lineRule="auto"/>
        <w:tabs>
          <w:tab w:leader="none" w:pos="34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PURPOSE OF THE LOAN AND SOURCES OF FUNDS FOR REPAYMENT </w:t>
      </w:r>
      <w:r>
        <w:rPr>
          <w:rFonts w:ascii="Arial" w:cs="Arial" w:eastAsia="Arial" w:hAnsi="Arial"/>
          <w:sz w:val="17"/>
          <w:szCs w:val="17"/>
          <w:color w:val="auto"/>
        </w:rPr>
        <w:t>Party A shall utilize the loan for the purpose of the routine production operation.</w:t>
      </w:r>
    </w:p>
    <w:p>
      <w:pPr>
        <w:ind w:left="340" w:right="36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The information relating to specific purposes of such loan under the Contract and sources of funds for repayment shall be determined in Schedule 1 “</w:t>
      </w:r>
      <w:r>
        <w:rPr>
          <w:rFonts w:ascii="Arial" w:cs="Arial" w:eastAsia="Arial" w:hAnsi="Arial"/>
          <w:sz w:val="18"/>
          <w:szCs w:val="18"/>
          <w:b w:val="1"/>
          <w:bCs w:val="1"/>
          <w:color w:val="auto"/>
        </w:rPr>
        <w:t>Loan Information</w:t>
      </w:r>
      <w:r>
        <w:rPr>
          <w:rFonts w:ascii="Arial" w:cs="Arial" w:eastAsia="Arial" w:hAnsi="Arial"/>
          <w:sz w:val="18"/>
          <w:szCs w:val="18"/>
          <w:color w:val="auto"/>
        </w:rPr>
        <w:t>”.</w:t>
      </w:r>
    </w:p>
    <w:p>
      <w:pPr>
        <w:spacing w:after="0" w:line="166" w:lineRule="exact"/>
        <w:rPr>
          <w:rFonts w:ascii="Arial" w:cs="Arial" w:eastAsia="Arial" w:hAnsi="Arial"/>
          <w:sz w:val="17"/>
          <w:szCs w:val="17"/>
          <w:b w:val="1"/>
          <w:bCs w:val="1"/>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TERM OF THE LOAN</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term of the Loan shall be 12 months, commencing from [see Schedule A] and expiring on [see Schedule A]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340"/>
        <w:spacing w:after="0" w:line="289" w:lineRule="auto"/>
        <w:rPr>
          <w:rFonts w:ascii="Arial" w:cs="Arial" w:eastAsia="Arial" w:hAnsi="Arial"/>
          <w:sz w:val="18"/>
          <w:szCs w:val="18"/>
          <w:b w:val="1"/>
          <w:bCs w:val="1"/>
          <w:color w:val="auto"/>
        </w:rPr>
      </w:pPr>
      <w:r>
        <w:rPr>
          <w:rFonts w:ascii="Arial" w:cs="Arial" w:eastAsia="Arial" w:hAnsi="Arial"/>
          <w:sz w:val="17"/>
          <w:szCs w:val="17"/>
          <w:color w:val="auto"/>
        </w:rPr>
        <w:t>Where the above commencement date is inconsistent with the date set forth on the loan-to deposit certificate (the “</w:t>
      </w:r>
      <w:r>
        <w:rPr>
          <w:rFonts w:ascii="Arial" w:cs="Arial" w:eastAsia="Arial" w:hAnsi="Arial"/>
          <w:sz w:val="17"/>
          <w:szCs w:val="17"/>
          <w:b w:val="1"/>
          <w:bCs w:val="1"/>
          <w:color w:val="auto"/>
        </w:rPr>
        <w:t>LDC</w:t>
      </w:r>
      <w:r>
        <w:rPr>
          <w:rFonts w:ascii="Arial" w:cs="Arial" w:eastAsia="Arial" w:hAnsi="Arial"/>
          <w:sz w:val="17"/>
          <w:szCs w:val="17"/>
          <w:color w:val="auto"/>
        </w:rPr>
        <w:t>” or “Loan Receipt”, the date set forth on the LDC for the first advance of the Loan shall be the commencement date of the Term and the expiry date of the Term shall be adjusted accordingly. The LDC shall constitute an integral part of the Contract and have the equal legal force as the Contract.</w:t>
      </w:r>
    </w:p>
    <w:p>
      <w:pPr>
        <w:spacing w:after="0" w:line="158" w:lineRule="exact"/>
        <w:rPr>
          <w:rFonts w:ascii="Arial" w:cs="Arial" w:eastAsia="Arial" w:hAnsi="Arial"/>
          <w:sz w:val="18"/>
          <w:szCs w:val="18"/>
          <w:b w:val="1"/>
          <w:bCs w:val="1"/>
          <w:color w:val="auto"/>
        </w:rPr>
      </w:pPr>
    </w:p>
    <w:p>
      <w:pPr>
        <w:ind w:left="340" w:right="1740" w:hanging="332"/>
        <w:spacing w:after="0" w:line="503" w:lineRule="auto"/>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 RATE ON THE LOAN, DEFAULT INTEREST RATE, INTEREST CALCULATION AND SETTLEMENT </w:t>
      </w:r>
      <w:r>
        <w:rPr>
          <w:rFonts w:ascii="Arial" w:cs="Arial" w:eastAsia="Arial" w:hAnsi="Arial"/>
          <w:sz w:val="18"/>
          <w:szCs w:val="18"/>
          <w:color w:val="auto"/>
        </w:rPr>
        <w:t>4.1 Interest Rate on the Loan (the “</w:t>
      </w:r>
      <w:r>
        <w:rPr>
          <w:rFonts w:ascii="Arial" w:cs="Arial" w:eastAsia="Arial" w:hAnsi="Arial"/>
          <w:sz w:val="18"/>
          <w:szCs w:val="18"/>
          <w:b w:val="1"/>
          <w:bCs w:val="1"/>
          <w:color w:val="auto"/>
        </w:rPr>
        <w:t>Loan Rate</w:t>
      </w:r>
      <w:r>
        <w:rPr>
          <w:rFonts w:ascii="Arial" w:cs="Arial" w:eastAsia="Arial" w:hAnsi="Arial"/>
          <w:sz w:val="18"/>
          <w:szCs w:val="18"/>
          <w:color w:val="auto"/>
        </w:rPr>
        <w:t>”)</w:t>
      </w:r>
    </w:p>
    <w:p>
      <w:pPr>
        <w:ind w:left="840"/>
        <w:spacing w:after="0"/>
        <w:rPr>
          <w:rFonts w:ascii="Arial" w:cs="Arial" w:eastAsia="Arial" w:hAnsi="Arial"/>
          <w:sz w:val="18"/>
          <w:szCs w:val="18"/>
          <w:b w:val="1"/>
          <w:bCs w:val="1"/>
          <w:color w:val="auto"/>
        </w:rPr>
      </w:pPr>
      <w:r>
        <w:rPr>
          <w:rFonts w:ascii="Arial" w:cs="Arial" w:eastAsia="Arial" w:hAnsi="Arial"/>
          <w:sz w:val="18"/>
          <w:szCs w:val="18"/>
          <w:color w:val="auto"/>
        </w:rPr>
        <w:t>The Loan Rate hereunder shall be an annual rate set forth in item (2) below:</w:t>
      </w:r>
    </w:p>
    <w:p>
      <w:pPr>
        <w:spacing w:after="0" w:line="225" w:lineRule="exact"/>
        <w:rPr>
          <w:sz w:val="20"/>
          <w:szCs w:val="20"/>
          <w:color w:val="auto"/>
        </w:rPr>
      </w:pPr>
    </w:p>
    <w:p>
      <w:pPr>
        <w:ind w:left="820"/>
        <w:spacing w:after="0"/>
        <w:tabs>
          <w:tab w:leader="none" w:pos="3700" w:val="left"/>
        </w:tabs>
        <w:rPr>
          <w:sz w:val="20"/>
          <w:szCs w:val="20"/>
          <w:color w:val="auto"/>
        </w:rPr>
      </w:pPr>
      <w:r>
        <w:rPr>
          <w:rFonts w:ascii="Arial" w:cs="Arial" w:eastAsia="Arial" w:hAnsi="Arial"/>
          <w:sz w:val="18"/>
          <w:szCs w:val="18"/>
          <w:color w:val="auto"/>
        </w:rPr>
        <w:t>(1)  a fixed interest rate of</w:t>
      </w:r>
      <w:r>
        <w:rPr>
          <w:sz w:val="20"/>
          <w:szCs w:val="20"/>
          <w:color w:val="auto"/>
        </w:rPr>
        <w:tab/>
      </w:r>
      <w:r>
        <w:rPr>
          <w:rFonts w:ascii="Arial" w:cs="Arial" w:eastAsia="Arial" w:hAnsi="Arial"/>
          <w:sz w:val="16"/>
          <w:szCs w:val="16"/>
          <w:color w:val="auto"/>
        </w:rPr>
        <w:t>% which shall remain the same during the Term;</w:t>
      </w:r>
    </w:p>
    <w:p>
      <w:pPr>
        <w:spacing w:after="0" w:line="221" w:lineRule="exact"/>
        <w:rPr>
          <w:sz w:val="20"/>
          <w:szCs w:val="20"/>
          <w:color w:val="auto"/>
        </w:rPr>
      </w:pPr>
    </w:p>
    <w:p>
      <w:pPr>
        <w:ind w:left="1140" w:right="20" w:hanging="322"/>
        <w:spacing w:after="0" w:line="282" w:lineRule="auto"/>
        <w:tabs>
          <w:tab w:leader="none" w:pos="1147"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[See Schedule A] </w:t>
      </w:r>
      <w:r>
        <w:rPr>
          <w:rFonts w:ascii="Arial" w:cs="Arial" w:eastAsia="Arial" w:hAnsi="Arial"/>
          <w:sz w:val="18"/>
          <w:szCs w:val="18"/>
          <w:color w:val="auto"/>
        </w:rPr>
        <w:t>on the date when interest commences to accrue (the “</w:t>
      </w:r>
      <w:r>
        <w:rPr>
          <w:rFonts w:ascii="Arial" w:cs="Arial" w:eastAsia="Arial" w:hAnsi="Arial"/>
          <w:sz w:val="18"/>
          <w:szCs w:val="18"/>
          <w:b w:val="1"/>
          <w:bCs w:val="1"/>
          <w:color w:val="auto"/>
        </w:rPr>
        <w:t>Interest Commencement Date</w:t>
      </w:r>
      <w:r>
        <w:rPr>
          <w:rFonts w:ascii="Arial" w:cs="Arial" w:eastAsia="Arial" w:hAnsi="Arial"/>
          <w:sz w:val="18"/>
          <w:szCs w:val="18"/>
          <w:color w:val="auto"/>
        </w:rPr>
        <w:t>”). Such interest rate shall remain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during the Term; or</w:t>
      </w:r>
    </w:p>
    <w:p>
      <w:pPr>
        <w:spacing w:after="0" w:line="162" w:lineRule="exact"/>
        <w:rPr>
          <w:sz w:val="20"/>
          <w:szCs w:val="20"/>
          <w:color w:val="auto"/>
        </w:rPr>
      </w:pPr>
    </w:p>
    <w:p>
      <w:pPr>
        <w:ind w:left="1140" w:right="40" w:hanging="323"/>
        <w:spacing w:after="0" w:line="272" w:lineRule="auto"/>
        <w:rPr>
          <w:sz w:val="20"/>
          <w:szCs w:val="20"/>
          <w:color w:val="auto"/>
        </w:rPr>
      </w:pPr>
      <w:r>
        <w:rPr>
          <w:rFonts w:ascii="Arial" w:cs="Arial" w:eastAsia="Arial" w:hAnsi="Arial"/>
          <w:sz w:val="18"/>
          <w:szCs w:val="18"/>
          <w:color w:val="auto"/>
        </w:rPr>
        <w:t>(3) a floating interest rate equal to</w:t>
      </w:r>
      <w:r>
        <w:rPr>
          <w:sz w:val="20"/>
          <w:szCs w:val="20"/>
          <w:color w:val="auto"/>
        </w:rPr>
        <w:t xml:space="preserve"> </w:t>
      </w:r>
      <w:r>
        <w:rPr>
          <w:rFonts w:ascii="Arial" w:cs="Arial" w:eastAsia="Arial" w:hAnsi="Arial"/>
          <w:sz w:val="17"/>
          <w:szCs w:val="17"/>
          <w:color w:val="auto"/>
        </w:rPr>
        <w:t>(100% a floating percentage of %) (the “</w:t>
      </w:r>
      <w:r>
        <w:rPr>
          <w:rFonts w:ascii="Arial" w:cs="Arial" w:eastAsia="Arial" w:hAnsi="Arial"/>
          <w:sz w:val="17"/>
          <w:szCs w:val="17"/>
          <w:b w:val="1"/>
          <w:bCs w:val="1"/>
          <w:color w:val="auto"/>
        </w:rPr>
        <w:t>Floating Percentage</w:t>
      </w:r>
      <w:r>
        <w:rPr>
          <w:rFonts w:ascii="Arial" w:cs="Arial" w:eastAsia="Arial" w:hAnsi="Arial"/>
          <w:sz w:val="17"/>
          <w:szCs w:val="17"/>
          <w:color w:val="auto"/>
        </w:rPr>
        <w:t>”) of the Base Rate (as defined below) on the date when interest commences to accrue (the “</w:t>
      </w:r>
      <w:r>
        <w:rPr>
          <w:rFonts w:ascii="Arial" w:cs="Arial" w:eastAsia="Arial" w:hAnsi="Arial"/>
          <w:sz w:val="17"/>
          <w:szCs w:val="17"/>
          <w:b w:val="1"/>
          <w:bCs w:val="1"/>
          <w:color w:val="auto"/>
        </w:rPr>
        <w:t>Interest Commencement Date</w:t>
      </w:r>
      <w:r>
        <w:rPr>
          <w:rFonts w:ascii="Arial" w:cs="Arial" w:eastAsia="Arial" w:hAnsi="Arial"/>
          <w:sz w:val="17"/>
          <w:szCs w:val="17"/>
          <w:color w:val="auto"/>
        </w:rPr>
        <w:t>”). The Loan Rate shall, during the period between the Interest Commencement Date and the date when all the principal amount and interest accrued thereon under the Contract have been fully</w:t>
      </w:r>
    </w:p>
    <w:p>
      <w:pPr>
        <w:spacing w:after="0" w:line="2" w:lineRule="exact"/>
        <w:rPr>
          <w:sz w:val="20"/>
          <w:szCs w:val="20"/>
          <w:color w:val="auto"/>
        </w:rPr>
      </w:pPr>
    </w:p>
    <w:p>
      <w:pPr>
        <w:ind w:left="1140"/>
        <w:spacing w:after="0" w:line="261" w:lineRule="auto"/>
        <w:rPr>
          <w:sz w:val="20"/>
          <w:szCs w:val="20"/>
          <w:color w:val="auto"/>
        </w:rPr>
      </w:pPr>
      <w:r>
        <w:rPr>
          <w:rFonts w:ascii="Arial" w:cs="Arial" w:eastAsia="Arial" w:hAnsi="Arial"/>
          <w:sz w:val="18"/>
          <w:szCs w:val="18"/>
          <w:color w:val="auto"/>
        </w:rPr>
        <w:t>repaid, be adjusted once every months in accordance with the Base Rate on the interest rate adjustment date and the Floating Percentage. The interest rate adjustment date shall be a date corresponding to the Interest</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78" w:right="339" w:bottom="1440" w:gutter="0" w:footer="0" w:header="0"/>
        </w:sectPr>
      </w:pPr>
    </w:p>
    <w:bookmarkStart w:id="48" w:name="page49"/>
    <w:bookmarkEnd w:id="48"/>
    <w:p>
      <w:pPr>
        <w:ind w:left="800" w:right="340"/>
        <w:spacing w:after="0" w:line="277" w:lineRule="auto"/>
        <w:rPr>
          <w:sz w:val="20"/>
          <w:szCs w:val="20"/>
          <w:color w:val="auto"/>
        </w:rPr>
      </w:pPr>
      <w:r>
        <w:rPr>
          <w:rFonts w:ascii="Arial" w:cs="Arial" w:eastAsia="Arial" w:hAnsi="Arial"/>
          <w:sz w:val="18"/>
          <w:szCs w:val="18"/>
          <w:color w:val="auto"/>
        </w:rPr>
        <w:t>Commencement Date in the month when such interest is adjusted. If there is no such a date corresponding to the Interest Commencement Date in such month, the adjustment date for the interest rate shall be the last day of such month.</w:t>
      </w:r>
    </w:p>
    <w:p>
      <w:pPr>
        <w:spacing w:after="0" w:line="17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Default Interest Rate</w:t>
      </w:r>
    </w:p>
    <w:p>
      <w:pPr>
        <w:spacing w:after="0" w:line="221" w:lineRule="exact"/>
        <w:rPr>
          <w:sz w:val="20"/>
          <w:szCs w:val="20"/>
          <w:color w:val="auto"/>
        </w:rPr>
      </w:pPr>
    </w:p>
    <w:p>
      <w:pPr>
        <w:ind w:left="800" w:hanging="322"/>
        <w:spacing w:after="0" w:line="289" w:lineRule="auto"/>
        <w:tabs>
          <w:tab w:leader="none" w:pos="807"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Party A does not use the Loan hereunder for purposes set forth herein (“</w:t>
      </w:r>
      <w:r>
        <w:rPr>
          <w:rFonts w:ascii="Arial" w:cs="Arial" w:eastAsia="Arial" w:hAnsi="Arial"/>
          <w:sz w:val="17"/>
          <w:szCs w:val="17"/>
          <w:b w:val="1"/>
          <w:bCs w:val="1"/>
          <w:color w:val="auto"/>
        </w:rPr>
        <w:t>Misappropriation</w:t>
      </w:r>
      <w:r>
        <w:rPr>
          <w:rFonts w:ascii="Arial" w:cs="Arial" w:eastAsia="Arial" w:hAnsi="Arial"/>
          <w:sz w:val="17"/>
          <w:szCs w:val="17"/>
          <w:color w:val="auto"/>
        </w:rPr>
        <w:t>”), the default interest rate on such Loan shall be (100% plus 100%) of the Loan Rate. If the Loan Rate is adjusted according to Article 4.1 (3) above, the default interest rate shall be adjusted in accordance with the adjusted Loan Rate and the upward floating percentage set out in this Article 4.2 (1).</w:t>
      </w:r>
    </w:p>
    <w:p>
      <w:pPr>
        <w:spacing w:after="0" w:line="162" w:lineRule="exact"/>
        <w:rPr>
          <w:rFonts w:ascii="Arial" w:cs="Arial" w:eastAsia="Arial" w:hAnsi="Arial"/>
          <w:sz w:val="17"/>
          <w:szCs w:val="17"/>
          <w:color w:val="auto"/>
        </w:rPr>
      </w:pPr>
    </w:p>
    <w:p>
      <w:pPr>
        <w:ind w:left="800" w:hanging="322"/>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default interest rate on overdue Loan shall be (100% plus 50 %) of the Loan Rate. If the Loan Rate is adjusted according to Article 4.1</w:t>
      </w:r>
    </w:p>
    <w:p>
      <w:pPr>
        <w:spacing w:after="0" w:line="46" w:lineRule="exact"/>
        <w:rPr>
          <w:rFonts w:ascii="Arial" w:cs="Arial" w:eastAsia="Arial" w:hAnsi="Arial"/>
          <w:sz w:val="16"/>
          <w:szCs w:val="16"/>
          <w:color w:val="auto"/>
        </w:rPr>
      </w:pPr>
    </w:p>
    <w:p>
      <w:pPr>
        <w:ind w:left="800" w:right="60"/>
        <w:spacing w:after="0" w:line="261" w:lineRule="auto"/>
        <w:rPr>
          <w:rFonts w:ascii="Arial" w:cs="Arial" w:eastAsia="Arial" w:hAnsi="Arial"/>
          <w:sz w:val="16"/>
          <w:szCs w:val="16"/>
          <w:color w:val="auto"/>
        </w:rPr>
      </w:pPr>
      <w:r>
        <w:rPr>
          <w:rFonts w:ascii="Arial" w:cs="Arial" w:eastAsia="Arial" w:hAnsi="Arial"/>
          <w:sz w:val="18"/>
          <w:szCs w:val="18"/>
          <w:color w:val="auto"/>
        </w:rPr>
        <w:t>(3) above, such default interest rate shall be adjusted in accordance with the adjusted Loan Rate and the upward floating percentage set out in this Article 4.2 (2).</w:t>
      </w:r>
    </w:p>
    <w:p>
      <w:pPr>
        <w:spacing w:after="0" w:line="183" w:lineRule="exact"/>
        <w:rPr>
          <w:rFonts w:ascii="Arial" w:cs="Arial" w:eastAsia="Arial" w:hAnsi="Arial"/>
          <w:sz w:val="16"/>
          <w:szCs w:val="16"/>
          <w:color w:val="auto"/>
        </w:rPr>
      </w:pPr>
    </w:p>
    <w:p>
      <w:pPr>
        <w:ind w:left="800" w:right="80" w:hanging="322"/>
        <w:spacing w:after="0" w:line="277" w:lineRule="auto"/>
        <w:tabs>
          <w:tab w:leader="none" w:pos="8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Misappropriation and overdue payment occur concurrently, the default interest shall be calculated and compounded in accordance with the higher of the two default interest rates provided for in Articles 4.2(1) and 4.2(2) herein.</w:t>
      </w:r>
    </w:p>
    <w:p>
      <w:pPr>
        <w:spacing w:after="0" w:line="170" w:lineRule="exact"/>
        <w:rPr>
          <w:sz w:val="20"/>
          <w:szCs w:val="20"/>
          <w:color w:val="auto"/>
        </w:rPr>
      </w:pPr>
    </w:p>
    <w:p>
      <w:pPr>
        <w:ind w:left="400" w:right="160" w:hanging="404"/>
        <w:spacing w:after="0" w:line="277" w:lineRule="auto"/>
        <w:tabs>
          <w:tab w:leader="none" w:pos="380" w:val="left"/>
        </w:tabs>
        <w:rPr>
          <w:sz w:val="20"/>
          <w:szCs w:val="20"/>
          <w:color w:val="auto"/>
        </w:rPr>
      </w:pPr>
      <w:r>
        <w:rPr>
          <w:rFonts w:ascii="Arial" w:cs="Arial" w:eastAsia="Arial" w:hAnsi="Arial"/>
          <w:sz w:val="18"/>
          <w:szCs w:val="18"/>
          <w:color w:val="auto"/>
        </w:rPr>
        <w:t>4.3</w:t>
        <w:tab/>
        <w:t>The Interest Commencement Date provided in this Article 4 refers to the date on which the proceeds of the first advance have been deposited into the loan disbursement account designated in Article 6 (the “</w:t>
      </w:r>
      <w:r>
        <w:rPr>
          <w:rFonts w:ascii="Arial" w:cs="Arial" w:eastAsia="Arial" w:hAnsi="Arial"/>
          <w:sz w:val="18"/>
          <w:szCs w:val="18"/>
          <w:b w:val="1"/>
          <w:bCs w:val="1"/>
          <w:color w:val="auto"/>
        </w:rPr>
        <w:t>Loan Disbursement Account</w:t>
      </w:r>
      <w:r>
        <w:rPr>
          <w:rFonts w:ascii="Arial" w:cs="Arial" w:eastAsia="Arial" w:hAnsi="Arial"/>
          <w:sz w:val="18"/>
          <w:szCs w:val="18"/>
          <w:color w:val="auto"/>
        </w:rPr>
        <w:t>”).</w:t>
      </w:r>
    </w:p>
    <w:p>
      <w:pPr>
        <w:spacing w:after="0" w:line="166" w:lineRule="exact"/>
        <w:rPr>
          <w:sz w:val="20"/>
          <w:szCs w:val="20"/>
          <w:color w:val="auto"/>
        </w:rPr>
      </w:pPr>
    </w:p>
    <w:p>
      <w:pPr>
        <w:ind w:left="500" w:right="40" w:firstLine="2"/>
        <w:spacing w:after="0" w:line="255" w:lineRule="auto"/>
        <w:rPr>
          <w:sz w:val="20"/>
          <w:szCs w:val="20"/>
          <w:color w:val="auto"/>
        </w:rPr>
      </w:pPr>
      <w:r>
        <w:rPr>
          <w:rFonts w:ascii="Arial" w:cs="Arial" w:eastAsia="Arial" w:hAnsi="Arial"/>
          <w:sz w:val="18"/>
          <w:szCs w:val="18"/>
          <w:color w:val="auto"/>
        </w:rPr>
        <w:t>For the first advance of the Loan, the Base Rate refers to the lending interest rate quoted by the People’s Bank of China (the “</w:t>
      </w:r>
      <w:r>
        <w:rPr>
          <w:rFonts w:ascii="Arial" w:cs="Arial" w:eastAsia="Arial" w:hAnsi="Arial"/>
          <w:sz w:val="18"/>
          <w:szCs w:val="18"/>
          <w:b w:val="1"/>
          <w:bCs w:val="1"/>
          <w:color w:val="auto"/>
        </w:rPr>
        <w:t>PBOC</w:t>
      </w:r>
      <w:r>
        <w:rPr>
          <w:rFonts w:ascii="Arial" w:cs="Arial" w:eastAsia="Arial" w:hAnsi="Arial"/>
          <w:sz w:val="18"/>
          <w:szCs w:val="18"/>
          <w:color w:val="auto"/>
        </w:rPr>
        <w:t>”) on the Interest Commencement Date for loans with the same tenor and within the same category. If the lending interest rate on other advances of the Loan is adjusted in accordance with Article 4.1 (3), the Base Rate refers to the lending interest rate quoted by the PBOC on the interest rate adjustment date for loans with the same tenor and within the same category. If the PBOC no longer publishes such lending interest rate, the Base Rate shall mean, unless agreed otherwise between the parties, the lending interest rate with the same tenor and within the same category generally accepted by the banking industry on the interest rate adjustment date or an interest rate commonly used for a loan with the same tenor and within the same category.</w:t>
      </w:r>
    </w:p>
    <w:p>
      <w:pPr>
        <w:spacing w:after="0" w:line="193" w:lineRule="exact"/>
        <w:rPr>
          <w:sz w:val="20"/>
          <w:szCs w:val="20"/>
          <w:color w:val="auto"/>
        </w:rPr>
      </w:pPr>
    </w:p>
    <w:p>
      <w:pPr>
        <w:ind w:left="400" w:right="20" w:hanging="404"/>
        <w:spacing w:after="0" w:line="259" w:lineRule="auto"/>
        <w:tabs>
          <w:tab w:leader="none" w:pos="380" w:val="left"/>
        </w:tabs>
        <w:rPr>
          <w:sz w:val="20"/>
          <w:szCs w:val="20"/>
          <w:color w:val="auto"/>
        </w:rPr>
      </w:pPr>
      <w:r>
        <w:rPr>
          <w:rFonts w:ascii="Arial" w:cs="Arial" w:eastAsia="Arial" w:hAnsi="Arial"/>
          <w:sz w:val="18"/>
          <w:szCs w:val="18"/>
          <w:color w:val="auto"/>
        </w:rPr>
        <w:t>4.4</w:t>
        <w:tab/>
        <w:t>The interest on the Loan shall commence to accrue as of the date when such Loan proceeds have been deposited into the Loan Disbursement Account designated by Party A. Interest on the Loan shall be computed daily with the daily interest rate equal to 1/360 of the annual interest rate. If Party A can not pay interest on the interest settlement date as provided herein, the interest shall be compounded as of the date immediately following the applicable interest settlement date.</w:t>
      </w:r>
    </w:p>
    <w:p>
      <w:pPr>
        <w:spacing w:after="0" w:line="18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5"/>
          <w:szCs w:val="15"/>
          <w:color w:val="auto"/>
        </w:rPr>
        <w:t>Interest Settlement</w:t>
      </w:r>
    </w:p>
    <w:p>
      <w:pPr>
        <w:spacing w:after="0" w:line="225" w:lineRule="exact"/>
        <w:rPr>
          <w:sz w:val="20"/>
          <w:szCs w:val="20"/>
          <w:color w:val="auto"/>
        </w:rPr>
      </w:pPr>
    </w:p>
    <w:p>
      <w:pPr>
        <w:jc w:val="both"/>
        <w:ind w:left="1080" w:hanging="485"/>
        <w:spacing w:after="0" w:line="264" w:lineRule="auto"/>
        <w:tabs>
          <w:tab w:leader="none" w:pos="1089"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a loan subject to a fixed interest rate, the interest accrued thereon shall be calculated in accordance with the agreed fixed interest rate. For a loan subject to a floating interest rate, the interest accrued thereon shall be calculated in accordance with the interest rate determined for each interest rate floating period. If the interest rate has been adjusted more</w:t>
      </w:r>
    </w:p>
    <w:p>
      <w:pPr>
        <w:spacing w:after="0" w:line="39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580" w:top="881" w:right="279" w:bottom="1440" w:gutter="0" w:footer="0" w:header="0"/>
        </w:sectPr>
      </w:pPr>
    </w:p>
    <w:bookmarkStart w:id="49" w:name="page50"/>
    <w:bookmarkEnd w:id="49"/>
    <w:p>
      <w:pPr>
        <w:ind w:left="1292"/>
        <w:spacing w:after="0" w:line="264" w:lineRule="auto"/>
        <w:rPr>
          <w:sz w:val="20"/>
          <w:szCs w:val="20"/>
          <w:color w:val="auto"/>
        </w:rPr>
      </w:pPr>
      <w:r>
        <w:rPr>
          <w:rFonts w:ascii="Arial" w:cs="Arial" w:eastAsia="Arial" w:hAnsi="Arial"/>
          <w:sz w:val="18"/>
          <w:szCs w:val="18"/>
          <w:color w:val="auto"/>
        </w:rPr>
        <w:t>than once during a single interest settlement period, the interest during each interest rate floating period shall be calculated first and the total interest accrued during such interest settlement period shall be the aggregate amount of all the interest accrued during each interest rate floating period within such interest settlement period.</w:t>
      </w:r>
    </w:p>
    <w:p>
      <w:pPr>
        <w:spacing w:after="0" w:line="181" w:lineRule="exact"/>
        <w:rPr>
          <w:sz w:val="20"/>
          <w:szCs w:val="20"/>
          <w:color w:val="auto"/>
        </w:rPr>
      </w:pPr>
    </w:p>
    <w:p>
      <w:pPr>
        <w:ind w:left="1272" w:hanging="345"/>
        <w:spacing w:after="0"/>
        <w:tabs>
          <w:tab w:leader="none" w:pos="12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interest accrued on the Loan hereunder shall be settled in accordance with (i) of the following:</w:t>
      </w:r>
    </w:p>
    <w:p>
      <w:pPr>
        <w:spacing w:after="0" w:line="225" w:lineRule="exact"/>
        <w:rPr>
          <w:rFonts w:ascii="Arial" w:cs="Arial" w:eastAsia="Arial" w:hAnsi="Arial"/>
          <w:sz w:val="18"/>
          <w:szCs w:val="18"/>
          <w:color w:val="auto"/>
        </w:rPr>
      </w:pPr>
    </w:p>
    <w:p>
      <w:pPr>
        <w:ind w:left="1712" w:hanging="419"/>
        <w:spacing w:after="0"/>
        <w:tabs>
          <w:tab w:leader="none" w:pos="1712" w:val="left"/>
        </w:tabs>
        <w:numPr>
          <w:ilvl w:val="1"/>
          <w:numId w:val="25"/>
        </w:numPr>
        <w:rPr>
          <w:rFonts w:ascii="Arial" w:cs="Arial" w:eastAsia="Arial" w:hAnsi="Arial"/>
          <w:sz w:val="18"/>
          <w:szCs w:val="18"/>
          <w:color w:val="auto"/>
        </w:rPr>
      </w:pPr>
      <w:r>
        <w:rPr>
          <w:rFonts w:ascii="Arial" w:cs="Arial" w:eastAsia="Arial" w:hAnsi="Arial"/>
          <w:sz w:val="18"/>
          <w:szCs w:val="18"/>
          <w:color w:val="auto"/>
        </w:rPr>
        <w:t>on a monthly basis and the interest settlement date shall be the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each month;</w:t>
      </w:r>
    </w:p>
    <w:p>
      <w:pPr>
        <w:spacing w:after="0" w:line="167" w:lineRule="exact"/>
        <w:rPr>
          <w:rFonts w:ascii="Arial" w:cs="Arial" w:eastAsia="Arial" w:hAnsi="Arial"/>
          <w:sz w:val="18"/>
          <w:szCs w:val="18"/>
          <w:color w:val="auto"/>
        </w:rPr>
      </w:pPr>
    </w:p>
    <w:p>
      <w:pPr>
        <w:ind w:left="1732" w:hanging="435"/>
        <w:spacing w:after="0"/>
        <w:tabs>
          <w:tab w:leader="none" w:pos="1732" w:val="left"/>
        </w:tabs>
        <w:numPr>
          <w:ilvl w:val="1"/>
          <w:numId w:val="25"/>
        </w:numPr>
        <w:rPr>
          <w:rFonts w:ascii="Arial" w:cs="Arial" w:eastAsia="Arial" w:hAnsi="Arial"/>
          <w:sz w:val="18"/>
          <w:szCs w:val="18"/>
          <w:color w:val="auto"/>
        </w:rPr>
      </w:pPr>
      <w:r>
        <w:rPr>
          <w:rFonts w:ascii="Arial" w:cs="Arial" w:eastAsia="Arial" w:hAnsi="Arial"/>
          <w:sz w:val="18"/>
          <w:szCs w:val="18"/>
          <w:color w:val="auto"/>
        </w:rPr>
        <w:t>on a quarterly basis and the interest settlement date shall be the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the last month of the relevant quarter;</w:t>
      </w:r>
    </w:p>
    <w:p>
      <w:pPr>
        <w:spacing w:after="0" w:line="168" w:lineRule="exact"/>
        <w:rPr>
          <w:sz w:val="20"/>
          <w:szCs w:val="20"/>
          <w:color w:val="auto"/>
        </w:rPr>
      </w:pPr>
    </w:p>
    <w:p>
      <w:pPr>
        <w:ind w:left="1292"/>
        <w:spacing w:after="0"/>
        <w:tabs>
          <w:tab w:leader="none" w:pos="1732" w:val="left"/>
          <w:tab w:leader="none" w:pos="4792" w:val="left"/>
        </w:tabs>
        <w:rPr>
          <w:sz w:val="20"/>
          <w:szCs w:val="20"/>
          <w:color w:val="auto"/>
        </w:rPr>
      </w:pPr>
      <w:r>
        <w:rPr>
          <w:rFonts w:ascii="Arial" w:cs="Arial" w:eastAsia="Arial" w:hAnsi="Arial"/>
          <w:sz w:val="18"/>
          <w:szCs w:val="18"/>
          <w:color w:val="auto"/>
        </w:rPr>
        <w:t>(iii)</w:t>
        <w:tab/>
        <w:t>other method:</w:t>
      </w:r>
      <w:r>
        <w:rPr>
          <w:sz w:val="20"/>
          <w:szCs w:val="20"/>
          <w:color w:val="auto"/>
        </w:rPr>
        <w:tab/>
      </w:r>
      <w:r>
        <w:rPr>
          <w:rFonts w:ascii="Arial" w:cs="Arial" w:eastAsia="Arial" w:hAnsi="Arial"/>
          <w:sz w:val="14"/>
          <w:szCs w:val="14"/>
          <w:color w:val="auto"/>
        </w:rPr>
        <w:t>.</w:t>
      </w:r>
    </w:p>
    <w:p>
      <w:pPr>
        <w:spacing w:after="0" w:line="221" w:lineRule="exact"/>
        <w:rPr>
          <w:sz w:val="20"/>
          <w:szCs w:val="20"/>
          <w:color w:val="auto"/>
        </w:rPr>
      </w:pPr>
    </w:p>
    <w:p>
      <w:pPr>
        <w:ind w:left="332" w:hanging="332"/>
        <w:spacing w:after="0"/>
        <w:tabs>
          <w:tab w:leader="none" w:pos="33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ADVANCE AND DRAWDOWN</w:t>
      </w:r>
    </w:p>
    <w:p>
      <w:pPr>
        <w:spacing w:after="0" w:line="229"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5.1 Conditions Precedent to Advance</w:t>
      </w:r>
    </w:p>
    <w:p>
      <w:pPr>
        <w:spacing w:after="0" w:line="225" w:lineRule="exact"/>
        <w:rPr>
          <w:sz w:val="20"/>
          <w:szCs w:val="20"/>
          <w:color w:val="auto"/>
        </w:rPr>
      </w:pPr>
    </w:p>
    <w:p>
      <w:pPr>
        <w:ind w:left="812" w:right="660"/>
        <w:spacing w:after="0" w:line="277" w:lineRule="auto"/>
        <w:rPr>
          <w:sz w:val="20"/>
          <w:szCs w:val="20"/>
          <w:color w:val="auto"/>
        </w:rPr>
      </w:pPr>
      <w:r>
        <w:rPr>
          <w:rFonts w:ascii="Arial" w:cs="Arial" w:eastAsia="Arial" w:hAnsi="Arial"/>
          <w:sz w:val="18"/>
          <w:szCs w:val="18"/>
          <w:color w:val="auto"/>
        </w:rPr>
        <w:t>Unless Party B waives all or part of the following conditions, Party B shall be obligated to advance any amount of the Loan only if all the following conditions continuously remain satisfied:</w:t>
      </w:r>
    </w:p>
    <w:p>
      <w:pPr>
        <w:spacing w:after="0" w:line="170" w:lineRule="exact"/>
        <w:rPr>
          <w:sz w:val="20"/>
          <w:szCs w:val="20"/>
          <w:color w:val="auto"/>
        </w:rPr>
      </w:pPr>
    </w:p>
    <w:p>
      <w:pPr>
        <w:ind w:left="1312" w:hanging="502"/>
        <w:spacing w:after="0"/>
        <w:tabs>
          <w:tab w:leader="none" w:pos="1312" w:val="left"/>
        </w:tabs>
        <w:numPr>
          <w:ilvl w:val="0"/>
          <w:numId w:val="27"/>
        </w:numPr>
        <w:rPr>
          <w:rFonts w:ascii="Arial" w:cs="Arial" w:eastAsia="Arial" w:hAnsi="Arial"/>
          <w:sz w:val="16"/>
          <w:szCs w:val="16"/>
          <w:color w:val="auto"/>
        </w:rPr>
      </w:pPr>
      <w:r>
        <w:rPr>
          <w:rFonts w:ascii="Arial" w:cs="Arial" w:eastAsia="Arial" w:hAnsi="Arial"/>
          <w:sz w:val="16"/>
          <w:szCs w:val="16"/>
          <w:color w:val="auto"/>
        </w:rPr>
        <w:t>Party A has completed all the approval, registration, delivery, insurance and other statutory procedures in relation to the Loan hereunder;</w:t>
      </w:r>
    </w:p>
    <w:p>
      <w:pPr>
        <w:spacing w:after="0" w:line="248" w:lineRule="exact"/>
        <w:rPr>
          <w:rFonts w:ascii="Arial" w:cs="Arial" w:eastAsia="Arial" w:hAnsi="Arial"/>
          <w:sz w:val="16"/>
          <w:szCs w:val="16"/>
          <w:color w:val="auto"/>
        </w:rPr>
      </w:pPr>
    </w:p>
    <w:p>
      <w:pPr>
        <w:ind w:left="1312" w:hanging="502"/>
        <w:spacing w:after="0"/>
        <w:tabs>
          <w:tab w:leader="none" w:pos="13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security has become and remains effective, if a security is established for the Contract;</w:t>
      </w:r>
    </w:p>
    <w:p>
      <w:pPr>
        <w:spacing w:after="0" w:line="225" w:lineRule="exact"/>
        <w:rPr>
          <w:rFonts w:ascii="Arial" w:cs="Arial" w:eastAsia="Arial" w:hAnsi="Arial"/>
          <w:sz w:val="18"/>
          <w:szCs w:val="18"/>
          <w:color w:val="auto"/>
        </w:rPr>
      </w:pPr>
    </w:p>
    <w:p>
      <w:pPr>
        <w:ind w:left="1312" w:hanging="502"/>
        <w:spacing w:after="0"/>
        <w:tabs>
          <w:tab w:leader="none" w:pos="13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Party A has opened the bank accounts for drawdown and debt service purposes as Party B requests;</w:t>
      </w:r>
    </w:p>
    <w:p>
      <w:pPr>
        <w:spacing w:after="0" w:line="225" w:lineRule="exact"/>
        <w:rPr>
          <w:rFonts w:ascii="Arial" w:cs="Arial" w:eastAsia="Arial" w:hAnsi="Arial"/>
          <w:sz w:val="18"/>
          <w:szCs w:val="18"/>
          <w:color w:val="auto"/>
        </w:rPr>
      </w:pPr>
    </w:p>
    <w:p>
      <w:pPr>
        <w:ind w:left="1312" w:hanging="502"/>
        <w:spacing w:after="0"/>
        <w:tabs>
          <w:tab w:leader="none" w:pos="13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Party A has not triggered any event of default hereunder;</w:t>
      </w:r>
    </w:p>
    <w:p>
      <w:pPr>
        <w:spacing w:after="0" w:line="225" w:lineRule="exact"/>
        <w:rPr>
          <w:rFonts w:ascii="Arial" w:cs="Arial" w:eastAsia="Arial" w:hAnsi="Arial"/>
          <w:sz w:val="18"/>
          <w:szCs w:val="18"/>
          <w:color w:val="auto"/>
        </w:rPr>
      </w:pPr>
    </w:p>
    <w:p>
      <w:pPr>
        <w:ind w:left="1312" w:hanging="502"/>
        <w:spacing w:after="0"/>
        <w:tabs>
          <w:tab w:leader="none" w:pos="13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event has occurred that may adversely impact Party B’s rights as a creditor;</w:t>
      </w:r>
    </w:p>
    <w:p>
      <w:pPr>
        <w:spacing w:after="0" w:line="225" w:lineRule="exact"/>
        <w:rPr>
          <w:rFonts w:ascii="Arial" w:cs="Arial" w:eastAsia="Arial" w:hAnsi="Arial"/>
          <w:sz w:val="18"/>
          <w:szCs w:val="18"/>
          <w:color w:val="auto"/>
        </w:rPr>
      </w:pPr>
    </w:p>
    <w:p>
      <w:pPr>
        <w:ind w:left="1312" w:hanging="502"/>
        <w:spacing w:after="0"/>
        <w:tabs>
          <w:tab w:leader="none" w:pos="13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advance to be made by Party B is not prohibited or restricted by any laws, regulations, rules or competent authorities; and</w:t>
      </w:r>
    </w:p>
    <w:p>
      <w:pPr>
        <w:spacing w:after="0" w:line="225" w:lineRule="exact"/>
        <w:rPr>
          <w:rFonts w:ascii="Arial" w:cs="Arial" w:eastAsia="Arial" w:hAnsi="Arial"/>
          <w:sz w:val="18"/>
          <w:szCs w:val="18"/>
          <w:color w:val="auto"/>
        </w:rPr>
      </w:pPr>
    </w:p>
    <w:p>
      <w:pPr>
        <w:ind w:left="1292" w:right="80" w:hanging="482"/>
        <w:spacing w:after="0" w:line="277" w:lineRule="auto"/>
        <w:tabs>
          <w:tab w:leader="none" w:pos="129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financial indicators of Party A shall, at all time, continue to meet the requirements specified in Schedule 2 Terms relating to Mandatory Financial Indicators;</w:t>
      </w:r>
    </w:p>
    <w:p>
      <w:pPr>
        <w:spacing w:after="0" w:line="170" w:lineRule="exact"/>
        <w:rPr>
          <w:rFonts w:ascii="Arial" w:cs="Arial" w:eastAsia="Arial" w:hAnsi="Arial"/>
          <w:sz w:val="18"/>
          <w:szCs w:val="18"/>
          <w:color w:val="auto"/>
        </w:rPr>
      </w:pPr>
    </w:p>
    <w:p>
      <w:pPr>
        <w:ind w:left="1312" w:hanging="502"/>
        <w:spacing w:after="0"/>
        <w:tabs>
          <w:tab w:leader="none" w:pos="13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Party A has submitted such materials as required in this Contract before any loan drawdown;</w:t>
      </w:r>
    </w:p>
    <w:p>
      <w:pPr>
        <w:spacing w:after="0" w:line="225" w:lineRule="exact"/>
        <w:rPr>
          <w:rFonts w:ascii="Arial" w:cs="Arial" w:eastAsia="Arial" w:hAnsi="Arial"/>
          <w:sz w:val="18"/>
          <w:szCs w:val="18"/>
          <w:color w:val="auto"/>
        </w:rPr>
      </w:pPr>
    </w:p>
    <w:p>
      <w:pPr>
        <w:ind w:left="1292" w:right="40" w:hanging="482"/>
        <w:spacing w:after="0" w:line="277" w:lineRule="auto"/>
        <w:tabs>
          <w:tab w:leader="none" w:pos="129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materials submitted by Party A are legal, authenticated, complete, accurate, valid and be in accordance with other requirements of Party B;</w:t>
      </w:r>
    </w:p>
    <w:p>
      <w:pPr>
        <w:spacing w:after="0" w:line="170" w:lineRule="exact"/>
        <w:rPr>
          <w:rFonts w:ascii="Arial" w:cs="Arial" w:eastAsia="Arial" w:hAnsi="Arial"/>
          <w:sz w:val="18"/>
          <w:szCs w:val="18"/>
          <w:color w:val="auto"/>
        </w:rPr>
      </w:pPr>
    </w:p>
    <w:p>
      <w:pPr>
        <w:ind w:left="1312" w:hanging="496"/>
        <w:spacing w:after="0"/>
        <w:tabs>
          <w:tab w:leader="none" w:pos="13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881" w:right="259" w:bottom="1440" w:gutter="0" w:footer="0" w:header="0"/>
        </w:sectPr>
      </w:pPr>
    </w:p>
    <w:bookmarkStart w:id="50" w:name="page51"/>
    <w:bookmarkEnd w:id="50"/>
    <w:p>
      <w:pPr>
        <w:spacing w:after="0"/>
        <w:tabs>
          <w:tab w:leader="none" w:pos="4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Drawdown Schedule</w:t>
      </w:r>
    </w:p>
    <w:p>
      <w:pPr>
        <w:spacing w:after="0" w:line="225" w:lineRule="exact"/>
        <w:rPr>
          <w:sz w:val="20"/>
          <w:szCs w:val="20"/>
          <w:color w:val="auto"/>
        </w:rPr>
      </w:pPr>
    </w:p>
    <w:p>
      <w:pPr>
        <w:ind w:left="480"/>
        <w:spacing w:after="0" w:line="277" w:lineRule="auto"/>
        <w:rPr>
          <w:sz w:val="20"/>
          <w:szCs w:val="20"/>
          <w:color w:val="auto"/>
        </w:rPr>
      </w:pPr>
      <w:r>
        <w:rPr>
          <w:rFonts w:ascii="Arial" w:cs="Arial" w:eastAsia="Arial" w:hAnsi="Arial"/>
          <w:sz w:val="18"/>
          <w:szCs w:val="18"/>
          <w:color w:val="auto"/>
        </w:rPr>
        <w:t>“Drawdown” referred to in this Contract shall mean disbursements by Party B of the funds to the Loan Disbursement Account in accordance with Party A’s Application and this Contract.</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The drawdown schedule hereunder shall be item </w:t>
      </w:r>
      <w:r>
        <w:rPr>
          <w:rFonts w:ascii="Arial" w:cs="Arial" w:eastAsia="Arial" w:hAnsi="Arial"/>
          <w:sz w:val="18"/>
          <w:szCs w:val="18"/>
          <w:b w:val="1"/>
          <w:bCs w:val="1"/>
          <w:color w:val="auto"/>
        </w:rPr>
        <w:t>[see Schedule A]</w:t>
      </w:r>
      <w:r>
        <w:rPr>
          <w:rFonts w:ascii="Arial" w:cs="Arial" w:eastAsia="Arial" w:hAnsi="Arial"/>
          <w:sz w:val="18"/>
          <w:szCs w:val="18"/>
          <w:color w:val="auto"/>
        </w:rPr>
        <w:t xml:space="preserve"> of the following:</w:t>
      </w:r>
    </w:p>
    <w:p>
      <w:pPr>
        <w:spacing w:after="0" w:line="229" w:lineRule="exact"/>
        <w:rPr>
          <w:sz w:val="20"/>
          <w:szCs w:val="20"/>
          <w:color w:val="auto"/>
        </w:rPr>
      </w:pPr>
    </w:p>
    <w:p>
      <w:pPr>
        <w:ind w:left="900" w:hanging="422"/>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drawdown schedule shall be as follows:</w:t>
      </w:r>
    </w:p>
    <w:p>
      <w:pPr>
        <w:spacing w:after="0" w:line="225" w:lineRule="exact"/>
        <w:rPr>
          <w:sz w:val="20"/>
          <w:szCs w:val="20"/>
          <w:color w:val="auto"/>
        </w:rPr>
      </w:pPr>
    </w:p>
    <w:p>
      <w:pPr>
        <w:ind w:left="1660"/>
        <w:spacing w:after="0"/>
        <w:tabs>
          <w:tab w:leader="none" w:pos="8100" w:val="left"/>
        </w:tabs>
        <w:rPr>
          <w:sz w:val="20"/>
          <w:szCs w:val="20"/>
          <w:color w:val="auto"/>
        </w:rPr>
      </w:pPr>
      <w:r>
        <w:rPr>
          <w:rFonts w:ascii="Arial" w:cs="Arial" w:eastAsia="Arial" w:hAnsi="Arial"/>
          <w:sz w:val="18"/>
          <w:szCs w:val="18"/>
          <w:color w:val="auto"/>
        </w:rPr>
        <w:t>Drawdown Date (mm/dd/yyyy)</w:t>
      </w:r>
      <w:r>
        <w:rPr>
          <w:sz w:val="20"/>
          <w:szCs w:val="20"/>
          <w:color w:val="auto"/>
        </w:rPr>
        <w:tab/>
      </w:r>
      <w:r>
        <w:rPr>
          <w:rFonts w:ascii="Arial" w:cs="Arial" w:eastAsia="Arial" w:hAnsi="Arial"/>
          <w:sz w:val="17"/>
          <w:szCs w:val="17"/>
          <w:color w:val="auto"/>
        </w:rPr>
        <w:t>Amount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(ii)</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(iii)</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(iv)</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(v)</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(vi)</w:t>
      </w:r>
    </w:p>
    <w:p>
      <w:pPr>
        <w:spacing w:after="0" w:line="225" w:lineRule="exact"/>
        <w:rPr>
          <w:sz w:val="20"/>
          <w:szCs w:val="20"/>
          <w:color w:val="auto"/>
        </w:rPr>
      </w:pPr>
    </w:p>
    <w:p>
      <w:pPr>
        <w:ind w:left="900" w:hanging="422"/>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drawdown schedule shall be as follows:</w:t>
      </w:r>
    </w:p>
    <w:p>
      <w:pPr>
        <w:spacing w:after="0" w:line="225"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(i) from [</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to [</w:t>
            </w:r>
          </w:p>
        </w:tc>
        <w:tc>
          <w:tcPr>
            <w:tcW w:w="2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ind w:left="100"/>
              <w:spacing w:after="0"/>
              <w:rPr>
                <w:sz w:val="20"/>
                <w:szCs w:val="20"/>
                <w:color w:val="auto"/>
              </w:rPr>
            </w:pPr>
            <w:r>
              <w:rPr>
                <w:rFonts w:ascii="Arial" w:cs="Arial" w:eastAsia="Arial" w:hAnsi="Arial"/>
                <w:sz w:val="18"/>
                <w:szCs w:val="18"/>
                <w:color w:val="auto"/>
              </w:rPr>
              <w:t>Amount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780" w:type="dxa"/>
            <w:vAlign w:val="bottom"/>
          </w:tcPr>
          <w:p>
            <w:pPr>
              <w:ind w:left="1160"/>
              <w:spacing w:after="0"/>
              <w:rPr>
                <w:sz w:val="20"/>
                <w:szCs w:val="20"/>
                <w:color w:val="auto"/>
              </w:rPr>
            </w:pPr>
            <w:r>
              <w:rPr>
                <w:rFonts w:ascii="Arial" w:cs="Arial" w:eastAsia="Arial" w:hAnsi="Arial"/>
                <w:sz w:val="18"/>
                <w:szCs w:val="18"/>
                <w:color w:val="auto"/>
              </w:rPr>
              <w:t>(mm/dd/yyyy)</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60" w:type="dxa"/>
            <w:vAlign w:val="bottom"/>
          </w:tcPr>
          <w:p>
            <w:pPr>
              <w:jc w:val="right"/>
              <w:ind w:right="1570"/>
              <w:spacing w:after="0"/>
              <w:rPr>
                <w:sz w:val="20"/>
                <w:szCs w:val="20"/>
                <w:color w:val="auto"/>
              </w:rPr>
            </w:pPr>
            <w:r>
              <w:rPr>
                <w:rFonts w:ascii="Arial" w:cs="Arial" w:eastAsia="Arial" w:hAnsi="Arial"/>
                <w:sz w:val="18"/>
                <w:szCs w:val="18"/>
                <w:color w:val="auto"/>
                <w:w w:val="99"/>
              </w:rPr>
              <w:t>(mm/dd/yyyy)</w:t>
            </w: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(ii) from [</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to [</w:t>
            </w:r>
          </w:p>
        </w:tc>
        <w:tc>
          <w:tcPr>
            <w:tcW w:w="2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ind w:left="100"/>
              <w:spacing w:after="0"/>
              <w:rPr>
                <w:sz w:val="20"/>
                <w:szCs w:val="20"/>
                <w:color w:val="auto"/>
              </w:rPr>
            </w:pPr>
            <w:r>
              <w:rPr>
                <w:rFonts w:ascii="Arial" w:cs="Arial" w:eastAsia="Arial" w:hAnsi="Arial"/>
                <w:sz w:val="18"/>
                <w:szCs w:val="18"/>
                <w:color w:val="auto"/>
              </w:rPr>
              <w:t>Amount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780" w:type="dxa"/>
            <w:vAlign w:val="bottom"/>
          </w:tcPr>
          <w:p>
            <w:pPr>
              <w:ind w:left="1160"/>
              <w:spacing w:after="0"/>
              <w:rPr>
                <w:sz w:val="20"/>
                <w:szCs w:val="20"/>
                <w:color w:val="auto"/>
              </w:rPr>
            </w:pPr>
            <w:r>
              <w:rPr>
                <w:rFonts w:ascii="Arial" w:cs="Arial" w:eastAsia="Arial" w:hAnsi="Arial"/>
                <w:sz w:val="18"/>
                <w:szCs w:val="18"/>
                <w:color w:val="auto"/>
              </w:rPr>
              <w:t>(mm/dd/yyyy)</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60" w:type="dxa"/>
            <w:vAlign w:val="bottom"/>
          </w:tcPr>
          <w:p>
            <w:pPr>
              <w:jc w:val="right"/>
              <w:ind w:right="1570"/>
              <w:spacing w:after="0"/>
              <w:rPr>
                <w:sz w:val="20"/>
                <w:szCs w:val="20"/>
                <w:color w:val="auto"/>
              </w:rPr>
            </w:pPr>
            <w:r>
              <w:rPr>
                <w:rFonts w:ascii="Arial" w:cs="Arial" w:eastAsia="Arial" w:hAnsi="Arial"/>
                <w:sz w:val="18"/>
                <w:szCs w:val="18"/>
                <w:color w:val="auto"/>
                <w:w w:val="99"/>
              </w:rPr>
              <w:t>(mm/dd/yyyy)</w:t>
            </w: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(iii) from [</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to [</w:t>
            </w:r>
          </w:p>
        </w:tc>
        <w:tc>
          <w:tcPr>
            <w:tcW w:w="2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ind w:left="100"/>
              <w:spacing w:after="0"/>
              <w:rPr>
                <w:sz w:val="20"/>
                <w:szCs w:val="20"/>
                <w:color w:val="auto"/>
              </w:rPr>
            </w:pPr>
            <w:r>
              <w:rPr>
                <w:rFonts w:ascii="Arial" w:cs="Arial" w:eastAsia="Arial" w:hAnsi="Arial"/>
                <w:sz w:val="18"/>
                <w:szCs w:val="18"/>
                <w:color w:val="auto"/>
              </w:rPr>
              <w:t>Amount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780" w:type="dxa"/>
            <w:vAlign w:val="bottom"/>
          </w:tcPr>
          <w:p>
            <w:pPr>
              <w:ind w:left="1160"/>
              <w:spacing w:after="0"/>
              <w:rPr>
                <w:sz w:val="20"/>
                <w:szCs w:val="20"/>
                <w:color w:val="auto"/>
              </w:rPr>
            </w:pPr>
            <w:r>
              <w:rPr>
                <w:rFonts w:ascii="Arial" w:cs="Arial" w:eastAsia="Arial" w:hAnsi="Arial"/>
                <w:sz w:val="18"/>
                <w:szCs w:val="18"/>
                <w:color w:val="auto"/>
              </w:rPr>
              <w:t>(mm/dd/yyyy)</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60" w:type="dxa"/>
            <w:vAlign w:val="bottom"/>
          </w:tcPr>
          <w:p>
            <w:pPr>
              <w:jc w:val="right"/>
              <w:ind w:right="1570"/>
              <w:spacing w:after="0"/>
              <w:rPr>
                <w:sz w:val="20"/>
                <w:szCs w:val="20"/>
                <w:color w:val="auto"/>
              </w:rPr>
            </w:pPr>
            <w:r>
              <w:rPr>
                <w:rFonts w:ascii="Arial" w:cs="Arial" w:eastAsia="Arial" w:hAnsi="Arial"/>
                <w:sz w:val="18"/>
                <w:szCs w:val="18"/>
                <w:color w:val="auto"/>
                <w:w w:val="99"/>
              </w:rPr>
              <w:t>(mm/dd/yyyy)</w:t>
            </w: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(iv) from [</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to [</w:t>
            </w:r>
          </w:p>
        </w:tc>
        <w:tc>
          <w:tcPr>
            <w:tcW w:w="2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ind w:left="100"/>
              <w:spacing w:after="0"/>
              <w:rPr>
                <w:sz w:val="20"/>
                <w:szCs w:val="20"/>
                <w:color w:val="auto"/>
              </w:rPr>
            </w:pPr>
            <w:r>
              <w:rPr>
                <w:rFonts w:ascii="Arial" w:cs="Arial" w:eastAsia="Arial" w:hAnsi="Arial"/>
                <w:sz w:val="18"/>
                <w:szCs w:val="18"/>
                <w:color w:val="auto"/>
              </w:rPr>
              <w:t>Amount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780" w:type="dxa"/>
            <w:vAlign w:val="bottom"/>
          </w:tcPr>
          <w:p>
            <w:pPr>
              <w:ind w:left="1160"/>
              <w:spacing w:after="0"/>
              <w:rPr>
                <w:sz w:val="20"/>
                <w:szCs w:val="20"/>
                <w:color w:val="auto"/>
              </w:rPr>
            </w:pPr>
            <w:r>
              <w:rPr>
                <w:rFonts w:ascii="Arial" w:cs="Arial" w:eastAsia="Arial" w:hAnsi="Arial"/>
                <w:sz w:val="18"/>
                <w:szCs w:val="18"/>
                <w:color w:val="auto"/>
              </w:rPr>
              <w:t>(mm/dd/yyyy)</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60" w:type="dxa"/>
            <w:vAlign w:val="bottom"/>
          </w:tcPr>
          <w:p>
            <w:pPr>
              <w:jc w:val="right"/>
              <w:ind w:right="1570"/>
              <w:spacing w:after="0"/>
              <w:rPr>
                <w:sz w:val="20"/>
                <w:szCs w:val="20"/>
                <w:color w:val="auto"/>
              </w:rPr>
            </w:pPr>
            <w:r>
              <w:rPr>
                <w:rFonts w:ascii="Arial" w:cs="Arial" w:eastAsia="Arial" w:hAnsi="Arial"/>
                <w:sz w:val="18"/>
                <w:szCs w:val="18"/>
                <w:color w:val="auto"/>
                <w:w w:val="99"/>
              </w:rPr>
              <w:t>(mm/dd/yyyy)</w:t>
            </w: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(v) from [</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to [</w:t>
            </w:r>
          </w:p>
        </w:tc>
        <w:tc>
          <w:tcPr>
            <w:tcW w:w="2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ind w:left="100"/>
              <w:spacing w:after="0"/>
              <w:rPr>
                <w:sz w:val="20"/>
                <w:szCs w:val="20"/>
                <w:color w:val="auto"/>
              </w:rPr>
            </w:pPr>
            <w:r>
              <w:rPr>
                <w:rFonts w:ascii="Arial" w:cs="Arial" w:eastAsia="Arial" w:hAnsi="Arial"/>
                <w:sz w:val="18"/>
                <w:szCs w:val="18"/>
                <w:color w:val="auto"/>
              </w:rPr>
              <w:t>Amount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780" w:type="dxa"/>
            <w:vAlign w:val="bottom"/>
          </w:tcPr>
          <w:p>
            <w:pPr>
              <w:ind w:left="1160"/>
              <w:spacing w:after="0"/>
              <w:rPr>
                <w:sz w:val="20"/>
                <w:szCs w:val="20"/>
                <w:color w:val="auto"/>
              </w:rPr>
            </w:pPr>
            <w:r>
              <w:rPr>
                <w:rFonts w:ascii="Arial" w:cs="Arial" w:eastAsia="Arial" w:hAnsi="Arial"/>
                <w:sz w:val="18"/>
                <w:szCs w:val="18"/>
                <w:color w:val="auto"/>
              </w:rPr>
              <w:t>(mm/dd/yyyy)</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60" w:type="dxa"/>
            <w:vAlign w:val="bottom"/>
          </w:tcPr>
          <w:p>
            <w:pPr>
              <w:jc w:val="right"/>
              <w:ind w:right="1570"/>
              <w:spacing w:after="0"/>
              <w:rPr>
                <w:sz w:val="20"/>
                <w:szCs w:val="20"/>
                <w:color w:val="auto"/>
              </w:rPr>
            </w:pPr>
            <w:r>
              <w:rPr>
                <w:rFonts w:ascii="Arial" w:cs="Arial" w:eastAsia="Arial" w:hAnsi="Arial"/>
                <w:sz w:val="18"/>
                <w:szCs w:val="18"/>
                <w:color w:val="auto"/>
                <w:w w:val="99"/>
              </w:rPr>
              <w:t>(mm/dd/yyyy)</w:t>
            </w: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(vi) from [</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to [</w:t>
            </w:r>
          </w:p>
        </w:tc>
        <w:tc>
          <w:tcPr>
            <w:tcW w:w="2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ind w:left="100"/>
              <w:spacing w:after="0"/>
              <w:rPr>
                <w:sz w:val="20"/>
                <w:szCs w:val="20"/>
                <w:color w:val="auto"/>
              </w:rPr>
            </w:pPr>
            <w:r>
              <w:rPr>
                <w:rFonts w:ascii="Arial" w:cs="Arial" w:eastAsia="Arial" w:hAnsi="Arial"/>
                <w:sz w:val="18"/>
                <w:szCs w:val="18"/>
                <w:color w:val="auto"/>
              </w:rPr>
              <w:t>Amount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780" w:type="dxa"/>
            <w:vAlign w:val="bottom"/>
          </w:tcPr>
          <w:p>
            <w:pPr>
              <w:ind w:left="1160"/>
              <w:spacing w:after="0"/>
              <w:rPr>
                <w:sz w:val="20"/>
                <w:szCs w:val="20"/>
                <w:color w:val="auto"/>
              </w:rPr>
            </w:pPr>
            <w:r>
              <w:rPr>
                <w:rFonts w:ascii="Arial" w:cs="Arial" w:eastAsia="Arial" w:hAnsi="Arial"/>
                <w:sz w:val="18"/>
                <w:szCs w:val="18"/>
                <w:color w:val="auto"/>
              </w:rPr>
              <w:t>(mm/dd/yyyy)</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60" w:type="dxa"/>
            <w:vAlign w:val="bottom"/>
          </w:tcPr>
          <w:p>
            <w:pPr>
              <w:jc w:val="right"/>
              <w:ind w:right="1570"/>
              <w:spacing w:after="0"/>
              <w:rPr>
                <w:sz w:val="20"/>
                <w:szCs w:val="20"/>
                <w:color w:val="auto"/>
              </w:rPr>
            </w:pPr>
            <w:r>
              <w:rPr>
                <w:rFonts w:ascii="Arial" w:cs="Arial" w:eastAsia="Arial" w:hAnsi="Arial"/>
                <w:sz w:val="18"/>
                <w:szCs w:val="18"/>
                <w:color w:val="auto"/>
                <w:w w:val="99"/>
              </w:rPr>
              <w:t>(mm/dd/yyyy)</w:t>
            </w: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r>
    </w:tbl>
    <w:p>
      <w:pPr>
        <w:spacing w:after="0" w:line="202" w:lineRule="exact"/>
        <w:rPr>
          <w:sz w:val="20"/>
          <w:szCs w:val="20"/>
          <w:color w:val="auto"/>
        </w:rPr>
      </w:pPr>
    </w:p>
    <w:p>
      <w:pPr>
        <w:ind w:left="840" w:hanging="261"/>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from time to time, as required by Party A .</w:t>
      </w:r>
    </w:p>
    <w:p>
      <w:pPr>
        <w:spacing w:after="0" w:line="225"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80"/>
          </w:cols>
          <w:pgMar w:left="580" w:top="882" w:right="339" w:bottom="1440" w:gutter="0" w:footer="0" w:header="0"/>
        </w:sectPr>
      </w:pPr>
    </w:p>
    <w:bookmarkStart w:id="51" w:name="page52"/>
    <w:bookmarkEnd w:id="51"/>
    <w:p>
      <w:pPr>
        <w:ind w:left="400" w:right="300" w:hanging="404"/>
        <w:spacing w:after="0" w:line="277" w:lineRule="auto"/>
        <w:tabs>
          <w:tab w:leader="none" w:pos="380" w:val="left"/>
        </w:tabs>
        <w:rPr>
          <w:sz w:val="20"/>
          <w:szCs w:val="20"/>
          <w:color w:val="auto"/>
        </w:rPr>
      </w:pPr>
      <w:r>
        <w:rPr>
          <w:rFonts w:ascii="Arial" w:cs="Arial" w:eastAsia="Arial" w:hAnsi="Arial"/>
          <w:sz w:val="18"/>
          <w:szCs w:val="18"/>
          <w:color w:val="auto"/>
        </w:rPr>
        <w:t>5.3</w:t>
        <w:tab/>
        <w:t>Party A shall draw the Loan in accordance with the drawdown schedule under Article 5.2. Without Party B’s written consent, Party A shall not accelerate, postpone or cancel any drawdown of the Loan.</w:t>
      </w:r>
    </w:p>
    <w:p>
      <w:pPr>
        <w:spacing w:after="0" w:line="17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If Party A draws the Loan in installments, the expiration date of the Term shall be determined in accordance with Article 3 hereunder.</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Materials required to be submitted by Party A</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respect of materials required to be submitted by Party A, the Parties agree that Item A applies [choose A or B]:</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Situation NO. 1</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Where the situation described in Item (1) [choose (1) or (2)] arises:</w:t>
      </w:r>
    </w:p>
    <w:p>
      <w:pPr>
        <w:spacing w:after="0" w:line="225" w:lineRule="exact"/>
        <w:rPr>
          <w:sz w:val="20"/>
          <w:szCs w:val="20"/>
          <w:color w:val="auto"/>
        </w:rPr>
      </w:pPr>
    </w:p>
    <w:p>
      <w:pPr>
        <w:ind w:left="720" w:right="160" w:hanging="326"/>
        <w:spacing w:after="0" w:line="277" w:lineRule="auto"/>
        <w:tabs>
          <w:tab w:leader="none" w:pos="74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 of any particular drawdown is more than RMB TEN million and the amount of any scheduled payment out of such drawdown is more than RMB TEN million;</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Party A shall submit to Party B the following materials no later than ONE working days before the date of such drawdown:</w:t>
      </w:r>
    </w:p>
    <w:p>
      <w:pPr>
        <w:spacing w:after="0" w:line="225" w:lineRule="exact"/>
        <w:rPr>
          <w:sz w:val="20"/>
          <w:szCs w:val="20"/>
          <w:color w:val="auto"/>
        </w:rPr>
      </w:pPr>
    </w:p>
    <w:p>
      <w:pPr>
        <w:ind w:left="740" w:hanging="3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LDC signed by Party A and payment/settlement certificate(s) signed by Party A;</w:t>
      </w:r>
    </w:p>
    <w:p>
      <w:pPr>
        <w:spacing w:after="0" w:line="225" w:lineRule="exact"/>
        <w:rPr>
          <w:rFonts w:ascii="Arial" w:cs="Arial" w:eastAsia="Arial" w:hAnsi="Arial"/>
          <w:sz w:val="18"/>
          <w:szCs w:val="18"/>
          <w:color w:val="auto"/>
        </w:rPr>
      </w:pPr>
    </w:p>
    <w:p>
      <w:pPr>
        <w:ind w:left="720" w:right="340" w:hanging="326"/>
        <w:spacing w:after="0" w:line="308" w:lineRule="auto"/>
        <w:tabs>
          <w:tab w:leader="none" w:pos="741" w:val="left"/>
        </w:tabs>
        <w:numPr>
          <w:ilvl w:val="0"/>
          <w:numId w:val="32"/>
        </w:numPr>
        <w:rPr>
          <w:rFonts w:ascii="Arial" w:cs="Arial" w:eastAsia="Arial" w:hAnsi="Arial"/>
          <w:sz w:val="17"/>
          <w:szCs w:val="17"/>
          <w:color w:val="auto"/>
        </w:rPr>
      </w:pPr>
      <w:r>
        <w:rPr>
          <w:rFonts w:ascii="Arial" w:cs="Arial" w:eastAsia="Arial" w:hAnsi="Arial"/>
          <w:sz w:val="17"/>
          <w:szCs w:val="17"/>
          <w:color w:val="auto"/>
        </w:rPr>
        <w:t>materials related to the underlying transactions (including without limitation goods/services/monetary contracts and/or invoices and other documents in writing or electronic form that are capable of evidencing the particular purposes of the loan drawdown);</w:t>
      </w:r>
    </w:p>
    <w:p>
      <w:pPr>
        <w:spacing w:after="0" w:line="200" w:lineRule="exact"/>
        <w:rPr>
          <w:sz w:val="20"/>
          <w:szCs w:val="20"/>
          <w:color w:val="auto"/>
        </w:rPr>
      </w:pPr>
    </w:p>
    <w:p>
      <w:pPr>
        <w:spacing w:after="0" w:line="379" w:lineRule="exact"/>
        <w:rPr>
          <w:sz w:val="20"/>
          <w:szCs w:val="20"/>
          <w:color w:val="auto"/>
        </w:rPr>
      </w:pPr>
    </w:p>
    <w:p>
      <w:pPr>
        <w:ind w:left="400"/>
        <w:spacing w:after="0" w:line="277" w:lineRule="auto"/>
        <w:rPr>
          <w:sz w:val="20"/>
          <w:szCs w:val="20"/>
          <w:color w:val="auto"/>
        </w:rPr>
      </w:pPr>
      <w:r>
        <w:rPr>
          <w:rFonts w:ascii="Arial" w:cs="Arial" w:eastAsia="Arial" w:hAnsi="Arial"/>
          <w:sz w:val="18"/>
          <w:szCs w:val="18"/>
          <w:color w:val="auto"/>
        </w:rPr>
        <w:t>And other materials required by Party B (including without limitation business license, letter of authorization, articles of association, resolutions of Shareholders’ meeting /Board of directors of Party A’s counterparty).</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Situation NO. 2</w:t>
      </w:r>
    </w:p>
    <w:p>
      <w:pPr>
        <w:spacing w:after="0" w:line="225" w:lineRule="exact"/>
        <w:rPr>
          <w:sz w:val="20"/>
          <w:szCs w:val="20"/>
          <w:color w:val="auto"/>
        </w:rPr>
      </w:pPr>
    </w:p>
    <w:p>
      <w:pPr>
        <w:ind w:left="400" w:right="100"/>
        <w:spacing w:after="0" w:line="264" w:lineRule="auto"/>
        <w:rPr>
          <w:sz w:val="20"/>
          <w:szCs w:val="20"/>
          <w:color w:val="auto"/>
        </w:rPr>
      </w:pPr>
      <w:r>
        <w:rPr>
          <w:rFonts w:ascii="Arial" w:cs="Arial" w:eastAsia="Arial" w:hAnsi="Arial"/>
          <w:sz w:val="18"/>
          <w:szCs w:val="18"/>
          <w:color w:val="auto"/>
        </w:rPr>
        <w:t>If Party B determines, after reviewing the aforementioned materials, that Party may initiate the payment in accordance with Article 5.7 of this Contract, or a situation other than Situation NO. 1 arises, Party A shall submit to Party B the following materials no later than ONE working days before the date of such drawdown:</w:t>
      </w:r>
    </w:p>
    <w:p>
      <w:pPr>
        <w:spacing w:after="0" w:line="39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80"/>
          </w:cols>
          <w:pgMar w:left="580" w:top="881" w:right="339" w:bottom="1440" w:gutter="0" w:footer="0" w:header="0"/>
        </w:sectPr>
      </w:pPr>
    </w:p>
    <w:bookmarkStart w:id="52" w:name="page53"/>
    <w:bookmarkEnd w:id="52"/>
    <w:p>
      <w:pPr>
        <w:ind w:left="880" w:hanging="486"/>
        <w:spacing w:after="0"/>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drawdown schedule corresponding to the proposed loan drawdown(The drawdown schedule being in the form of Schedule 3);</w:t>
      </w:r>
    </w:p>
    <w:p>
      <w:pPr>
        <w:spacing w:after="0" w:line="236" w:lineRule="exact"/>
        <w:rPr>
          <w:rFonts w:ascii="Arial" w:cs="Arial" w:eastAsia="Arial" w:hAnsi="Arial"/>
          <w:sz w:val="17"/>
          <w:szCs w:val="17"/>
          <w:color w:val="auto"/>
        </w:rPr>
      </w:pPr>
    </w:p>
    <w:p>
      <w:pPr>
        <w:ind w:left="880" w:hanging="486"/>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LDC signed by Party 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 w:right="60"/>
        <w:spacing w:after="0" w:line="277" w:lineRule="auto"/>
        <w:rPr>
          <w:sz w:val="20"/>
          <w:szCs w:val="20"/>
          <w:color w:val="auto"/>
        </w:rPr>
      </w:pPr>
      <w:r>
        <w:rPr>
          <w:rFonts w:ascii="Arial" w:cs="Arial" w:eastAsia="Arial" w:hAnsi="Arial"/>
          <w:sz w:val="18"/>
          <w:szCs w:val="18"/>
          <w:color w:val="auto"/>
        </w:rPr>
        <w:t>And other materials required by Party B (including without limitation business license, letter of authorization, articles of association, resolutions of Shareholders’ meeting/Board of directors of Party A ‘s counterparty).</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left="400"/>
        <w:spacing w:after="0" w:line="277" w:lineRule="auto"/>
        <w:rPr>
          <w:sz w:val="20"/>
          <w:szCs w:val="20"/>
          <w:color w:val="auto"/>
        </w:rPr>
      </w:pPr>
      <w:r>
        <w:rPr>
          <w:rFonts w:ascii="Arial" w:cs="Arial" w:eastAsia="Arial" w:hAnsi="Arial"/>
          <w:sz w:val="18"/>
          <w:szCs w:val="18"/>
          <w:color w:val="auto"/>
        </w:rPr>
        <w:t>Party A shall submit to Party B the following materials no later than ONE working days before the date of such drawdown regardless of the amount of any particular drawdown:</w:t>
      </w:r>
    </w:p>
    <w:p>
      <w:pPr>
        <w:spacing w:after="0" w:line="170" w:lineRule="exact"/>
        <w:rPr>
          <w:sz w:val="20"/>
          <w:szCs w:val="20"/>
          <w:color w:val="auto"/>
        </w:rPr>
      </w:pPr>
    </w:p>
    <w:p>
      <w:pPr>
        <w:ind w:left="880" w:hanging="486"/>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LDC signed by Party A and payment/settlement certificate (s) signed by Party A;</w:t>
      </w:r>
    </w:p>
    <w:p>
      <w:pPr>
        <w:spacing w:after="0" w:line="225" w:lineRule="exact"/>
        <w:rPr>
          <w:rFonts w:ascii="Arial" w:cs="Arial" w:eastAsia="Arial" w:hAnsi="Arial"/>
          <w:sz w:val="18"/>
          <w:szCs w:val="18"/>
          <w:color w:val="auto"/>
        </w:rPr>
      </w:pPr>
    </w:p>
    <w:p>
      <w:pPr>
        <w:ind w:left="880" w:right="260" w:hanging="486"/>
        <w:spacing w:after="0" w:line="308" w:lineRule="auto"/>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materials related to the underlying transactions (including without limitation goods/services/monetary contracts and/or invoices and other documents in writing or electronic form that are capable of evidencing the particular purposes of the loan drawdown);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0" w:right="100"/>
        <w:spacing w:after="0" w:line="277" w:lineRule="auto"/>
        <w:rPr>
          <w:sz w:val="20"/>
          <w:szCs w:val="20"/>
          <w:color w:val="auto"/>
        </w:rPr>
      </w:pPr>
      <w:r>
        <w:rPr>
          <w:rFonts w:ascii="Arial" w:cs="Arial" w:eastAsia="Arial" w:hAnsi="Arial"/>
          <w:sz w:val="18"/>
          <w:szCs w:val="18"/>
          <w:color w:val="auto"/>
        </w:rPr>
        <w:t>And other materials required by Party B(including without limitation business license, letter of authorization, articles of association, resolutions of Shareholders’ meeting/Board of directors of Party A ‘s counterparty).</w:t>
      </w:r>
    </w:p>
    <w:p>
      <w:pPr>
        <w:spacing w:after="0" w:line="17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Entrusted Payment through Party B</w:t>
      </w:r>
    </w:p>
    <w:p>
      <w:pPr>
        <w:spacing w:after="0" w:line="225" w:lineRule="exact"/>
        <w:rPr>
          <w:sz w:val="20"/>
          <w:szCs w:val="20"/>
          <w:color w:val="auto"/>
        </w:rPr>
      </w:pPr>
    </w:p>
    <w:p>
      <w:pPr>
        <w:ind w:left="880" w:hanging="486"/>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Situations where Entrusted Payment applies to Party B</w:t>
      </w:r>
    </w:p>
    <w:p>
      <w:pPr>
        <w:spacing w:after="0" w:line="225" w:lineRule="exact"/>
        <w:rPr>
          <w:rFonts w:ascii="Arial" w:cs="Arial" w:eastAsia="Arial" w:hAnsi="Arial"/>
          <w:sz w:val="18"/>
          <w:szCs w:val="18"/>
          <w:color w:val="auto"/>
        </w:rPr>
      </w:pPr>
    </w:p>
    <w:p>
      <w:pPr>
        <w:ind w:left="880" w:right="120"/>
        <w:spacing w:after="0" w:line="342" w:lineRule="auto"/>
        <w:rPr>
          <w:rFonts w:ascii="Arial" w:cs="Arial" w:eastAsia="Arial" w:hAnsi="Arial"/>
          <w:sz w:val="18"/>
          <w:szCs w:val="18"/>
          <w:color w:val="auto"/>
        </w:rPr>
      </w:pPr>
      <w:r>
        <w:rPr>
          <w:rFonts w:ascii="Arial" w:cs="Arial" w:eastAsia="Arial" w:hAnsi="Arial"/>
          <w:sz w:val="16"/>
          <w:szCs w:val="16"/>
          <w:color w:val="auto"/>
        </w:rPr>
        <w:t>If the situation described in (i) arises, , Entrusted Payment shall apply, i.e. Party A hereby irrevocably entrusts Party B to pay the amount of the drawdown to Party A’s counterparty. Party A shall not pay such amount directly to such counterparty or any other third party.</w:t>
      </w:r>
    </w:p>
    <w:p>
      <w:pPr>
        <w:spacing w:after="0" w:line="123" w:lineRule="exact"/>
        <w:rPr>
          <w:rFonts w:ascii="Arial" w:cs="Arial" w:eastAsia="Arial" w:hAnsi="Arial"/>
          <w:sz w:val="18"/>
          <w:szCs w:val="18"/>
          <w:color w:val="auto"/>
        </w:rPr>
      </w:pPr>
    </w:p>
    <w:p>
      <w:pPr>
        <w:jc w:val="both"/>
        <w:ind w:left="1080" w:hanging="206"/>
        <w:spacing w:after="0" w:line="264" w:lineRule="auto"/>
        <w:tabs>
          <w:tab w:leader="none" w:pos="111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amount of any particular drawdown is more than RMB TEN million and the amount of any scheduled payment out of such drawdown is more than RMB TEN million, and Party B determines, after reviewing the materials submitted by Party A, that recipient of the payment is specific and identifiable;</w:t>
      </w:r>
    </w:p>
    <w:p>
      <w:pPr>
        <w:spacing w:after="0" w:line="39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580" w:top="909" w:right="279" w:bottom="1440" w:gutter="0" w:footer="0" w:header="0"/>
        </w:sectPr>
      </w:pPr>
    </w:p>
    <w:bookmarkStart w:id="53" w:name="page54"/>
    <w:bookmarkEnd w:id="53"/>
    <w:p>
      <w:pPr>
        <w:ind w:left="746" w:hanging="266"/>
        <w:spacing w:after="0"/>
        <w:tabs>
          <w:tab w:leader="none" w:pos="746" w:val="left"/>
        </w:tabs>
        <w:numPr>
          <w:ilvl w:val="1"/>
          <w:numId w:val="36"/>
        </w:numPr>
        <w:rPr>
          <w:rFonts w:ascii="Arial" w:cs="Arial" w:eastAsia="Arial" w:hAnsi="Arial"/>
          <w:sz w:val="18"/>
          <w:szCs w:val="18"/>
          <w:color w:val="auto"/>
        </w:rPr>
      </w:pPr>
      <w:r>
        <w:rPr>
          <w:rFonts w:ascii="Arial" w:cs="Arial" w:eastAsia="Arial" w:hAnsi="Arial"/>
          <w:sz w:val="18"/>
          <w:szCs w:val="18"/>
          <w:color w:val="auto"/>
        </w:rPr>
        <w:t>Entrusted Payment applies regardless of the amount of any particular drawdown;</w:t>
      </w:r>
    </w:p>
    <w:p>
      <w:pPr>
        <w:spacing w:after="0" w:line="225" w:lineRule="exact"/>
        <w:rPr>
          <w:rFonts w:ascii="Arial" w:cs="Arial" w:eastAsia="Arial" w:hAnsi="Arial"/>
          <w:sz w:val="18"/>
          <w:szCs w:val="18"/>
          <w:color w:val="auto"/>
        </w:rPr>
      </w:pPr>
    </w:p>
    <w:p>
      <w:pPr>
        <w:spacing w:after="0"/>
        <w:tabs>
          <w:tab w:leader="none" w:pos="0" w:val="left"/>
        </w:tabs>
        <w:numPr>
          <w:ilvl w:val="1"/>
          <w:numId w:val="36"/>
        </w:numPr>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jc w:val="both"/>
        <w:ind w:left="486" w:right="460" w:hanging="486"/>
        <w:spacing w:after="0" w:line="264" w:lineRule="auto"/>
        <w:tabs>
          <w:tab w:leader="none" w:pos="486"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case of entrusted payment, Party B deposits the amount of the loan drawdown in the Loan Disbursement Account and pays such amount through Loan Disbursement Account to the account designated by Party A’s counterparty. Party A shall not dispose of the loan drawdown in any way (including without limitation account transfer or withdrawal of cash).</w:t>
      </w:r>
    </w:p>
    <w:p>
      <w:pPr>
        <w:spacing w:after="0" w:line="181" w:lineRule="exact"/>
        <w:rPr>
          <w:rFonts w:ascii="Arial" w:cs="Arial" w:eastAsia="Arial" w:hAnsi="Arial"/>
          <w:sz w:val="18"/>
          <w:szCs w:val="18"/>
          <w:color w:val="auto"/>
        </w:rPr>
      </w:pPr>
    </w:p>
    <w:p>
      <w:pPr>
        <w:ind w:left="486" w:hanging="486"/>
        <w:spacing w:after="0" w:line="272" w:lineRule="auto"/>
        <w:tabs>
          <w:tab w:leader="none" w:pos="486" w:val="left"/>
        </w:tabs>
        <w:numPr>
          <w:ilvl w:val="0"/>
          <w:numId w:val="37"/>
        </w:numPr>
        <w:rPr>
          <w:rFonts w:ascii="Arial" w:cs="Arial" w:eastAsia="Arial" w:hAnsi="Arial"/>
          <w:sz w:val="17"/>
          <w:szCs w:val="17"/>
          <w:color w:val="auto"/>
        </w:rPr>
      </w:pPr>
      <w:r>
        <w:rPr>
          <w:rFonts w:ascii="Arial" w:cs="Arial" w:eastAsia="Arial" w:hAnsi="Arial"/>
          <w:sz w:val="17"/>
          <w:szCs w:val="17"/>
          <w:color w:val="auto"/>
        </w:rPr>
        <w:t>Party B will make prima facie examination of the documents submitted by Party A regarding payment amount, time of payment, recipient of payment, means of payment, and related accounts Party B will pay the drawdown amount to Party A’s counterparty if Party B determines at its discretion that it is satisfied with the abovementioned prima facie examination. The obligations of Party B relating to entrusted payment shall be extinguished once the drawdown amount is paid into the account of Party A’s counterparty (the information of such account shall be provided by Party A). Party A shall check and verify the status of payment within one working day after the date of payment and shall notify Party B in case of failure of payment. Party A shall guarantee that there is consistence between documents/information regarding recipient of payment, utilization of the loan and materials related to underlying documents.</w:t>
      </w:r>
    </w:p>
    <w:p>
      <w:pPr>
        <w:spacing w:after="0" w:line="177" w:lineRule="exact"/>
        <w:rPr>
          <w:rFonts w:ascii="Arial" w:cs="Arial" w:eastAsia="Arial" w:hAnsi="Arial"/>
          <w:sz w:val="17"/>
          <w:szCs w:val="17"/>
          <w:color w:val="auto"/>
        </w:rPr>
      </w:pPr>
    </w:p>
    <w:p>
      <w:pPr>
        <w:ind w:left="486" w:right="100" w:hanging="486"/>
        <w:spacing w:after="0" w:line="257" w:lineRule="auto"/>
        <w:tabs>
          <w:tab w:leader="none" w:pos="48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is no warranty or representation by Party B in respect of the truthfulness or legality or compliance with regulations of the underlying transactions although Party B has made the above-mentioned prima facie examination of the payment documents. Nor shall Party B be implicated in any dispute between Party A and Party A’s counterparty or any third party. Nor shall Party B be liable for any obligations or liabilities of Party A. Party A shall compensate Party B for any and all losses incurred by Party B resulting from Party B’s activities relating to Entrusted Payment.</w:t>
      </w:r>
    </w:p>
    <w:p>
      <w:pPr>
        <w:spacing w:after="0" w:line="188" w:lineRule="exact"/>
        <w:rPr>
          <w:rFonts w:ascii="Arial" w:cs="Arial" w:eastAsia="Arial" w:hAnsi="Arial"/>
          <w:sz w:val="18"/>
          <w:szCs w:val="18"/>
          <w:color w:val="auto"/>
        </w:rPr>
      </w:pPr>
    </w:p>
    <w:p>
      <w:pPr>
        <w:jc w:val="both"/>
        <w:ind w:left="486" w:right="240" w:hanging="486"/>
        <w:spacing w:after="0" w:line="286" w:lineRule="auto"/>
        <w:tabs>
          <w:tab w:leader="none" w:pos="486" w:val="left"/>
        </w:tabs>
        <w:numPr>
          <w:ilvl w:val="0"/>
          <w:numId w:val="37"/>
        </w:numPr>
        <w:rPr>
          <w:rFonts w:ascii="Arial" w:cs="Arial" w:eastAsia="Arial" w:hAnsi="Arial"/>
          <w:sz w:val="17"/>
          <w:szCs w:val="17"/>
          <w:color w:val="auto"/>
        </w:rPr>
      </w:pPr>
      <w:r>
        <w:rPr>
          <w:rFonts w:ascii="Arial" w:cs="Arial" w:eastAsia="Arial" w:hAnsi="Arial"/>
          <w:sz w:val="17"/>
          <w:szCs w:val="17"/>
          <w:color w:val="auto"/>
        </w:rPr>
        <w:t>Where there is a failure or delay in payment of the drawdown amount to the account of Party A’s counterparty and such failure or delay is caused by incompleteness, untruthfulness or inaccuracy of the documents submitted by Party A, or by violation of permitted utilization of loan or by information discrepancy or by other reasons but not by Party B’s fault, the following applies:</w:t>
      </w:r>
    </w:p>
    <w:p>
      <w:pPr>
        <w:spacing w:after="0" w:line="165" w:lineRule="exact"/>
        <w:rPr>
          <w:rFonts w:ascii="Arial" w:cs="Arial" w:eastAsia="Arial" w:hAnsi="Arial"/>
          <w:sz w:val="17"/>
          <w:szCs w:val="17"/>
          <w:color w:val="auto"/>
        </w:rPr>
      </w:pPr>
    </w:p>
    <w:p>
      <w:pPr>
        <w:ind w:left="926" w:right="60" w:hanging="446"/>
        <w:spacing w:after="0" w:line="308" w:lineRule="auto"/>
        <w:tabs>
          <w:tab w:leader="none" w:pos="948" w:val="left"/>
        </w:tabs>
        <w:numPr>
          <w:ilvl w:val="1"/>
          <w:numId w:val="37"/>
        </w:numPr>
        <w:rPr>
          <w:rFonts w:ascii="Arial" w:cs="Arial" w:eastAsia="Arial" w:hAnsi="Arial"/>
          <w:sz w:val="17"/>
          <w:szCs w:val="17"/>
          <w:color w:val="auto"/>
        </w:rPr>
      </w:pPr>
      <w:r>
        <w:rPr>
          <w:rFonts w:ascii="Arial" w:cs="Arial" w:eastAsia="Arial" w:hAnsi="Arial"/>
          <w:sz w:val="17"/>
          <w:szCs w:val="17"/>
          <w:color w:val="auto"/>
        </w:rPr>
        <w:t>Party A shall be liable for all the consequences including without limitation all losses caused by the above mentioned failure or delay. Party B shall not be liable in any way and shall be compensated by Party A for any losses resulting therefrom;</w:t>
      </w:r>
    </w:p>
    <w:p>
      <w:pPr>
        <w:spacing w:after="0" w:line="146" w:lineRule="exact"/>
        <w:rPr>
          <w:rFonts w:ascii="Arial" w:cs="Arial" w:eastAsia="Arial" w:hAnsi="Arial"/>
          <w:sz w:val="17"/>
          <w:szCs w:val="17"/>
          <w:color w:val="auto"/>
        </w:rPr>
      </w:pPr>
    </w:p>
    <w:p>
      <w:pPr>
        <w:ind w:left="926" w:right="60" w:hanging="446"/>
        <w:spacing w:after="0" w:line="277" w:lineRule="auto"/>
        <w:tabs>
          <w:tab w:leader="none" w:pos="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Party A shall not dispose of any of such drawdown amount in anyway (including without limitation account transfer or withdrawal of cash);</w:t>
      </w:r>
    </w:p>
    <w:p>
      <w:pPr>
        <w:spacing w:after="0" w:line="170" w:lineRule="exact"/>
        <w:rPr>
          <w:rFonts w:ascii="Arial" w:cs="Arial" w:eastAsia="Arial" w:hAnsi="Arial"/>
          <w:sz w:val="18"/>
          <w:szCs w:val="18"/>
          <w:color w:val="auto"/>
        </w:rPr>
      </w:pPr>
    </w:p>
    <w:p>
      <w:pPr>
        <w:ind w:left="986" w:hanging="506"/>
        <w:spacing w:after="0"/>
        <w:tabs>
          <w:tab w:leader="none" w:pos="986" w:val="left"/>
        </w:tabs>
        <w:numPr>
          <w:ilvl w:val="1"/>
          <w:numId w:val="37"/>
        </w:numPr>
        <w:rPr>
          <w:rFonts w:ascii="Arial" w:cs="Arial" w:eastAsia="Arial" w:hAnsi="Arial"/>
          <w:sz w:val="16"/>
          <w:szCs w:val="16"/>
          <w:color w:val="auto"/>
        </w:rPr>
      </w:pPr>
      <w:r>
        <w:rPr>
          <w:rFonts w:ascii="Arial" w:cs="Arial" w:eastAsia="Arial" w:hAnsi="Arial"/>
          <w:sz w:val="16"/>
          <w:szCs w:val="16"/>
          <w:color w:val="auto"/>
        </w:rPr>
        <w:t>Party A shall resubmit materials, make corrections and/or perform other activities as instructed by Party B within ONE working days;</w:t>
      </w:r>
    </w:p>
    <w:p>
      <w:pPr>
        <w:spacing w:after="0" w:line="200" w:lineRule="exact"/>
        <w:rPr>
          <w:sz w:val="20"/>
          <w:szCs w:val="20"/>
          <w:color w:val="auto"/>
        </w:rPr>
      </w:pPr>
    </w:p>
    <w:p>
      <w:pPr>
        <w:spacing w:after="0" w:line="264" w:lineRule="exact"/>
        <w:rPr>
          <w:sz w:val="20"/>
          <w:szCs w:val="20"/>
          <w:color w:val="auto"/>
        </w:rPr>
      </w:pPr>
    </w:p>
    <w:p>
      <w:pPr>
        <w:ind w:left="4926"/>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46"/>
          </w:cols>
          <w:pgMar w:left="974" w:top="882" w:right="279" w:bottom="1440" w:gutter="0" w:footer="0" w:header="0"/>
        </w:sectPr>
      </w:pPr>
    </w:p>
    <w:bookmarkStart w:id="54" w:name="page55"/>
    <w:bookmarkEnd w:id="54"/>
    <w:p>
      <w:pPr>
        <w:ind w:left="1180"/>
        <w:spacing w:after="0"/>
        <w:rPr>
          <w:sz w:val="20"/>
          <w:szCs w:val="20"/>
          <w:color w:val="auto"/>
        </w:rPr>
      </w:pPr>
      <w:r>
        <w:rPr>
          <w:rFonts w:ascii="Arial" w:cs="Arial" w:eastAsia="Arial" w:hAnsi="Arial"/>
          <w:sz w:val="18"/>
          <w:szCs w:val="18"/>
          <w:color w:val="auto"/>
        </w:rPr>
        <w:t>Party B may accelerate the maturity of such loan drawdown if Party A is in breach of any of the above provisions.</w:t>
      </w:r>
    </w:p>
    <w:p>
      <w:pPr>
        <w:spacing w:after="0" w:line="225" w:lineRule="exact"/>
        <w:rPr>
          <w:sz w:val="20"/>
          <w:szCs w:val="20"/>
          <w:color w:val="auto"/>
        </w:rPr>
      </w:pPr>
    </w:p>
    <w:p>
      <w:pPr>
        <w:ind w:left="1220" w:right="360" w:hanging="486"/>
        <w:spacing w:after="0" w:line="342" w:lineRule="auto"/>
        <w:tabs>
          <w:tab w:leader="none" w:pos="12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Party A shall be liable for any and all risks, liabilities and losses caused by any failure or error or delay in payment which does not result from Party B’s fault. Party B shall not be liable in any way and shall be compensated by Party A for any losses resulting therefrom.</w:t>
      </w:r>
    </w:p>
    <w:p>
      <w:pPr>
        <w:spacing w:after="0" w:line="124" w:lineRule="exact"/>
        <w:rPr>
          <w:sz w:val="20"/>
          <w:szCs w:val="20"/>
          <w:color w:val="auto"/>
        </w:rPr>
      </w:pPr>
    </w:p>
    <w:p>
      <w:pPr>
        <w:ind w:left="340"/>
        <w:spacing w:after="0"/>
        <w:tabs>
          <w:tab w:leader="none" w:pos="72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color w:val="auto"/>
        </w:rPr>
        <w:t>Payment on Party A’s own initiative</w:t>
      </w:r>
    </w:p>
    <w:p>
      <w:pPr>
        <w:spacing w:after="0" w:line="225" w:lineRule="exact"/>
        <w:rPr>
          <w:sz w:val="20"/>
          <w:szCs w:val="20"/>
          <w:color w:val="auto"/>
        </w:rPr>
      </w:pPr>
    </w:p>
    <w:p>
      <w:pPr>
        <w:ind w:left="740" w:right="220"/>
        <w:spacing w:after="0" w:line="259" w:lineRule="auto"/>
        <w:rPr>
          <w:sz w:val="20"/>
          <w:szCs w:val="20"/>
          <w:color w:val="auto"/>
        </w:rPr>
      </w:pPr>
      <w:r>
        <w:rPr>
          <w:rFonts w:ascii="Arial" w:cs="Arial" w:eastAsia="Arial" w:hAnsi="Arial"/>
          <w:sz w:val="18"/>
          <w:szCs w:val="18"/>
          <w:color w:val="auto"/>
        </w:rPr>
        <w:t>Where situation other than that described in Article 5.6 (1) arises, Party A may initiate the payment at its own discretion. i.e. Party B may deposit the drawdown amount to the Loan Disbursement Account as instructed by Party A’s application for loan drawdown, Party A may then pay such amount directly to the recipient. Party A shall guarantee the conformity between the recipient, utilization of loan and the underlying transaction documents.</w:t>
      </w:r>
    </w:p>
    <w:p>
      <w:pPr>
        <w:spacing w:after="0" w:line="187" w:lineRule="exact"/>
        <w:rPr>
          <w:sz w:val="20"/>
          <w:szCs w:val="20"/>
          <w:color w:val="auto"/>
        </w:rPr>
      </w:pPr>
    </w:p>
    <w:p>
      <w:pPr>
        <w:jc w:val="both"/>
        <w:ind w:left="740" w:hanging="404"/>
        <w:spacing w:after="0" w:line="279" w:lineRule="auto"/>
        <w:tabs>
          <w:tab w:leader="none" w:pos="7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7"/>
          <w:szCs w:val="17"/>
          <w:color w:val="auto"/>
        </w:rPr>
        <w:t>The obligations of Party B to advance loans shall be extinguished once the loan amount is deposited into the Loan Disbursement Account regardless of entrusted payment or not. Party A shall ensure the Loan Disbursement Account remain in normal status (including without limitation not subject to freezing by competent authorities). Party A shall bear all risks, liabilities and losses including without limitation freezing and mandatory transfer by competent authorities. Party A shall compensate Party B for any losses resulting therefrom.</w:t>
      </w:r>
    </w:p>
    <w:p>
      <w:pPr>
        <w:spacing w:after="0" w:line="171" w:lineRule="exact"/>
        <w:rPr>
          <w:sz w:val="20"/>
          <w:szCs w:val="20"/>
          <w:color w:val="auto"/>
        </w:rPr>
      </w:pPr>
    </w:p>
    <w:p>
      <w:pPr>
        <w:ind w:left="340"/>
        <w:spacing w:after="0"/>
        <w:tabs>
          <w:tab w:leader="none" w:pos="72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color w:val="auto"/>
        </w:rPr>
        <w:t>Change of means of payment</w:t>
      </w:r>
    </w:p>
    <w:p>
      <w:pPr>
        <w:spacing w:after="0" w:line="225" w:lineRule="exact"/>
        <w:rPr>
          <w:sz w:val="20"/>
          <w:szCs w:val="20"/>
          <w:color w:val="auto"/>
        </w:rPr>
      </w:pPr>
    </w:p>
    <w:p>
      <w:pPr>
        <w:jc w:val="both"/>
        <w:ind w:left="740" w:right="340"/>
        <w:spacing w:after="0" w:line="264" w:lineRule="auto"/>
        <w:rPr>
          <w:sz w:val="20"/>
          <w:szCs w:val="20"/>
          <w:color w:val="auto"/>
        </w:rPr>
      </w:pPr>
      <w:r>
        <w:rPr>
          <w:rFonts w:ascii="Arial" w:cs="Arial" w:eastAsia="Arial" w:hAnsi="Arial"/>
          <w:sz w:val="18"/>
          <w:szCs w:val="18"/>
          <w:color w:val="auto"/>
        </w:rPr>
        <w:t>Party B is entitled to change the means of payment if any of the following circumstances arises, including without limitation re-determining the situations where Entrusted Payment applies,(e.g. changing the threshold amount for Entrusted Payment) and changing the means of payment in respect of any particular drawdown:</w:t>
      </w:r>
    </w:p>
    <w:p>
      <w:pPr>
        <w:spacing w:after="0" w:line="181" w:lineRule="exact"/>
        <w:rPr>
          <w:sz w:val="20"/>
          <w:szCs w:val="20"/>
          <w:color w:val="auto"/>
        </w:rPr>
      </w:pPr>
    </w:p>
    <w:p>
      <w:pPr>
        <w:ind w:left="1060" w:hanging="32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event of default by Party A arises;</w:t>
      </w:r>
    </w:p>
    <w:p>
      <w:pPr>
        <w:spacing w:after="0" w:line="225" w:lineRule="exact"/>
        <w:rPr>
          <w:rFonts w:ascii="Arial" w:cs="Arial" w:eastAsia="Arial" w:hAnsi="Arial"/>
          <w:sz w:val="18"/>
          <w:szCs w:val="18"/>
          <w:color w:val="auto"/>
        </w:rPr>
      </w:pPr>
    </w:p>
    <w:p>
      <w:pPr>
        <w:ind w:left="1060" w:hanging="32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 arises any event that may adversely impact Party B’s rights as a creditor;</w:t>
      </w:r>
    </w:p>
    <w:p>
      <w:pPr>
        <w:spacing w:after="0" w:line="225" w:lineRule="exact"/>
        <w:rPr>
          <w:rFonts w:ascii="Arial" w:cs="Arial" w:eastAsia="Arial" w:hAnsi="Arial"/>
          <w:sz w:val="18"/>
          <w:szCs w:val="18"/>
          <w:color w:val="auto"/>
        </w:rPr>
      </w:pPr>
    </w:p>
    <w:p>
      <w:pPr>
        <w:ind w:left="1060" w:hanging="32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circumstances where Party B deems necessary to change the means of payment.</w:t>
      </w:r>
    </w:p>
    <w:p>
      <w:pPr>
        <w:spacing w:after="0" w:line="225" w:lineRule="exact"/>
        <w:rPr>
          <w:sz w:val="20"/>
          <w:szCs w:val="20"/>
          <w:color w:val="auto"/>
        </w:rPr>
      </w:pPr>
    </w:p>
    <w:p>
      <w:pPr>
        <w:ind w:left="740" w:right="420"/>
        <w:spacing w:after="0" w:line="277" w:lineRule="auto"/>
        <w:rPr>
          <w:sz w:val="20"/>
          <w:szCs w:val="20"/>
          <w:color w:val="auto"/>
        </w:rPr>
      </w:pPr>
      <w:r>
        <w:rPr>
          <w:rFonts w:ascii="Arial" w:cs="Arial" w:eastAsia="Arial" w:hAnsi="Arial"/>
          <w:sz w:val="18"/>
          <w:szCs w:val="18"/>
          <w:color w:val="auto"/>
        </w:rPr>
        <w:t>Where Party B changes the means of payment, Party A shall resubmit the materials or perform other activities as required by this Contract and Party B.</w:t>
      </w:r>
    </w:p>
    <w:p>
      <w:pPr>
        <w:spacing w:after="0" w:line="166" w:lineRule="exact"/>
        <w:rPr>
          <w:sz w:val="20"/>
          <w:szCs w:val="20"/>
          <w:color w:val="auto"/>
        </w:rPr>
      </w:pPr>
    </w:p>
    <w:p>
      <w:pPr>
        <w:ind w:left="860" w:right="7360" w:hanging="852"/>
        <w:spacing w:after="0" w:line="533" w:lineRule="auto"/>
        <w:tabs>
          <w:tab w:leader="none" w:pos="665"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USE AND SUPERVISION OF ACCOUNTS </w:t>
      </w:r>
      <w:r>
        <w:rPr>
          <w:rFonts w:ascii="Arial" w:cs="Arial" w:eastAsia="Arial" w:hAnsi="Arial"/>
          <w:sz w:val="17"/>
          <w:szCs w:val="17"/>
          <w:color w:val="auto"/>
        </w:rPr>
        <w:t>6.1 Loan Disbursement Account</w:t>
      </w:r>
    </w:p>
    <w:p>
      <w:pPr>
        <w:ind w:left="1300"/>
        <w:spacing w:after="0"/>
        <w:rPr>
          <w:rFonts w:ascii="Arial" w:cs="Arial" w:eastAsia="Arial" w:hAnsi="Arial"/>
          <w:sz w:val="17"/>
          <w:szCs w:val="17"/>
          <w:b w:val="1"/>
          <w:bCs w:val="1"/>
          <w:color w:val="auto"/>
        </w:rPr>
      </w:pPr>
      <w:r>
        <w:rPr>
          <w:rFonts w:ascii="Arial" w:cs="Arial" w:eastAsia="Arial" w:hAnsi="Arial"/>
          <w:sz w:val="18"/>
          <w:szCs w:val="18"/>
          <w:color w:val="auto"/>
        </w:rPr>
        <w:t>The Loan Disbursement Account herein shall be determined in accordance with (2):</w:t>
      </w:r>
    </w:p>
    <w:p>
      <w:pPr>
        <w:spacing w:after="0" w:line="225" w:lineRule="exact"/>
        <w:rPr>
          <w:sz w:val="20"/>
          <w:szCs w:val="20"/>
          <w:color w:val="auto"/>
        </w:rPr>
      </w:pPr>
    </w:p>
    <w:p>
      <w:pPr>
        <w:ind w:left="1300"/>
        <w:spacing w:after="0"/>
        <w:tabs>
          <w:tab w:leader="none" w:pos="1760" w:val="left"/>
          <w:tab w:leader="none" w:pos="2580" w:val="left"/>
        </w:tabs>
        <w:rPr>
          <w:sz w:val="20"/>
          <w:szCs w:val="20"/>
          <w:color w:val="auto"/>
        </w:rPr>
      </w:pPr>
      <w:r>
        <w:rPr>
          <w:rFonts w:ascii="Arial" w:cs="Arial" w:eastAsia="Arial" w:hAnsi="Arial"/>
          <w:sz w:val="18"/>
          <w:szCs w:val="18"/>
          <w:color w:val="auto"/>
        </w:rPr>
        <w:t>(1)</w:t>
        <w:tab/>
        <w:t>within</w:t>
      </w:r>
      <w:r>
        <w:rPr>
          <w:sz w:val="20"/>
          <w:szCs w:val="20"/>
          <w:color w:val="auto"/>
        </w:rPr>
        <w:tab/>
      </w:r>
      <w:r>
        <w:rPr>
          <w:rFonts w:ascii="Arial" w:cs="Arial" w:eastAsia="Arial" w:hAnsi="Arial"/>
          <w:sz w:val="16"/>
          <w:szCs w:val="16"/>
          <w:color w:val="auto"/>
        </w:rPr>
        <w:t>working days from the date of coming into effect 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5" w:name="page56"/>
    <w:bookmarkEnd w:id="55"/>
    <w:p>
      <w:pPr>
        <w:ind w:left="900" w:right="700"/>
        <w:spacing w:after="0" w:line="277" w:lineRule="auto"/>
        <w:rPr>
          <w:sz w:val="20"/>
          <w:szCs w:val="20"/>
          <w:color w:val="auto"/>
        </w:rPr>
      </w:pPr>
      <w:r>
        <w:rPr>
          <w:rFonts w:ascii="Arial" w:cs="Arial" w:eastAsia="Arial" w:hAnsi="Arial"/>
          <w:sz w:val="18"/>
          <w:szCs w:val="18"/>
          <w:color w:val="auto"/>
        </w:rPr>
        <w:t>this Contract and before the date of first drawdown, Party A shall open an account within Party B for the sole purpose of the disbursement and payment of all loan amount under this Contract.</w:t>
      </w:r>
    </w:p>
    <w:p>
      <w:pPr>
        <w:spacing w:after="0" w:line="170" w:lineRule="exact"/>
        <w:rPr>
          <w:sz w:val="20"/>
          <w:szCs w:val="20"/>
          <w:color w:val="auto"/>
        </w:rPr>
      </w:pPr>
    </w:p>
    <w:p>
      <w:pPr>
        <w:ind w:left="440"/>
        <w:spacing w:after="0"/>
        <w:tabs>
          <w:tab w:leader="none" w:pos="900" w:val="left"/>
          <w:tab w:leader="none" w:pos="7720" w:val="left"/>
        </w:tabs>
        <w:rPr>
          <w:sz w:val="20"/>
          <w:szCs w:val="20"/>
          <w:color w:val="auto"/>
        </w:rPr>
      </w:pPr>
      <w:r>
        <w:rPr>
          <w:rFonts w:ascii="Arial" w:cs="Arial" w:eastAsia="Arial" w:hAnsi="Arial"/>
          <w:sz w:val="18"/>
          <w:szCs w:val="18"/>
          <w:color w:val="auto"/>
        </w:rPr>
        <w:t>(2)</w:t>
        <w:tab/>
        <w:t>other account opened by Party A within Party B (Account Number:</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Account to collect sale proceeds</w:t>
      </w:r>
    </w:p>
    <w:p>
      <w:pPr>
        <w:spacing w:after="0" w:line="225" w:lineRule="exact"/>
        <w:rPr>
          <w:sz w:val="20"/>
          <w:szCs w:val="20"/>
          <w:color w:val="auto"/>
        </w:rPr>
      </w:pPr>
    </w:p>
    <w:p>
      <w:pPr>
        <w:ind w:left="800" w:right="240" w:hanging="355"/>
        <w:spacing w:after="0" w:line="274" w:lineRule="auto"/>
        <w:tabs>
          <w:tab w:leader="none" w:pos="809" w:val="left"/>
        </w:tabs>
        <w:numPr>
          <w:ilvl w:val="0"/>
          <w:numId w:val="41"/>
        </w:numPr>
        <w:rPr>
          <w:rFonts w:ascii="Arial" w:cs="Arial" w:eastAsia="Arial" w:hAnsi="Arial"/>
          <w:sz w:val="17"/>
          <w:szCs w:val="17"/>
          <w:color w:val="auto"/>
        </w:rPr>
      </w:pPr>
      <w:r>
        <w:rPr>
          <w:rFonts w:ascii="Arial" w:cs="Arial" w:eastAsia="Arial" w:hAnsi="Arial"/>
          <w:sz w:val="17"/>
          <w:szCs w:val="17"/>
          <w:color w:val="auto"/>
        </w:rPr>
        <w:t>within ONE working days from the date of coming into effect of this Contract, Party A shall open an account within Party B for the purpose of collecting sale proceeds or designate an existing account within Party B as such (Account Number:</w:t>
      </w:r>
    </w:p>
    <w:p>
      <w:pPr>
        <w:ind w:left="274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800" w:hanging="355"/>
        <w:spacing w:after="0" w:line="264" w:lineRule="auto"/>
        <w:tabs>
          <w:tab w:leader="none" w:pos="809"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Party A shall, on a monthly basis (choose “monthly” or “quarterly”), submit a report to Party B on the incoming and outgoing amounts of such account. Party A shall submit such report for the immediately preceding month or quarter (as the case may be) within the first FIVE working days of each month or quarter.</w:t>
      </w:r>
    </w:p>
    <w:p>
      <w:pPr>
        <w:spacing w:after="0" w:line="181" w:lineRule="exact"/>
        <w:rPr>
          <w:rFonts w:ascii="Arial" w:cs="Arial" w:eastAsia="Arial" w:hAnsi="Arial"/>
          <w:sz w:val="18"/>
          <w:szCs w:val="18"/>
          <w:color w:val="auto"/>
        </w:rPr>
      </w:pPr>
    </w:p>
    <w:p>
      <w:pPr>
        <w:ind w:left="800" w:right="180" w:hanging="355"/>
        <w:spacing w:after="0" w:line="277" w:lineRule="auto"/>
        <w:tabs>
          <w:tab w:leader="none" w:pos="809"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Party B is entitled to manage the incoming and outgoing amounts of such account. In particular, such account shall be in compliance with (vi) (one or more of the following requirements may be selected):</w:t>
      </w:r>
    </w:p>
    <w:p>
      <w:pPr>
        <w:spacing w:after="0" w:line="170" w:lineRule="exact"/>
        <w:rPr>
          <w:rFonts w:ascii="Arial" w:cs="Arial" w:eastAsia="Arial" w:hAnsi="Arial"/>
          <w:sz w:val="18"/>
          <w:szCs w:val="18"/>
          <w:color w:val="auto"/>
        </w:rPr>
      </w:pPr>
    </w:p>
    <w:p>
      <w:pPr>
        <w:ind w:left="1280" w:hanging="473"/>
        <w:spacing w:after="0"/>
        <w:tabs>
          <w:tab w:leader="none" w:pos="12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average balances of such account: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280" w:hanging="473"/>
        <w:spacing w:after="0"/>
        <w:tabs>
          <w:tab w:leader="none" w:pos="12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time for incoming payment being deposited into such account: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300" w:hanging="493"/>
        <w:spacing w:after="0"/>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percentage of the overall sale proceeds of Party A that are to be deposited into such account: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260" w:hanging="453"/>
        <w:spacing w:after="0"/>
        <w:tabs>
          <w:tab w:leader="none" w:pos="12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amount limit for any particular outgoing payment of such account: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260" w:hanging="453"/>
        <w:spacing w:after="0"/>
        <w:tabs>
          <w:tab w:leader="none" w:pos="12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amount limit for daily outgoing payment (s) of such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40"/>
          </w:cols>
          <w:pgMar w:left="1100" w:top="881" w:right="259" w:bottom="1440" w:gutter="0" w:footer="0" w:header="0"/>
        </w:sectPr>
      </w:pPr>
    </w:p>
    <w:bookmarkStart w:id="56" w:name="page57"/>
    <w:bookmarkEnd w:id="56"/>
    <w:p>
      <w:pPr>
        <w:ind w:left="2112" w:hanging="453"/>
        <w:spacing w:after="0"/>
        <w:tabs>
          <w:tab w:leader="none" w:pos="2112"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restrictions on internet-banking functions of such account: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132" w:hanging="473"/>
        <w:spacing w:after="0"/>
        <w:tabs>
          <w:tab w:leader="none" w:pos="21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outgoing payment shall be made without Party B’s prior consent;</w:t>
      </w:r>
    </w:p>
    <w:p>
      <w:pPr>
        <w:spacing w:after="0" w:line="225" w:lineRule="exact"/>
        <w:rPr>
          <w:rFonts w:ascii="Arial" w:cs="Arial" w:eastAsia="Arial" w:hAnsi="Arial"/>
          <w:sz w:val="18"/>
          <w:szCs w:val="18"/>
          <w:color w:val="auto"/>
        </w:rPr>
      </w:pPr>
    </w:p>
    <w:p>
      <w:pPr>
        <w:ind w:left="2112" w:right="540" w:hanging="453"/>
        <w:spacing w:after="0" w:line="277" w:lineRule="auto"/>
        <w:tabs>
          <w:tab w:leader="none" w:pos="2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Such account shall be used only for the purposes of collecting sale proceeds and repaying the loan, and not for any other purpose;</w:t>
      </w:r>
    </w:p>
    <w:p>
      <w:pPr>
        <w:spacing w:after="0" w:line="170" w:lineRule="exact"/>
        <w:rPr>
          <w:sz w:val="20"/>
          <w:szCs w:val="20"/>
          <w:color w:val="auto"/>
        </w:rPr>
      </w:pPr>
    </w:p>
    <w:p>
      <w:pPr>
        <w:ind w:left="1652"/>
        <w:spacing w:after="0"/>
        <w:rPr>
          <w:sz w:val="20"/>
          <w:szCs w:val="20"/>
          <w:color w:val="auto"/>
        </w:rPr>
      </w:pPr>
      <w:r>
        <w:rPr>
          <w:rFonts w:ascii="Arial" w:cs="Arial" w:eastAsia="Arial" w:hAnsi="Arial"/>
          <w:sz w:val="18"/>
          <w:szCs w:val="18"/>
          <w:color w:val="auto"/>
        </w:rPr>
        <w:t>(ix)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112" w:hanging="453"/>
        <w:spacing w:after="0"/>
        <w:tabs>
          <w:tab w:leader="none" w:pos="2112" w:val="left"/>
        </w:tabs>
        <w:numPr>
          <w:ilvl w:val="1"/>
          <w:numId w:val="44"/>
        </w:numPr>
        <w:rPr>
          <w:rFonts w:ascii="Arial" w:cs="Arial" w:eastAsia="Arial" w:hAnsi="Arial"/>
          <w:sz w:val="18"/>
          <w:szCs w:val="18"/>
          <w:color w:val="auto"/>
        </w:rPr>
      </w:pPr>
      <w:r>
        <w:rPr>
          <w:rFonts w:ascii="Arial" w:cs="Arial" w:eastAsia="Arial" w:hAnsi="Arial"/>
          <w:sz w:val="18"/>
          <w:szCs w:val="18"/>
          <w:color w:val="auto"/>
        </w:rPr>
        <w:t>other requirements by Party B;</w:t>
      </w:r>
    </w:p>
    <w:p>
      <w:pPr>
        <w:spacing w:after="0" w:line="225" w:lineRule="exact"/>
        <w:rPr>
          <w:rFonts w:ascii="Arial" w:cs="Arial" w:eastAsia="Arial" w:hAnsi="Arial"/>
          <w:sz w:val="18"/>
          <w:szCs w:val="18"/>
          <w:color w:val="auto"/>
        </w:rPr>
      </w:pPr>
    </w:p>
    <w:p>
      <w:pPr>
        <w:ind w:left="2112" w:hanging="453"/>
        <w:spacing w:after="0"/>
        <w:tabs>
          <w:tab w:leader="none" w:pos="2112"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separate Account Management Agreement signed by both Parties shall be complied with.</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REPAYMENT</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7.1 General Principles for Repayment</w:t>
      </w:r>
    </w:p>
    <w:p>
      <w:pPr>
        <w:spacing w:after="0" w:line="225" w:lineRule="exact"/>
        <w:rPr>
          <w:sz w:val="20"/>
          <w:szCs w:val="20"/>
          <w:color w:val="auto"/>
        </w:rPr>
      </w:pPr>
    </w:p>
    <w:p>
      <w:pPr>
        <w:ind w:left="972"/>
        <w:spacing w:after="0" w:line="302" w:lineRule="auto"/>
        <w:rPr>
          <w:sz w:val="20"/>
          <w:szCs w:val="20"/>
          <w:color w:val="auto"/>
        </w:rPr>
      </w:pPr>
      <w:r>
        <w:rPr>
          <w:rFonts w:ascii="Arial" w:cs="Arial" w:eastAsia="Arial" w:hAnsi="Arial"/>
          <w:sz w:val="16"/>
          <w:szCs w:val="16"/>
          <w:color w:val="auto"/>
        </w:rPr>
        <w:t>Party A shall repay the Loan in accordance with the following principles: Party B has the right to apply Party A’s repayment first towards payment of any expense which shall be borne by Party A as provided hereunder but has been advanced by Party B and the expenses incurred by Party B for realizing its creditor’s rights. Party B shall apply the balance of such repayment in the order of interest first and then principal adhering to the principle that the interest shall be fully repaid concurrently with the repayment in full of all the principal amounts.</w:t>
      </w:r>
    </w:p>
    <w:p>
      <w:pPr>
        <w:spacing w:after="0" w:line="154" w:lineRule="exact"/>
        <w:rPr>
          <w:sz w:val="20"/>
          <w:szCs w:val="20"/>
          <w:color w:val="auto"/>
        </w:rPr>
      </w:pPr>
    </w:p>
    <w:p>
      <w:pPr>
        <w:ind w:left="972"/>
        <w:spacing w:after="0" w:line="259" w:lineRule="auto"/>
        <w:rPr>
          <w:sz w:val="20"/>
          <w:szCs w:val="20"/>
          <w:color w:val="auto"/>
        </w:rPr>
      </w:pPr>
      <w:r>
        <w:rPr>
          <w:rFonts w:ascii="Arial" w:cs="Arial" w:eastAsia="Arial" w:hAnsi="Arial"/>
          <w:sz w:val="18"/>
          <w:szCs w:val="18"/>
          <w:color w:val="auto"/>
        </w:rPr>
        <w:t>For any advance of which the principal has become due but unpaid for more than ninety days, or any advance on which the interest has become due but unpaid for more than ninety days, or any advance otherwise provided by the laws, regulations or rules, Party B may first apply Party A’s repayment towards those payments of expenses set out in the first paragraph of this article. Then Party B may apply the balance of such repayment towards payment in the order of principal first and then interest.</w:t>
      </w:r>
    </w:p>
    <w:p>
      <w:pPr>
        <w:spacing w:after="0" w:line="187" w:lineRule="exact"/>
        <w:rPr>
          <w:sz w:val="20"/>
          <w:szCs w:val="20"/>
          <w:color w:val="auto"/>
        </w:rPr>
      </w:pPr>
    </w:p>
    <w:p>
      <w:pPr>
        <w:ind w:left="652"/>
        <w:spacing w:after="0"/>
        <w:rPr>
          <w:sz w:val="20"/>
          <w:szCs w:val="20"/>
          <w:color w:val="auto"/>
        </w:rPr>
      </w:pPr>
      <w:r>
        <w:rPr>
          <w:rFonts w:ascii="Arial" w:cs="Arial" w:eastAsia="Arial" w:hAnsi="Arial"/>
          <w:sz w:val="18"/>
          <w:szCs w:val="18"/>
          <w:color w:val="auto"/>
        </w:rPr>
        <w:t>7.2 Payment of Interest</w:t>
      </w:r>
    </w:p>
    <w:p>
      <w:pPr>
        <w:spacing w:after="0" w:line="225" w:lineRule="exact"/>
        <w:rPr>
          <w:sz w:val="20"/>
          <w:szCs w:val="20"/>
          <w:color w:val="auto"/>
        </w:rPr>
      </w:pPr>
    </w:p>
    <w:p>
      <w:pPr>
        <w:ind w:left="972" w:right="100"/>
        <w:spacing w:after="0" w:line="342" w:lineRule="auto"/>
        <w:rPr>
          <w:sz w:val="20"/>
          <w:szCs w:val="20"/>
          <w:color w:val="auto"/>
        </w:rPr>
      </w:pPr>
      <w:r>
        <w:rPr>
          <w:rFonts w:ascii="Arial" w:cs="Arial" w:eastAsia="Arial" w:hAnsi="Arial"/>
          <w:sz w:val="16"/>
          <w:szCs w:val="16"/>
          <w:color w:val="auto"/>
        </w:rPr>
        <w:t>Party A shall pay due interest to Party B on the interest settlement date. The first interest payment date shall be the first interest settlement date after the release of an advance. All the interest and principal amounts outstanding shall be paid in full on the last repayment date.</w:t>
      </w:r>
    </w:p>
    <w:p>
      <w:pPr>
        <w:spacing w:after="0" w:line="124" w:lineRule="exact"/>
        <w:rPr>
          <w:sz w:val="20"/>
          <w:szCs w:val="20"/>
          <w:color w:val="auto"/>
        </w:rPr>
      </w:pPr>
    </w:p>
    <w:p>
      <w:pPr>
        <w:ind w:left="652"/>
        <w:spacing w:after="0"/>
        <w:rPr>
          <w:sz w:val="20"/>
          <w:szCs w:val="20"/>
          <w:color w:val="auto"/>
        </w:rPr>
      </w:pPr>
      <w:r>
        <w:rPr>
          <w:rFonts w:ascii="Arial" w:cs="Arial" w:eastAsia="Arial" w:hAnsi="Arial"/>
          <w:sz w:val="18"/>
          <w:szCs w:val="18"/>
          <w:color w:val="auto"/>
        </w:rPr>
        <w:t>7.3 Schedule for Repayment of the Principal</w:t>
      </w:r>
    </w:p>
    <w:p>
      <w:pPr>
        <w:spacing w:after="0" w:line="221" w:lineRule="exact"/>
        <w:rPr>
          <w:sz w:val="20"/>
          <w:szCs w:val="20"/>
          <w:color w:val="auto"/>
        </w:rPr>
      </w:pPr>
    </w:p>
    <w:p>
      <w:pPr>
        <w:ind w:left="972"/>
        <w:spacing w:after="0"/>
        <w:rPr>
          <w:sz w:val="20"/>
          <w:szCs w:val="20"/>
          <w:color w:val="auto"/>
        </w:rPr>
      </w:pPr>
      <w:r>
        <w:rPr>
          <w:rFonts w:ascii="Arial" w:cs="Arial" w:eastAsia="Arial" w:hAnsi="Arial"/>
          <w:sz w:val="18"/>
          <w:szCs w:val="18"/>
          <w:color w:val="auto"/>
        </w:rPr>
        <w:t xml:space="preserve">The repayment schedule hereunder shall be determined in accordance with item </w:t>
      </w:r>
      <w:r>
        <w:rPr>
          <w:rFonts w:ascii="Arial" w:cs="Arial" w:eastAsia="Arial" w:hAnsi="Arial"/>
          <w:sz w:val="18"/>
          <w:szCs w:val="18"/>
          <w:b w:val="1"/>
          <w:bCs w:val="1"/>
          <w:color w:val="auto"/>
        </w:rPr>
        <w:t>[see Schedule A]</w:t>
      </w:r>
      <w:r>
        <w:rPr>
          <w:rFonts w:ascii="Arial" w:cs="Arial" w:eastAsia="Arial" w:hAnsi="Arial"/>
          <w:sz w:val="18"/>
          <w:szCs w:val="18"/>
          <w:color w:val="auto"/>
        </w:rPr>
        <w:t xml:space="preserve"> below:</w:t>
      </w:r>
    </w:p>
    <w:p>
      <w:pPr>
        <w:spacing w:after="0" w:line="200" w:lineRule="exact"/>
        <w:rPr>
          <w:sz w:val="20"/>
          <w:szCs w:val="20"/>
          <w:color w:val="auto"/>
        </w:rPr>
      </w:pPr>
    </w:p>
    <w:p>
      <w:pPr>
        <w:spacing w:after="0" w:line="24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52"/>
          </w:cols>
          <w:pgMar w:left="248" w:top="881" w:right="299" w:bottom="1440" w:gutter="0" w:footer="0" w:header="0"/>
        </w:sectPr>
      </w:pPr>
    </w:p>
    <w:bookmarkStart w:id="57" w:name="page58"/>
    <w:bookmarkEnd w:id="57"/>
    <w:p>
      <w:pPr>
        <w:ind w:left="1300" w:hanging="980"/>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repayment schedule shall be as follows:</w:t>
      </w:r>
    </w:p>
    <w:p>
      <w:pPr>
        <w:spacing w:after="0" w:line="225" w:lineRule="exact"/>
        <w:rPr>
          <w:sz w:val="20"/>
          <w:szCs w:val="20"/>
          <w:color w:val="auto"/>
        </w:rPr>
      </w:pPr>
    </w:p>
    <w:p>
      <w:pPr>
        <w:ind w:left="1480"/>
        <w:spacing w:after="0"/>
        <w:tabs>
          <w:tab w:leader="none" w:pos="5480" w:val="left"/>
        </w:tabs>
        <w:rPr>
          <w:sz w:val="20"/>
          <w:szCs w:val="20"/>
          <w:color w:val="auto"/>
        </w:rPr>
      </w:pPr>
      <w:r>
        <w:rPr>
          <w:rFonts w:ascii="Arial" w:cs="Arial" w:eastAsia="Arial" w:hAnsi="Arial"/>
          <w:sz w:val="18"/>
          <w:szCs w:val="18"/>
          <w:color w:val="auto"/>
        </w:rPr>
        <w:t>Repayment Date(mm/dd/yyyy)</w:t>
      </w:r>
      <w:r>
        <w:rPr>
          <w:sz w:val="20"/>
          <w:szCs w:val="20"/>
          <w:color w:val="auto"/>
        </w:rPr>
        <w:tab/>
      </w:r>
      <w:r>
        <w:rPr>
          <w:rFonts w:ascii="Arial" w:cs="Arial" w:eastAsia="Arial" w:hAnsi="Arial"/>
          <w:sz w:val="17"/>
          <w:szCs w:val="17"/>
          <w:color w:val="auto"/>
        </w:rPr>
        <w:t>Amount</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w:t>
      </w:r>
    </w:p>
    <w:p>
      <w:pPr>
        <w:spacing w:after="0" w:line="21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(ii)</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(iii)</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(iv)</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(v)</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(vi)</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7.4 Repayment Method</w:t>
      </w:r>
    </w:p>
    <w:p>
      <w:pPr>
        <w:spacing w:after="0" w:line="225" w:lineRule="exact"/>
        <w:rPr>
          <w:sz w:val="20"/>
          <w:szCs w:val="20"/>
          <w:color w:val="auto"/>
        </w:rPr>
      </w:pPr>
    </w:p>
    <w:p>
      <w:pPr>
        <w:jc w:val="both"/>
        <w:ind w:left="320" w:right="200"/>
        <w:spacing w:after="0" w:line="264" w:lineRule="auto"/>
        <w:rPr>
          <w:sz w:val="20"/>
          <w:szCs w:val="20"/>
          <w:color w:val="auto"/>
        </w:rPr>
      </w:pPr>
      <w:r>
        <w:rPr>
          <w:rFonts w:ascii="Arial" w:cs="Arial" w:eastAsia="Arial" w:hAnsi="Arial"/>
          <w:sz w:val="18"/>
          <w:szCs w:val="18"/>
          <w:color w:val="auto"/>
        </w:rPr>
        <w:t>Party A shall deposit sufficient amount into the Account to collect sale processor other account at Party B before the repayment date provided hereunder and transfer such amount to repay the Loan (Party B may also debit such amount from such account to repay the Loan), or transfer such amount from another bank account of Party A to repay the Loan.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7.5 Prepayment</w:t>
      </w:r>
    </w:p>
    <w:p>
      <w:pPr>
        <w:spacing w:after="0" w:line="225" w:lineRule="exact"/>
        <w:rPr>
          <w:sz w:val="20"/>
          <w:szCs w:val="20"/>
          <w:color w:val="auto"/>
        </w:rPr>
      </w:pPr>
    </w:p>
    <w:p>
      <w:pPr>
        <w:ind w:left="320" w:right="280"/>
        <w:spacing w:after="0" w:line="277" w:lineRule="auto"/>
        <w:rPr>
          <w:sz w:val="20"/>
          <w:szCs w:val="20"/>
          <w:color w:val="auto"/>
        </w:rPr>
      </w:pPr>
      <w:r>
        <w:rPr>
          <w:rFonts w:ascii="Arial" w:cs="Arial" w:eastAsia="Arial" w:hAnsi="Arial"/>
          <w:sz w:val="18"/>
          <w:szCs w:val="18"/>
          <w:color w:val="auto"/>
        </w:rPr>
        <w:t>Party A may prepay the principals in full or in part upon approval by Party B of a written application submitted to Party B THIRTY working days in advance.</w:t>
      </w:r>
    </w:p>
    <w:p>
      <w:pPr>
        <w:spacing w:after="0" w:line="170" w:lineRule="exact"/>
        <w:rPr>
          <w:sz w:val="20"/>
          <w:szCs w:val="20"/>
          <w:color w:val="auto"/>
        </w:rPr>
      </w:pPr>
    </w:p>
    <w:p>
      <w:pPr>
        <w:ind w:left="320" w:right="500"/>
        <w:spacing w:after="0" w:line="277" w:lineRule="auto"/>
        <w:rPr>
          <w:sz w:val="20"/>
          <w:szCs w:val="20"/>
          <w:color w:val="auto"/>
        </w:rPr>
      </w:pPr>
      <w:r>
        <w:rPr>
          <w:rFonts w:ascii="Arial" w:cs="Arial" w:eastAsia="Arial" w:hAnsi="Arial"/>
          <w:sz w:val="18"/>
          <w:szCs w:val="18"/>
          <w:color w:val="auto"/>
        </w:rPr>
        <w:t>The interest accrued on the principals to be prepaid shall be calculated on the basis of the actual number of days lapsed and the Loan Rate provided herein.</w:t>
      </w:r>
    </w:p>
    <w:p>
      <w:pPr>
        <w:spacing w:after="0" w:line="170" w:lineRule="exact"/>
        <w:rPr>
          <w:sz w:val="20"/>
          <w:szCs w:val="20"/>
          <w:color w:val="auto"/>
        </w:rPr>
      </w:pPr>
    </w:p>
    <w:p>
      <w:pPr>
        <w:ind w:left="320" w:right="720"/>
        <w:spacing w:after="0" w:line="277" w:lineRule="auto"/>
        <w:rPr>
          <w:sz w:val="20"/>
          <w:szCs w:val="20"/>
          <w:color w:val="auto"/>
        </w:rPr>
      </w:pPr>
      <w:r>
        <w:rPr>
          <w:rFonts w:ascii="Arial" w:cs="Arial" w:eastAsia="Arial" w:hAnsi="Arial"/>
          <w:sz w:val="18"/>
          <w:szCs w:val="18"/>
          <w:color w:val="auto"/>
        </w:rPr>
        <w:t>If Party B approves the prepayment by Party A, Party B shall have the right to charge Party A the compensation fee in an amount to be determined in accordance with the (1) of the following methods:</w:t>
      </w:r>
    </w:p>
    <w:p>
      <w:pPr>
        <w:spacing w:after="0" w:line="166" w:lineRule="exact"/>
        <w:rPr>
          <w:sz w:val="20"/>
          <w:szCs w:val="20"/>
          <w:color w:val="auto"/>
        </w:rPr>
      </w:pPr>
    </w:p>
    <w:p>
      <w:pPr>
        <w:ind w:left="660" w:right="160" w:hanging="340"/>
        <w:spacing w:after="0" w:line="347" w:lineRule="auto"/>
        <w:tabs>
          <w:tab w:leader="none" w:pos="668"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compensation fee = amount of the principal prepaid × number of months remaining until the scheduled repayment date(the “</w:t>
      </w:r>
      <w:r>
        <w:rPr>
          <w:rFonts w:ascii="Arial" w:cs="Arial" w:eastAsia="Arial" w:hAnsi="Arial"/>
          <w:sz w:val="16"/>
          <w:szCs w:val="16"/>
          <w:b w:val="1"/>
          <w:bCs w:val="1"/>
          <w:color w:val="auto"/>
        </w:rPr>
        <w:t>Remaining</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 1%; provided, however, that the part of the Remaining Period that falls short of a month shall be calculated as a full month; or</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spacing w:after="0" w:line="342" w:lineRule="auto"/>
        <w:rPr>
          <w:sz w:val="20"/>
          <w:szCs w:val="20"/>
          <w:color w:val="auto"/>
        </w:rPr>
      </w:pPr>
      <w:r>
        <w:rPr>
          <w:rFonts w:ascii="Arial" w:cs="Arial" w:eastAsia="Arial" w:hAnsi="Arial"/>
          <w:sz w:val="16"/>
          <w:szCs w:val="16"/>
          <w:color w:val="auto"/>
        </w:rPr>
        <w:t>If Party A is required to repay the Loan in installments and prepays part of the principal, the prepaid amount shall be applied in the reverse order of the repayment schedule. After any partial prepayment, the outstanding Loan shall still be subject to the Loan Rate provided herein.</w:t>
      </w:r>
    </w:p>
    <w:p>
      <w:pPr>
        <w:spacing w:after="0" w:line="36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900" w:top="882" w:right="259" w:bottom="1440" w:gutter="0" w:footer="0" w:header="0"/>
        </w:sectPr>
      </w:pPr>
    </w:p>
    <w:bookmarkStart w:id="58" w:name="page59"/>
    <w:bookmarkEnd w:id="58"/>
    <w:p>
      <w:pPr>
        <w:ind w:left="972" w:right="7020" w:hanging="972"/>
        <w:spacing w:after="0" w:line="503" w:lineRule="auto"/>
        <w:tabs>
          <w:tab w:leader="none" w:pos="972"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PARTY A’S RIGHTS AND OBLIGATIONS </w:t>
      </w:r>
      <w:r>
        <w:rPr>
          <w:rFonts w:ascii="Arial" w:cs="Arial" w:eastAsia="Arial" w:hAnsi="Arial"/>
          <w:sz w:val="18"/>
          <w:szCs w:val="18"/>
          <w:color w:val="auto"/>
        </w:rPr>
        <w:t>8.1 Party A’s Rights</w:t>
      </w:r>
    </w:p>
    <w:p>
      <w:pPr>
        <w:ind w:left="972"/>
        <w:spacing w:after="0"/>
        <w:rPr>
          <w:rFonts w:ascii="Arial" w:cs="Arial" w:eastAsia="Arial" w:hAnsi="Arial"/>
          <w:sz w:val="18"/>
          <w:szCs w:val="18"/>
          <w:b w:val="1"/>
          <w:bCs w:val="1"/>
          <w:color w:val="auto"/>
        </w:rPr>
      </w:pPr>
      <w:r>
        <w:rPr>
          <w:rFonts w:ascii="Arial" w:cs="Arial" w:eastAsia="Arial" w:hAnsi="Arial"/>
          <w:sz w:val="18"/>
          <w:szCs w:val="18"/>
          <w:color w:val="auto"/>
        </w:rPr>
        <w:t>Party A has the rights to:</w:t>
      </w:r>
    </w:p>
    <w:p>
      <w:pPr>
        <w:spacing w:after="0" w:line="225" w:lineRule="exact"/>
        <w:rPr>
          <w:rFonts w:ascii="Arial" w:cs="Arial" w:eastAsia="Arial" w:hAnsi="Arial"/>
          <w:sz w:val="18"/>
          <w:szCs w:val="18"/>
          <w:b w:val="1"/>
          <w:bCs w:val="1"/>
          <w:color w:val="auto"/>
        </w:rPr>
      </w:pPr>
    </w:p>
    <w:p>
      <w:pPr>
        <w:ind w:left="1452" w:hanging="341"/>
        <w:spacing w:after="0"/>
        <w:tabs>
          <w:tab w:leader="none" w:pos="1452" w:val="left"/>
        </w:tabs>
        <w:numPr>
          <w:ilvl w:val="1"/>
          <w:numId w:val="48"/>
        </w:numPr>
        <w:rPr>
          <w:rFonts w:ascii="Arial" w:cs="Arial" w:eastAsia="Arial" w:hAnsi="Arial"/>
          <w:sz w:val="18"/>
          <w:szCs w:val="18"/>
          <w:color w:val="auto"/>
        </w:rPr>
      </w:pPr>
      <w:r>
        <w:rPr>
          <w:rFonts w:ascii="Arial" w:cs="Arial" w:eastAsia="Arial" w:hAnsi="Arial"/>
          <w:sz w:val="18"/>
          <w:szCs w:val="18"/>
          <w:color w:val="auto"/>
        </w:rPr>
        <w:t>request Party B to release each advance of the Loan as provided hereunder;</w:t>
      </w:r>
    </w:p>
    <w:p>
      <w:pPr>
        <w:spacing w:after="0" w:line="225" w:lineRule="exact"/>
        <w:rPr>
          <w:rFonts w:ascii="Arial" w:cs="Arial" w:eastAsia="Arial" w:hAnsi="Arial"/>
          <w:sz w:val="18"/>
          <w:szCs w:val="18"/>
          <w:color w:val="auto"/>
        </w:rPr>
      </w:pPr>
    </w:p>
    <w:p>
      <w:pPr>
        <w:ind w:left="1452" w:hanging="341"/>
        <w:spacing w:after="0"/>
        <w:tabs>
          <w:tab w:leader="none" w:pos="1452" w:val="left"/>
        </w:tabs>
        <w:numPr>
          <w:ilvl w:val="1"/>
          <w:numId w:val="48"/>
        </w:numPr>
        <w:rPr>
          <w:rFonts w:ascii="Arial" w:cs="Arial" w:eastAsia="Arial" w:hAnsi="Arial"/>
          <w:sz w:val="18"/>
          <w:szCs w:val="18"/>
          <w:color w:val="auto"/>
        </w:rPr>
      </w:pPr>
      <w:r>
        <w:rPr>
          <w:rFonts w:ascii="Arial" w:cs="Arial" w:eastAsia="Arial" w:hAnsi="Arial"/>
          <w:sz w:val="18"/>
          <w:szCs w:val="18"/>
          <w:color w:val="auto"/>
        </w:rPr>
        <w:t>utilize the Loan for the purposes provided for hereunder;</w:t>
      </w:r>
    </w:p>
    <w:p>
      <w:pPr>
        <w:spacing w:after="0" w:line="225" w:lineRule="exact"/>
        <w:rPr>
          <w:rFonts w:ascii="Arial" w:cs="Arial" w:eastAsia="Arial" w:hAnsi="Arial"/>
          <w:sz w:val="18"/>
          <w:szCs w:val="18"/>
          <w:color w:val="auto"/>
        </w:rPr>
      </w:pPr>
    </w:p>
    <w:p>
      <w:pPr>
        <w:ind w:left="1452" w:hanging="341"/>
        <w:spacing w:after="0"/>
        <w:tabs>
          <w:tab w:leader="none" w:pos="1452" w:val="left"/>
        </w:tabs>
        <w:numPr>
          <w:ilvl w:val="1"/>
          <w:numId w:val="48"/>
        </w:numPr>
        <w:rPr>
          <w:rFonts w:ascii="Arial" w:cs="Arial" w:eastAsia="Arial" w:hAnsi="Arial"/>
          <w:sz w:val="18"/>
          <w:szCs w:val="18"/>
          <w:color w:val="auto"/>
        </w:rPr>
      </w:pPr>
      <w:r>
        <w:rPr>
          <w:rFonts w:ascii="Arial" w:cs="Arial" w:eastAsia="Arial" w:hAnsi="Arial"/>
          <w:sz w:val="18"/>
          <w:szCs w:val="18"/>
          <w:color w:val="auto"/>
        </w:rPr>
        <w:t>apply to Party B for extension of the Term hereunder provided that it has satisfied all the conditions as Party B requests;</w:t>
      </w:r>
    </w:p>
    <w:p>
      <w:pPr>
        <w:spacing w:after="0" w:line="225" w:lineRule="exact"/>
        <w:rPr>
          <w:rFonts w:ascii="Arial" w:cs="Arial" w:eastAsia="Arial" w:hAnsi="Arial"/>
          <w:sz w:val="18"/>
          <w:szCs w:val="18"/>
          <w:color w:val="auto"/>
        </w:rPr>
      </w:pPr>
    </w:p>
    <w:p>
      <w:pPr>
        <w:ind w:left="1452" w:hanging="341"/>
        <w:spacing w:after="0" w:line="264" w:lineRule="auto"/>
        <w:tabs>
          <w:tab w:leader="none" w:pos="14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require Party B to keep confidential the relevant financial information and manufacturing and operating trade secrets furnished by Party A except provided otherwise by law, regulations and rules, or required otherwise by the competent authorities, or agreed otherwise between the both parties hereto;</w:t>
      </w:r>
    </w:p>
    <w:p>
      <w:pPr>
        <w:spacing w:after="0" w:line="181" w:lineRule="exact"/>
        <w:rPr>
          <w:rFonts w:ascii="Arial" w:cs="Arial" w:eastAsia="Arial" w:hAnsi="Arial"/>
          <w:sz w:val="18"/>
          <w:szCs w:val="18"/>
          <w:color w:val="auto"/>
        </w:rPr>
      </w:pPr>
    </w:p>
    <w:p>
      <w:pPr>
        <w:ind w:left="1452" w:right="60" w:hanging="345"/>
        <w:spacing w:after="0" w:line="342" w:lineRule="auto"/>
        <w:tabs>
          <w:tab w:leader="none" w:pos="1458" w:val="left"/>
        </w:tabs>
        <w:numPr>
          <w:ilvl w:val="1"/>
          <w:numId w:val="48"/>
        </w:numPr>
        <w:rPr>
          <w:rFonts w:ascii="Arial" w:cs="Arial" w:eastAsia="Arial" w:hAnsi="Arial"/>
          <w:sz w:val="16"/>
          <w:szCs w:val="16"/>
          <w:color w:val="auto"/>
        </w:rPr>
      </w:pPr>
      <w:r>
        <w:rPr>
          <w:rFonts w:ascii="Arial" w:cs="Arial" w:eastAsia="Arial" w:hAnsi="Arial"/>
          <w:sz w:val="16"/>
          <w:szCs w:val="16"/>
          <w:color w:val="auto"/>
        </w:rPr>
        <w:t>reject Party B or its employees asking for bribe; it shall have the right to lodge complaint with the competent authority about such misconduct and any other act of Party B that may violate the laws and regulations relating to the lending interest rate and service charges.</w:t>
      </w:r>
    </w:p>
    <w:p>
      <w:pPr>
        <w:spacing w:after="0" w:line="124" w:lineRule="exact"/>
        <w:rPr>
          <w:sz w:val="20"/>
          <w:szCs w:val="20"/>
          <w:color w:val="auto"/>
        </w:rPr>
      </w:pPr>
    </w:p>
    <w:p>
      <w:pPr>
        <w:ind w:left="652"/>
        <w:spacing w:after="0"/>
        <w:rPr>
          <w:sz w:val="20"/>
          <w:szCs w:val="20"/>
          <w:color w:val="auto"/>
        </w:rPr>
      </w:pPr>
      <w:r>
        <w:rPr>
          <w:rFonts w:ascii="Arial" w:cs="Arial" w:eastAsia="Arial" w:hAnsi="Arial"/>
          <w:sz w:val="18"/>
          <w:szCs w:val="18"/>
          <w:color w:val="auto"/>
        </w:rPr>
        <w:t>8.2 Party A’s Obligations</w:t>
      </w:r>
    </w:p>
    <w:p>
      <w:pPr>
        <w:spacing w:after="0" w:line="225" w:lineRule="exact"/>
        <w:rPr>
          <w:sz w:val="20"/>
          <w:szCs w:val="20"/>
          <w:color w:val="auto"/>
        </w:rPr>
      </w:pPr>
    </w:p>
    <w:p>
      <w:pPr>
        <w:ind w:left="1592" w:right="180" w:hanging="481"/>
        <w:spacing w:after="0" w:line="277" w:lineRule="auto"/>
        <w:tabs>
          <w:tab w:leader="none" w:pos="1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Party A shall draw the Loan and repay the principal and interest in full as provided herein, and bear the expenses and fees as provided herein;</w:t>
      </w:r>
    </w:p>
    <w:p>
      <w:pPr>
        <w:spacing w:after="0" w:line="170" w:lineRule="exact"/>
        <w:rPr>
          <w:rFonts w:ascii="Arial" w:cs="Arial" w:eastAsia="Arial" w:hAnsi="Arial"/>
          <w:sz w:val="18"/>
          <w:szCs w:val="18"/>
          <w:color w:val="auto"/>
        </w:rPr>
      </w:pPr>
    </w:p>
    <w:p>
      <w:pPr>
        <w:ind w:left="1592" w:right="120" w:hanging="481"/>
        <w:spacing w:after="0" w:line="293" w:lineRule="auto"/>
        <w:tabs>
          <w:tab w:leader="none" w:pos="16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Party A shall provide its financial, accounting as well as manufacturing and operating information and other materials as the Party B may request, and among other things, on or before the TWENTY working day of the first month of each quarter, Party A shall provide to Party B with the balance sheet and the profit and loss statement (or the income and expenditure statement, if Party A is a public institution) up to the end of the preceding quarter, and shall provide the cash flow statement at the end of each year in a timely fashion. Party A shall be responsible for the legality, truthfulness, accuracy, completeness and validity of the information it provides, and shall not provide false information or conceal material facts with respect to its financial and operation status;</w:t>
      </w:r>
    </w:p>
    <w:p>
      <w:pPr>
        <w:spacing w:after="0" w:line="164" w:lineRule="exact"/>
        <w:rPr>
          <w:rFonts w:ascii="Arial" w:cs="Arial" w:eastAsia="Arial" w:hAnsi="Arial"/>
          <w:sz w:val="16"/>
          <w:szCs w:val="16"/>
          <w:color w:val="auto"/>
        </w:rPr>
      </w:pPr>
    </w:p>
    <w:p>
      <w:pPr>
        <w:ind w:left="1592" w:right="20" w:hanging="481"/>
        <w:spacing w:after="0" w:line="257" w:lineRule="auto"/>
        <w:tabs>
          <w:tab w:leader="none" w:pos="1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case of any change in Party A’s name, legal representative (or principal officer), registered address, business scope, registered capital, articles of association or any other registration with local industrial and commercial authority, or there arises any circumstances that may adversely affect Party A’s capability to repay the indebtedness or may endanger Party B’s rights as a creditor, Party A shall notify Party B in writing of the same with relevant documents together with such notification evidencing the changes within 3 working days thereafter;</w:t>
      </w:r>
    </w:p>
    <w:p>
      <w:pPr>
        <w:spacing w:after="0" w:line="188" w:lineRule="exact"/>
        <w:rPr>
          <w:rFonts w:ascii="Arial" w:cs="Arial" w:eastAsia="Arial" w:hAnsi="Arial"/>
          <w:sz w:val="18"/>
          <w:szCs w:val="18"/>
          <w:color w:val="auto"/>
        </w:rPr>
      </w:pPr>
    </w:p>
    <w:p>
      <w:pPr>
        <w:jc w:val="both"/>
        <w:ind w:left="1592" w:right="160" w:hanging="481"/>
        <w:spacing w:after="0" w:line="312" w:lineRule="auto"/>
        <w:tabs>
          <w:tab w:leader="none" w:pos="16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Party A shall utilize the Loan in accordance with the purposes as provided herein, and shall not misappropriate the Loan or utilize the Loan to carry out any transactions in violation of the laws and regulations, nor for investments in fixed assets, or equity or other areas, nor for production or operations prohibited by the state, nor for repaying the indebtedness incurred as a result of Party A’s investments</w:t>
      </w:r>
    </w:p>
    <w:p>
      <w:pPr>
        <w:spacing w:after="0" w:line="3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1391" w:right="239" w:bottom="1440" w:gutter="0" w:footer="0" w:header="0"/>
        </w:sectPr>
      </w:pPr>
    </w:p>
    <w:bookmarkStart w:id="59" w:name="page60"/>
    <w:bookmarkEnd w:id="59"/>
    <w:p>
      <w:pPr>
        <w:ind w:left="1592"/>
        <w:spacing w:after="0" w:line="291" w:lineRule="auto"/>
        <w:rPr>
          <w:sz w:val="20"/>
          <w:szCs w:val="20"/>
          <w:color w:val="auto"/>
        </w:rPr>
      </w:pPr>
      <w:r>
        <w:rPr>
          <w:rFonts w:ascii="Arial" w:cs="Arial" w:eastAsia="Arial" w:hAnsi="Arial"/>
          <w:sz w:val="16"/>
          <w:szCs w:val="16"/>
          <w:color w:val="auto"/>
        </w:rPr>
        <w:t>in fixed assets or equity etc.; Party A shall cooperate with Party B in its inspection of Party A’s manufacturing, operating and financial activities and utilization of the Loan herein, and shall be subject to the requirements of Party B relating to loan management; Party A shall not try to evade its repayment obligations owing to Party B by means of withdrawing capital it has injected, transferring assets or entering into related-party transactions. Further, Party A shall not attempt to obtain loans or credit facilities from Party B by using dummy contracts with its related parties or by pledging such rights as notes receivable or accounts receivable without actual underlying transactions or by applying to Party B for discounting the same; Party A shall be in compliance with the provisions relating to means of payment and shall not evade Entrusted Payment by way of dividing a larger-amount payment into payments in smaller amounts;</w:t>
      </w:r>
    </w:p>
    <w:p>
      <w:pPr>
        <w:spacing w:after="0" w:line="167" w:lineRule="exact"/>
        <w:rPr>
          <w:sz w:val="20"/>
          <w:szCs w:val="20"/>
          <w:color w:val="auto"/>
        </w:rPr>
      </w:pPr>
    </w:p>
    <w:p>
      <w:pPr>
        <w:ind w:left="1512" w:hanging="401"/>
        <w:spacing w:after="0" w:line="277" w:lineRule="auto"/>
        <w:tabs>
          <w:tab w:leader="none" w:pos="1544" w:val="left"/>
        </w:tabs>
        <w:numPr>
          <w:ilvl w:val="1"/>
          <w:numId w:val="50"/>
        </w:numPr>
        <w:rPr>
          <w:rFonts w:ascii="Arial" w:cs="Arial" w:eastAsia="Arial" w:hAnsi="Arial"/>
          <w:sz w:val="18"/>
          <w:szCs w:val="18"/>
          <w:color w:val="auto"/>
        </w:rPr>
      </w:pPr>
      <w:r>
        <w:rPr>
          <w:rFonts w:ascii="Arial" w:cs="Arial" w:eastAsia="Arial" w:hAnsi="Arial"/>
          <w:sz w:val="18"/>
          <w:szCs w:val="18"/>
          <w:color w:val="auto"/>
        </w:rPr>
        <w:t>Party A shall comply with the regulations relating to environmental protection, if the Loan hereunder shall be utilized for manufacturing or project construction;</w:t>
      </w:r>
    </w:p>
    <w:p>
      <w:pPr>
        <w:spacing w:after="0" w:line="170" w:lineRule="exact"/>
        <w:rPr>
          <w:rFonts w:ascii="Arial" w:cs="Arial" w:eastAsia="Arial" w:hAnsi="Arial"/>
          <w:sz w:val="18"/>
          <w:szCs w:val="18"/>
          <w:color w:val="auto"/>
        </w:rPr>
      </w:pPr>
    </w:p>
    <w:p>
      <w:pPr>
        <w:ind w:left="1512" w:right="60" w:hanging="401"/>
        <w:spacing w:after="0" w:line="277" w:lineRule="auto"/>
        <w:tabs>
          <w:tab w:leader="none" w:pos="1544" w:val="left"/>
        </w:tabs>
        <w:numPr>
          <w:ilvl w:val="1"/>
          <w:numId w:val="50"/>
        </w:numPr>
        <w:rPr>
          <w:rFonts w:ascii="Arial" w:cs="Arial" w:eastAsia="Arial" w:hAnsi="Arial"/>
          <w:sz w:val="18"/>
          <w:szCs w:val="18"/>
          <w:color w:val="auto"/>
        </w:rPr>
      </w:pPr>
      <w:r>
        <w:rPr>
          <w:rFonts w:ascii="Arial" w:cs="Arial" w:eastAsia="Arial" w:hAnsi="Arial"/>
          <w:sz w:val="18"/>
          <w:szCs w:val="18"/>
          <w:color w:val="auto"/>
        </w:rPr>
        <w:t>Without Party B’s consent, Party A shall not mortgage or pledge any assets acquired by utilizing the Loan hereunder for the benefit of a third party before full repayment of the principals and interest accrued thereon;</w:t>
      </w:r>
    </w:p>
    <w:p>
      <w:pPr>
        <w:spacing w:after="0" w:line="170" w:lineRule="exact"/>
        <w:rPr>
          <w:rFonts w:ascii="Arial" w:cs="Arial" w:eastAsia="Arial" w:hAnsi="Arial"/>
          <w:sz w:val="18"/>
          <w:szCs w:val="18"/>
          <w:color w:val="auto"/>
        </w:rPr>
      </w:pPr>
    </w:p>
    <w:p>
      <w:pPr>
        <w:ind w:left="1512" w:right="180" w:hanging="401"/>
        <w:spacing w:after="0" w:line="259" w:lineRule="auto"/>
        <w:tabs>
          <w:tab w:leader="none" w:pos="1544" w:val="left"/>
        </w:tabs>
        <w:numPr>
          <w:ilvl w:val="1"/>
          <w:numId w:val="50"/>
        </w:numPr>
        <w:rPr>
          <w:rFonts w:ascii="Arial" w:cs="Arial" w:eastAsia="Arial" w:hAnsi="Arial"/>
          <w:sz w:val="18"/>
          <w:szCs w:val="18"/>
          <w:color w:val="auto"/>
        </w:rPr>
      </w:pPr>
      <w:r>
        <w:rPr>
          <w:rFonts w:ascii="Arial" w:cs="Arial" w:eastAsia="Arial" w:hAnsi="Arial"/>
          <w:sz w:val="18"/>
          <w:szCs w:val="18"/>
          <w:color w:val="auto"/>
        </w:rPr>
        <w:t>If Party A qualifies as a group customer, it shall promptly report to Party B any related-party transactions involving more than 10% of Party A’s net assets, including (i) the relationship among all the parties to such transaction; (ii) the transaction and its nature; (iii) the transaction amount or the relevant ratio; and (iv) pricing policy (also applicable to the transactions with no price or merely nominal price);</w:t>
      </w:r>
    </w:p>
    <w:p>
      <w:pPr>
        <w:spacing w:after="0" w:line="186" w:lineRule="exact"/>
        <w:rPr>
          <w:rFonts w:ascii="Arial" w:cs="Arial" w:eastAsia="Arial" w:hAnsi="Arial"/>
          <w:sz w:val="18"/>
          <w:szCs w:val="18"/>
          <w:color w:val="auto"/>
        </w:rPr>
      </w:pPr>
    </w:p>
    <w:p>
      <w:pPr>
        <w:ind w:left="1512" w:right="200" w:hanging="401"/>
        <w:spacing w:after="0" w:line="259" w:lineRule="auto"/>
        <w:tabs>
          <w:tab w:leader="none" w:pos="1544" w:val="left"/>
        </w:tabs>
        <w:numPr>
          <w:ilvl w:val="1"/>
          <w:numId w:val="50"/>
        </w:numPr>
        <w:rPr>
          <w:rFonts w:ascii="Arial" w:cs="Arial" w:eastAsia="Arial" w:hAnsi="Arial"/>
          <w:sz w:val="18"/>
          <w:szCs w:val="18"/>
          <w:color w:val="auto"/>
        </w:rPr>
      </w:pPr>
      <w:r>
        <w:rPr>
          <w:rFonts w:ascii="Arial" w:cs="Arial" w:eastAsia="Arial" w:hAnsi="Arial"/>
          <w:sz w:val="18"/>
          <w:szCs w:val="18"/>
          <w:color w:val="auto"/>
        </w:rPr>
        <w:t>Party A shall not carry out merger, split-up, transfer of shares, outward investment, substantial increase of debt financing or other activities of importance without Party B’s prior written consent. For the avoidance of doubt, such consent shall not impair Party B’s rights to take remedial measures if Party B determines at a later time that such activities of Party A may endanger Party B’s rights as a creditor;</w:t>
      </w:r>
    </w:p>
    <w:p>
      <w:pPr>
        <w:spacing w:after="0" w:line="186" w:lineRule="exact"/>
        <w:rPr>
          <w:rFonts w:ascii="Arial" w:cs="Arial" w:eastAsia="Arial" w:hAnsi="Arial"/>
          <w:sz w:val="18"/>
          <w:szCs w:val="18"/>
          <w:color w:val="auto"/>
        </w:rPr>
      </w:pPr>
    </w:p>
    <w:p>
      <w:pPr>
        <w:jc w:val="both"/>
        <w:ind w:left="1512" w:right="20" w:hanging="401"/>
        <w:spacing w:after="0" w:line="259" w:lineRule="auto"/>
        <w:tabs>
          <w:tab w:leader="none" w:pos="1542"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 the case of payment at Party A’s own initiative, Party A shall submit reports to Party B on the use and payment of loan amounts on a monthly basis. Party A shall submit such report for the immediately preceding month within the first TEN working days of each month, together with a list of actual uses of loan amounts, until the date of repayment of all the loan. Such report shall be in the form attached in Schedule 4.</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PARTY B’S RIGHTS AND OBLIGATIONS</w:t>
      </w:r>
    </w:p>
    <w:p>
      <w:pPr>
        <w:spacing w:after="0" w:line="229" w:lineRule="exact"/>
        <w:rPr>
          <w:rFonts w:ascii="Arial" w:cs="Arial" w:eastAsia="Arial" w:hAnsi="Arial"/>
          <w:sz w:val="18"/>
          <w:szCs w:val="18"/>
          <w:b w:val="1"/>
          <w:bCs w:val="1"/>
          <w:color w:val="auto"/>
        </w:rPr>
      </w:pPr>
    </w:p>
    <w:p>
      <w:pPr>
        <w:ind w:left="1212" w:right="20" w:hanging="571"/>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9.1Party B is entitled to request Party A to repay the principal, interest accrued thereon and expenses when due, to manage and control the payment of loan amounts, to monitor on a real-time basis overall cash flows of Party A and to accelerate the maturity of the loan considering the status of collection of sale proceeds of Party A. Party B may exercise any other rights hereunder and demand Party A to perform any other obligations hereunder.</w:t>
      </w:r>
    </w:p>
    <w:p>
      <w:pPr>
        <w:spacing w:after="0" w:line="186" w:lineRule="exact"/>
        <w:rPr>
          <w:rFonts w:ascii="Arial" w:cs="Arial" w:eastAsia="Arial" w:hAnsi="Arial"/>
          <w:sz w:val="18"/>
          <w:szCs w:val="18"/>
          <w:b w:val="1"/>
          <w:bCs w:val="1"/>
          <w:color w:val="auto"/>
        </w:rPr>
      </w:pPr>
    </w:p>
    <w:p>
      <w:pPr>
        <w:ind w:left="1212" w:right="160" w:hanging="571"/>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9.2Party B is entitled to engage in Party A’s large-amount financing (The total amount of such financing shall be more than RMB SEVENTY-FOUR MILLION or Foreign Exchange equivalent) , sale of assets, merger, split-up,</w:t>
      </w:r>
    </w:p>
    <w:p>
      <w:pPr>
        <w:spacing w:after="0" w:line="38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881" w:right="279" w:bottom="1440" w:gutter="0" w:footer="0" w:header="0"/>
        </w:sectPr>
      </w:pPr>
    </w:p>
    <w:bookmarkStart w:id="60" w:name="page61"/>
    <w:bookmarkEnd w:id="60"/>
    <w:p>
      <w:pPr>
        <w:ind w:left="1232" w:right="580"/>
        <w:spacing w:after="0" w:line="277" w:lineRule="auto"/>
        <w:rPr>
          <w:sz w:val="20"/>
          <w:szCs w:val="20"/>
          <w:color w:val="auto"/>
        </w:rPr>
      </w:pPr>
      <w:r>
        <w:rPr>
          <w:rFonts w:ascii="Arial" w:cs="Arial" w:eastAsia="Arial" w:hAnsi="Arial"/>
          <w:sz w:val="18"/>
          <w:szCs w:val="18"/>
          <w:color w:val="auto"/>
        </w:rPr>
        <w:t>stock-company restructuring, bankruptcy, liquidation and other activities for the purpose of protecting Party B’s rights. The way(s) of engagement shall be (1) (multiple choices are allowed)</w:t>
      </w:r>
    </w:p>
    <w:p>
      <w:pPr>
        <w:spacing w:after="0" w:line="170" w:lineRule="exact"/>
        <w:rPr>
          <w:sz w:val="20"/>
          <w:szCs w:val="20"/>
          <w:color w:val="auto"/>
        </w:rPr>
      </w:pPr>
    </w:p>
    <w:p>
      <w:pPr>
        <w:ind w:left="1492" w:hanging="260"/>
        <w:spacing w:after="0"/>
        <w:tabs>
          <w:tab w:leader="none" w:pos="1492"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Party A shall seek Party B’s prior written consent before carrying out any of the above activities;</w:t>
      </w:r>
    </w:p>
    <w:p>
      <w:pPr>
        <w:spacing w:after="0" w:line="225" w:lineRule="exact"/>
        <w:rPr>
          <w:rFonts w:ascii="Arial" w:cs="Arial" w:eastAsia="Arial" w:hAnsi="Arial"/>
          <w:sz w:val="18"/>
          <w:szCs w:val="18"/>
          <w:color w:val="auto"/>
        </w:rPr>
      </w:pPr>
    </w:p>
    <w:p>
      <w:pPr>
        <w:ind w:left="1492" w:hanging="260"/>
        <w:spacing w:after="0"/>
        <w:tabs>
          <w:tab w:leader="none" w:pos="1492"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Party B is entitled to arrange for Party A’s large-amount financings;</w:t>
      </w:r>
    </w:p>
    <w:p>
      <w:pPr>
        <w:spacing w:after="0" w:line="225" w:lineRule="exact"/>
        <w:rPr>
          <w:rFonts w:ascii="Arial" w:cs="Arial" w:eastAsia="Arial" w:hAnsi="Arial"/>
          <w:sz w:val="18"/>
          <w:szCs w:val="18"/>
          <w:color w:val="auto"/>
        </w:rPr>
      </w:pPr>
    </w:p>
    <w:p>
      <w:pPr>
        <w:ind w:left="1492" w:hanging="260"/>
        <w:spacing w:after="0"/>
        <w:tabs>
          <w:tab w:leader="none" w:pos="149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sale price and buyer of the assets shall be in compliance with the following: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32"/>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32"/>
        <w:spacing w:after="0"/>
        <w:rPr>
          <w:sz w:val="20"/>
          <w:szCs w:val="20"/>
          <w:color w:val="auto"/>
        </w:rPr>
      </w:pPr>
      <w:r>
        <w:rPr>
          <w:rFonts w:ascii="Arial" w:cs="Arial" w:eastAsia="Arial" w:hAnsi="Arial"/>
          <w:sz w:val="18"/>
          <w:szCs w:val="18"/>
          <w:color w:val="auto"/>
        </w:rPr>
        <w:t>(5) other ways Party B deems fit.</w:t>
      </w:r>
    </w:p>
    <w:p>
      <w:pPr>
        <w:spacing w:after="0" w:line="225" w:lineRule="exact"/>
        <w:rPr>
          <w:sz w:val="20"/>
          <w:szCs w:val="20"/>
          <w:color w:val="auto"/>
        </w:rPr>
      </w:pPr>
    </w:p>
    <w:p>
      <w:pPr>
        <w:ind w:left="1212" w:right="240" w:hanging="566"/>
        <w:spacing w:after="0" w:line="277" w:lineRule="auto"/>
        <w:tabs>
          <w:tab w:leader="none" w:pos="1192"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Party B shall advance the Loan as provided herein unless the delay or failure in advancing the Loan is caused by any reason attributable to Party A or any other reason that can not be attributed to Party B.</w:t>
      </w:r>
    </w:p>
    <w:p>
      <w:pPr>
        <w:spacing w:after="0" w:line="170" w:lineRule="exact"/>
        <w:rPr>
          <w:sz w:val="20"/>
          <w:szCs w:val="20"/>
          <w:color w:val="auto"/>
        </w:rPr>
      </w:pPr>
    </w:p>
    <w:p>
      <w:pPr>
        <w:ind w:left="1212" w:right="160" w:hanging="566"/>
        <w:spacing w:after="0" w:line="342" w:lineRule="auto"/>
        <w:tabs>
          <w:tab w:leader="none" w:pos="1192"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Party B shall keep confidential the relevant financial documents and manufacturing and operating trade secrets furnished by Party A except otherwise provided by the laws, regulations and rules, or required by the competent authorities, or agreed between the parties hereto.</w:t>
      </w:r>
    </w:p>
    <w:p>
      <w:pPr>
        <w:spacing w:after="0" w:line="124" w:lineRule="exact"/>
        <w:rPr>
          <w:sz w:val="20"/>
          <w:szCs w:val="20"/>
          <w:color w:val="auto"/>
        </w:rPr>
      </w:pPr>
    </w:p>
    <w:p>
      <w:pPr>
        <w:ind w:left="652"/>
        <w:spacing w:after="0"/>
        <w:tabs>
          <w:tab w:leader="none" w:pos="1112"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Party B shall not bribe Party A or its employees, nor request any bribe or accept any bribe offered by Party A.</w:t>
      </w:r>
    </w:p>
    <w:p>
      <w:pPr>
        <w:spacing w:after="0" w:line="225" w:lineRule="exact"/>
        <w:rPr>
          <w:sz w:val="20"/>
          <w:szCs w:val="20"/>
          <w:color w:val="auto"/>
        </w:rPr>
      </w:pPr>
    </w:p>
    <w:p>
      <w:pPr>
        <w:ind w:left="652"/>
        <w:spacing w:after="0"/>
        <w:tabs>
          <w:tab w:leader="none" w:pos="1112"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color w:val="auto"/>
        </w:rPr>
        <w:t>Party B shall not engage in any activity which is dishonest or will be detrimental to Party A’s lawful interests.</w:t>
      </w:r>
    </w:p>
    <w:p>
      <w:pPr>
        <w:spacing w:after="0" w:line="221" w:lineRule="exact"/>
        <w:rPr>
          <w:sz w:val="20"/>
          <w:szCs w:val="20"/>
          <w:color w:val="auto"/>
        </w:rPr>
      </w:pPr>
    </w:p>
    <w:p>
      <w:pPr>
        <w:ind w:left="652" w:hanging="652"/>
        <w:spacing w:after="0"/>
        <w:tabs>
          <w:tab w:leader="none" w:pos="65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DEFAULT AND REMEDY</w:t>
      </w:r>
    </w:p>
    <w:p>
      <w:pPr>
        <w:spacing w:after="0" w:line="229" w:lineRule="exact"/>
        <w:rPr>
          <w:sz w:val="20"/>
          <w:szCs w:val="20"/>
          <w:color w:val="auto"/>
        </w:rPr>
      </w:pPr>
    </w:p>
    <w:p>
      <w:pPr>
        <w:ind w:left="752"/>
        <w:spacing w:after="0"/>
        <w:rPr>
          <w:sz w:val="20"/>
          <w:szCs w:val="20"/>
          <w:color w:val="auto"/>
        </w:rPr>
      </w:pPr>
      <w:r>
        <w:rPr>
          <w:rFonts w:ascii="Arial" w:cs="Arial" w:eastAsia="Arial" w:hAnsi="Arial"/>
          <w:sz w:val="18"/>
          <w:szCs w:val="18"/>
          <w:color w:val="auto"/>
        </w:rPr>
        <w:t>10.1 Events of Default by Party B and Liabilities</w:t>
      </w:r>
    </w:p>
    <w:p>
      <w:pPr>
        <w:spacing w:after="0" w:line="225" w:lineRule="exact"/>
        <w:rPr>
          <w:sz w:val="20"/>
          <w:szCs w:val="20"/>
          <w:color w:val="auto"/>
        </w:rPr>
      </w:pPr>
    </w:p>
    <w:p>
      <w:pPr>
        <w:ind w:left="1732" w:right="100" w:hanging="347"/>
        <w:spacing w:after="0" w:line="277" w:lineRule="auto"/>
        <w:tabs>
          <w:tab w:leader="none" w:pos="17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Party B does not advance the Loan as provided herein without justifiable reason, Party A may request Party B to advance the Loan in accordance with the Contract.</w:t>
      </w:r>
    </w:p>
    <w:p>
      <w:pPr>
        <w:spacing w:after="0" w:line="170" w:lineRule="exact"/>
        <w:rPr>
          <w:rFonts w:ascii="Arial" w:cs="Arial" w:eastAsia="Arial" w:hAnsi="Arial"/>
          <w:sz w:val="18"/>
          <w:szCs w:val="18"/>
          <w:color w:val="auto"/>
        </w:rPr>
      </w:pPr>
    </w:p>
    <w:p>
      <w:pPr>
        <w:ind w:left="1732" w:hanging="347"/>
        <w:spacing w:after="0" w:line="277" w:lineRule="auto"/>
        <w:tabs>
          <w:tab w:leader="none" w:pos="17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Party B charges any interest or fee which is prohibited by the laws or regulations, Party A may request Party B to refund the interest or fee charged.</w:t>
      </w:r>
    </w:p>
    <w:p>
      <w:pPr>
        <w:spacing w:after="0" w:line="170" w:lineRule="exact"/>
        <w:rPr>
          <w:sz w:val="20"/>
          <w:szCs w:val="20"/>
          <w:color w:val="auto"/>
        </w:rPr>
      </w:pPr>
    </w:p>
    <w:p>
      <w:pPr>
        <w:ind w:left="752"/>
        <w:spacing w:after="0"/>
        <w:rPr>
          <w:sz w:val="20"/>
          <w:szCs w:val="20"/>
          <w:color w:val="auto"/>
        </w:rPr>
      </w:pPr>
      <w:r>
        <w:rPr>
          <w:rFonts w:ascii="Arial" w:cs="Arial" w:eastAsia="Arial" w:hAnsi="Arial"/>
          <w:sz w:val="18"/>
          <w:szCs w:val="18"/>
          <w:color w:val="auto"/>
        </w:rPr>
        <w:t>10.2 Events of Default by Party A</w:t>
      </w:r>
    </w:p>
    <w:p>
      <w:pPr>
        <w:spacing w:after="0" w:line="225" w:lineRule="exact"/>
        <w:rPr>
          <w:sz w:val="20"/>
          <w:szCs w:val="20"/>
          <w:color w:val="auto"/>
        </w:rPr>
      </w:pPr>
    </w:p>
    <w:p>
      <w:pPr>
        <w:ind w:left="1012"/>
        <w:spacing w:after="0"/>
        <w:rPr>
          <w:sz w:val="20"/>
          <w:szCs w:val="20"/>
          <w:color w:val="auto"/>
        </w:rPr>
      </w:pPr>
      <w:r>
        <w:rPr>
          <w:rFonts w:ascii="Arial" w:cs="Arial" w:eastAsia="Arial" w:hAnsi="Arial"/>
          <w:sz w:val="18"/>
          <w:szCs w:val="18"/>
          <w:color w:val="auto"/>
        </w:rPr>
        <w:t>The events of default by Party A shall include:</w:t>
      </w:r>
    </w:p>
    <w:p>
      <w:pPr>
        <w:spacing w:after="0" w:line="225" w:lineRule="exact"/>
        <w:rPr>
          <w:sz w:val="20"/>
          <w:szCs w:val="20"/>
          <w:color w:val="auto"/>
        </w:rPr>
      </w:pPr>
    </w:p>
    <w:p>
      <w:pPr>
        <w:ind w:left="5612" w:right="3540" w:hanging="4223"/>
        <w:spacing w:after="0" w:line="778" w:lineRule="auto"/>
        <w:tabs>
          <w:tab w:leader="none" w:pos="1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Party A breaches any statutory obligation or any contractual obligation hereunder; and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-293370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81" w:right="239" w:bottom="1440" w:gutter="0" w:footer="0" w:header="0"/>
        </w:sectPr>
      </w:pPr>
    </w:p>
    <w:bookmarkStart w:id="61" w:name="page62"/>
    <w:bookmarkEnd w:id="61"/>
    <w:p>
      <w:pPr>
        <w:ind w:left="-393" w:right="4220" w:firstLine="637"/>
        <w:spacing w:after="0" w:line="501" w:lineRule="auto"/>
        <w:tabs>
          <w:tab w:leader="none" w:pos="494" w:val="left"/>
        </w:tabs>
        <w:numPr>
          <w:ilvl w:val="1"/>
          <w:numId w:val="56"/>
        </w:numPr>
        <w:rPr>
          <w:rFonts w:ascii="Arial" w:cs="Arial" w:eastAsia="Arial" w:hAnsi="Arial"/>
          <w:sz w:val="18"/>
          <w:szCs w:val="18"/>
          <w:color w:val="auto"/>
        </w:rPr>
      </w:pPr>
      <w:r>
        <w:rPr>
          <w:rFonts w:ascii="Arial" w:cs="Arial" w:eastAsia="Arial" w:hAnsi="Arial"/>
          <w:sz w:val="18"/>
          <w:szCs w:val="18"/>
          <w:color w:val="auto"/>
        </w:rPr>
        <w:t>Party A has repudiated its obligations hereunder expressly or by its conduct. 10.3 Events that may Adversely Impact Creditor’s Rights</w:t>
      </w:r>
    </w:p>
    <w:p>
      <w:pPr>
        <w:ind w:left="287" w:hanging="287"/>
        <w:spacing w:after="0"/>
        <w:tabs>
          <w:tab w:leader="none" w:pos="28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occurrence of any of the following events upon Party A which Party B believes may adversely impact its creditor’s rights:</w:t>
      </w:r>
    </w:p>
    <w:p>
      <w:pPr>
        <w:spacing w:after="0" w:line="225" w:lineRule="exact"/>
        <w:rPr>
          <w:rFonts w:ascii="Arial" w:cs="Arial" w:eastAsia="Arial" w:hAnsi="Arial"/>
          <w:sz w:val="18"/>
          <w:szCs w:val="18"/>
          <w:color w:val="auto"/>
        </w:rPr>
      </w:pPr>
    </w:p>
    <w:p>
      <w:pPr>
        <w:ind w:left="267" w:right="40" w:firstLine="2"/>
        <w:spacing w:after="0" w:line="272" w:lineRule="auto"/>
        <w:rPr>
          <w:rFonts w:ascii="Arial" w:cs="Arial" w:eastAsia="Arial" w:hAnsi="Arial"/>
          <w:sz w:val="18"/>
          <w:szCs w:val="18"/>
          <w:color w:val="auto"/>
        </w:rPr>
      </w:pPr>
      <w:r>
        <w:rPr>
          <w:rFonts w:ascii="Arial" w:cs="Arial" w:eastAsia="Arial" w:hAnsi="Arial"/>
          <w:sz w:val="17"/>
          <w:szCs w:val="17"/>
          <w:color w:val="auto"/>
        </w:rPr>
        <w:t>contracting, trustee (receiver) being appointed, lease, shareholding restructuring, decrease of its registered capital, investment, joint operation, mergers and acquisitions, acquisition and restructuring, division, joint venture, shares transfer, substantial increase of debt financing, applying for (or subject to an application for) temporary cessation of operation or dissolution, revocation, applying for (or subject to an application for) bankruptcy, change of controlling shareholders/actual controllers, transfer of material assets, suspension of production or operation, significant penalty imposed by regulatory authorities, cancellation of registration, revocation of business license, involvement in material legal proceedings, severe deterioration in operation and financial condition, deterioration of credit standing, legal representative/principal officer being unable to perform their duties;</w:t>
      </w:r>
    </w:p>
    <w:p>
      <w:pPr>
        <w:spacing w:after="0" w:line="177" w:lineRule="exact"/>
        <w:rPr>
          <w:rFonts w:ascii="Arial" w:cs="Arial" w:eastAsia="Arial" w:hAnsi="Arial"/>
          <w:sz w:val="18"/>
          <w:szCs w:val="18"/>
          <w:color w:val="auto"/>
        </w:rPr>
      </w:pPr>
    </w:p>
    <w:p>
      <w:pPr>
        <w:ind w:left="287" w:hanging="287"/>
        <w:spacing w:after="0"/>
        <w:tabs>
          <w:tab w:leader="none" w:pos="28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occurrence of any of the following events which Party B believes may adversely impact its creditor’s rights:</w:t>
      </w:r>
    </w:p>
    <w:p>
      <w:pPr>
        <w:spacing w:after="0" w:line="225" w:lineRule="exact"/>
        <w:rPr>
          <w:rFonts w:ascii="Arial" w:cs="Arial" w:eastAsia="Arial" w:hAnsi="Arial"/>
          <w:sz w:val="18"/>
          <w:szCs w:val="18"/>
          <w:color w:val="auto"/>
        </w:rPr>
      </w:pPr>
    </w:p>
    <w:p>
      <w:pPr>
        <w:ind w:left="267" w:firstLine="2"/>
        <w:spacing w:after="0" w:line="293" w:lineRule="auto"/>
        <w:rPr>
          <w:rFonts w:ascii="Arial" w:cs="Arial" w:eastAsia="Arial" w:hAnsi="Arial"/>
          <w:sz w:val="18"/>
          <w:szCs w:val="18"/>
          <w:color w:val="auto"/>
        </w:rPr>
      </w:pPr>
      <w:r>
        <w:rPr>
          <w:rFonts w:ascii="Arial" w:cs="Arial" w:eastAsia="Arial" w:hAnsi="Arial"/>
          <w:sz w:val="16"/>
          <w:szCs w:val="16"/>
          <w:color w:val="auto"/>
        </w:rPr>
        <w:t>Party A fails to repay any other due debts, including such debts owed to any other branch or organization of China Construction Bank or to any other third party; Party A transfers assets at a low price or for free; Party A relieves or waives any debt of a third party; Party A fails to exercise its creditor’s rights or any other rights; or Party A provides security for a third party; financial indicators of Party A fail to meet, on a continuous basis, the requirements specified in Schedule2; there are unusual fluctuations in any of Party A’s accounts (including without limitation account to collect sale proceeds and other account subject to Party B’s supervision) ; there are grave cross-defaults by Party A; profit-making capability of Party A’s core business is undesirable; there is irregularity in the use of loan;</w:t>
      </w:r>
    </w:p>
    <w:p>
      <w:pPr>
        <w:spacing w:after="0" w:line="164" w:lineRule="exact"/>
        <w:rPr>
          <w:rFonts w:ascii="Arial" w:cs="Arial" w:eastAsia="Arial" w:hAnsi="Arial"/>
          <w:sz w:val="18"/>
          <w:szCs w:val="18"/>
          <w:color w:val="auto"/>
        </w:rPr>
      </w:pPr>
    </w:p>
    <w:p>
      <w:pPr>
        <w:ind w:left="267" w:right="80" w:hanging="267"/>
        <w:spacing w:after="0" w:line="277" w:lineRule="auto"/>
        <w:tabs>
          <w:tab w:leader="none" w:pos="274"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Party A’s shareholder manipulates the independence status of Party A as a legal person or the limited liability status of the shareholder in order to evade debts, and Party B believes this manipulation may adversely impact its creditor’s rights;</w:t>
      </w:r>
    </w:p>
    <w:p>
      <w:pPr>
        <w:spacing w:after="0" w:line="170" w:lineRule="exact"/>
        <w:rPr>
          <w:rFonts w:ascii="Arial" w:cs="Arial" w:eastAsia="Arial" w:hAnsi="Arial"/>
          <w:sz w:val="18"/>
          <w:szCs w:val="18"/>
          <w:color w:val="auto"/>
        </w:rPr>
      </w:pPr>
    </w:p>
    <w:p>
      <w:pPr>
        <w:ind w:left="287" w:hanging="287"/>
        <w:spacing w:after="0"/>
        <w:tabs>
          <w:tab w:leader="none" w:pos="287"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of the conditions precedent to advance the Loan has not been satisfied continuously;</w:t>
      </w:r>
    </w:p>
    <w:p>
      <w:pPr>
        <w:spacing w:after="0" w:line="225" w:lineRule="exact"/>
        <w:rPr>
          <w:rFonts w:ascii="Arial" w:cs="Arial" w:eastAsia="Arial" w:hAnsi="Arial"/>
          <w:sz w:val="18"/>
          <w:szCs w:val="18"/>
          <w:color w:val="auto"/>
        </w:rPr>
      </w:pPr>
    </w:p>
    <w:p>
      <w:pPr>
        <w:ind w:left="287" w:hanging="287"/>
        <w:spacing w:after="0"/>
        <w:tabs>
          <w:tab w:leader="none" w:pos="287"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occurrence of any of the following events upon the guarantor which Party B believes may adversely impact its creditor’s rights:</w:t>
      </w:r>
    </w:p>
    <w:p>
      <w:pPr>
        <w:spacing w:after="0" w:line="236" w:lineRule="exact"/>
        <w:rPr>
          <w:rFonts w:ascii="Arial" w:cs="Arial" w:eastAsia="Arial" w:hAnsi="Arial"/>
          <w:sz w:val="17"/>
          <w:szCs w:val="17"/>
          <w:color w:val="auto"/>
        </w:rPr>
      </w:pPr>
    </w:p>
    <w:p>
      <w:pPr>
        <w:ind w:left="527" w:right="140" w:hanging="267"/>
        <w:spacing w:after="0" w:line="277" w:lineRule="auto"/>
        <w:tabs>
          <w:tab w:leader="none" w:pos="548"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the guarantor breaches any provision of the guarantee contract, or any of the representations and warranties it has made proves to be false, wrong or incomplete;</w:t>
      </w:r>
    </w:p>
    <w:p>
      <w:pPr>
        <w:spacing w:after="0" w:line="170" w:lineRule="exact"/>
        <w:rPr>
          <w:rFonts w:ascii="Arial" w:cs="Arial" w:eastAsia="Arial" w:hAnsi="Arial"/>
          <w:sz w:val="18"/>
          <w:szCs w:val="18"/>
          <w:color w:val="auto"/>
        </w:rPr>
      </w:pPr>
    </w:p>
    <w:p>
      <w:pPr>
        <w:ind w:left="527" w:right="120" w:hanging="267"/>
        <w:spacing w:after="0" w:line="342" w:lineRule="auto"/>
        <w:tabs>
          <w:tab w:leader="none" w:pos="558" w:val="left"/>
        </w:tabs>
        <w:numPr>
          <w:ilvl w:val="2"/>
          <w:numId w:val="57"/>
        </w:numPr>
        <w:rPr>
          <w:rFonts w:ascii="Arial" w:cs="Arial" w:eastAsia="Arial" w:hAnsi="Arial"/>
          <w:sz w:val="16"/>
          <w:szCs w:val="16"/>
          <w:color w:val="auto"/>
        </w:rPr>
      </w:pPr>
      <w:r>
        <w:rPr>
          <w:rFonts w:ascii="Arial" w:cs="Arial" w:eastAsia="Arial" w:hAnsi="Arial"/>
          <w:sz w:val="16"/>
          <w:szCs w:val="16"/>
          <w:color w:val="auto"/>
        </w:rPr>
        <w:t>contracting, trustee (receiver) being appointed, lease, shareholding restructuring, decrease of its registered capital, investment, joint operation, mergers and acquisitions, acquisition and restructuring, division, joint venture, shares transfer, substantial increase of debt</w:t>
      </w:r>
    </w:p>
    <w:p>
      <w:pPr>
        <w:spacing w:after="0" w:line="340" w:lineRule="exact"/>
        <w:rPr>
          <w:sz w:val="20"/>
          <w:szCs w:val="20"/>
          <w:color w:val="auto"/>
        </w:rPr>
      </w:pPr>
    </w:p>
    <w:p>
      <w:pPr>
        <w:ind w:left="4467"/>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7"/>
          </w:cols>
          <w:pgMar w:left="1393" w:top="882" w:right="299" w:bottom="1440" w:gutter="0" w:footer="0" w:header="0"/>
        </w:sectPr>
      </w:pPr>
    </w:p>
    <w:bookmarkStart w:id="62" w:name="page63"/>
    <w:bookmarkEnd w:id="62"/>
    <w:p>
      <w:pPr>
        <w:ind w:left="640" w:right="220" w:firstLine="2"/>
        <w:spacing w:after="0" w:line="255" w:lineRule="auto"/>
        <w:rPr>
          <w:sz w:val="20"/>
          <w:szCs w:val="20"/>
          <w:color w:val="auto"/>
        </w:rPr>
      </w:pPr>
      <w:r>
        <w:rPr>
          <w:rFonts w:ascii="Arial" w:cs="Arial" w:eastAsia="Arial" w:hAnsi="Arial"/>
          <w:sz w:val="18"/>
          <w:szCs w:val="18"/>
          <w:color w:val="auto"/>
        </w:rPr>
        <w:t>financing, applying for (or subject to an application for) temporary cessation of operation or dissolution, revocation, applying for (or subject to an application for) bankruptcy, change of controlling shareholders/actual controllers, transfer of material assets, transfer of assets at a low price or for free, relieving or waiving any debt of a third party; failure to exercise its creditor’s rights or any other rights, suspension of production or operation, significant penalty imposed by regulatory authorities, cancellation of registration, revocation of business license, involvement in material legal proceedings, severe deterioration in operation and financial condition, deterioration of credit standing, legal representative/principal officer’s inability to perform their duties, which may adversely impact its capability as a guarantor;</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(iii) other events in which the guarantor has lost or may lose its capability as guarantor.</w:t>
      </w:r>
    </w:p>
    <w:p>
      <w:pPr>
        <w:spacing w:after="0" w:line="225" w:lineRule="exact"/>
        <w:rPr>
          <w:sz w:val="20"/>
          <w:szCs w:val="20"/>
          <w:color w:val="auto"/>
        </w:rPr>
      </w:pPr>
    </w:p>
    <w:p>
      <w:pPr>
        <w:ind w:left="620" w:right="440" w:hanging="463"/>
        <w:spacing w:after="0" w:line="277" w:lineRule="auto"/>
        <w:tabs>
          <w:tab w:leader="none" w:pos="67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occurrence of any of the following events on the mortgage or pledge which Party B believes may adversely impact its creditor’s rights:</w:t>
      </w:r>
    </w:p>
    <w:p>
      <w:pPr>
        <w:spacing w:after="0" w:line="170" w:lineRule="exact"/>
        <w:rPr>
          <w:rFonts w:ascii="Arial" w:cs="Arial" w:eastAsia="Arial" w:hAnsi="Arial"/>
          <w:sz w:val="18"/>
          <w:szCs w:val="18"/>
          <w:color w:val="auto"/>
        </w:rPr>
      </w:pPr>
    </w:p>
    <w:p>
      <w:pPr>
        <w:ind w:left="1040" w:right="160" w:hanging="407"/>
        <w:spacing w:after="0" w:line="342" w:lineRule="auto"/>
        <w:tabs>
          <w:tab w:leader="none" w:pos="1061"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mortgaged or pledged property is damaged, destroyed or its value is reduced as a result of a third-party’s action, expropriation, confiscation, eminent domain or redevelopment and relocation by the government, market change, or any other reason;</w:t>
      </w:r>
    </w:p>
    <w:p>
      <w:pPr>
        <w:spacing w:after="0" w:line="123" w:lineRule="exact"/>
        <w:rPr>
          <w:rFonts w:ascii="Arial" w:cs="Arial" w:eastAsia="Arial" w:hAnsi="Arial"/>
          <w:sz w:val="16"/>
          <w:szCs w:val="16"/>
          <w:color w:val="auto"/>
        </w:rPr>
      </w:pPr>
    </w:p>
    <w:p>
      <w:pPr>
        <w:ind w:left="1040" w:right="40" w:hanging="407"/>
        <w:spacing w:after="0" w:line="342" w:lineRule="auto"/>
        <w:tabs>
          <w:tab w:leader="none" w:pos="1071"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mortgaged or pledged property has been seized, impounded, frozen, mandatorily debited, put on lien, sold by auction, subject to administration order by a government authority, or a dispute over the ownership of the mortgaged or pledged property occurs;</w:t>
      </w:r>
    </w:p>
    <w:p>
      <w:pPr>
        <w:spacing w:after="0" w:line="123" w:lineRule="exact"/>
        <w:rPr>
          <w:rFonts w:ascii="Arial" w:cs="Arial" w:eastAsia="Arial" w:hAnsi="Arial"/>
          <w:sz w:val="16"/>
          <w:szCs w:val="16"/>
          <w:color w:val="auto"/>
        </w:rPr>
      </w:pPr>
    </w:p>
    <w:p>
      <w:pPr>
        <w:ind w:left="1040" w:hanging="407"/>
        <w:spacing w:after="0" w:line="277" w:lineRule="auto"/>
        <w:tabs>
          <w:tab w:leader="none" w:pos="10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mortgagor or pledgor breaches any provision of the mortgage/pledge contract, or any of the representations and warranties it has made proves to be false, wrong or incomplete;</w:t>
      </w:r>
    </w:p>
    <w:p>
      <w:pPr>
        <w:spacing w:after="0" w:line="170" w:lineRule="exact"/>
        <w:rPr>
          <w:rFonts w:ascii="Arial" w:cs="Arial" w:eastAsia="Arial" w:hAnsi="Arial"/>
          <w:sz w:val="18"/>
          <w:szCs w:val="18"/>
          <w:color w:val="auto"/>
        </w:rPr>
      </w:pPr>
    </w:p>
    <w:p>
      <w:pPr>
        <w:ind w:left="1060" w:hanging="427"/>
        <w:spacing w:after="0"/>
        <w:tabs>
          <w:tab w:leader="none" w:pos="10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other events that may adversely impact Party B’s ability to realize its mortgage or pledge.</w:t>
      </w:r>
    </w:p>
    <w:p>
      <w:pPr>
        <w:spacing w:after="0" w:line="225" w:lineRule="exact"/>
        <w:rPr>
          <w:rFonts w:ascii="Arial" w:cs="Arial" w:eastAsia="Arial" w:hAnsi="Arial"/>
          <w:sz w:val="18"/>
          <w:szCs w:val="18"/>
          <w:color w:val="auto"/>
        </w:rPr>
      </w:pPr>
    </w:p>
    <w:p>
      <w:pPr>
        <w:ind w:left="620" w:right="220" w:hanging="463"/>
        <w:spacing w:after="0" w:line="312" w:lineRule="auto"/>
        <w:tabs>
          <w:tab w:leader="none" w:pos="628"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security is not effected, becomes ineffective, invalid, or is rescinded or terminated, or the security provider defaults or repudiates its obligations expressly or by conduct, or the security provider has lost its capability to perform its obligations as a security provider in whole or in part, or the value of the collateral is reduced, which Party B believes may adversely impact its creditor’s rights; or</w:t>
      </w:r>
    </w:p>
    <w:p>
      <w:pPr>
        <w:spacing w:after="0" w:line="146" w:lineRule="exact"/>
        <w:rPr>
          <w:rFonts w:ascii="Arial" w:cs="Arial" w:eastAsia="Arial" w:hAnsi="Arial"/>
          <w:sz w:val="16"/>
          <w:szCs w:val="16"/>
          <w:color w:val="auto"/>
        </w:rPr>
      </w:pPr>
    </w:p>
    <w:p>
      <w:pPr>
        <w:ind w:left="640" w:hanging="483"/>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 events which Party B believes may adversely impact its creditor’s rights.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Party B’s Remedy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Upon occurrence of any event under Article 10.2 or 10.3, Party B may exercise one or more of the following rights:</w:t>
      </w:r>
    </w:p>
    <w:p>
      <w:pPr>
        <w:spacing w:after="0" w:line="225" w:lineRule="exact"/>
        <w:rPr>
          <w:sz w:val="20"/>
          <w:szCs w:val="20"/>
          <w:color w:val="auto"/>
        </w:rPr>
      </w:pPr>
    </w:p>
    <w:p>
      <w:pPr>
        <w:ind w:left="1180" w:hanging="547"/>
        <w:spacing w:after="0"/>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stop advancing the Loan;</w:t>
      </w:r>
    </w:p>
    <w:p>
      <w:pPr>
        <w:spacing w:after="0" w:line="200" w:lineRule="exact"/>
        <w:rPr>
          <w:sz w:val="20"/>
          <w:szCs w:val="20"/>
          <w:color w:val="auto"/>
        </w:rPr>
      </w:pPr>
    </w:p>
    <w:p>
      <w:pPr>
        <w:spacing w:after="0" w:line="24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1020" w:top="881" w:right="279" w:bottom="1440" w:gutter="0" w:footer="0" w:header="0"/>
        </w:sectPr>
      </w:pPr>
    </w:p>
    <w:bookmarkStart w:id="63" w:name="page64"/>
    <w:bookmarkEnd w:id="63"/>
    <w:p>
      <w:pPr>
        <w:ind w:left="600" w:hanging="387"/>
        <w:spacing w:after="0"/>
        <w:tabs>
          <w:tab w:leader="none" w:pos="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request for more conditions precedent for loan advance and payment;</w:t>
      </w:r>
    </w:p>
    <w:p>
      <w:pPr>
        <w:spacing w:after="0" w:line="225" w:lineRule="exact"/>
        <w:rPr>
          <w:rFonts w:ascii="Arial" w:cs="Arial" w:eastAsia="Arial" w:hAnsi="Arial"/>
          <w:sz w:val="18"/>
          <w:szCs w:val="18"/>
          <w:color w:val="auto"/>
        </w:rPr>
      </w:pPr>
    </w:p>
    <w:p>
      <w:pPr>
        <w:ind w:left="600" w:hanging="387"/>
        <w:spacing w:after="0"/>
        <w:tabs>
          <w:tab w:leader="none" w:pos="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change the means of payment of loan in accordance with this Contract;</w:t>
      </w:r>
    </w:p>
    <w:p>
      <w:pPr>
        <w:spacing w:after="0" w:line="225" w:lineRule="exact"/>
        <w:rPr>
          <w:rFonts w:ascii="Arial" w:cs="Arial" w:eastAsia="Arial" w:hAnsi="Arial"/>
          <w:sz w:val="18"/>
          <w:szCs w:val="18"/>
          <w:color w:val="auto"/>
        </w:rPr>
      </w:pPr>
    </w:p>
    <w:p>
      <w:pPr>
        <w:ind w:left="580" w:right="80" w:hanging="367"/>
        <w:spacing w:after="0" w:line="277" w:lineRule="auto"/>
        <w:tabs>
          <w:tab w:leader="none" w:pos="58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declare the Loan immediately due and payable, and request Party A to repay immediately all the due and undue principal, interest and fees;</w:t>
      </w:r>
    </w:p>
    <w:p>
      <w:pPr>
        <w:spacing w:after="0" w:line="170" w:lineRule="exact"/>
        <w:rPr>
          <w:rFonts w:ascii="Arial" w:cs="Arial" w:eastAsia="Arial" w:hAnsi="Arial"/>
          <w:sz w:val="18"/>
          <w:szCs w:val="18"/>
          <w:color w:val="auto"/>
        </w:rPr>
      </w:pPr>
    </w:p>
    <w:p>
      <w:pPr>
        <w:ind w:left="600" w:hanging="387"/>
        <w:spacing w:after="0"/>
        <w:tabs>
          <w:tab w:leader="none" w:pos="6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Party A fails to make any drawdown in accordance with the Contract, Party B may hold Party A liable to pay a penalty equal to 0</w:t>
      </w:r>
    </w:p>
    <w:p>
      <w:pPr>
        <w:spacing w:after="0" w:line="46" w:lineRule="exact"/>
        <w:rPr>
          <w:rFonts w:ascii="Arial" w:cs="Arial" w:eastAsia="Arial" w:hAnsi="Arial"/>
          <w:sz w:val="16"/>
          <w:szCs w:val="16"/>
          <w:color w:val="auto"/>
        </w:rPr>
      </w:pPr>
    </w:p>
    <w:p>
      <w:pPr>
        <w:ind w:left="780" w:hanging="191"/>
        <w:spacing w:after="0"/>
        <w:tabs>
          <w:tab w:leader="none" w:pos="7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of the Loan proceeds not drawn and may reject Party A’s request for drawing such Loan;</w:t>
      </w:r>
    </w:p>
    <w:p>
      <w:pPr>
        <w:spacing w:after="0" w:line="210" w:lineRule="exact"/>
        <w:rPr>
          <w:rFonts w:ascii="Arial" w:cs="Arial" w:eastAsia="Arial" w:hAnsi="Arial"/>
          <w:sz w:val="18"/>
          <w:szCs w:val="18"/>
          <w:color w:val="auto"/>
        </w:rPr>
      </w:pPr>
    </w:p>
    <w:p>
      <w:pPr>
        <w:ind w:left="580" w:hanging="367"/>
        <w:spacing w:after="0" w:line="312" w:lineRule="auto"/>
        <w:tabs>
          <w:tab w:leader="none" w:pos="589"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Party A utilizes any part of the Loan for any purpose other than as provided herein, interest on the misappropriated amount shall be calculated and compounded for the period from the date of the misappropriation to the date when all the principal and interest have been fully paid in accordance with the relevant default interest rate and the interest settlement method as provided herein;</w:t>
      </w:r>
    </w:p>
    <w:p>
      <w:pPr>
        <w:spacing w:after="0" w:line="146" w:lineRule="exact"/>
        <w:rPr>
          <w:rFonts w:ascii="Arial" w:cs="Arial" w:eastAsia="Arial" w:hAnsi="Arial"/>
          <w:sz w:val="16"/>
          <w:szCs w:val="16"/>
          <w:color w:val="auto"/>
        </w:rPr>
      </w:pPr>
    </w:p>
    <w:p>
      <w:pPr>
        <w:ind w:left="580" w:right="120" w:hanging="367"/>
        <w:spacing w:after="0" w:line="259" w:lineRule="auto"/>
        <w:tabs>
          <w:tab w:leader="none" w:pos="589"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any principal is overdue, the interest on such principal and on any overdue interest (including whole or part of the principal and interest which have been accelerated), shall be calculated and compounded for the period from the first date such principal becomes overdue to the date when all the principal and interest have been fully paid, in accordance with the relevant default interest rate and the interest settlement method as provided herein;</w:t>
      </w:r>
    </w:p>
    <w:p>
      <w:pPr>
        <w:spacing w:after="0" w:line="186" w:lineRule="exact"/>
        <w:rPr>
          <w:rFonts w:ascii="Arial" w:cs="Arial" w:eastAsia="Arial" w:hAnsi="Arial"/>
          <w:sz w:val="18"/>
          <w:szCs w:val="18"/>
          <w:color w:val="auto"/>
        </w:rPr>
      </w:pPr>
    </w:p>
    <w:p>
      <w:pPr>
        <w:ind w:left="600" w:right="140"/>
        <w:spacing w:after="0" w:line="277" w:lineRule="auto"/>
        <w:rPr>
          <w:rFonts w:ascii="Arial" w:cs="Arial" w:eastAsia="Arial" w:hAnsi="Arial"/>
          <w:sz w:val="18"/>
          <w:szCs w:val="18"/>
          <w:color w:val="auto"/>
        </w:rPr>
      </w:pPr>
      <w:r>
        <w:rPr>
          <w:rFonts w:ascii="Arial" w:cs="Arial" w:eastAsia="Arial" w:hAnsi="Arial"/>
          <w:sz w:val="18"/>
          <w:szCs w:val="18"/>
          <w:color w:val="auto"/>
        </w:rPr>
        <w:t>“Overdue” herein means that Party A fails to repay the Loan on the repayment date or, in case of repayment in installments, fails to repay the relevant installments in accordance with the repayment schedule as provided herein.</w:t>
      </w:r>
    </w:p>
    <w:p>
      <w:pPr>
        <w:spacing w:after="0" w:line="170" w:lineRule="exact"/>
        <w:rPr>
          <w:rFonts w:ascii="Arial" w:cs="Arial" w:eastAsia="Arial" w:hAnsi="Arial"/>
          <w:sz w:val="18"/>
          <w:szCs w:val="18"/>
          <w:color w:val="auto"/>
        </w:rPr>
      </w:pPr>
    </w:p>
    <w:p>
      <w:pPr>
        <w:ind w:left="600" w:right="540"/>
        <w:spacing w:after="0" w:line="277" w:lineRule="auto"/>
        <w:rPr>
          <w:rFonts w:ascii="Arial" w:cs="Arial" w:eastAsia="Arial" w:hAnsi="Arial"/>
          <w:sz w:val="18"/>
          <w:szCs w:val="18"/>
          <w:color w:val="auto"/>
        </w:rPr>
      </w:pPr>
      <w:r>
        <w:rPr>
          <w:rFonts w:ascii="Arial" w:cs="Arial" w:eastAsia="Arial" w:hAnsi="Arial"/>
          <w:sz w:val="18"/>
          <w:szCs w:val="18"/>
          <w:color w:val="auto"/>
        </w:rPr>
        <w:t>Before any principal is overdue, the overdue interest shall be compounded in accordance with the interest rate and the interest settlement method as provided herein;</w:t>
      </w:r>
    </w:p>
    <w:p>
      <w:pPr>
        <w:spacing w:after="0" w:line="170" w:lineRule="exact"/>
        <w:rPr>
          <w:rFonts w:ascii="Arial" w:cs="Arial" w:eastAsia="Arial" w:hAnsi="Arial"/>
          <w:sz w:val="18"/>
          <w:szCs w:val="18"/>
          <w:color w:val="auto"/>
        </w:rPr>
      </w:pPr>
    </w:p>
    <w:p>
      <w:pPr>
        <w:ind w:left="600" w:hanging="387"/>
        <w:spacing w:after="0"/>
        <w:tabs>
          <w:tab w:leader="none" w:pos="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other remedies, including but not limited to:</w:t>
      </w:r>
    </w:p>
    <w:p>
      <w:pPr>
        <w:spacing w:after="0" w:line="225" w:lineRule="exact"/>
        <w:rPr>
          <w:rFonts w:ascii="Arial" w:cs="Arial" w:eastAsia="Arial" w:hAnsi="Arial"/>
          <w:sz w:val="18"/>
          <w:szCs w:val="18"/>
          <w:color w:val="auto"/>
        </w:rPr>
      </w:pPr>
    </w:p>
    <w:p>
      <w:pPr>
        <w:ind w:left="1340" w:right="220" w:hanging="544"/>
        <w:spacing w:after="0" w:line="277" w:lineRule="auto"/>
        <w:tabs>
          <w:tab w:leader="none" w:pos="1364" w:val="left"/>
        </w:tabs>
        <w:numPr>
          <w:ilvl w:val="2"/>
          <w:numId w:val="60"/>
        </w:numPr>
        <w:rPr>
          <w:rFonts w:ascii="Arial" w:cs="Arial" w:eastAsia="Arial" w:hAnsi="Arial"/>
          <w:sz w:val="18"/>
          <w:szCs w:val="18"/>
          <w:color w:val="auto"/>
        </w:rPr>
      </w:pPr>
      <w:r>
        <w:rPr>
          <w:rFonts w:ascii="Arial" w:cs="Arial" w:eastAsia="Arial" w:hAnsi="Arial"/>
          <w:sz w:val="18"/>
          <w:szCs w:val="18"/>
          <w:color w:val="auto"/>
        </w:rPr>
        <w:t>to debit Party A’s accounts at China Construction Bank in RMB or other currencies with corresponding amount without prior notice to Party A;</w:t>
      </w:r>
    </w:p>
    <w:p>
      <w:pPr>
        <w:spacing w:after="0" w:line="170" w:lineRule="exact"/>
        <w:rPr>
          <w:rFonts w:ascii="Arial" w:cs="Arial" w:eastAsia="Arial" w:hAnsi="Arial"/>
          <w:sz w:val="18"/>
          <w:szCs w:val="18"/>
          <w:color w:val="auto"/>
        </w:rPr>
      </w:pPr>
    </w:p>
    <w:p>
      <w:pPr>
        <w:ind w:left="1380" w:hanging="584"/>
        <w:spacing w:after="0"/>
        <w:tabs>
          <w:tab w:leader="none" w:pos="1380" w:val="left"/>
        </w:tabs>
        <w:numPr>
          <w:ilvl w:val="2"/>
          <w:numId w:val="60"/>
        </w:numPr>
        <w:rPr>
          <w:rFonts w:ascii="Arial" w:cs="Arial" w:eastAsia="Arial" w:hAnsi="Arial"/>
          <w:sz w:val="18"/>
          <w:szCs w:val="18"/>
          <w:color w:val="auto"/>
        </w:rPr>
      </w:pPr>
      <w:r>
        <w:rPr>
          <w:rFonts w:ascii="Arial" w:cs="Arial" w:eastAsia="Arial" w:hAnsi="Arial"/>
          <w:sz w:val="18"/>
          <w:szCs w:val="18"/>
          <w:color w:val="auto"/>
        </w:rPr>
        <w:t>to exercise its rights under the security interest;</w:t>
      </w:r>
    </w:p>
    <w:p>
      <w:pPr>
        <w:spacing w:after="0" w:line="225" w:lineRule="exact"/>
        <w:rPr>
          <w:rFonts w:ascii="Arial" w:cs="Arial" w:eastAsia="Arial" w:hAnsi="Arial"/>
          <w:sz w:val="18"/>
          <w:szCs w:val="18"/>
          <w:color w:val="auto"/>
        </w:rPr>
      </w:pPr>
    </w:p>
    <w:p>
      <w:pPr>
        <w:ind w:left="1400" w:hanging="604"/>
        <w:spacing w:after="0"/>
        <w:tabs>
          <w:tab w:leader="none" w:pos="1400" w:val="left"/>
        </w:tabs>
        <w:numPr>
          <w:ilvl w:val="2"/>
          <w:numId w:val="60"/>
        </w:numPr>
        <w:rPr>
          <w:rFonts w:ascii="Arial" w:cs="Arial" w:eastAsia="Arial" w:hAnsi="Arial"/>
          <w:sz w:val="18"/>
          <w:szCs w:val="18"/>
          <w:color w:val="auto"/>
        </w:rPr>
      </w:pPr>
      <w:r>
        <w:rPr>
          <w:rFonts w:ascii="Arial" w:cs="Arial" w:eastAsia="Arial" w:hAnsi="Arial"/>
          <w:sz w:val="18"/>
          <w:szCs w:val="18"/>
          <w:color w:val="auto"/>
        </w:rPr>
        <w:t>to request Party A to provide new security satisfactory to Party B for all the debts of Party A hereunder;</w:t>
      </w:r>
    </w:p>
    <w:p>
      <w:pPr>
        <w:spacing w:after="0" w:line="225" w:lineRule="exact"/>
        <w:rPr>
          <w:rFonts w:ascii="Arial" w:cs="Arial" w:eastAsia="Arial" w:hAnsi="Arial"/>
          <w:sz w:val="18"/>
          <w:szCs w:val="18"/>
          <w:color w:val="auto"/>
        </w:rPr>
      </w:pPr>
    </w:p>
    <w:p>
      <w:pPr>
        <w:ind w:left="1340" w:right="500" w:hanging="544"/>
        <w:spacing w:after="0" w:line="308" w:lineRule="auto"/>
        <w:tabs>
          <w:tab w:leader="none" w:pos="1359" w:val="left"/>
        </w:tabs>
        <w:numPr>
          <w:ilvl w:val="2"/>
          <w:numId w:val="60"/>
        </w:numPr>
        <w:rPr>
          <w:rFonts w:ascii="Arial" w:cs="Arial" w:eastAsia="Arial" w:hAnsi="Arial"/>
          <w:sz w:val="17"/>
          <w:szCs w:val="17"/>
          <w:color w:val="auto"/>
        </w:rPr>
      </w:pPr>
      <w:r>
        <w:rPr>
          <w:rFonts w:ascii="Arial" w:cs="Arial" w:eastAsia="Arial" w:hAnsi="Arial"/>
          <w:sz w:val="17"/>
          <w:szCs w:val="17"/>
          <w:color w:val="auto"/>
        </w:rPr>
        <w:t>to decline Party A’s request to dispose of its deposits of corresponding amount, within any account opened with any branch of China Construction Bank (including without limitation the account to collect sale proceeds);</w:t>
      </w:r>
    </w:p>
    <w:p>
      <w:pPr>
        <w:spacing w:after="0" w:line="146" w:lineRule="exact"/>
        <w:rPr>
          <w:rFonts w:ascii="Arial" w:cs="Arial" w:eastAsia="Arial" w:hAnsi="Arial"/>
          <w:sz w:val="17"/>
          <w:szCs w:val="17"/>
          <w:color w:val="auto"/>
        </w:rPr>
      </w:pPr>
    </w:p>
    <w:p>
      <w:pPr>
        <w:ind w:left="1360" w:hanging="564"/>
        <w:spacing w:after="0"/>
        <w:tabs>
          <w:tab w:leader="none" w:pos="1360" w:val="left"/>
        </w:tabs>
        <w:numPr>
          <w:ilvl w:val="2"/>
          <w:numId w:val="60"/>
        </w:numPr>
        <w:rPr>
          <w:rFonts w:ascii="Arial" w:cs="Arial" w:eastAsia="Arial" w:hAnsi="Arial"/>
          <w:sz w:val="18"/>
          <w:szCs w:val="18"/>
          <w:color w:val="auto"/>
        </w:rPr>
      </w:pPr>
      <w:r>
        <w:rPr>
          <w:rFonts w:ascii="Arial" w:cs="Arial" w:eastAsia="Arial" w:hAnsi="Arial"/>
          <w:sz w:val="18"/>
          <w:szCs w:val="18"/>
          <w:color w:val="auto"/>
        </w:rPr>
        <w:t>to terminate the Contract.</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882" w:right="259" w:bottom="1440" w:gutter="0" w:footer="0" w:header="0"/>
        </w:sectPr>
      </w:pPr>
    </w:p>
    <w:bookmarkStart w:id="64" w:name="page65"/>
    <w:bookmarkEnd w:id="64"/>
    <w:p>
      <w:pPr>
        <w:ind w:left="632" w:hanging="632"/>
        <w:spacing w:after="0"/>
        <w:tabs>
          <w:tab w:leader="none" w:pos="63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11.1    Cost Allocation</w:t>
      </w:r>
    </w:p>
    <w:p>
      <w:pPr>
        <w:spacing w:after="0" w:line="225" w:lineRule="exact"/>
        <w:rPr>
          <w:rFonts w:ascii="Arial" w:cs="Arial" w:eastAsia="Arial" w:hAnsi="Arial"/>
          <w:sz w:val="18"/>
          <w:szCs w:val="18"/>
          <w:b w:val="1"/>
          <w:bCs w:val="1"/>
          <w:color w:val="auto"/>
        </w:rPr>
      </w:pPr>
    </w:p>
    <w:p>
      <w:pPr>
        <w:ind w:left="1872" w:right="200" w:hanging="359"/>
        <w:spacing w:after="0" w:line="286" w:lineRule="auto"/>
        <w:tabs>
          <w:tab w:leader="none" w:pos="1884" w:val="left"/>
        </w:tabs>
        <w:numPr>
          <w:ilvl w:val="1"/>
          <w:numId w:val="61"/>
        </w:numPr>
        <w:rPr>
          <w:rFonts w:ascii="Arial" w:cs="Arial" w:eastAsia="Arial" w:hAnsi="Arial"/>
          <w:sz w:val="17"/>
          <w:szCs w:val="17"/>
          <w:color w:val="auto"/>
        </w:rPr>
      </w:pPr>
      <w:r>
        <w:rPr>
          <w:rFonts w:ascii="Arial" w:cs="Arial" w:eastAsia="Arial" w:hAnsi="Arial"/>
          <w:sz w:val="17"/>
          <w:szCs w:val="17"/>
          <w:color w:val="auto"/>
        </w:rPr>
        <w:t>all costs and expenses incurred as a result of Party A’s breach of any provision in this Contract, including without limitation court fees, arbitration fees, property preservation fees, travel expenses, enforcement expenses, valuation/appraisal fees, auction fees, notary fees, service fees, public announcement costs, legal fees, shall be borne by Party A.</w:t>
      </w:r>
    </w:p>
    <w:p>
      <w:pPr>
        <w:spacing w:after="0" w:line="165" w:lineRule="exact"/>
        <w:rPr>
          <w:rFonts w:ascii="Arial" w:cs="Arial" w:eastAsia="Arial" w:hAnsi="Arial"/>
          <w:sz w:val="17"/>
          <w:szCs w:val="17"/>
          <w:color w:val="auto"/>
        </w:rPr>
      </w:pPr>
    </w:p>
    <w:p>
      <w:pPr>
        <w:ind w:left="1952" w:hanging="439"/>
        <w:spacing w:after="0"/>
        <w:tabs>
          <w:tab w:leader="none" w:pos="1952"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 respect of other fees the parties agree as follows:</w:t>
      </w:r>
    </w:p>
    <w:p>
      <w:pPr>
        <w:spacing w:after="0" w:line="225" w:lineRule="exact"/>
        <w:rPr>
          <w:sz w:val="20"/>
          <w:szCs w:val="20"/>
          <w:color w:val="auto"/>
        </w:rPr>
      </w:pPr>
    </w:p>
    <w:p>
      <w:pPr>
        <w:ind w:left="652"/>
        <w:spacing w:after="0"/>
        <w:tabs>
          <w:tab w:leader="none" w:pos="1252"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Use of Party A’s Information</w:t>
      </w:r>
    </w:p>
    <w:p>
      <w:pPr>
        <w:spacing w:after="0" w:line="225" w:lineRule="exact"/>
        <w:rPr>
          <w:sz w:val="20"/>
          <w:szCs w:val="20"/>
          <w:color w:val="auto"/>
        </w:rPr>
      </w:pPr>
    </w:p>
    <w:p>
      <w:pPr>
        <w:ind w:left="1312"/>
        <w:spacing w:after="0" w:line="259" w:lineRule="auto"/>
        <w:rPr>
          <w:sz w:val="20"/>
          <w:szCs w:val="20"/>
          <w:color w:val="auto"/>
        </w:rPr>
      </w:pPr>
      <w:r>
        <w:rPr>
          <w:rFonts w:ascii="Arial" w:cs="Arial" w:eastAsia="Arial" w:hAnsi="Arial"/>
          <w:sz w:val="18"/>
          <w:szCs w:val="18"/>
          <w:color w:val="auto"/>
        </w:rPr>
        <w:t>Party A agrees that Party B is entitled to inquire about Party A’s creditworthiness with the Credit Database or relevant authorities established or approved by the People’s Bank of China and the Credit Reference Agency, and that Party B is entitled to provide Party A’s information to such Credit Database. Party A further agrees that Party B may reasonably use and disclose Party A’s information for business purpose.</w:t>
      </w:r>
    </w:p>
    <w:p>
      <w:pPr>
        <w:spacing w:after="0" w:line="187" w:lineRule="exact"/>
        <w:rPr>
          <w:sz w:val="20"/>
          <w:szCs w:val="20"/>
          <w:color w:val="auto"/>
        </w:rPr>
      </w:pPr>
    </w:p>
    <w:p>
      <w:pPr>
        <w:ind w:left="652"/>
        <w:spacing w:after="0"/>
        <w:tabs>
          <w:tab w:leader="none" w:pos="1252"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Collection by Public Announcement</w:t>
      </w:r>
    </w:p>
    <w:p>
      <w:pPr>
        <w:spacing w:after="0" w:line="225" w:lineRule="exact"/>
        <w:rPr>
          <w:sz w:val="20"/>
          <w:szCs w:val="20"/>
          <w:color w:val="auto"/>
        </w:rPr>
      </w:pPr>
    </w:p>
    <w:p>
      <w:pPr>
        <w:ind w:left="1312" w:right="160"/>
        <w:spacing w:after="0" w:line="308" w:lineRule="auto"/>
        <w:rPr>
          <w:sz w:val="20"/>
          <w:szCs w:val="20"/>
          <w:color w:val="auto"/>
        </w:rPr>
      </w:pPr>
      <w:r>
        <w:rPr>
          <w:rFonts w:ascii="Arial" w:cs="Arial" w:eastAsia="Arial" w:hAnsi="Arial"/>
          <w:sz w:val="17"/>
          <w:szCs w:val="17"/>
          <w:color w:val="auto"/>
        </w:rPr>
        <w:t>In the event that Party A fails to repay on time any principal or interest or breaches any other contractual obligations hereunder, Party B is entitled to report to relevant authorities and demand repayments by means of public announcement via press.</w:t>
      </w:r>
    </w:p>
    <w:p>
      <w:pPr>
        <w:spacing w:after="0" w:line="147" w:lineRule="exact"/>
        <w:rPr>
          <w:sz w:val="20"/>
          <w:szCs w:val="20"/>
          <w:color w:val="auto"/>
        </w:rPr>
      </w:pPr>
    </w:p>
    <w:p>
      <w:pPr>
        <w:ind w:left="652"/>
        <w:spacing w:after="0"/>
        <w:tabs>
          <w:tab w:leader="none" w:pos="1252"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Party B’s Record as Evidence</w:t>
      </w:r>
    </w:p>
    <w:p>
      <w:pPr>
        <w:spacing w:after="0" w:line="225" w:lineRule="exact"/>
        <w:rPr>
          <w:sz w:val="20"/>
          <w:szCs w:val="20"/>
          <w:color w:val="auto"/>
        </w:rPr>
      </w:pPr>
    </w:p>
    <w:p>
      <w:pPr>
        <w:ind w:left="1312" w:right="120"/>
        <w:spacing w:after="0" w:line="302" w:lineRule="auto"/>
        <w:rPr>
          <w:sz w:val="20"/>
          <w:szCs w:val="20"/>
          <w:color w:val="auto"/>
        </w:rPr>
      </w:pPr>
      <w:r>
        <w:rPr>
          <w:rFonts w:ascii="Arial" w:cs="Arial" w:eastAsia="Arial" w:hAnsi="Arial"/>
          <w:sz w:val="16"/>
          <w:szCs w:val="16"/>
          <w:color w:val="auto"/>
        </w:rPr>
        <w:t>Unless there is reliable and definitive evidence to the contrary, Party B’s internal records of principal, interest, expenses and repayment, receipts, vouchers made or retained by Party B during the course of drawdown, repayment and interest payment, and records and vouchers relating to the collections by Party B shall constitute valid evidence of the creditor-debtor relationship between the two parties. Party A shall not raise any objection merely because the above records, receipts, vouchers are made or retained by Party B.</w:t>
      </w:r>
    </w:p>
    <w:p>
      <w:pPr>
        <w:spacing w:after="0" w:line="154" w:lineRule="exact"/>
        <w:rPr>
          <w:sz w:val="20"/>
          <w:szCs w:val="20"/>
          <w:color w:val="auto"/>
        </w:rPr>
      </w:pPr>
    </w:p>
    <w:p>
      <w:pPr>
        <w:ind w:left="652"/>
        <w:spacing w:after="0"/>
        <w:tabs>
          <w:tab w:leader="none" w:pos="1252"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No Waivers</w:t>
      </w:r>
    </w:p>
    <w:p>
      <w:pPr>
        <w:spacing w:after="0" w:line="225" w:lineRule="exact"/>
        <w:rPr>
          <w:sz w:val="20"/>
          <w:szCs w:val="20"/>
          <w:color w:val="auto"/>
        </w:rPr>
      </w:pPr>
    </w:p>
    <w:p>
      <w:pPr>
        <w:ind w:left="1312" w:right="20"/>
        <w:spacing w:after="0" w:line="257" w:lineRule="auto"/>
        <w:rPr>
          <w:sz w:val="20"/>
          <w:szCs w:val="20"/>
          <w:color w:val="auto"/>
        </w:rPr>
      </w:pPr>
      <w:r>
        <w:rPr>
          <w:rFonts w:ascii="Arial" w:cs="Arial" w:eastAsia="Arial" w:hAnsi="Arial"/>
          <w:sz w:val="18"/>
          <w:szCs w:val="18"/>
          <w:color w:val="auto"/>
        </w:rPr>
        <w:t>Party B’s rights hereunder shall not prejudice or exclude any other rights Party B is entitled to under applicable laws, regulations and other contracts. No forbearance, extension of time limit, preferential treatment or delay in exercising any right hereunder shall be deemed to constitute a waiver of rights and interests hereunder or permit or recognition of any breach of the Contract. Nor shall it restrict, prevent or interfere with the continuous exercise of such right at a later time or any other right, nor shall the foregoing cause Party B to be liable in any way to the Borrower.</w:t>
      </w:r>
    </w:p>
    <w:p>
      <w:pPr>
        <w:spacing w:after="0" w:line="188" w:lineRule="exact"/>
        <w:rPr>
          <w:sz w:val="20"/>
          <w:szCs w:val="20"/>
          <w:color w:val="auto"/>
        </w:rPr>
      </w:pPr>
    </w:p>
    <w:p>
      <w:pPr>
        <w:ind w:left="1272" w:right="220" w:hanging="647"/>
        <w:spacing w:after="0" w:line="264" w:lineRule="auto"/>
        <w:tabs>
          <w:tab w:leader="none" w:pos="1252"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If Party A owes Party B any other due and payable debts in addition to the debts hereunder, Party B may debit any of Party A’s account at China Construction Bank in RMB or other currencies and may choose to repay any of the due and payable debts in the order it deems appropriate. Party A agrees not to raise any objection with respect thereto.</w:t>
      </w:r>
    </w:p>
    <w:p>
      <w:pPr>
        <w:spacing w:after="0" w:line="3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77" w:right="239" w:bottom="1440" w:gutter="0" w:footer="0" w:header="0"/>
        </w:sectPr>
      </w:pPr>
    </w:p>
    <w:bookmarkStart w:id="65" w:name="page66"/>
    <w:bookmarkEnd w:id="65"/>
    <w:p>
      <w:pPr>
        <w:spacing w:after="0"/>
        <w:tabs>
          <w:tab w:leader="none" w:pos="60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In the event of any change to the address or other contact information, Party A shall promptly notify Party B of such change in writing.</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Party A shall be liable for any loss caused by its failure of giving prompt notice of such change.</w:t>
      </w:r>
    </w:p>
    <w:p>
      <w:pPr>
        <w:spacing w:after="0" w:line="2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7"/>
          <w:szCs w:val="17"/>
          <w:color w:val="auto"/>
        </w:rPr>
        <w:t>Direct Debit Right</w:t>
      </w:r>
    </w:p>
    <w:p>
      <w:pPr>
        <w:spacing w:after="0" w:line="225" w:lineRule="exact"/>
        <w:rPr>
          <w:sz w:val="20"/>
          <w:szCs w:val="20"/>
          <w:color w:val="auto"/>
        </w:rPr>
      </w:pPr>
    </w:p>
    <w:p>
      <w:pPr>
        <w:jc w:val="both"/>
        <w:ind w:left="640" w:right="20"/>
        <w:spacing w:after="0" w:line="264" w:lineRule="auto"/>
        <w:rPr>
          <w:sz w:val="20"/>
          <w:szCs w:val="20"/>
          <w:color w:val="auto"/>
        </w:rPr>
      </w:pPr>
      <w:r>
        <w:rPr>
          <w:rFonts w:ascii="Arial" w:cs="Arial" w:eastAsia="Arial" w:hAnsi="Arial"/>
          <w:sz w:val="18"/>
          <w:szCs w:val="18"/>
          <w:color w:val="auto"/>
        </w:rPr>
        <w:t>Party B is entitled to debit, without prior notice to Party A, any account of Party A at China Construction Bank in RMB or other currencies to pay all amounts payable under the Contract. Party A shall assist Party B to complete any procedures for foreign exchange settlement or sale, and Party A shall bear the risk of exchange rate fluctuation.</w:t>
      </w:r>
    </w:p>
    <w:p>
      <w:pPr>
        <w:spacing w:after="0" w:line="18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Dispute Resolution</w:t>
      </w:r>
    </w:p>
    <w:p>
      <w:pPr>
        <w:spacing w:after="0" w:line="225" w:lineRule="exact"/>
        <w:rPr>
          <w:sz w:val="20"/>
          <w:szCs w:val="20"/>
          <w:color w:val="auto"/>
        </w:rPr>
      </w:pPr>
    </w:p>
    <w:p>
      <w:pPr>
        <w:ind w:left="640" w:right="640" w:hanging="36"/>
        <w:spacing w:after="0" w:line="277" w:lineRule="auto"/>
        <w:rPr>
          <w:sz w:val="20"/>
          <w:szCs w:val="20"/>
          <w:color w:val="auto"/>
        </w:rPr>
      </w:pPr>
      <w:r>
        <w:rPr>
          <w:rFonts w:ascii="Arial" w:cs="Arial" w:eastAsia="Arial" w:hAnsi="Arial"/>
          <w:sz w:val="18"/>
          <w:szCs w:val="18"/>
          <w:color w:val="auto"/>
        </w:rPr>
        <w:t>Any dispute arising from the performance of the Contract may be settled by consultation. If the dispute cannot be resolved through consultation, such dispute shall be submitted to (1) [please select from below]:</w:t>
      </w:r>
    </w:p>
    <w:p>
      <w:pPr>
        <w:spacing w:after="0" w:line="170" w:lineRule="exact"/>
        <w:rPr>
          <w:sz w:val="20"/>
          <w:szCs w:val="20"/>
          <w:color w:val="auto"/>
        </w:rPr>
      </w:pPr>
    </w:p>
    <w:p>
      <w:pPr>
        <w:ind w:left="1220" w:hanging="575"/>
        <w:spacing w:after="0"/>
        <w:tabs>
          <w:tab w:leader="none" w:pos="1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People’s court within the jurisdiction where Party B is located.</w:t>
      </w:r>
    </w:p>
    <w:p>
      <w:pPr>
        <w:spacing w:after="0" w:line="225" w:lineRule="exact"/>
        <w:rPr>
          <w:sz w:val="20"/>
          <w:szCs w:val="20"/>
          <w:color w:val="auto"/>
        </w:rPr>
      </w:pPr>
    </w:p>
    <w:p>
      <w:pPr>
        <w:ind w:left="1220" w:right="60" w:hanging="566"/>
        <w:spacing w:after="0" w:line="277" w:lineRule="auto"/>
        <w:tabs>
          <w:tab w:leader="none" w:pos="12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[name of the arbitration committee] for arbitration at [place of arbitration] in accordance with the then prevailing arbitration rules. The arbitration award shall be final and binding on both Party A and Party B.</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undisputed provisions shall remain enforceable during the process of litigation or arbitration.</w:t>
      </w:r>
    </w:p>
    <w:p>
      <w:pPr>
        <w:spacing w:after="0" w:line="225" w:lineRule="exact"/>
        <w:rPr>
          <w:sz w:val="20"/>
          <w:szCs w:val="20"/>
          <w:color w:val="auto"/>
        </w:rPr>
      </w:pPr>
    </w:p>
    <w:p>
      <w:pPr>
        <w:ind w:left="80"/>
        <w:spacing w:after="0"/>
        <w:tabs>
          <w:tab w:leader="none" w:pos="60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color w:val="auto"/>
        </w:rPr>
        <w:t>Effectiveness of the Contract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Contract shall become effective upon:</w:t>
      </w:r>
    </w:p>
    <w:p>
      <w:pPr>
        <w:spacing w:after="0" w:line="225" w:lineRule="exact"/>
        <w:rPr>
          <w:sz w:val="20"/>
          <w:szCs w:val="20"/>
          <w:color w:val="auto"/>
        </w:rPr>
      </w:pPr>
    </w:p>
    <w:p>
      <w:pPr>
        <w:ind w:left="1580" w:right="340" w:hanging="471"/>
        <w:spacing w:after="0" w:line="277" w:lineRule="auto"/>
        <w:tabs>
          <w:tab w:leader="none" w:pos="159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execution by the legal representative/(principal officer) or authorized representative of Party A and being affixed with the company chop of Party A; and</w:t>
      </w:r>
    </w:p>
    <w:p>
      <w:pPr>
        <w:spacing w:after="0" w:line="170" w:lineRule="exact"/>
        <w:rPr>
          <w:rFonts w:ascii="Arial" w:cs="Arial" w:eastAsia="Arial" w:hAnsi="Arial"/>
          <w:sz w:val="18"/>
          <w:szCs w:val="18"/>
          <w:color w:val="auto"/>
        </w:rPr>
      </w:pPr>
    </w:p>
    <w:p>
      <w:pPr>
        <w:ind w:left="1580" w:hanging="471"/>
        <w:spacing w:after="0" w:line="308" w:lineRule="auto"/>
        <w:tabs>
          <w:tab w:leader="none" w:pos="159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execution by the principal officer or authorized representative of Party B and being affixed with the company chop of Party B. All Schedules of this Contract shall constitute integral parts of this Contract and shall be equally binding.</w:t>
      </w:r>
    </w:p>
    <w:p>
      <w:pPr>
        <w:spacing w:after="0" w:line="147" w:lineRule="exact"/>
        <w:rPr>
          <w:sz w:val="20"/>
          <w:szCs w:val="20"/>
          <w:color w:val="auto"/>
        </w:rPr>
      </w:pPr>
    </w:p>
    <w:p>
      <w:pPr>
        <w:ind w:left="80"/>
        <w:spacing w:after="0"/>
        <w:tabs>
          <w:tab w:leader="none" w:pos="600" w:val="left"/>
          <w:tab w:leader="none" w:pos="4820" w:val="left"/>
        </w:tabs>
        <w:rPr>
          <w:sz w:val="20"/>
          <w:szCs w:val="20"/>
          <w:color w:val="auto"/>
        </w:rPr>
      </w:pPr>
      <w:r>
        <w:rPr>
          <w:rFonts w:ascii="Arial" w:cs="Arial" w:eastAsia="Arial" w:hAnsi="Arial"/>
          <w:sz w:val="18"/>
          <w:szCs w:val="18"/>
          <w:color w:val="auto"/>
        </w:rPr>
        <w:t>11.11</w:t>
        <w:tab/>
        <w:t>The Contract shall be executed in</w:t>
      </w:r>
      <w:r>
        <w:rPr>
          <w:sz w:val="20"/>
          <w:szCs w:val="20"/>
          <w:color w:val="auto"/>
        </w:rPr>
        <w:tab/>
      </w:r>
      <w:r>
        <w:rPr>
          <w:rFonts w:ascii="Arial" w:cs="Arial" w:eastAsia="Arial" w:hAnsi="Arial"/>
          <w:sz w:val="15"/>
          <w:szCs w:val="15"/>
          <w:color w:val="auto"/>
        </w:rPr>
        <w:t>counterparts.</w:t>
      </w:r>
    </w:p>
    <w:p>
      <w:pPr>
        <w:spacing w:after="0" w:line="225" w:lineRule="exact"/>
        <w:rPr>
          <w:sz w:val="20"/>
          <w:szCs w:val="20"/>
          <w:color w:val="auto"/>
        </w:rPr>
      </w:pPr>
    </w:p>
    <w:p>
      <w:pPr>
        <w:ind w:left="80"/>
        <w:spacing w:after="0"/>
        <w:tabs>
          <w:tab w:leader="none" w:pos="60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color w:val="auto"/>
        </w:rPr>
        <w:t>Other Provisions:</w:t>
      </w:r>
    </w:p>
    <w:p>
      <w:pPr>
        <w:spacing w:after="0" w:line="200" w:lineRule="exact"/>
        <w:rPr>
          <w:sz w:val="20"/>
          <w:szCs w:val="20"/>
          <w:color w:val="auto"/>
        </w:rPr>
      </w:pPr>
    </w:p>
    <w:p>
      <w:pPr>
        <w:spacing w:after="0" w:line="24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900" w:top="881" w:right="319" w:bottom="1440" w:gutter="0" w:footer="0" w:header="0"/>
        </w:sectPr>
      </w:pPr>
    </w:p>
    <w:bookmarkStart w:id="66" w:name="page67"/>
    <w:bookmarkEnd w:id="66"/>
    <w:p>
      <w:pPr>
        <w:ind w:left="672" w:hanging="672"/>
        <w:spacing w:after="0"/>
        <w:tabs>
          <w:tab w:leader="none" w:pos="67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w:t>
      </w:r>
    </w:p>
    <w:p>
      <w:pPr>
        <w:spacing w:after="0" w:line="229" w:lineRule="exact"/>
        <w:rPr>
          <w:sz w:val="20"/>
          <w:szCs w:val="20"/>
          <w:color w:val="auto"/>
        </w:rPr>
      </w:pPr>
    </w:p>
    <w:p>
      <w:pPr>
        <w:ind w:left="872"/>
        <w:spacing w:after="0"/>
        <w:tabs>
          <w:tab w:leader="none" w:pos="1372"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Party A clearly understands the business scope and authorization limit of Party B.</w:t>
      </w:r>
    </w:p>
    <w:p>
      <w:pPr>
        <w:spacing w:after="0" w:line="225" w:lineRule="exact"/>
        <w:rPr>
          <w:sz w:val="20"/>
          <w:szCs w:val="20"/>
          <w:color w:val="auto"/>
        </w:rPr>
      </w:pPr>
    </w:p>
    <w:p>
      <w:pPr>
        <w:ind w:left="1392" w:right="160" w:hanging="539"/>
        <w:spacing w:after="0" w:line="277" w:lineRule="auto"/>
        <w:tabs>
          <w:tab w:leader="none" w:pos="1372" w:val="left"/>
        </w:tabs>
        <w:rPr>
          <w:sz w:val="20"/>
          <w:szCs w:val="20"/>
          <w:color w:val="auto"/>
        </w:rPr>
      </w:pPr>
      <w:r>
        <w:rPr>
          <w:rFonts w:ascii="Arial" w:cs="Arial" w:eastAsia="Arial" w:hAnsi="Arial"/>
          <w:sz w:val="18"/>
          <w:szCs w:val="18"/>
          <w:color w:val="auto"/>
        </w:rPr>
        <w:t>12.2</w:t>
        <w:tab/>
        <w:t>Party A has read the Contract. Party B, at Party A’s request, has explained the terms of the Contract, and Party A fully understands their meanings and corresponding legal consequences.</w:t>
      </w:r>
    </w:p>
    <w:p>
      <w:pPr>
        <w:spacing w:after="0" w:line="170" w:lineRule="exact"/>
        <w:rPr>
          <w:sz w:val="20"/>
          <w:szCs w:val="20"/>
          <w:color w:val="auto"/>
        </w:rPr>
      </w:pPr>
    </w:p>
    <w:p>
      <w:pPr>
        <w:ind w:left="1392" w:right="20" w:hanging="539"/>
        <w:spacing w:after="0" w:line="264" w:lineRule="auto"/>
        <w:tabs>
          <w:tab w:leader="none" w:pos="1372" w:val="left"/>
        </w:tabs>
        <w:rPr>
          <w:sz w:val="20"/>
          <w:szCs w:val="20"/>
          <w:color w:val="auto"/>
        </w:rPr>
      </w:pPr>
      <w:r>
        <w:rPr>
          <w:rFonts w:ascii="Arial" w:cs="Arial" w:eastAsia="Arial" w:hAnsi="Arial"/>
          <w:sz w:val="18"/>
          <w:szCs w:val="18"/>
          <w:color w:val="auto"/>
        </w:rPr>
        <w:t>12.3</w:t>
        <w:tab/>
        <w:t>The execution and performance of the Contract by Party A is in compliance with laws, administrative regulations, rules and Party A’s articles of association (or its other internal constitutional documents) and has been approved by its internal competent organization and/or the competent governmental authorities.</w:t>
      </w:r>
    </w:p>
    <w:p>
      <w:pPr>
        <w:spacing w:after="0" w:line="181" w:lineRule="exact"/>
        <w:rPr>
          <w:sz w:val="20"/>
          <w:szCs w:val="20"/>
          <w:color w:val="auto"/>
        </w:rPr>
      </w:pPr>
    </w:p>
    <w:p>
      <w:pPr>
        <w:ind w:left="872"/>
        <w:spacing w:after="0"/>
        <w:tabs>
          <w:tab w:leader="none" w:pos="1372"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Party A carries out production and operation in compliance with laws and regulations.</w:t>
      </w:r>
    </w:p>
    <w:p>
      <w:pPr>
        <w:spacing w:after="0" w:line="225" w:lineRule="exact"/>
        <w:rPr>
          <w:sz w:val="20"/>
          <w:szCs w:val="20"/>
          <w:color w:val="auto"/>
        </w:rPr>
      </w:pPr>
    </w:p>
    <w:p>
      <w:pPr>
        <w:ind w:left="872"/>
        <w:spacing w:after="0"/>
        <w:tabs>
          <w:tab w:leader="none" w:pos="1372"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Party A has the capability to keep its business going and has the legitimate sources to repay the loan.</w:t>
      </w:r>
    </w:p>
    <w:p>
      <w:pPr>
        <w:spacing w:after="0" w:line="225" w:lineRule="exact"/>
        <w:rPr>
          <w:sz w:val="20"/>
          <w:szCs w:val="20"/>
          <w:color w:val="auto"/>
        </w:rPr>
      </w:pPr>
    </w:p>
    <w:p>
      <w:pPr>
        <w:ind w:left="1392" w:right="200" w:hanging="539"/>
        <w:spacing w:after="0" w:line="277" w:lineRule="auto"/>
        <w:tabs>
          <w:tab w:leader="none" w:pos="1372" w:val="left"/>
        </w:tabs>
        <w:rPr>
          <w:sz w:val="20"/>
          <w:szCs w:val="20"/>
          <w:color w:val="auto"/>
        </w:rPr>
      </w:pPr>
      <w:r>
        <w:rPr>
          <w:rFonts w:ascii="Arial" w:cs="Arial" w:eastAsia="Arial" w:hAnsi="Arial"/>
          <w:sz w:val="18"/>
          <w:szCs w:val="18"/>
          <w:color w:val="auto"/>
        </w:rPr>
        <w:t>12.6</w:t>
        <w:tab/>
        <w:t>Party A warrants that the loan amount requested under this Contract is no more than necessary to meet the real needs of Party A for the purposes specified herein.</w:t>
      </w:r>
    </w:p>
    <w:p>
      <w:pPr>
        <w:spacing w:after="0" w:line="170" w:lineRule="exact"/>
        <w:rPr>
          <w:sz w:val="20"/>
          <w:szCs w:val="20"/>
          <w:color w:val="auto"/>
        </w:rPr>
      </w:pPr>
    </w:p>
    <w:p>
      <w:pPr>
        <w:ind w:left="872"/>
        <w:spacing w:after="0"/>
        <w:tabs>
          <w:tab w:leader="none" w:pos="1372"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Both Party A and its controlling shareholder have good financial standing and have no record of gross misconducts.</w:t>
      </w:r>
    </w:p>
    <w:p>
      <w:pPr>
        <w:spacing w:after="0" w:line="225" w:lineRule="exact"/>
        <w:rPr>
          <w:sz w:val="20"/>
          <w:szCs w:val="20"/>
          <w:color w:val="auto"/>
        </w:rPr>
      </w:pPr>
    </w:p>
    <w:p>
      <w:pPr>
        <w:ind w:left="1392" w:hanging="539"/>
        <w:spacing w:after="0" w:line="277" w:lineRule="auto"/>
        <w:tabs>
          <w:tab w:leader="none" w:pos="1372" w:val="left"/>
        </w:tabs>
        <w:rPr>
          <w:sz w:val="20"/>
          <w:szCs w:val="20"/>
          <w:color w:val="auto"/>
        </w:rPr>
      </w:pPr>
      <w:r>
        <w:rPr>
          <w:rFonts w:ascii="Arial" w:cs="Arial" w:eastAsia="Arial" w:hAnsi="Arial"/>
          <w:sz w:val="18"/>
          <w:szCs w:val="18"/>
          <w:color w:val="auto"/>
        </w:rPr>
        <w:t>12.8</w:t>
        <w:tab/>
        <w:t>Party A agrees that Party B has the right to instruct other branches of China Construction Bank to advance loan under this Contract and to exercise or perform the rights and obligations hereunder.</w:t>
      </w:r>
    </w:p>
    <w:p>
      <w:pPr>
        <w:spacing w:after="0" w:line="170" w:lineRule="exact"/>
        <w:rPr>
          <w:sz w:val="20"/>
          <w:szCs w:val="20"/>
          <w:color w:val="auto"/>
        </w:rPr>
      </w:pPr>
    </w:p>
    <w:p>
      <w:pPr>
        <w:ind w:left="1392" w:right="100" w:hanging="539"/>
        <w:spacing w:after="0" w:line="273" w:lineRule="auto"/>
        <w:tabs>
          <w:tab w:leader="none" w:pos="1372"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7"/>
          <w:szCs w:val="17"/>
          <w:color w:val="auto"/>
        </w:rPr>
        <w:t>Party A represents that, at the time of execution of this Contract, there exists no action or event that violates any applicable laws, regulations or rules in relation to environmental protection, energy saving and emission/pollution reduction (the “Environmental Laws”). Party A further warrants that it shall strictly comply with such Environmental Law after the execution of this Contract. If any of the above representations or warranties is untrue, or Party A defaults on any of the above undertakings, or there is any potential risk of energy dissipation or pollution by Party A, Party B is entitled to stop advancing loans, to declare an acceleration of the principal and interest not yet due hereunder, or adopt other remedial measures provided hereunder or permitted by laws.</w:t>
      </w:r>
    </w:p>
    <w:p>
      <w:pPr>
        <w:spacing w:after="0" w:line="395"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32"/>
          </w:cols>
          <w:pgMar w:left="248" w:top="877" w:right="31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 xml:space="preserve">Party A </w:t>
      </w:r>
      <w:r>
        <w:rPr>
          <w:rFonts w:ascii="Arial" w:cs="Arial" w:eastAsia="Arial" w:hAnsi="Arial"/>
          <w:sz w:val="18"/>
          <w:szCs w:val="18"/>
          <w:color w:val="auto"/>
        </w:rPr>
        <w:t>(Company Chop)</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By the legal representative (principal officer) or authorized representative: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6587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Party B </w:t>
      </w:r>
      <w:r>
        <w:rPr>
          <w:rFonts w:ascii="Arial" w:cs="Arial" w:eastAsia="Arial" w:hAnsi="Arial"/>
          <w:sz w:val="18"/>
          <w:szCs w:val="18"/>
          <w:color w:val="auto"/>
        </w:rPr>
        <w:t>(Company Chop)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the principal officer or authorized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6587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094" w:right="1440"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Loan Information</w:t>
      </w:r>
    </w:p>
    <w:p>
      <w:pPr>
        <w:spacing w:after="0" w:line="229" w:lineRule="exact"/>
        <w:rPr>
          <w:sz w:val="20"/>
          <w:szCs w:val="20"/>
          <w:color w:val="auto"/>
        </w:rPr>
      </w:pPr>
    </w:p>
    <w:p>
      <w:pPr>
        <w:ind w:left="220" w:hanging="220"/>
        <w:spacing w:after="0"/>
        <w:tabs>
          <w:tab w:leader="none" w:pos="2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Specific purposes of the loan:</w:t>
      </w:r>
    </w:p>
    <w:p>
      <w:pPr>
        <w:spacing w:after="0" w:line="225" w:lineRule="exact"/>
        <w:rPr>
          <w:rFonts w:ascii="Arial" w:cs="Arial" w:eastAsia="Arial" w:hAnsi="Arial"/>
          <w:sz w:val="18"/>
          <w:szCs w:val="18"/>
          <w:color w:val="auto"/>
        </w:rPr>
      </w:pPr>
    </w:p>
    <w:p>
      <w:pPr>
        <w:ind w:left="220" w:right="1240"/>
        <w:spacing w:after="0" w:line="501" w:lineRule="auto"/>
        <w:rPr>
          <w:rFonts w:ascii="Arial" w:cs="Arial" w:eastAsia="Arial" w:hAnsi="Arial"/>
          <w:sz w:val="18"/>
          <w:szCs w:val="18"/>
          <w:color w:val="auto"/>
        </w:rPr>
      </w:pPr>
      <w:r>
        <w:rPr>
          <w:rFonts w:ascii="Arial" w:cs="Arial" w:eastAsia="Arial" w:hAnsi="Arial"/>
          <w:sz w:val="18"/>
          <w:szCs w:val="18"/>
          <w:color w:val="auto"/>
        </w:rPr>
        <w:t>This Loan is used for company’s daily operation expense, including material purchase payment and employee’s salary. Party A shall not change the purpose of the loan without Party B’s written consent.</w:t>
      </w:r>
    </w:p>
    <w:p>
      <w:pPr>
        <w:ind w:left="220" w:right="7060" w:hanging="220"/>
        <w:spacing w:after="0" w:line="563" w:lineRule="auto"/>
        <w:tabs>
          <w:tab w:leader="none" w:pos="229" w:val="left"/>
        </w:tabs>
        <w:numPr>
          <w:ilvl w:val="0"/>
          <w:numId w:val="65"/>
        </w:numPr>
        <w:rPr>
          <w:rFonts w:ascii="Arial" w:cs="Arial" w:eastAsia="Arial" w:hAnsi="Arial"/>
          <w:sz w:val="16"/>
          <w:szCs w:val="16"/>
          <w:color w:val="auto"/>
        </w:rPr>
      </w:pPr>
      <w:r>
        <w:rPr>
          <w:rFonts w:ascii="Arial" w:cs="Arial" w:eastAsia="Arial" w:hAnsi="Arial"/>
          <w:sz w:val="16"/>
          <w:szCs w:val="16"/>
          <w:color w:val="auto"/>
        </w:rPr>
        <w:t>Sources of funds for loan repayment : Company’s proceeds of sales.</w:t>
      </w:r>
    </w:p>
    <w:p>
      <w:pPr>
        <w:spacing w:after="0" w:line="1"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6"/>
          <w:szCs w:val="16"/>
          <w:color w:val="auto"/>
        </w:rPr>
        <w:t>Party A guarantees the truthfulness and legality of such sources of funds and the steadiness and adequacy of cash flows of such sources.</w:t>
      </w:r>
    </w:p>
    <w:p>
      <w:pPr>
        <w:spacing w:after="0" w:line="248" w:lineRule="exact"/>
        <w:rPr>
          <w:rFonts w:ascii="Arial" w:cs="Arial" w:eastAsia="Arial" w:hAnsi="Arial"/>
          <w:sz w:val="16"/>
          <w:szCs w:val="16"/>
          <w:color w:val="auto"/>
        </w:rPr>
      </w:pPr>
    </w:p>
    <w:p>
      <w:pPr>
        <w:ind w:left="220" w:hanging="220"/>
        <w:spacing w:after="0"/>
        <w:tabs>
          <w:tab w:leader="none" w:pos="2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00"/>
          </w:cols>
          <w:pgMar w:left="680" w:top="878" w:right="121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Mandatory Financial Indicators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Financial indicators of Party A shall on a continuous basis meet the following requirements: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Maximum Monthly Capital/Debt</w:t>
            </w:r>
          </w:p>
        </w:tc>
        <w:tc>
          <w:tcPr>
            <w:tcW w:w="960" w:type="dxa"/>
            <w:vAlign w:val="bottom"/>
          </w:tcPr>
          <w:p>
            <w:pPr>
              <w:ind w:left="540"/>
              <w:spacing w:after="0"/>
              <w:rPr>
                <w:sz w:val="20"/>
                <w:szCs w:val="20"/>
                <w:color w:val="auto"/>
              </w:rPr>
            </w:pPr>
            <w:r>
              <w:rPr>
                <w:rFonts w:ascii="Arial" w:cs="Arial" w:eastAsia="Arial" w:hAnsi="Arial"/>
                <w:sz w:val="18"/>
                <w:szCs w:val="18"/>
                <w:color w:val="auto"/>
              </w:rPr>
              <w:t>65%</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Minimum Current Ratio:</w:t>
            </w:r>
          </w:p>
        </w:tc>
        <w:tc>
          <w:tcPr>
            <w:tcW w:w="960" w:type="dxa"/>
            <w:vAlign w:val="bottom"/>
          </w:tcPr>
          <w:p>
            <w:pPr>
              <w:ind w:left="540"/>
              <w:spacing w:after="0"/>
              <w:rPr>
                <w:sz w:val="20"/>
                <w:szCs w:val="20"/>
                <w:color w:val="auto"/>
              </w:rPr>
            </w:pPr>
            <w:r>
              <w:rPr>
                <w:rFonts w:ascii="Arial" w:cs="Arial" w:eastAsia="Arial" w:hAnsi="Arial"/>
                <w:sz w:val="18"/>
                <w:szCs w:val="18"/>
                <w:color w:val="auto"/>
                <w:w w:val="86"/>
              </w:rPr>
              <w:t>100%</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Minimum liquidity Ratio:</w:t>
            </w:r>
          </w:p>
        </w:tc>
        <w:tc>
          <w:tcPr>
            <w:tcW w:w="960" w:type="dxa"/>
            <w:vAlign w:val="bottom"/>
          </w:tcPr>
          <w:p>
            <w:pPr>
              <w:ind w:left="540"/>
              <w:spacing w:after="0"/>
              <w:rPr>
                <w:sz w:val="20"/>
                <w:szCs w:val="20"/>
                <w:color w:val="auto"/>
              </w:rPr>
            </w:pPr>
            <w:r>
              <w:rPr>
                <w:rFonts w:ascii="Arial" w:cs="Arial" w:eastAsia="Arial" w:hAnsi="Arial"/>
                <w:sz w:val="18"/>
                <w:szCs w:val="18"/>
                <w:color w:val="auto"/>
              </w:rPr>
              <w:t>60%</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Maximum contingency liability/Capital</w:t>
            </w:r>
          </w:p>
        </w:tc>
        <w:tc>
          <w:tcPr>
            <w:tcW w:w="960" w:type="dxa"/>
            <w:vAlign w:val="bottom"/>
          </w:tcPr>
          <w:p>
            <w:pPr>
              <w:ind w:left="540"/>
              <w:spacing w:after="0"/>
              <w:rPr>
                <w:sz w:val="20"/>
                <w:szCs w:val="20"/>
                <w:color w:val="auto"/>
              </w:rPr>
            </w:pPr>
            <w:r>
              <w:rPr>
                <w:rFonts w:ascii="Arial" w:cs="Arial" w:eastAsia="Arial" w:hAnsi="Arial"/>
                <w:sz w:val="18"/>
                <w:szCs w:val="18"/>
                <w:color w:val="auto"/>
              </w:rPr>
              <w:t>30%</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Maximum accumulated long term investment/Capital</w:t>
            </w:r>
          </w:p>
        </w:tc>
        <w:tc>
          <w:tcPr>
            <w:tcW w:w="960" w:type="dxa"/>
            <w:vAlign w:val="bottom"/>
          </w:tcPr>
          <w:p>
            <w:pPr>
              <w:ind w:left="540"/>
              <w:spacing w:after="0"/>
              <w:rPr>
                <w:sz w:val="20"/>
                <w:szCs w:val="20"/>
                <w:color w:val="auto"/>
              </w:rPr>
            </w:pPr>
            <w:r>
              <w:rPr>
                <w:rFonts w:ascii="Arial" w:cs="Arial" w:eastAsia="Arial" w:hAnsi="Arial"/>
                <w:sz w:val="18"/>
                <w:szCs w:val="18"/>
                <w:color w:val="auto"/>
              </w:rPr>
              <w:t>30%</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Party B has the right to change unilaterally such requirements as to mandatory indicators provided that FIVE working-day advanced notice is issued to Party A.</w:t>
      </w:r>
    </w:p>
    <w:p>
      <w:pPr>
        <w:spacing w:after="0" w:line="38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60"/>
          </w:cols>
          <w:pgMar w:left="900" w:top="877"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Schedule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for Loan Drawdown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Contract Number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of Drawdown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vMerge w:val="restart"/>
          </w:tcPr>
          <w:p>
            <w:pPr>
              <w:spacing w:after="0"/>
              <w:rPr>
                <w:sz w:val="20"/>
                <w:szCs w:val="20"/>
                <w:color w:val="auto"/>
              </w:rPr>
            </w:pPr>
            <w:r>
              <w:rPr>
                <w:rFonts w:ascii="Arial" w:cs="Arial" w:eastAsia="Arial" w:hAnsi="Arial"/>
                <w:sz w:val="14"/>
                <w:szCs w:val="14"/>
                <w:b w:val="1"/>
                <w:bCs w:val="1"/>
                <w:color w:val="auto"/>
                <w:w w:val="88"/>
              </w:rPr>
              <w:t>No.</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Proposed</w:t>
            </w:r>
          </w:p>
        </w:tc>
        <w:tc>
          <w:tcPr>
            <w:tcW w:w="2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Proposed Payment</w:t>
            </w:r>
          </w:p>
        </w:tc>
        <w:tc>
          <w:tcPr>
            <w:tcW w:w="3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Proposed Recipient</w:t>
            </w:r>
          </w:p>
        </w:tc>
        <w:tc>
          <w:tcPr>
            <w:tcW w:w="8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171"/>
        </w:trPr>
        <w:tc>
          <w:tcPr>
            <w:tcW w:w="2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Purpose</w:t>
            </w:r>
          </w:p>
        </w:tc>
        <w:tc>
          <w:tcPr>
            <w:tcW w:w="2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3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(if any)</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color w:val="auto"/>
                <w:w w:val="99"/>
              </w:rPr>
              <w:t>1</w:t>
            </w:r>
          </w:p>
        </w:tc>
        <w:tc>
          <w:tcPr>
            <w:tcW w:w="24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80" w:type="dxa"/>
            <w:vAlign w:val="bottom"/>
          </w:tcPr>
          <w:p>
            <w:pPr>
              <w:jc w:val="center"/>
              <w:ind w:right="110"/>
              <w:spacing w:after="0"/>
              <w:rPr>
                <w:sz w:val="20"/>
                <w:szCs w:val="20"/>
                <w:color w:val="auto"/>
              </w:rPr>
            </w:pPr>
            <w:r>
              <w:rPr>
                <w:rFonts w:ascii="Arial" w:cs="Arial" w:eastAsia="Arial" w:hAnsi="Arial"/>
                <w:sz w:val="18"/>
                <w:szCs w:val="18"/>
                <w:color w:val="auto"/>
                <w:w w:val="99"/>
              </w:rPr>
              <w:t>2</w:t>
            </w:r>
          </w:p>
        </w:tc>
        <w:tc>
          <w:tcPr>
            <w:tcW w:w="2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360" w:type="dxa"/>
            <w:vAlign w:val="bottom"/>
            <w:gridSpan w:val="4"/>
            <w:shd w:val="clear" w:color="auto" w:fill="CCEEFF"/>
          </w:tcPr>
          <w:p>
            <w:pPr>
              <w:jc w:val="center"/>
              <w:ind w:right="3980"/>
              <w:spacing w:after="0"/>
              <w:rPr>
                <w:sz w:val="20"/>
                <w:szCs w:val="20"/>
                <w:color w:val="auto"/>
              </w:rPr>
            </w:pPr>
            <w:r>
              <w:rPr>
                <w:rFonts w:ascii="Arial" w:cs="Arial" w:eastAsia="Arial" w:hAnsi="Arial"/>
                <w:sz w:val="18"/>
                <w:szCs w:val="18"/>
                <w:color w:val="auto"/>
                <w:w w:val="99"/>
              </w:rPr>
              <w:t>…</w:t>
            </w:r>
          </w:p>
        </w:tc>
        <w:tc>
          <w:tcPr>
            <w:tcW w:w="2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360" w:type="dxa"/>
            <w:vAlign w:val="bottom"/>
            <w:gridSpan w:val="4"/>
          </w:tcPr>
          <w:p>
            <w:pPr>
              <w:jc w:val="center"/>
              <w:ind w:right="3980"/>
              <w:spacing w:after="0"/>
              <w:rPr>
                <w:sz w:val="20"/>
                <w:szCs w:val="20"/>
                <w:color w:val="auto"/>
              </w:rPr>
            </w:pPr>
            <w:r>
              <w:rPr>
                <w:rFonts w:ascii="Arial" w:cs="Arial" w:eastAsia="Arial" w:hAnsi="Arial"/>
                <w:sz w:val="18"/>
                <w:szCs w:val="18"/>
                <w:color w:val="auto"/>
                <w:w w:val="99"/>
              </w:rPr>
              <w:t>…</w:t>
            </w: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2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RMB (CAPITALIZE WORDS)</w:t>
            </w:r>
          </w:p>
        </w:tc>
        <w:tc>
          <w:tcPr>
            <w:tcW w:w="2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Name of the Borrower (company seal):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Schedule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report on payment at Party A’s initiative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Contract Number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of Delivery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00" w:type="dxa"/>
            <w:vAlign w:val="bottom"/>
          </w:tcPr>
          <w:p>
            <w:pPr>
              <w:jc w:val="center"/>
              <w:spacing w:after="0"/>
              <w:rPr>
                <w:sz w:val="20"/>
                <w:szCs w:val="20"/>
                <w:color w:val="auto"/>
              </w:rPr>
            </w:pPr>
            <w:r>
              <w:rPr>
                <w:rFonts w:ascii="Arial" w:cs="Arial" w:eastAsia="Arial" w:hAnsi="Arial"/>
                <w:sz w:val="14"/>
                <w:szCs w:val="14"/>
                <w:b w:val="1"/>
                <w:bCs w:val="1"/>
                <w:color w:val="auto"/>
                <w:w w:val="94"/>
              </w:rPr>
              <w:t>Whether or not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compliance</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with the</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Actual purpose of</w:t>
            </w: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Evidencing</w:t>
            </w:r>
          </w:p>
        </w:tc>
        <w:tc>
          <w:tcPr>
            <w:tcW w:w="3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purpose</w:t>
            </w:r>
          </w:p>
        </w:tc>
        <w:tc>
          <w:tcPr>
            <w:tcW w:w="0" w:type="dxa"/>
            <w:vAlign w:val="bottom"/>
          </w:tcPr>
          <w:p>
            <w:pPr>
              <w:spacing w:after="0"/>
              <w:rPr>
                <w:sz w:val="1"/>
                <w:szCs w:val="1"/>
                <w:color w:val="auto"/>
              </w:rPr>
            </w:pPr>
          </w:p>
        </w:tc>
      </w:tr>
      <w:tr>
        <w:trPr>
          <w:trHeight w:val="149"/>
        </w:trPr>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w:t>
            </w:r>
          </w:p>
        </w:tc>
        <w:tc>
          <w:tcPr>
            <w:tcW w:w="2920" w:type="dxa"/>
            <w:vAlign w:val="bottom"/>
            <w:gridSpan w:val="2"/>
            <w:vMerge w:val="continue"/>
          </w:tcPr>
          <w:p>
            <w:pPr>
              <w:spacing w:after="0"/>
              <w:rPr>
                <w:sz w:val="12"/>
                <w:szCs w:val="12"/>
                <w:color w:val="auto"/>
              </w:rPr>
            </w:pPr>
          </w:p>
        </w:tc>
        <w:tc>
          <w:tcPr>
            <w:tcW w:w="10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Recipient</w:t>
            </w:r>
          </w:p>
        </w:tc>
        <w:tc>
          <w:tcPr>
            <w:tcW w:w="24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Amount</w:t>
            </w:r>
          </w:p>
        </w:tc>
        <w:tc>
          <w:tcPr>
            <w:tcW w:w="2120" w:type="dxa"/>
            <w:vAlign w:val="bottom"/>
            <w:gridSpan w:val="2"/>
            <w:vMerge w:val="continue"/>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specified in</w:t>
            </w:r>
          </w:p>
        </w:tc>
        <w:tc>
          <w:tcPr>
            <w:tcW w:w="0" w:type="dxa"/>
            <w:vAlign w:val="bottom"/>
          </w:tcPr>
          <w:p>
            <w:pPr>
              <w:spacing w:after="0"/>
              <w:rPr>
                <w:sz w:val="1"/>
                <w:szCs w:val="1"/>
                <w:color w:val="auto"/>
              </w:rPr>
            </w:pPr>
          </w:p>
        </w:tc>
      </w:tr>
      <w:tr>
        <w:trPr>
          <w:trHeight w:val="171"/>
        </w:trPr>
        <w:tc>
          <w:tcPr>
            <w:tcW w:w="920" w:type="dxa"/>
            <w:vAlign w:val="bottom"/>
            <w:gridSpan w:val="2"/>
            <w:vMerge w:val="continue"/>
          </w:tcPr>
          <w:p>
            <w:pPr>
              <w:spacing w:after="0"/>
              <w:rPr>
                <w:sz w:val="14"/>
                <w:szCs w:val="14"/>
                <w:color w:val="auto"/>
              </w:rPr>
            </w:pPr>
          </w:p>
        </w:tc>
        <w:tc>
          <w:tcPr>
            <w:tcW w:w="2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the Loan</w:t>
            </w: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Materials</w:t>
            </w:r>
          </w:p>
        </w:tc>
        <w:tc>
          <w:tcPr>
            <w:tcW w:w="3100" w:type="dxa"/>
            <w:vAlign w:val="bottom"/>
          </w:tcPr>
          <w:p>
            <w:pPr>
              <w:jc w:val="center"/>
              <w:spacing w:after="0"/>
              <w:rPr>
                <w:sz w:val="20"/>
                <w:szCs w:val="20"/>
                <w:color w:val="auto"/>
              </w:rPr>
            </w:pPr>
            <w:r>
              <w:rPr>
                <w:rFonts w:ascii="Arial" w:cs="Arial" w:eastAsia="Arial" w:hAnsi="Arial"/>
                <w:sz w:val="14"/>
                <w:szCs w:val="14"/>
                <w:b w:val="1"/>
                <w:bCs w:val="1"/>
                <w:color w:val="auto"/>
                <w:w w:val="94"/>
              </w:rPr>
              <w:t>this Contract</w:t>
            </w:r>
          </w:p>
        </w:tc>
        <w:tc>
          <w:tcPr>
            <w:tcW w:w="0" w:type="dxa"/>
            <w:vAlign w:val="bottom"/>
          </w:tcPr>
          <w:p>
            <w:pPr>
              <w:spacing w:after="0"/>
              <w:rPr>
                <w:sz w:val="1"/>
                <w:szCs w:val="1"/>
                <w:color w:val="auto"/>
              </w:rPr>
            </w:pPr>
          </w:p>
        </w:tc>
      </w:tr>
      <w:tr>
        <w:trPr>
          <w:trHeight w:val="210"/>
        </w:trPr>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2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80" w:type="dxa"/>
            <w:vAlign w:val="bottom"/>
            <w:gridSpan w:val="5"/>
          </w:tcPr>
          <w:p>
            <w:pPr>
              <w:ind w:left="180"/>
              <w:spacing w:after="0"/>
              <w:rPr>
                <w:sz w:val="20"/>
                <w:szCs w:val="20"/>
                <w:color w:val="auto"/>
              </w:rPr>
            </w:pPr>
            <w:r>
              <w:rPr>
                <w:rFonts w:ascii="Arial" w:cs="Arial" w:eastAsia="Arial" w:hAnsi="Arial"/>
                <w:sz w:val="18"/>
                <w:szCs w:val="18"/>
                <w:color w:val="auto"/>
              </w:rPr>
              <w:t>RMB (CAPITALIZE WORDS)</w:t>
            </w: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Name of the Borrower_ (company seal):</w:t>
      </w:r>
    </w:p>
    <w:p>
      <w:pPr>
        <w:spacing w:after="0" w:line="22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Relationship Manager (signature):</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Internal review</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Officer in charge of reviewing loan advances and payments (signature):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u w:val="single" w:color="auto"/>
          <w:color w:val="auto"/>
        </w:rPr>
        <w:t>Schedule A to Form of RMB Working Capital Loan Agreement</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Loan</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Loan Expiration</w:t>
            </w:r>
          </w:p>
        </w:tc>
        <w:tc>
          <w:tcPr>
            <w:tcW w:w="148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Loan Amount</w:t>
            </w:r>
          </w:p>
        </w:tc>
        <w:tc>
          <w:tcPr>
            <w:tcW w:w="2720" w:type="dxa"/>
            <w:vAlign w:val="bottom"/>
            <w:tcBorders>
              <w:top w:val="single" w:sz="8" w:color="auto"/>
              <w:right w:val="single" w:sz="8" w:color="auto"/>
            </w:tcBorders>
          </w:tcPr>
          <w:p>
            <w:pPr>
              <w:ind w:left="940"/>
              <w:spacing w:after="0"/>
              <w:rPr>
                <w:sz w:val="20"/>
                <w:szCs w:val="20"/>
                <w:color w:val="auto"/>
              </w:rPr>
            </w:pPr>
            <w:r>
              <w:rPr>
                <w:rFonts w:ascii="Arial" w:cs="Arial" w:eastAsia="Arial" w:hAnsi="Arial"/>
                <w:sz w:val="18"/>
                <w:szCs w:val="18"/>
                <w:b w:val="1"/>
                <w:bCs w:val="1"/>
                <w:color w:val="auto"/>
              </w:rPr>
              <w:t>Loan Rate</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Drawdown</w:t>
            </w:r>
          </w:p>
        </w:tc>
        <w:tc>
          <w:tcPr>
            <w:tcW w:w="226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w w:val="96"/>
              </w:rPr>
              <w:t>Schedule for Repayment</w:t>
            </w:r>
          </w:p>
        </w:tc>
      </w:tr>
      <w:tr>
        <w:trPr>
          <w:trHeight w:val="216"/>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Commencement</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Schedule</w:t>
            </w:r>
          </w:p>
        </w:tc>
        <w:tc>
          <w:tcPr>
            <w:tcW w:w="2260" w:type="dxa"/>
            <w:vAlign w:val="bottom"/>
            <w:tcBorders>
              <w:right w:val="single" w:sz="8" w:color="auto"/>
            </w:tcBorders>
          </w:tcPr>
          <w:p>
            <w:pPr>
              <w:spacing w:after="0"/>
              <w:rPr>
                <w:sz w:val="18"/>
                <w:szCs w:val="18"/>
                <w:color w:val="auto"/>
              </w:rPr>
            </w:pPr>
          </w:p>
        </w:tc>
      </w:tr>
      <w:tr>
        <w:trPr>
          <w:trHeight w:val="234"/>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6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210"/>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22"/>
          <w:szCs w:val="22"/>
          <w:b w:val="1"/>
          <w:bCs w:val="1"/>
          <w:color w:val="auto"/>
        </w:rPr>
        <w:t>Exhibit 10.05</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Contract No.: 1230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3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GLOBAL TECHNOLOGY INC.</w:t>
      </w:r>
    </w:p>
    <w:p>
      <w:pPr>
        <w:spacing w:after="0" w:line="200" w:lineRule="exact"/>
        <w:rPr>
          <w:sz w:val="20"/>
          <w:szCs w:val="20"/>
          <w:color w:val="auto"/>
        </w:rPr>
      </w:pPr>
    </w:p>
    <w:p>
      <w:pPr>
        <w:spacing w:after="0" w:line="24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Borrower</w:t>
      </w:r>
    </w:p>
    <w:p>
      <w:pPr>
        <w:spacing w:after="0" w:line="200" w:lineRule="exact"/>
        <w:rPr>
          <w:sz w:val="20"/>
          <w:szCs w:val="20"/>
          <w:color w:val="auto"/>
        </w:rPr>
      </w:pPr>
    </w:p>
    <w:p>
      <w:pPr>
        <w:spacing w:after="0" w:line="24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3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CHINA CONSTRUCTION BANK - NINGBO YINZHOU BRANCH</w:t>
      </w:r>
    </w:p>
    <w:p>
      <w:pPr>
        <w:spacing w:after="0" w:line="200" w:lineRule="exact"/>
        <w:rPr>
          <w:sz w:val="20"/>
          <w:szCs w:val="20"/>
          <w:color w:val="auto"/>
        </w:rPr>
      </w:pPr>
    </w:p>
    <w:p>
      <w:pPr>
        <w:spacing w:after="0" w:line="24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958850</wp:posOffset>
            </wp:positionH>
            <wp:positionV relativeFrom="paragraph">
              <wp:posOffset>803910</wp:posOffset>
            </wp:positionV>
            <wp:extent cx="434784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RMB WORKING CAPITAL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958850</wp:posOffset>
            </wp:positionH>
            <wp:positionV relativeFrom="paragraph">
              <wp:posOffset>669290</wp:posOffset>
            </wp:positionV>
            <wp:extent cx="434784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ectPr>
          <w:pgSz w:w="11900" w:h="16838" w:orient="portrait"/>
          <w:cols w:equalWidth="0" w:num="1">
            <w:col w:w="10640"/>
          </w:cols>
          <w:pgMar w:left="1020" w:top="112" w:right="239" w:bottom="1440" w:gutter="0" w:footer="0" w:header="0"/>
        </w:sectPr>
      </w:pPr>
    </w:p>
    <w:bookmarkStart w:id="74" w:name="page75"/>
    <w:bookmarkEnd w:id="74"/>
    <w:p>
      <w:pPr>
        <w:spacing w:after="0" w:line="28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RMB Loan Agreement</w:t>
      </w:r>
      <w:r>
        <w:rPr>
          <w:rFonts w:ascii="Arial" w:cs="Arial" w:eastAsia="Arial" w:hAnsi="Arial"/>
          <w:sz w:val="18"/>
          <w:szCs w:val="18"/>
          <w:color w:val="auto"/>
        </w:rPr>
        <w:t xml:space="preserve"> (the “</w:t>
      </w:r>
      <w:r>
        <w:rPr>
          <w:rFonts w:ascii="Arial" w:cs="Arial" w:eastAsia="Arial" w:hAnsi="Arial"/>
          <w:sz w:val="18"/>
          <w:szCs w:val="18"/>
          <w:b w:val="1"/>
          <w:bCs w:val="1"/>
          <w:color w:val="auto"/>
        </w:rPr>
        <w:t>Contract</w:t>
      </w:r>
      <w:r>
        <w:rPr>
          <w:rFonts w:ascii="Arial" w:cs="Arial" w:eastAsia="Arial" w:hAnsi="Arial"/>
          <w:sz w:val="18"/>
          <w:szCs w:val="18"/>
          <w:color w:val="auto"/>
        </w:rPr>
        <w:t>”) is entered into in order for the company’s daily operation expense [, including material purchase payment and employee’s salary], by and between:</w:t>
      </w:r>
    </w:p>
    <w:p>
      <w:pPr>
        <w:spacing w:after="0" w:line="162" w:lineRule="exact"/>
        <w:rPr>
          <w:sz w:val="20"/>
          <w:szCs w:val="20"/>
          <w:color w:val="auto"/>
        </w:rPr>
      </w:pPr>
    </w:p>
    <w:p>
      <w:pPr>
        <w:jc w:val="both"/>
        <w:ind w:right="100"/>
        <w:spacing w:after="0" w:line="282" w:lineRule="auto"/>
        <w:rPr>
          <w:sz w:val="20"/>
          <w:szCs w:val="20"/>
          <w:color w:val="auto"/>
        </w:rPr>
      </w:pPr>
      <w:r>
        <w:rPr>
          <w:rFonts w:ascii="Arial" w:cs="Arial" w:eastAsia="Arial" w:hAnsi="Arial"/>
          <w:sz w:val="18"/>
          <w:szCs w:val="18"/>
          <w:b w:val="1"/>
          <w:bCs w:val="1"/>
          <w:color w:val="auto"/>
        </w:rPr>
        <w:t>GLOBAL TECHNOLOGY INC.</w:t>
      </w:r>
      <w:r>
        <w:rPr>
          <w:rFonts w:ascii="Arial" w:cs="Arial" w:eastAsia="Arial" w:hAnsi="Arial"/>
          <w:sz w:val="18"/>
          <w:szCs w:val="18"/>
          <w:color w:val="auto"/>
        </w:rPr>
        <w:t xml:space="preserve">, located at NO. 88, QIUSHI RD, WANGCHUN INDUSTRIAL PART, NINGBO, CHINA, P.C.315176 with CHIH-HSIANG LIN as its legal representative and its fax number 88133820 and its telephone number 574-88133818 as borrower </w:t>
      </w:r>
      <w:r>
        <w:rPr>
          <w:rFonts w:ascii="Arial" w:cs="Arial" w:eastAsia="Arial" w:hAnsi="Arial"/>
          <w:sz w:val="18"/>
          <w:szCs w:val="18"/>
          <w:b w:val="1"/>
          <w:bCs w:val="1"/>
          <w:color w:val="auto"/>
        </w:rPr>
        <w:t>(“Party A”)</w:t>
      </w:r>
      <w:r>
        <w:rPr>
          <w:rFonts w:ascii="Arial" w:cs="Arial" w:eastAsia="Arial" w:hAnsi="Arial"/>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2410460</wp:posOffset>
            </wp:positionH>
            <wp:positionV relativeFrom="paragraph">
              <wp:posOffset>-185420</wp:posOffset>
            </wp:positionV>
            <wp:extent cx="457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720" cy="8890"/>
                    </a:xfrm>
                    <a:prstGeom prst="rect">
                      <a:avLst/>
                    </a:prstGeom>
                    <a:noFill/>
                  </pic:spPr>
                </pic:pic>
              </a:graphicData>
            </a:graphic>
          </wp:anchor>
        </w:drawing>
      </w:r>
    </w:p>
    <w:p>
      <w:pPr>
        <w:spacing w:after="0" w:line="142"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CHINA CONSTRUCTION BANK - NINGBO YINZHOU BRANCH</w:t>
      </w:r>
      <w:r>
        <w:rPr>
          <w:rFonts w:ascii="Arial" w:cs="Arial" w:eastAsia="Arial" w:hAnsi="Arial"/>
          <w:sz w:val="18"/>
          <w:szCs w:val="18"/>
          <w:color w:val="auto"/>
        </w:rPr>
        <w:t>, located at TAIKANG ZHONG RD S. COMMERCIAL AREA 2ND FL,</w:t>
      </w:r>
      <w:r>
        <w:rPr>
          <w:rFonts w:ascii="Arial" w:cs="Arial" w:eastAsia="Arial" w:hAnsi="Arial"/>
          <w:sz w:val="18"/>
          <w:szCs w:val="18"/>
          <w:b w:val="1"/>
          <w:bCs w:val="1"/>
          <w:color w:val="auto"/>
        </w:rPr>
        <w:t xml:space="preserve"> </w:t>
      </w:r>
      <w:r>
        <w:rPr>
          <w:rFonts w:ascii="Arial" w:cs="Arial" w:eastAsia="Arial" w:hAnsi="Arial"/>
          <w:sz w:val="18"/>
          <w:szCs w:val="18"/>
          <w:color w:val="auto"/>
        </w:rPr>
        <w:t>GUOHUA INT'L BLDG NO. 500, 315040 with ● as its principal officer and its fax number being 87370029 and its telephone number being 87374267, as lender (“</w:t>
      </w:r>
      <w:r>
        <w:rPr>
          <w:rFonts w:ascii="Arial" w:cs="Arial" w:eastAsia="Arial" w:hAnsi="Arial"/>
          <w:sz w:val="18"/>
          <w:szCs w:val="18"/>
          <w:b w:val="1"/>
          <w:bCs w:val="1"/>
          <w:color w:val="auto"/>
        </w:rPr>
        <w:t>Party B</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Party A wishes to apply to Party B for a loan, and Party B agrees to extend to Party A such loan.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NOW THEREFORE upon consultation in accordance with applicable laws and regulations, both parties hereto agree as follows:</w:t>
      </w:r>
    </w:p>
    <w:p>
      <w:pPr>
        <w:spacing w:after="0" w:line="221"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LOAN AMOUNT</w:t>
      </w:r>
    </w:p>
    <w:p>
      <w:pPr>
        <w:spacing w:after="0" w:line="33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amount of the loan that Party B provides to Party A hereunder shall be RMB </w:t>
      </w:r>
      <w:r>
        <w:rPr>
          <w:rFonts w:ascii="Arial" w:cs="Arial" w:eastAsia="Arial" w:hAnsi="Arial"/>
          <w:sz w:val="18"/>
          <w:szCs w:val="18"/>
          <w:b w:val="1"/>
          <w:bCs w:val="1"/>
          <w:color w:val="auto"/>
        </w:rPr>
        <w:t>[see Schedule A]</w:t>
      </w:r>
      <w:r>
        <w:rPr>
          <w:rFonts w:ascii="Arial" w:cs="Arial" w:eastAsia="Arial" w:hAnsi="Arial"/>
          <w:sz w:val="18"/>
          <w:szCs w:val="18"/>
          <w:color w:val="auto"/>
        </w:rPr>
        <w:t xml:space="preserve"> (the “</w:t>
      </w:r>
      <w:r>
        <w:rPr>
          <w:rFonts w:ascii="Arial" w:cs="Arial" w:eastAsia="Arial" w:hAnsi="Arial"/>
          <w:sz w:val="18"/>
          <w:szCs w:val="18"/>
          <w:b w:val="1"/>
          <w:bCs w:val="1"/>
          <w:color w:val="auto"/>
        </w:rPr>
        <w:t>Loan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340" w:hanging="332"/>
        <w:spacing w:after="0"/>
        <w:tabs>
          <w:tab w:leader="none" w:pos="3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LOAN AND SOURCES OF FUNDS FOR REPAYMENT</w:t>
      </w:r>
    </w:p>
    <w:p>
      <w:pPr>
        <w:spacing w:after="0" w:line="33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Party A shall utilize the loan for the purpose of the routine production operation.</w:t>
      </w:r>
    </w:p>
    <w:p>
      <w:pPr>
        <w:spacing w:after="0" w:line="225"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information relating to specific purposes of such loan under the Contract and sources of funds for repayment shall be determined in Schedule 1 “</w:t>
      </w:r>
      <w:r>
        <w:rPr>
          <w:rFonts w:ascii="Arial" w:cs="Arial" w:eastAsia="Arial" w:hAnsi="Arial"/>
          <w:sz w:val="18"/>
          <w:szCs w:val="18"/>
          <w:b w:val="1"/>
          <w:bCs w:val="1"/>
          <w:color w:val="auto"/>
        </w:rPr>
        <w:t>Loan Information</w:t>
      </w:r>
      <w:r>
        <w:rPr>
          <w:rFonts w:ascii="Arial" w:cs="Arial" w:eastAsia="Arial" w:hAnsi="Arial"/>
          <w:sz w:val="18"/>
          <w:szCs w:val="18"/>
          <w:color w:val="auto"/>
        </w:rPr>
        <w:t>”.</w:t>
      </w:r>
    </w:p>
    <w:p>
      <w:pPr>
        <w:spacing w:after="0" w:line="166" w:lineRule="exact"/>
        <w:rPr>
          <w:rFonts w:ascii="Arial" w:cs="Arial" w:eastAsia="Arial" w:hAnsi="Arial"/>
          <w:sz w:val="18"/>
          <w:szCs w:val="18"/>
          <w:b w:val="1"/>
          <w:bCs w:val="1"/>
          <w:color w:val="auto"/>
        </w:rPr>
      </w:pPr>
    </w:p>
    <w:p>
      <w:pPr>
        <w:ind w:left="340" w:hanging="332"/>
        <w:spacing w:after="0"/>
        <w:tabs>
          <w:tab w:leader="none" w:pos="3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TERM OF THE LOAN</w:t>
      </w:r>
    </w:p>
    <w:p>
      <w:pPr>
        <w:spacing w:after="0" w:line="33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term of the Loan shall be 12 months, commencing from [see Schedule A] and expiring on [see Schedule A]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left="340"/>
        <w:spacing w:after="0" w:line="289" w:lineRule="auto"/>
        <w:rPr>
          <w:rFonts w:ascii="Arial" w:cs="Arial" w:eastAsia="Arial" w:hAnsi="Arial"/>
          <w:sz w:val="18"/>
          <w:szCs w:val="18"/>
          <w:b w:val="1"/>
          <w:bCs w:val="1"/>
          <w:color w:val="auto"/>
        </w:rPr>
      </w:pPr>
      <w:r>
        <w:rPr>
          <w:rFonts w:ascii="Arial" w:cs="Arial" w:eastAsia="Arial" w:hAnsi="Arial"/>
          <w:sz w:val="17"/>
          <w:szCs w:val="17"/>
          <w:color w:val="auto"/>
        </w:rPr>
        <w:t>Where the above commencement date is inconsistent with the date set forth on the loan-to deposit certificate (the “</w:t>
      </w:r>
      <w:r>
        <w:rPr>
          <w:rFonts w:ascii="Arial" w:cs="Arial" w:eastAsia="Arial" w:hAnsi="Arial"/>
          <w:sz w:val="17"/>
          <w:szCs w:val="17"/>
          <w:b w:val="1"/>
          <w:bCs w:val="1"/>
          <w:color w:val="auto"/>
        </w:rPr>
        <w:t>LDC</w:t>
      </w:r>
      <w:r>
        <w:rPr>
          <w:rFonts w:ascii="Arial" w:cs="Arial" w:eastAsia="Arial" w:hAnsi="Arial"/>
          <w:sz w:val="17"/>
          <w:szCs w:val="17"/>
          <w:color w:val="auto"/>
        </w:rPr>
        <w:t>” or “Loan Receipt”, the date set forth on the LDC for the first advance of the Loan shall be the commencement date of the Term and the expiry date of the Term shall be adjusted accordingly. The LDC shall constitute an integral part of the Contract and have the equal legal force as the Contract.</w:t>
      </w:r>
    </w:p>
    <w:p>
      <w:pPr>
        <w:spacing w:after="0" w:line="158" w:lineRule="exact"/>
        <w:rPr>
          <w:rFonts w:ascii="Arial" w:cs="Arial" w:eastAsia="Arial" w:hAnsi="Arial"/>
          <w:sz w:val="18"/>
          <w:szCs w:val="18"/>
          <w:b w:val="1"/>
          <w:bCs w:val="1"/>
          <w:color w:val="auto"/>
        </w:rPr>
      </w:pPr>
    </w:p>
    <w:p>
      <w:pPr>
        <w:ind w:left="340" w:hanging="332"/>
        <w:spacing w:after="0"/>
        <w:tabs>
          <w:tab w:leader="none" w:pos="3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ON THE LOAN, DEFAULT INTEREST RATE, INTEREST CALCULATION AND SETTLEMENT</w:t>
      </w:r>
    </w:p>
    <w:p>
      <w:pPr>
        <w:spacing w:after="0" w:line="33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4.1 Interest Rate on the Loan (the “</w:t>
      </w:r>
      <w:r>
        <w:rPr>
          <w:rFonts w:ascii="Arial" w:cs="Arial" w:eastAsia="Arial" w:hAnsi="Arial"/>
          <w:sz w:val="18"/>
          <w:szCs w:val="18"/>
          <w:b w:val="1"/>
          <w:bCs w:val="1"/>
          <w:color w:val="auto"/>
        </w:rPr>
        <w:t>Loan Rate</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The Loan Rate hereunder shall be an annual rate set forth in item (2) below:</w:t>
      </w:r>
    </w:p>
    <w:p>
      <w:pPr>
        <w:spacing w:after="0" w:line="225" w:lineRule="exact"/>
        <w:rPr>
          <w:rFonts w:ascii="Arial" w:cs="Arial" w:eastAsia="Arial" w:hAnsi="Arial"/>
          <w:sz w:val="18"/>
          <w:szCs w:val="18"/>
          <w:b w:val="1"/>
          <w:bCs w:val="1"/>
          <w:color w:val="auto"/>
        </w:rPr>
      </w:pPr>
    </w:p>
    <w:p>
      <w:pPr>
        <w:ind w:left="1140" w:hanging="322"/>
        <w:spacing w:after="0"/>
        <w:tabs>
          <w:tab w:leader="none" w:pos="11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fixed interest rate of % which shall remain the same during the Term;</w:t>
      </w:r>
    </w:p>
    <w:p>
      <w:pPr>
        <w:spacing w:after="0" w:line="221" w:lineRule="exact"/>
        <w:rPr>
          <w:rFonts w:ascii="Arial" w:cs="Arial" w:eastAsia="Arial" w:hAnsi="Arial"/>
          <w:sz w:val="18"/>
          <w:szCs w:val="18"/>
          <w:color w:val="auto"/>
        </w:rPr>
      </w:pPr>
    </w:p>
    <w:p>
      <w:pPr>
        <w:ind w:left="1140" w:hanging="322"/>
        <w:spacing w:after="0" w:line="282" w:lineRule="auto"/>
        <w:tabs>
          <w:tab w:leader="none" w:pos="1140"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[See Schedule A] </w:t>
      </w:r>
      <w:r>
        <w:rPr>
          <w:rFonts w:ascii="Arial" w:cs="Arial" w:eastAsia="Arial" w:hAnsi="Arial"/>
          <w:sz w:val="18"/>
          <w:szCs w:val="18"/>
          <w:color w:val="auto"/>
        </w:rPr>
        <w:t>on the date when interest commences to accrue (the “</w:t>
      </w:r>
      <w:r>
        <w:rPr>
          <w:rFonts w:ascii="Arial" w:cs="Arial" w:eastAsia="Arial" w:hAnsi="Arial"/>
          <w:sz w:val="18"/>
          <w:szCs w:val="18"/>
          <w:b w:val="1"/>
          <w:bCs w:val="1"/>
          <w:color w:val="auto"/>
        </w:rPr>
        <w:t>Interest Commencement Date</w:t>
      </w:r>
      <w:r>
        <w:rPr>
          <w:rFonts w:ascii="Arial" w:cs="Arial" w:eastAsia="Arial" w:hAnsi="Arial"/>
          <w:sz w:val="18"/>
          <w:szCs w:val="18"/>
          <w:color w:val="auto"/>
        </w:rPr>
        <w:t>”). Such interest rate shall remain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during the Term;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-3821430</wp:posOffset>
            </wp:positionV>
            <wp:extent cx="285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-2174875</wp:posOffset>
            </wp:positionV>
            <wp:extent cx="285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76" w:name="page77"/>
    <w:bookmarkEnd w:id="76"/>
    <w:p>
      <w:pPr>
        <w:jc w:val="both"/>
        <w:ind w:left="800" w:hanging="322"/>
        <w:spacing w:after="0" w:line="255" w:lineRule="auto"/>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floating interest rate equal to __ (100% a floating percentage of __ %) (the “</w:t>
      </w:r>
      <w:r>
        <w:rPr>
          <w:rFonts w:ascii="Arial" w:cs="Arial" w:eastAsia="Arial" w:hAnsi="Arial"/>
          <w:sz w:val="18"/>
          <w:szCs w:val="18"/>
          <w:b w:val="1"/>
          <w:bCs w:val="1"/>
          <w:color w:val="auto"/>
        </w:rPr>
        <w:t>Floating Percentage</w:t>
      </w:r>
      <w:r>
        <w:rPr>
          <w:rFonts w:ascii="Arial" w:cs="Arial" w:eastAsia="Arial" w:hAnsi="Arial"/>
          <w:sz w:val="18"/>
          <w:szCs w:val="18"/>
          <w:color w:val="auto"/>
        </w:rPr>
        <w:t>”) of the Base Rate (as defined below) on the date when interest commences to accrue (the “</w:t>
      </w:r>
      <w:r>
        <w:rPr>
          <w:rFonts w:ascii="Arial" w:cs="Arial" w:eastAsia="Arial" w:hAnsi="Arial"/>
          <w:sz w:val="18"/>
          <w:szCs w:val="18"/>
          <w:b w:val="1"/>
          <w:bCs w:val="1"/>
          <w:color w:val="auto"/>
        </w:rPr>
        <w:t>Interest Commencement Date</w:t>
      </w:r>
      <w:r>
        <w:rPr>
          <w:rFonts w:ascii="Arial" w:cs="Arial" w:eastAsia="Arial" w:hAnsi="Arial"/>
          <w:sz w:val="18"/>
          <w:szCs w:val="18"/>
          <w:color w:val="auto"/>
        </w:rPr>
        <w:t>”). The Loan Rate shall, during the period between the Interest Commencement Date and the date when all the principal amount and interest accrued thereon under the Contract have been fully repaid, be adjusted once every ___ months in accordance with the Base Rate on the interest rate adjustment date and the Floating Percentage. The interest rate adjustment date shall be a date corresponding to the Interest Commencement Date in the month when such interest is adjusted. If there is no such a date corresponding to the Interest Commencement Date in such month, the adjustment date for the interest rate shall be the last day of such month.</w:t>
      </w:r>
    </w:p>
    <w:p>
      <w:pPr>
        <w:spacing w:after="0" w:line="19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Default Interest Rate</w:t>
      </w:r>
    </w:p>
    <w:p>
      <w:pPr>
        <w:spacing w:after="0" w:line="221" w:lineRule="exact"/>
        <w:rPr>
          <w:sz w:val="20"/>
          <w:szCs w:val="20"/>
          <w:color w:val="auto"/>
        </w:rPr>
      </w:pPr>
    </w:p>
    <w:p>
      <w:pPr>
        <w:jc w:val="both"/>
        <w:ind w:left="800" w:hanging="322"/>
        <w:spacing w:after="0" w:line="289" w:lineRule="auto"/>
        <w:tabs>
          <w:tab w:leader="none" w:pos="8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Party A does not use the Loan hereunder for purposes set forth herein (“</w:t>
      </w:r>
      <w:r>
        <w:rPr>
          <w:rFonts w:ascii="Arial" w:cs="Arial" w:eastAsia="Arial" w:hAnsi="Arial"/>
          <w:sz w:val="17"/>
          <w:szCs w:val="17"/>
          <w:b w:val="1"/>
          <w:bCs w:val="1"/>
          <w:color w:val="auto"/>
        </w:rPr>
        <w:t>Misappropriation</w:t>
      </w:r>
      <w:r>
        <w:rPr>
          <w:rFonts w:ascii="Arial" w:cs="Arial" w:eastAsia="Arial" w:hAnsi="Arial"/>
          <w:sz w:val="17"/>
          <w:szCs w:val="17"/>
          <w:color w:val="auto"/>
        </w:rPr>
        <w:t>”), the default interest rate on such Loan shall be (100% plus 100%) of the Loan Rate. If the Loan Rate is adjusted according to Article 4.1 (3) above, the default interest rate shall be adjusted in accordance with the adjusted Loan Rate and the upward floating percentage set out in this Article 4.2 (1).</w:t>
      </w:r>
    </w:p>
    <w:p>
      <w:pPr>
        <w:spacing w:after="0" w:line="162" w:lineRule="exact"/>
        <w:rPr>
          <w:rFonts w:ascii="Arial" w:cs="Arial" w:eastAsia="Arial" w:hAnsi="Arial"/>
          <w:sz w:val="17"/>
          <w:szCs w:val="17"/>
          <w:color w:val="auto"/>
        </w:rPr>
      </w:pPr>
    </w:p>
    <w:p>
      <w:pPr>
        <w:jc w:val="both"/>
        <w:ind w:left="800" w:hanging="322"/>
        <w:spacing w:after="0" w:line="264" w:lineRule="auto"/>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default interest rate on overdue Loan shall be (100% plus 50 %) of the Loan Rate. If the Loan Rate is adjusted according to Article 4.1 (3) above, such default interest rate shall be adjusted in accordance with the adjusted Loan Rate and the upward floating percentage set out in this Article 4.2 (2).</w:t>
      </w:r>
    </w:p>
    <w:p>
      <w:pPr>
        <w:spacing w:after="0" w:line="181" w:lineRule="exact"/>
        <w:rPr>
          <w:rFonts w:ascii="Arial" w:cs="Arial" w:eastAsia="Arial" w:hAnsi="Arial"/>
          <w:sz w:val="18"/>
          <w:szCs w:val="18"/>
          <w:color w:val="auto"/>
        </w:rPr>
      </w:pPr>
    </w:p>
    <w:p>
      <w:pPr>
        <w:ind w:left="800" w:hanging="322"/>
        <w:spacing w:after="0" w:line="277" w:lineRule="auto"/>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Misappropriation and overdue payment occur concurrently, the default interest shall be calculated and compounded in accordance with the higher of the two default interest rates provided for in Articles 4.2(1) and 4.2(2) herein.</w:t>
      </w:r>
    </w:p>
    <w:p>
      <w:pPr>
        <w:spacing w:after="0" w:line="170" w:lineRule="exact"/>
        <w:rPr>
          <w:sz w:val="20"/>
          <w:szCs w:val="20"/>
          <w:color w:val="auto"/>
        </w:rPr>
      </w:pPr>
    </w:p>
    <w:p>
      <w:pPr>
        <w:ind w:left="400" w:right="20" w:hanging="404"/>
        <w:spacing w:after="0" w:line="277" w:lineRule="auto"/>
        <w:tabs>
          <w:tab w:leader="none" w:pos="380" w:val="left"/>
        </w:tabs>
        <w:rPr>
          <w:sz w:val="20"/>
          <w:szCs w:val="20"/>
          <w:color w:val="auto"/>
        </w:rPr>
      </w:pPr>
      <w:r>
        <w:rPr>
          <w:rFonts w:ascii="Arial" w:cs="Arial" w:eastAsia="Arial" w:hAnsi="Arial"/>
          <w:sz w:val="18"/>
          <w:szCs w:val="18"/>
          <w:color w:val="auto"/>
        </w:rPr>
        <w:t>4.3</w:t>
        <w:tab/>
        <w:t>The Interest Commencement Date provided in this Article 4 refers to the date on which the proceeds of the first advance have been deposited into the loan disbursement account designated in Article 6 (the “</w:t>
      </w:r>
      <w:r>
        <w:rPr>
          <w:rFonts w:ascii="Arial" w:cs="Arial" w:eastAsia="Arial" w:hAnsi="Arial"/>
          <w:sz w:val="18"/>
          <w:szCs w:val="18"/>
          <w:b w:val="1"/>
          <w:bCs w:val="1"/>
          <w:color w:val="auto"/>
        </w:rPr>
        <w:t>Loan Disbursement Account</w:t>
      </w:r>
      <w:r>
        <w:rPr>
          <w:rFonts w:ascii="Arial" w:cs="Arial" w:eastAsia="Arial" w:hAnsi="Arial"/>
          <w:sz w:val="18"/>
          <w:szCs w:val="18"/>
          <w:color w:val="auto"/>
        </w:rPr>
        <w:t>”).</w:t>
      </w:r>
    </w:p>
    <w:p>
      <w:pPr>
        <w:spacing w:after="0" w:line="166" w:lineRule="exact"/>
        <w:rPr>
          <w:sz w:val="20"/>
          <w:szCs w:val="20"/>
          <w:color w:val="auto"/>
        </w:rPr>
      </w:pPr>
    </w:p>
    <w:p>
      <w:pPr>
        <w:jc w:val="both"/>
        <w:ind w:left="400" w:firstLine="2"/>
        <w:spacing w:after="0" w:line="255" w:lineRule="auto"/>
        <w:rPr>
          <w:sz w:val="20"/>
          <w:szCs w:val="20"/>
          <w:color w:val="auto"/>
        </w:rPr>
      </w:pPr>
      <w:r>
        <w:rPr>
          <w:rFonts w:ascii="Arial" w:cs="Arial" w:eastAsia="Arial" w:hAnsi="Arial"/>
          <w:sz w:val="18"/>
          <w:szCs w:val="18"/>
          <w:color w:val="auto"/>
        </w:rPr>
        <w:t>For the first advance of the Loan, the Base Rate refers to the lending interest rate quoted by the People’s Bank of China (the “</w:t>
      </w:r>
      <w:r>
        <w:rPr>
          <w:rFonts w:ascii="Arial" w:cs="Arial" w:eastAsia="Arial" w:hAnsi="Arial"/>
          <w:sz w:val="18"/>
          <w:szCs w:val="18"/>
          <w:b w:val="1"/>
          <w:bCs w:val="1"/>
          <w:color w:val="auto"/>
        </w:rPr>
        <w:t>PBOC</w:t>
      </w:r>
      <w:r>
        <w:rPr>
          <w:rFonts w:ascii="Arial" w:cs="Arial" w:eastAsia="Arial" w:hAnsi="Arial"/>
          <w:sz w:val="18"/>
          <w:szCs w:val="18"/>
          <w:color w:val="auto"/>
        </w:rPr>
        <w:t>”) on the Interest Commencement Date for loans with the same tenor and within the same category. If the lending interest rate on other advances of the Loan is adjusted in accordance with Article 4.1 (3), the Base Rate refers to the lending interest rate quoted by the PBOC on the interest rate adjustment date for loans with the same tenor and within the same category. If the PBOC no longer publishes such lending interest rate, the Base Rate shall mean, unless agreed otherwise between the parties, the lending interest rate with the same tenor and within the same category generally accepted by the banking industry on the interest rate adjustment date or an interest rate commonly used for a loan with the same tenor and within the same category.</w:t>
      </w:r>
    </w:p>
    <w:p>
      <w:pPr>
        <w:spacing w:after="0" w:line="193" w:lineRule="exact"/>
        <w:rPr>
          <w:sz w:val="20"/>
          <w:szCs w:val="20"/>
          <w:color w:val="auto"/>
        </w:rPr>
      </w:pPr>
    </w:p>
    <w:p>
      <w:pPr>
        <w:jc w:val="both"/>
        <w:ind w:left="400" w:hanging="404"/>
        <w:spacing w:after="0" w:line="259" w:lineRule="auto"/>
        <w:tabs>
          <w:tab w:leader="none" w:pos="380" w:val="left"/>
        </w:tabs>
        <w:rPr>
          <w:sz w:val="20"/>
          <w:szCs w:val="20"/>
          <w:color w:val="auto"/>
        </w:rPr>
      </w:pPr>
      <w:r>
        <w:rPr>
          <w:rFonts w:ascii="Arial" w:cs="Arial" w:eastAsia="Arial" w:hAnsi="Arial"/>
          <w:sz w:val="18"/>
          <w:szCs w:val="18"/>
          <w:color w:val="auto"/>
        </w:rPr>
        <w:t>4.4</w:t>
        <w:tab/>
        <w:t>The interest on the Loan shall commence to accrue as of the date when such Loan proceeds have been deposited into the Loan Disbursement Account designated by Party A. Interest on the Loan shall be computed daily with the daily interest rate equal to 1/360 of the annual interest rate. If Party A can not pay interest on the interest settlement date as provided herein, the interest shall be compounded as of the date immediately following the applicable interest settlement date.</w:t>
      </w:r>
    </w:p>
    <w:p>
      <w:pPr>
        <w:spacing w:after="0" w:line="1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4" w:right="239" w:bottom="1440" w:gutter="0" w:footer="0" w:header="0"/>
        </w:sectPr>
      </w:pPr>
    </w:p>
    <w:bookmarkStart w:id="77" w:name="page78"/>
    <w:bookmarkEnd w:id="77"/>
    <w:p>
      <w:pPr>
        <w:ind w:left="340"/>
        <w:spacing w:after="0"/>
        <w:tabs>
          <w:tab w:leader="none" w:pos="7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Interest Settlement</w:t>
      </w:r>
    </w:p>
    <w:p>
      <w:pPr>
        <w:spacing w:after="0" w:line="225" w:lineRule="exact"/>
        <w:rPr>
          <w:sz w:val="20"/>
          <w:szCs w:val="20"/>
          <w:color w:val="auto"/>
        </w:rPr>
      </w:pPr>
    </w:p>
    <w:p>
      <w:pPr>
        <w:jc w:val="both"/>
        <w:ind w:left="1140" w:hanging="322"/>
        <w:spacing w:after="0" w:line="297" w:lineRule="auto"/>
        <w:tabs>
          <w:tab w:leader="none" w:pos="11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For a loan subject to a fixed interest rate, the interest accrued thereon shall be calculated in accordance with the agreed fixed interest rate. For a loan subject to a floating interest rate, the interest accrued thereon shall be calculated in accordance with the interest rate determined for each interest rate floating period. If the interest rate has been adjusted more than once during a single interest settlement period, the interest during each interest rate floating period shall be calculated first and the total interest accrued during such interest settlement period shall be the aggregate amount of all the interest accrued during each interest rate floating period within such interest settlement period.</w:t>
      </w:r>
    </w:p>
    <w:p>
      <w:pPr>
        <w:spacing w:after="0" w:line="158" w:lineRule="exact"/>
        <w:rPr>
          <w:rFonts w:ascii="Arial" w:cs="Arial" w:eastAsia="Arial" w:hAnsi="Arial"/>
          <w:sz w:val="16"/>
          <w:szCs w:val="16"/>
          <w:color w:val="auto"/>
        </w:rPr>
      </w:pPr>
    </w:p>
    <w:p>
      <w:pPr>
        <w:ind w:left="1140" w:hanging="322"/>
        <w:spacing w:after="0"/>
        <w:tabs>
          <w:tab w:leader="none" w:pos="11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The interest accrued on the Loan hereunder shall be settled in accordance with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of the following:</w:t>
      </w:r>
    </w:p>
    <w:p>
      <w:pPr>
        <w:spacing w:after="0" w:line="23" w:lineRule="exact"/>
        <w:rPr>
          <w:rFonts w:ascii="Arial" w:cs="Arial" w:eastAsia="Arial" w:hAnsi="Arial"/>
          <w:sz w:val="18"/>
          <w:szCs w:val="18"/>
          <w:color w:val="auto"/>
        </w:rPr>
      </w:pPr>
    </w:p>
    <w:p>
      <w:pPr>
        <w:ind w:left="1700" w:hanging="409"/>
        <w:spacing w:after="0" w:line="220" w:lineRule="auto"/>
        <w:tabs>
          <w:tab w:leader="none" w:pos="1700" w:val="left"/>
        </w:tabs>
        <w:numPr>
          <w:ilvl w:val="2"/>
          <w:numId w:val="70"/>
        </w:numPr>
        <w:rPr>
          <w:rFonts w:ascii="Arial" w:cs="Arial" w:eastAsia="Arial" w:hAnsi="Arial"/>
          <w:sz w:val="36"/>
          <w:szCs w:val="36"/>
          <w:color w:val="auto"/>
          <w:vertAlign w:val="superscript"/>
        </w:rPr>
      </w:pPr>
      <w:r>
        <w:rPr>
          <w:rFonts w:ascii="Arial" w:cs="Arial" w:eastAsia="Arial" w:hAnsi="Arial"/>
          <w:sz w:val="18"/>
          <w:szCs w:val="18"/>
          <w:color w:val="auto"/>
        </w:rPr>
        <w:t>on a monthly basis and the interest settlement date shall be the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each month;</w:t>
      </w:r>
    </w:p>
    <w:p>
      <w:pPr>
        <w:spacing w:after="0" w:line="77" w:lineRule="exact"/>
        <w:rPr>
          <w:rFonts w:ascii="Arial" w:cs="Arial" w:eastAsia="Arial" w:hAnsi="Arial"/>
          <w:sz w:val="36"/>
          <w:szCs w:val="36"/>
          <w:color w:val="auto"/>
          <w:vertAlign w:val="superscript"/>
        </w:rPr>
      </w:pPr>
    </w:p>
    <w:p>
      <w:pPr>
        <w:ind w:left="1700" w:hanging="395"/>
        <w:spacing w:after="0" w:line="229" w:lineRule="auto"/>
        <w:tabs>
          <w:tab w:leader="none" w:pos="1700" w:val="left"/>
        </w:tabs>
        <w:numPr>
          <w:ilvl w:val="3"/>
          <w:numId w:val="70"/>
        </w:numPr>
        <w:rPr>
          <w:rFonts w:ascii="Arial" w:cs="Arial" w:eastAsia="Arial" w:hAnsi="Arial"/>
          <w:sz w:val="36"/>
          <w:szCs w:val="36"/>
          <w:color w:val="auto"/>
          <w:vertAlign w:val="superscript"/>
        </w:rPr>
      </w:pPr>
      <w:r>
        <w:rPr>
          <w:rFonts w:ascii="Arial" w:cs="Arial" w:eastAsia="Arial" w:hAnsi="Arial"/>
          <w:sz w:val="18"/>
          <w:szCs w:val="18"/>
          <w:color w:val="auto"/>
        </w:rPr>
        <w:t>on a quarterly basis and the interest settlement date shall be the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the last month of the relevant quarter;</w:t>
      </w:r>
    </w:p>
    <w:p>
      <w:pPr>
        <w:spacing w:after="0" w:line="79" w:lineRule="exact"/>
        <w:rPr>
          <w:rFonts w:ascii="Arial" w:cs="Arial" w:eastAsia="Arial" w:hAnsi="Arial"/>
          <w:sz w:val="36"/>
          <w:szCs w:val="36"/>
          <w:color w:val="auto"/>
          <w:vertAlign w:val="superscript"/>
        </w:rPr>
      </w:pPr>
    </w:p>
    <w:p>
      <w:pPr>
        <w:ind w:left="1700" w:hanging="395"/>
        <w:spacing w:after="0"/>
        <w:tabs>
          <w:tab w:leader="none" w:pos="1700" w:val="left"/>
        </w:tabs>
        <w:numPr>
          <w:ilvl w:val="3"/>
          <w:numId w:val="70"/>
        </w:numPr>
        <w:rPr>
          <w:rFonts w:ascii="Arial" w:cs="Arial" w:eastAsia="Arial" w:hAnsi="Arial"/>
          <w:sz w:val="18"/>
          <w:szCs w:val="18"/>
          <w:color w:val="auto"/>
        </w:rPr>
      </w:pPr>
      <w:r>
        <w:rPr>
          <w:rFonts w:ascii="Arial" w:cs="Arial" w:eastAsia="Arial" w:hAnsi="Arial"/>
          <w:sz w:val="18"/>
          <w:szCs w:val="18"/>
          <w:color w:val="auto"/>
        </w:rPr>
        <w:t>other method:_______________________.</w:t>
      </w:r>
    </w:p>
    <w:p>
      <w:pPr>
        <w:spacing w:after="0" w:line="221" w:lineRule="exact"/>
        <w:rPr>
          <w:rFonts w:ascii="Arial" w:cs="Arial" w:eastAsia="Arial" w:hAnsi="Arial"/>
          <w:sz w:val="18"/>
          <w:szCs w:val="18"/>
          <w:color w:val="auto"/>
        </w:rPr>
      </w:pPr>
    </w:p>
    <w:p>
      <w:pPr>
        <w:ind w:left="340" w:hanging="332"/>
        <w:spacing w:after="0"/>
        <w:tabs>
          <w:tab w:leader="none" w:pos="3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ADVANCE AND DRAWDOWN</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5.1  Conditions Precedent to Advance</w:t>
      </w:r>
    </w:p>
    <w:p>
      <w:pPr>
        <w:spacing w:after="0" w:line="225"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Unless Party B waives all or part of the following conditions, Party B shall be obligated to advance any amount of the Loan only if all the following conditions continuously remain satisfied:</w:t>
      </w:r>
    </w:p>
    <w:p>
      <w:pPr>
        <w:spacing w:after="0" w:line="170" w:lineRule="exact"/>
        <w:rPr>
          <w:sz w:val="20"/>
          <w:szCs w:val="20"/>
          <w:color w:val="auto"/>
        </w:rPr>
      </w:pPr>
    </w:p>
    <w:p>
      <w:pPr>
        <w:ind w:left="1300" w:hanging="482"/>
        <w:spacing w:after="0"/>
        <w:tabs>
          <w:tab w:leader="none" w:pos="13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Party A has completed all the approval, registration, delivery, insurance and other statutory procedures in relation to the Loan hereunder;</w:t>
      </w:r>
    </w:p>
    <w:p>
      <w:pPr>
        <w:spacing w:after="0" w:line="248" w:lineRule="exact"/>
        <w:rPr>
          <w:rFonts w:ascii="Arial" w:cs="Arial" w:eastAsia="Arial" w:hAnsi="Arial"/>
          <w:sz w:val="16"/>
          <w:szCs w:val="16"/>
          <w:color w:val="auto"/>
        </w:rPr>
      </w:pPr>
    </w:p>
    <w:p>
      <w:pPr>
        <w:ind w:left="1300" w:hanging="482"/>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security has become and remains effective, if a security is established for the Contract;</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Party A has opened the bank accounts for drawdown and debt service purposes as Party B requests;</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Party A has not triggered any event of default hereunder;</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event has occurred that may adversely impact Party B’s rights as a creditor;</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advance to be made by Party B is not prohibited or restricted by any laws, regulations, rules or competent authorities; and</w:t>
      </w:r>
    </w:p>
    <w:p>
      <w:pPr>
        <w:spacing w:after="0" w:line="225" w:lineRule="exact"/>
        <w:rPr>
          <w:rFonts w:ascii="Arial" w:cs="Arial" w:eastAsia="Arial" w:hAnsi="Arial"/>
          <w:sz w:val="18"/>
          <w:szCs w:val="18"/>
          <w:color w:val="auto"/>
        </w:rPr>
      </w:pPr>
    </w:p>
    <w:p>
      <w:pPr>
        <w:ind w:left="1300" w:hanging="482"/>
        <w:spacing w:after="0" w:line="277"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financial indicators of Party A shall, at all time, continue to meet the requirements specified in Schedule 2 Terms relating to Mandatory Financial Indicators;</w:t>
      </w:r>
    </w:p>
    <w:p>
      <w:pPr>
        <w:spacing w:after="0" w:line="170" w:lineRule="exact"/>
        <w:rPr>
          <w:rFonts w:ascii="Arial" w:cs="Arial" w:eastAsia="Arial" w:hAnsi="Arial"/>
          <w:sz w:val="18"/>
          <w:szCs w:val="18"/>
          <w:color w:val="auto"/>
        </w:rPr>
      </w:pPr>
    </w:p>
    <w:p>
      <w:pPr>
        <w:ind w:left="1300" w:hanging="482"/>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Party A has submitted such materials as required in this Contract before any loan drawdown;</w:t>
      </w:r>
    </w:p>
    <w:p>
      <w:pPr>
        <w:spacing w:after="0" w:line="225" w:lineRule="exact"/>
        <w:rPr>
          <w:rFonts w:ascii="Arial" w:cs="Arial" w:eastAsia="Arial" w:hAnsi="Arial"/>
          <w:sz w:val="18"/>
          <w:szCs w:val="18"/>
          <w:color w:val="auto"/>
        </w:rPr>
      </w:pPr>
    </w:p>
    <w:p>
      <w:pPr>
        <w:ind w:left="1300" w:hanging="482"/>
        <w:spacing w:after="0" w:line="277"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materials submitted by Party A are legal, authenticated, complete, accurate, valid and be in accordance with other requirements of Party B;</w:t>
      </w:r>
    </w:p>
    <w:p>
      <w:pPr>
        <w:spacing w:after="0" w:line="170" w:lineRule="exact"/>
        <w:rPr>
          <w:rFonts w:ascii="Arial" w:cs="Arial" w:eastAsia="Arial" w:hAnsi="Arial"/>
          <w:sz w:val="18"/>
          <w:szCs w:val="18"/>
          <w:color w:val="auto"/>
        </w:rPr>
      </w:pPr>
    </w:p>
    <w:p>
      <w:pPr>
        <w:ind w:left="1300" w:hanging="482"/>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Other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14605</wp:posOffset>
            </wp:positionV>
            <wp:extent cx="64230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160655</wp:posOffset>
            </wp:positionV>
            <wp:extent cx="64230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306705</wp:posOffset>
            </wp:positionV>
            <wp:extent cx="64230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ind w:left="340"/>
        <w:spacing w:after="0"/>
        <w:tabs>
          <w:tab w:leader="none" w:pos="7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Drawdown Schedule</w:t>
      </w:r>
    </w:p>
    <w:p>
      <w:pPr>
        <w:spacing w:after="0" w:line="225"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“Drawdown” referred to in this Contract shall mean disbursements by Party B of the funds to the Loan Disbursement Account in accordance with Party A’s Application and this Contract.</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The drawdown schedule hereunder shall be item </w:t>
      </w:r>
      <w:r>
        <w:rPr>
          <w:rFonts w:ascii="Arial" w:cs="Arial" w:eastAsia="Arial" w:hAnsi="Arial"/>
          <w:sz w:val="18"/>
          <w:szCs w:val="18"/>
          <w:b w:val="1"/>
          <w:bCs w:val="1"/>
          <w:color w:val="auto"/>
        </w:rPr>
        <w:t>[see Schedule A]</w:t>
      </w:r>
      <w:r>
        <w:rPr>
          <w:rFonts w:ascii="Arial" w:cs="Arial" w:eastAsia="Arial" w:hAnsi="Arial"/>
          <w:sz w:val="18"/>
          <w:szCs w:val="18"/>
          <w:color w:val="auto"/>
        </w:rPr>
        <w:t xml:space="preserve"> of the following:</w:t>
      </w:r>
    </w:p>
    <w:p>
      <w:pPr>
        <w:spacing w:after="0" w:line="229" w:lineRule="exact"/>
        <w:rPr>
          <w:sz w:val="20"/>
          <w:szCs w:val="20"/>
          <w:color w:val="auto"/>
        </w:rPr>
      </w:pPr>
    </w:p>
    <w:p>
      <w:pPr>
        <w:ind w:left="1220" w:hanging="402"/>
        <w:spacing w:after="0"/>
        <w:tabs>
          <w:tab w:leader="none" w:pos="12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drawdown schedule shall be as follows:</w:t>
      </w:r>
    </w:p>
    <w:p>
      <w:pPr>
        <w:spacing w:after="0" w:line="225" w:lineRule="exact"/>
        <w:rPr>
          <w:sz w:val="20"/>
          <w:szCs w:val="20"/>
          <w:color w:val="auto"/>
        </w:rPr>
      </w:pPr>
    </w:p>
    <w:p>
      <w:pPr>
        <w:ind w:left="3680"/>
        <w:spacing w:after="0"/>
        <w:tabs>
          <w:tab w:leader="none" w:pos="9200" w:val="left"/>
        </w:tabs>
        <w:rPr>
          <w:sz w:val="20"/>
          <w:szCs w:val="20"/>
          <w:color w:val="auto"/>
        </w:rPr>
      </w:pPr>
      <w:r>
        <w:rPr>
          <w:rFonts w:ascii="Arial" w:cs="Arial" w:eastAsia="Arial" w:hAnsi="Arial"/>
          <w:sz w:val="18"/>
          <w:szCs w:val="18"/>
          <w:color w:val="auto"/>
        </w:rPr>
        <w:t>Drawdown Date (mm/dd/yyyy)</w:t>
      </w:r>
      <w:r>
        <w:rPr>
          <w:sz w:val="20"/>
          <w:szCs w:val="20"/>
          <w:color w:val="auto"/>
        </w:rPr>
        <w:tab/>
      </w:r>
      <w:r>
        <w:rPr>
          <w:rFonts w:ascii="Arial" w:cs="Arial" w:eastAsia="Arial" w:hAnsi="Arial"/>
          <w:sz w:val="16"/>
          <w:szCs w:val="16"/>
          <w:color w:val="auto"/>
        </w:rPr>
        <w:t>Amount</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(i)</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(ii)</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(iii)</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(iv)</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(v)</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(vi)</w:t>
      </w:r>
    </w:p>
    <w:p>
      <w:pPr>
        <w:spacing w:after="0" w:line="225" w:lineRule="exact"/>
        <w:rPr>
          <w:sz w:val="20"/>
          <w:szCs w:val="20"/>
          <w:color w:val="auto"/>
        </w:rPr>
      </w:pPr>
    </w:p>
    <w:p>
      <w:pPr>
        <w:ind w:left="1220" w:hanging="402"/>
        <w:spacing w:after="0"/>
        <w:tabs>
          <w:tab w:leader="none" w:pos="12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drawdown schedule shall be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ind w:left="1060"/>
              <w:spacing w:after="0"/>
              <w:rPr>
                <w:sz w:val="20"/>
                <w:szCs w:val="20"/>
                <w:color w:val="auto"/>
              </w:rPr>
            </w:pPr>
            <w:r>
              <w:rPr>
                <w:rFonts w:ascii="Arial" w:cs="Arial" w:eastAsia="Arial" w:hAnsi="Arial"/>
                <w:sz w:val="18"/>
                <w:szCs w:val="18"/>
                <w:color w:val="auto"/>
              </w:rPr>
              <w:t>(i) from [</w:t>
            </w:r>
          </w:p>
        </w:tc>
        <w:tc>
          <w:tcPr>
            <w:tcW w:w="1380" w:type="dxa"/>
            <w:vAlign w:val="bottom"/>
            <w:gridSpan w:val="3"/>
          </w:tcPr>
          <w:p>
            <w:pPr>
              <w:spacing w:after="0"/>
              <w:rPr>
                <w:sz w:val="20"/>
                <w:szCs w:val="20"/>
                <w:color w:val="auto"/>
              </w:rPr>
            </w:pPr>
            <w:r>
              <w:rPr>
                <w:rFonts w:ascii="Arial" w:cs="Arial" w:eastAsia="Arial" w:hAnsi="Arial"/>
                <w:sz w:val="18"/>
                <w:szCs w:val="18"/>
                <w:color w:val="auto"/>
              </w:rPr>
              <w:t>] to [</w:t>
            </w:r>
          </w:p>
        </w:tc>
        <w:tc>
          <w:tcPr>
            <w:tcW w:w="7280" w:type="dxa"/>
            <w:vAlign w:val="bottom"/>
          </w:tcPr>
          <w:p>
            <w:pPr>
              <w:ind w:left="20"/>
              <w:spacing w:after="0"/>
              <w:rPr>
                <w:sz w:val="20"/>
                <w:szCs w:val="20"/>
                <w:color w:val="auto"/>
              </w:rPr>
            </w:pPr>
            <w:r>
              <w:rPr>
                <w:rFonts w:ascii="Arial" w:cs="Arial" w:eastAsia="Arial" w:hAnsi="Arial"/>
                <w:sz w:val="18"/>
                <w:szCs w:val="18"/>
                <w:color w:val="auto"/>
              </w:rPr>
              <w:t>], Amount__________;</w:t>
            </w:r>
          </w:p>
        </w:tc>
      </w:tr>
      <w:tr>
        <w:trPr>
          <w:trHeight w:val="230"/>
        </w:trPr>
        <w:tc>
          <w:tcPr>
            <w:tcW w:w="2760" w:type="dxa"/>
            <w:vAlign w:val="bottom"/>
          </w:tcPr>
          <w:p>
            <w:pPr>
              <w:ind w:left="1700"/>
              <w:spacing w:after="0"/>
              <w:rPr>
                <w:sz w:val="20"/>
                <w:szCs w:val="20"/>
                <w:color w:val="auto"/>
              </w:rPr>
            </w:pPr>
            <w:r>
              <w:rPr>
                <w:rFonts w:ascii="Arial" w:cs="Arial" w:eastAsia="Arial" w:hAnsi="Arial"/>
                <w:sz w:val="18"/>
                <w:szCs w:val="18"/>
                <w:color w:val="auto"/>
                <w:w w:val="96"/>
              </w:rPr>
              <w:t>(mm/dd/yyyy)</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(mm/dd/yyyy)</w:t>
            </w:r>
          </w:p>
        </w:tc>
        <w:tc>
          <w:tcPr>
            <w:tcW w:w="7280" w:type="dxa"/>
            <w:vAlign w:val="bottom"/>
          </w:tcPr>
          <w:p>
            <w:pPr>
              <w:spacing w:after="0"/>
              <w:rPr>
                <w:sz w:val="20"/>
                <w:szCs w:val="20"/>
                <w:color w:val="auto"/>
              </w:rPr>
            </w:pPr>
          </w:p>
        </w:tc>
      </w:tr>
      <w:tr>
        <w:trPr>
          <w:trHeight w:val="418"/>
        </w:trPr>
        <w:tc>
          <w:tcPr>
            <w:tcW w:w="2760" w:type="dxa"/>
            <w:vAlign w:val="bottom"/>
          </w:tcPr>
          <w:p>
            <w:pPr>
              <w:ind w:left="1060"/>
              <w:spacing w:after="0"/>
              <w:rPr>
                <w:sz w:val="20"/>
                <w:szCs w:val="20"/>
                <w:color w:val="auto"/>
              </w:rPr>
            </w:pPr>
            <w:r>
              <w:rPr>
                <w:rFonts w:ascii="Arial" w:cs="Arial" w:eastAsia="Arial" w:hAnsi="Arial"/>
                <w:sz w:val="18"/>
                <w:szCs w:val="18"/>
                <w:color w:val="auto"/>
              </w:rPr>
              <w:t>(ii) from [</w:t>
            </w:r>
          </w:p>
        </w:tc>
        <w:tc>
          <w:tcPr>
            <w:tcW w:w="4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 to [</w:t>
            </w:r>
          </w:p>
        </w:tc>
        <w:tc>
          <w:tcPr>
            <w:tcW w:w="7280" w:type="dxa"/>
            <w:vAlign w:val="bottom"/>
          </w:tcPr>
          <w:p>
            <w:pPr>
              <w:ind w:left="60"/>
              <w:spacing w:after="0"/>
              <w:rPr>
                <w:sz w:val="20"/>
                <w:szCs w:val="20"/>
                <w:color w:val="auto"/>
              </w:rPr>
            </w:pPr>
            <w:r>
              <w:rPr>
                <w:rFonts w:ascii="Arial" w:cs="Arial" w:eastAsia="Arial" w:hAnsi="Arial"/>
                <w:sz w:val="18"/>
                <w:szCs w:val="18"/>
                <w:color w:val="auto"/>
              </w:rPr>
              <w:t>], Amount__________;</w:t>
            </w:r>
          </w:p>
        </w:tc>
      </w:tr>
      <w:tr>
        <w:trPr>
          <w:trHeight w:val="230"/>
        </w:trPr>
        <w:tc>
          <w:tcPr>
            <w:tcW w:w="2760" w:type="dxa"/>
            <w:vAlign w:val="bottom"/>
          </w:tcPr>
          <w:p>
            <w:pPr>
              <w:ind w:left="1700"/>
              <w:spacing w:after="0"/>
              <w:rPr>
                <w:sz w:val="20"/>
                <w:szCs w:val="20"/>
                <w:color w:val="auto"/>
              </w:rPr>
            </w:pPr>
            <w:r>
              <w:rPr>
                <w:rFonts w:ascii="Arial" w:cs="Arial" w:eastAsia="Arial" w:hAnsi="Arial"/>
                <w:sz w:val="18"/>
                <w:szCs w:val="18"/>
                <w:color w:val="auto"/>
                <w:w w:val="96"/>
              </w:rPr>
              <w:t>(mm/dd/yyyy)</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(mm/dd/yyyy)</w:t>
            </w:r>
          </w:p>
        </w:tc>
        <w:tc>
          <w:tcPr>
            <w:tcW w:w="7280" w:type="dxa"/>
            <w:vAlign w:val="bottom"/>
          </w:tcPr>
          <w:p>
            <w:pPr>
              <w:spacing w:after="0"/>
              <w:rPr>
                <w:sz w:val="20"/>
                <w:szCs w:val="20"/>
                <w:color w:val="auto"/>
              </w:rPr>
            </w:pPr>
          </w:p>
        </w:tc>
      </w:tr>
      <w:tr>
        <w:trPr>
          <w:trHeight w:val="418"/>
        </w:trPr>
        <w:tc>
          <w:tcPr>
            <w:tcW w:w="2760" w:type="dxa"/>
            <w:vAlign w:val="bottom"/>
          </w:tcPr>
          <w:p>
            <w:pPr>
              <w:ind w:left="1060"/>
              <w:spacing w:after="0"/>
              <w:rPr>
                <w:sz w:val="20"/>
                <w:szCs w:val="20"/>
                <w:color w:val="auto"/>
              </w:rPr>
            </w:pPr>
            <w:r>
              <w:rPr>
                <w:rFonts w:ascii="Arial" w:cs="Arial" w:eastAsia="Arial" w:hAnsi="Arial"/>
                <w:sz w:val="18"/>
                <w:szCs w:val="18"/>
                <w:color w:val="auto"/>
              </w:rPr>
              <w:t>(iii) from [</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 to [</w:t>
            </w:r>
          </w:p>
        </w:tc>
        <w:tc>
          <w:tcPr>
            <w:tcW w:w="7280" w:type="dxa"/>
            <w:vAlign w:val="bottom"/>
          </w:tcPr>
          <w:p>
            <w:pPr>
              <w:ind w:left="120"/>
              <w:spacing w:after="0"/>
              <w:rPr>
                <w:sz w:val="20"/>
                <w:szCs w:val="20"/>
                <w:color w:val="auto"/>
              </w:rPr>
            </w:pPr>
            <w:r>
              <w:rPr>
                <w:rFonts w:ascii="Arial" w:cs="Arial" w:eastAsia="Arial" w:hAnsi="Arial"/>
                <w:sz w:val="18"/>
                <w:szCs w:val="18"/>
                <w:color w:val="auto"/>
              </w:rPr>
              <w:t>], Amount__________;</w:t>
            </w:r>
          </w:p>
        </w:tc>
      </w:tr>
      <w:tr>
        <w:trPr>
          <w:trHeight w:val="230"/>
        </w:trPr>
        <w:tc>
          <w:tcPr>
            <w:tcW w:w="2800" w:type="dxa"/>
            <w:vAlign w:val="bottom"/>
            <w:gridSpan w:val="2"/>
          </w:tcPr>
          <w:p>
            <w:pPr>
              <w:ind w:left="1740"/>
              <w:spacing w:after="0"/>
              <w:rPr>
                <w:sz w:val="20"/>
                <w:szCs w:val="20"/>
                <w:color w:val="auto"/>
              </w:rPr>
            </w:pPr>
            <w:r>
              <w:rPr>
                <w:rFonts w:ascii="Arial" w:cs="Arial" w:eastAsia="Arial" w:hAnsi="Arial"/>
                <w:sz w:val="18"/>
                <w:szCs w:val="18"/>
                <w:color w:val="auto"/>
                <w:w w:val="96"/>
              </w:rPr>
              <w:t>(mm/dd/yyyy)</w:t>
            </w:r>
          </w:p>
        </w:tc>
        <w:tc>
          <w:tcPr>
            <w:tcW w:w="40" w:type="dxa"/>
            <w:vAlign w:val="bottom"/>
          </w:tcPr>
          <w:p>
            <w:pPr>
              <w:spacing w:after="0"/>
              <w:rPr>
                <w:sz w:val="20"/>
                <w:szCs w:val="20"/>
                <w:color w:val="auto"/>
              </w:rPr>
            </w:pPr>
          </w:p>
        </w:tc>
        <w:tc>
          <w:tcPr>
            <w:tcW w:w="1300" w:type="dxa"/>
            <w:vAlign w:val="bottom"/>
          </w:tcPr>
          <w:p>
            <w:pPr>
              <w:ind w:left="200"/>
              <w:spacing w:after="0"/>
              <w:rPr>
                <w:sz w:val="20"/>
                <w:szCs w:val="20"/>
                <w:color w:val="auto"/>
              </w:rPr>
            </w:pPr>
            <w:r>
              <w:rPr>
                <w:rFonts w:ascii="Arial" w:cs="Arial" w:eastAsia="Arial" w:hAnsi="Arial"/>
                <w:sz w:val="18"/>
                <w:szCs w:val="18"/>
                <w:color w:val="auto"/>
                <w:w w:val="99"/>
              </w:rPr>
              <w:t>(mm/dd/yyyy)</w:t>
            </w:r>
          </w:p>
        </w:tc>
        <w:tc>
          <w:tcPr>
            <w:tcW w:w="7280" w:type="dxa"/>
            <w:vAlign w:val="bottom"/>
          </w:tcPr>
          <w:p>
            <w:pPr>
              <w:spacing w:after="0"/>
              <w:rPr>
                <w:sz w:val="20"/>
                <w:szCs w:val="20"/>
                <w:color w:val="auto"/>
              </w:rPr>
            </w:pPr>
          </w:p>
        </w:tc>
      </w:tr>
      <w:tr>
        <w:trPr>
          <w:trHeight w:val="418"/>
        </w:trPr>
        <w:tc>
          <w:tcPr>
            <w:tcW w:w="2760" w:type="dxa"/>
            <w:vAlign w:val="bottom"/>
          </w:tcPr>
          <w:p>
            <w:pPr>
              <w:ind w:left="1060"/>
              <w:spacing w:after="0"/>
              <w:rPr>
                <w:sz w:val="20"/>
                <w:szCs w:val="20"/>
                <w:color w:val="auto"/>
              </w:rPr>
            </w:pPr>
            <w:r>
              <w:rPr>
                <w:rFonts w:ascii="Arial" w:cs="Arial" w:eastAsia="Arial" w:hAnsi="Arial"/>
                <w:sz w:val="18"/>
                <w:szCs w:val="18"/>
                <w:color w:val="auto"/>
              </w:rPr>
              <w:t>(iv) from [</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 to [</w:t>
            </w:r>
          </w:p>
        </w:tc>
        <w:tc>
          <w:tcPr>
            <w:tcW w:w="7280" w:type="dxa"/>
            <w:vAlign w:val="bottom"/>
          </w:tcPr>
          <w:p>
            <w:pPr>
              <w:ind w:left="100"/>
              <w:spacing w:after="0"/>
              <w:rPr>
                <w:sz w:val="20"/>
                <w:szCs w:val="20"/>
                <w:color w:val="auto"/>
              </w:rPr>
            </w:pPr>
            <w:r>
              <w:rPr>
                <w:rFonts w:ascii="Arial" w:cs="Arial" w:eastAsia="Arial" w:hAnsi="Arial"/>
                <w:sz w:val="18"/>
                <w:szCs w:val="18"/>
                <w:color w:val="auto"/>
              </w:rPr>
              <w:t>], Amount__________;</w:t>
            </w:r>
          </w:p>
        </w:tc>
      </w:tr>
      <w:tr>
        <w:trPr>
          <w:trHeight w:val="230"/>
        </w:trPr>
        <w:tc>
          <w:tcPr>
            <w:tcW w:w="2840" w:type="dxa"/>
            <w:vAlign w:val="bottom"/>
            <w:gridSpan w:val="3"/>
          </w:tcPr>
          <w:p>
            <w:pPr>
              <w:ind w:left="1780"/>
              <w:spacing w:after="0"/>
              <w:rPr>
                <w:sz w:val="20"/>
                <w:szCs w:val="20"/>
                <w:color w:val="auto"/>
              </w:rPr>
            </w:pPr>
            <w:r>
              <w:rPr>
                <w:rFonts w:ascii="Arial" w:cs="Arial" w:eastAsia="Arial" w:hAnsi="Arial"/>
                <w:sz w:val="18"/>
                <w:szCs w:val="18"/>
                <w:color w:val="auto"/>
                <w:w w:val="96"/>
              </w:rPr>
              <w:t>(mm/dd/yyyy)</w:t>
            </w:r>
          </w:p>
        </w:tc>
        <w:tc>
          <w:tcPr>
            <w:tcW w:w="1300" w:type="dxa"/>
            <w:vAlign w:val="bottom"/>
          </w:tcPr>
          <w:p>
            <w:pPr>
              <w:ind w:left="260"/>
              <w:spacing w:after="0"/>
              <w:rPr>
                <w:sz w:val="20"/>
                <w:szCs w:val="20"/>
                <w:color w:val="auto"/>
              </w:rPr>
            </w:pPr>
            <w:r>
              <w:rPr>
                <w:rFonts w:ascii="Arial" w:cs="Arial" w:eastAsia="Arial" w:hAnsi="Arial"/>
                <w:sz w:val="18"/>
                <w:szCs w:val="18"/>
                <w:color w:val="auto"/>
                <w:w w:val="94"/>
              </w:rPr>
              <w:t>(mm/dd/yyyy)</w:t>
            </w:r>
          </w:p>
        </w:tc>
        <w:tc>
          <w:tcPr>
            <w:tcW w:w="7280" w:type="dxa"/>
            <w:vAlign w:val="bottom"/>
          </w:tcPr>
          <w:p>
            <w:pPr>
              <w:spacing w:after="0"/>
              <w:rPr>
                <w:sz w:val="20"/>
                <w:szCs w:val="20"/>
                <w:color w:val="auto"/>
              </w:rPr>
            </w:pPr>
          </w:p>
        </w:tc>
      </w:tr>
      <w:tr>
        <w:trPr>
          <w:trHeight w:val="418"/>
        </w:trPr>
        <w:tc>
          <w:tcPr>
            <w:tcW w:w="2760" w:type="dxa"/>
            <w:vAlign w:val="bottom"/>
          </w:tcPr>
          <w:p>
            <w:pPr>
              <w:ind w:left="1060"/>
              <w:spacing w:after="0"/>
              <w:rPr>
                <w:sz w:val="20"/>
                <w:szCs w:val="20"/>
                <w:color w:val="auto"/>
              </w:rPr>
            </w:pPr>
            <w:r>
              <w:rPr>
                <w:rFonts w:ascii="Arial" w:cs="Arial" w:eastAsia="Arial" w:hAnsi="Arial"/>
                <w:sz w:val="18"/>
                <w:szCs w:val="18"/>
                <w:color w:val="auto"/>
              </w:rPr>
              <w:t>(v) from [</w:t>
            </w:r>
          </w:p>
        </w:tc>
        <w:tc>
          <w:tcPr>
            <w:tcW w:w="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 to [</w:t>
            </w:r>
          </w:p>
        </w:tc>
        <w:tc>
          <w:tcPr>
            <w:tcW w:w="7280" w:type="dxa"/>
            <w:vAlign w:val="bottom"/>
          </w:tcPr>
          <w:p>
            <w:pPr>
              <w:ind w:left="60"/>
              <w:spacing w:after="0"/>
              <w:rPr>
                <w:sz w:val="20"/>
                <w:szCs w:val="20"/>
                <w:color w:val="auto"/>
              </w:rPr>
            </w:pPr>
            <w:r>
              <w:rPr>
                <w:rFonts w:ascii="Arial" w:cs="Arial" w:eastAsia="Arial" w:hAnsi="Arial"/>
                <w:sz w:val="18"/>
                <w:szCs w:val="18"/>
                <w:color w:val="auto"/>
              </w:rPr>
              <w:t>], Amount__________;</w:t>
            </w:r>
          </w:p>
        </w:tc>
      </w:tr>
      <w:tr>
        <w:trPr>
          <w:trHeight w:val="230"/>
        </w:trPr>
        <w:tc>
          <w:tcPr>
            <w:tcW w:w="2800" w:type="dxa"/>
            <w:vAlign w:val="bottom"/>
            <w:gridSpan w:val="2"/>
          </w:tcPr>
          <w:p>
            <w:pPr>
              <w:ind w:left="1740"/>
              <w:spacing w:after="0"/>
              <w:rPr>
                <w:sz w:val="20"/>
                <w:szCs w:val="20"/>
                <w:color w:val="auto"/>
              </w:rPr>
            </w:pPr>
            <w:r>
              <w:rPr>
                <w:rFonts w:ascii="Arial" w:cs="Arial" w:eastAsia="Arial" w:hAnsi="Arial"/>
                <w:sz w:val="18"/>
                <w:szCs w:val="18"/>
                <w:color w:val="auto"/>
                <w:w w:val="96"/>
              </w:rPr>
              <w:t>(mm/dd/yyyy)</w:t>
            </w:r>
          </w:p>
        </w:tc>
        <w:tc>
          <w:tcPr>
            <w:tcW w:w="40" w:type="dxa"/>
            <w:vAlign w:val="bottom"/>
          </w:tcPr>
          <w:p>
            <w:pPr>
              <w:spacing w:after="0"/>
              <w:rPr>
                <w:sz w:val="20"/>
                <w:szCs w:val="20"/>
                <w:color w:val="auto"/>
              </w:rPr>
            </w:pPr>
          </w:p>
        </w:tc>
        <w:tc>
          <w:tcPr>
            <w:tcW w:w="1300" w:type="dxa"/>
            <w:vAlign w:val="bottom"/>
          </w:tcPr>
          <w:p>
            <w:pPr>
              <w:ind w:left="200"/>
              <w:spacing w:after="0"/>
              <w:rPr>
                <w:sz w:val="20"/>
                <w:szCs w:val="20"/>
                <w:color w:val="auto"/>
              </w:rPr>
            </w:pPr>
            <w:r>
              <w:rPr>
                <w:rFonts w:ascii="Arial" w:cs="Arial" w:eastAsia="Arial" w:hAnsi="Arial"/>
                <w:sz w:val="18"/>
                <w:szCs w:val="18"/>
                <w:color w:val="auto"/>
                <w:w w:val="99"/>
              </w:rPr>
              <w:t>(mm/dd/yyyy)</w:t>
            </w:r>
          </w:p>
        </w:tc>
        <w:tc>
          <w:tcPr>
            <w:tcW w:w="7280" w:type="dxa"/>
            <w:vAlign w:val="bottom"/>
          </w:tcPr>
          <w:p>
            <w:pPr>
              <w:spacing w:after="0"/>
              <w:rPr>
                <w:sz w:val="20"/>
                <w:szCs w:val="20"/>
                <w:color w:val="auto"/>
              </w:rPr>
            </w:pPr>
          </w:p>
        </w:tc>
      </w:tr>
      <w:tr>
        <w:trPr>
          <w:trHeight w:val="418"/>
        </w:trPr>
        <w:tc>
          <w:tcPr>
            <w:tcW w:w="2760" w:type="dxa"/>
            <w:vAlign w:val="bottom"/>
          </w:tcPr>
          <w:p>
            <w:pPr>
              <w:ind w:left="1060"/>
              <w:spacing w:after="0"/>
              <w:rPr>
                <w:sz w:val="20"/>
                <w:szCs w:val="20"/>
                <w:color w:val="auto"/>
              </w:rPr>
            </w:pPr>
            <w:r>
              <w:rPr>
                <w:rFonts w:ascii="Arial" w:cs="Arial" w:eastAsia="Arial" w:hAnsi="Arial"/>
                <w:sz w:val="18"/>
                <w:szCs w:val="18"/>
                <w:color w:val="auto"/>
              </w:rPr>
              <w:t>(vi) from [</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 to [</w:t>
            </w:r>
          </w:p>
        </w:tc>
        <w:tc>
          <w:tcPr>
            <w:tcW w:w="7280" w:type="dxa"/>
            <w:vAlign w:val="bottom"/>
          </w:tcPr>
          <w:p>
            <w:pPr>
              <w:ind w:left="100"/>
              <w:spacing w:after="0"/>
              <w:rPr>
                <w:sz w:val="20"/>
                <w:szCs w:val="20"/>
                <w:color w:val="auto"/>
              </w:rPr>
            </w:pPr>
            <w:r>
              <w:rPr>
                <w:rFonts w:ascii="Arial" w:cs="Arial" w:eastAsia="Arial" w:hAnsi="Arial"/>
                <w:sz w:val="18"/>
                <w:szCs w:val="18"/>
                <w:color w:val="auto"/>
              </w:rPr>
              <w:t>], Amount__________;</w:t>
            </w:r>
          </w:p>
        </w:tc>
      </w:tr>
      <w:tr>
        <w:trPr>
          <w:trHeight w:val="230"/>
        </w:trPr>
        <w:tc>
          <w:tcPr>
            <w:tcW w:w="2840" w:type="dxa"/>
            <w:vAlign w:val="bottom"/>
            <w:gridSpan w:val="3"/>
          </w:tcPr>
          <w:p>
            <w:pPr>
              <w:ind w:left="1780"/>
              <w:spacing w:after="0"/>
              <w:rPr>
                <w:sz w:val="20"/>
                <w:szCs w:val="20"/>
                <w:color w:val="auto"/>
              </w:rPr>
            </w:pPr>
            <w:r>
              <w:rPr>
                <w:rFonts w:ascii="Arial" w:cs="Arial" w:eastAsia="Arial" w:hAnsi="Arial"/>
                <w:sz w:val="18"/>
                <w:szCs w:val="18"/>
                <w:color w:val="auto"/>
                <w:w w:val="96"/>
              </w:rPr>
              <w:t>(mm/dd/yyyy)</w:t>
            </w:r>
          </w:p>
        </w:tc>
        <w:tc>
          <w:tcPr>
            <w:tcW w:w="1300" w:type="dxa"/>
            <w:vAlign w:val="bottom"/>
          </w:tcPr>
          <w:p>
            <w:pPr>
              <w:ind w:left="260"/>
              <w:spacing w:after="0"/>
              <w:rPr>
                <w:sz w:val="20"/>
                <w:szCs w:val="20"/>
                <w:color w:val="auto"/>
              </w:rPr>
            </w:pPr>
            <w:r>
              <w:rPr>
                <w:rFonts w:ascii="Arial" w:cs="Arial" w:eastAsia="Arial" w:hAnsi="Arial"/>
                <w:sz w:val="18"/>
                <w:szCs w:val="18"/>
                <w:color w:val="auto"/>
                <w:w w:val="94"/>
              </w:rPr>
              <w:t>(mm/dd/yyyy)</w:t>
            </w:r>
          </w:p>
        </w:tc>
        <w:tc>
          <w:tcPr>
            <w:tcW w:w="7280" w:type="dxa"/>
            <w:vAlign w:val="bottom"/>
          </w:tcPr>
          <w:p>
            <w:pPr>
              <w:spacing w:after="0"/>
              <w:rPr>
                <w:sz w:val="20"/>
                <w:szCs w:val="20"/>
                <w:color w:val="auto"/>
              </w:rPr>
            </w:pPr>
          </w:p>
        </w:tc>
      </w:tr>
      <w:tr>
        <w:trPr>
          <w:trHeight w:val="432"/>
        </w:trPr>
        <w:tc>
          <w:tcPr>
            <w:tcW w:w="2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908" w:right="239" w:bottom="1440" w:gutter="0" w:footer="0" w:header="0"/>
        </w:sectPr>
      </w:pPr>
    </w:p>
    <w:bookmarkStart w:id="79" w:name="page80"/>
    <w:bookmarkEnd w:id="79"/>
    <w:p>
      <w:pPr>
        <w:ind w:left="960" w:hanging="482"/>
        <w:spacing w:after="0"/>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from time to time, as required by Party A.</w:t>
      </w:r>
    </w:p>
    <w:p>
      <w:pPr>
        <w:spacing w:after="0" w:line="252" w:lineRule="exact"/>
        <w:rPr>
          <w:rFonts w:ascii="Arial" w:cs="Arial" w:eastAsia="Arial" w:hAnsi="Arial"/>
          <w:sz w:val="18"/>
          <w:szCs w:val="18"/>
          <w:color w:val="auto"/>
        </w:rPr>
      </w:pPr>
    </w:p>
    <w:p>
      <w:pPr>
        <w:spacing w:after="0"/>
        <w:tabs>
          <w:tab w:leader="none" w:pos="0" w:val="left"/>
        </w:tabs>
        <w:numPr>
          <w:ilvl w:val="0"/>
          <w:numId w:val="75"/>
        </w:numPr>
        <w:rPr>
          <w:rFonts w:ascii="Arial" w:cs="Arial" w:eastAsia="Arial" w:hAnsi="Arial"/>
          <w:sz w:val="18"/>
          <w:szCs w:val="18"/>
          <w:color w:val="auto"/>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6350</wp:posOffset>
            </wp:positionV>
            <wp:extent cx="64230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152400</wp:posOffset>
            </wp:positionV>
            <wp:extent cx="64230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297815</wp:posOffset>
            </wp:positionV>
            <wp:extent cx="64230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 w:right="20" w:hanging="404"/>
        <w:spacing w:after="0" w:line="277" w:lineRule="auto"/>
        <w:tabs>
          <w:tab w:leader="none" w:pos="380" w:val="left"/>
        </w:tabs>
        <w:rPr>
          <w:sz w:val="20"/>
          <w:szCs w:val="20"/>
          <w:color w:val="auto"/>
        </w:rPr>
      </w:pPr>
      <w:r>
        <w:rPr>
          <w:rFonts w:ascii="Arial" w:cs="Arial" w:eastAsia="Arial" w:hAnsi="Arial"/>
          <w:sz w:val="18"/>
          <w:szCs w:val="18"/>
          <w:color w:val="auto"/>
        </w:rPr>
        <w:t>5.3</w:t>
        <w:tab/>
        <w:t>Party A shall draw the Loan in accordance with the drawdown schedule under Article 5.2. Without Party B’s written consent, Party A shall not accelerate, postpone or cancel any drawdown of the Loan.</w:t>
      </w:r>
    </w:p>
    <w:p>
      <w:pPr>
        <w:spacing w:after="0" w:line="17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If Party A draws the Loan in installments, the expiration date of the Term shall be determined in accordance with Article 3 hereunder.</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Materials required to be submitted by Party A</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In respect of materials required to be submitted by Party A, the Parties agree that Item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applies [choose A or B];</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Situation NO. 1</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Where the situation described in Item </w:t>
      </w:r>
      <w:r>
        <w:rPr>
          <w:rFonts w:ascii="Arial" w:cs="Arial" w:eastAsia="Arial" w:hAnsi="Arial"/>
          <w:sz w:val="18"/>
          <w:szCs w:val="18"/>
          <w:u w:val="single" w:color="auto"/>
          <w:color w:val="auto"/>
        </w:rPr>
        <w:t>(1)</w:t>
      </w:r>
      <w:r>
        <w:rPr>
          <w:rFonts w:ascii="Arial" w:cs="Arial" w:eastAsia="Arial" w:hAnsi="Arial"/>
          <w:sz w:val="18"/>
          <w:szCs w:val="18"/>
          <w:color w:val="auto"/>
        </w:rPr>
        <w:t xml:space="preserve"> [choose (1) or (2)] arises</w:t>
      </w:r>
    </w:p>
    <w:p>
      <w:pPr>
        <w:spacing w:after="0" w:line="225" w:lineRule="exact"/>
        <w:rPr>
          <w:sz w:val="20"/>
          <w:szCs w:val="20"/>
          <w:color w:val="auto"/>
        </w:rPr>
      </w:pPr>
    </w:p>
    <w:p>
      <w:pPr>
        <w:ind w:left="960" w:hanging="482"/>
        <w:spacing w:after="0" w:line="277" w:lineRule="auto"/>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the amount of any particular drawdown is more than RMB </w:t>
      </w:r>
      <w:r>
        <w:rPr>
          <w:rFonts w:ascii="Arial" w:cs="Arial" w:eastAsia="Arial" w:hAnsi="Arial"/>
          <w:sz w:val="18"/>
          <w:szCs w:val="18"/>
          <w:u w:val="single" w:color="auto"/>
          <w:color w:val="auto"/>
        </w:rPr>
        <w:t>TEN</w:t>
      </w:r>
      <w:r>
        <w:rPr>
          <w:rFonts w:ascii="Arial" w:cs="Arial" w:eastAsia="Arial" w:hAnsi="Arial"/>
          <w:sz w:val="18"/>
          <w:szCs w:val="18"/>
          <w:color w:val="auto"/>
        </w:rPr>
        <w:t xml:space="preserve"> million and the amount of any scheduled payment out of such drawdown is more than RMB </w:t>
      </w:r>
      <w:r>
        <w:rPr>
          <w:rFonts w:ascii="Arial" w:cs="Arial" w:eastAsia="Arial" w:hAnsi="Arial"/>
          <w:sz w:val="18"/>
          <w:szCs w:val="18"/>
          <w:u w:val="single" w:color="auto"/>
          <w:color w:val="auto"/>
        </w:rPr>
        <w:t>TEN</w:t>
      </w:r>
      <w:r>
        <w:rPr>
          <w:rFonts w:ascii="Arial" w:cs="Arial" w:eastAsia="Arial" w:hAnsi="Arial"/>
          <w:sz w:val="18"/>
          <w:szCs w:val="18"/>
          <w:color w:val="auto"/>
        </w:rPr>
        <w:t xml:space="preserve"> million;</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6350</wp:posOffset>
            </wp:positionV>
            <wp:extent cx="64230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152400</wp:posOffset>
            </wp:positionV>
            <wp:extent cx="64230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297815</wp:posOffset>
            </wp:positionV>
            <wp:extent cx="64230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Party A shall submit to Party B the following materials no later than </w:t>
      </w:r>
      <w:r>
        <w:rPr>
          <w:rFonts w:ascii="Arial" w:cs="Arial" w:eastAsia="Arial" w:hAnsi="Arial"/>
          <w:sz w:val="18"/>
          <w:szCs w:val="18"/>
          <w:u w:val="single" w:color="auto"/>
          <w:color w:val="auto"/>
        </w:rPr>
        <w:t>ONE</w:t>
      </w:r>
      <w:r>
        <w:rPr>
          <w:rFonts w:ascii="Arial" w:cs="Arial" w:eastAsia="Arial" w:hAnsi="Arial"/>
          <w:sz w:val="18"/>
          <w:szCs w:val="18"/>
          <w:color w:val="auto"/>
        </w:rPr>
        <w:t xml:space="preserve"> working days before the date of such drawdown:</w:t>
      </w:r>
    </w:p>
    <w:p>
      <w:pPr>
        <w:spacing w:after="0" w:line="225" w:lineRule="exact"/>
        <w:rPr>
          <w:sz w:val="20"/>
          <w:szCs w:val="20"/>
          <w:color w:val="auto"/>
        </w:rPr>
      </w:pPr>
    </w:p>
    <w:p>
      <w:pPr>
        <w:ind w:left="960" w:hanging="482"/>
        <w:spacing w:after="0"/>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LDC signed by Party A and payment/settlement certificate(s) signed by Party A;</w:t>
      </w:r>
    </w:p>
    <w:p>
      <w:pPr>
        <w:spacing w:after="0" w:line="252" w:lineRule="exact"/>
        <w:rPr>
          <w:rFonts w:ascii="Arial" w:cs="Arial" w:eastAsia="Arial" w:hAnsi="Arial"/>
          <w:sz w:val="18"/>
          <w:szCs w:val="18"/>
          <w:color w:val="auto"/>
        </w:rPr>
      </w:pPr>
    </w:p>
    <w:p>
      <w:pPr>
        <w:ind w:left="960" w:hanging="482"/>
        <w:spacing w:after="0" w:line="277" w:lineRule="auto"/>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materials related to the underlying transactions (including without limitation goods/services/monetary contracts and/or invoices and other documents in writing or electronic form that are capable of evidencing the particular purposes of the loan drawdown);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117475</wp:posOffset>
            </wp:positionV>
            <wp:extent cx="64230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262890</wp:posOffset>
            </wp:positionV>
            <wp:extent cx="64230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408940</wp:posOffset>
            </wp:positionV>
            <wp:extent cx="64230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665" w:right="239" w:bottom="1440" w:gutter="0" w:footer="0" w:header="0"/>
        </w:sectPr>
      </w:pPr>
    </w:p>
    <w:bookmarkStart w:id="80" w:name="page81"/>
    <w:bookmarkEnd w:id="80"/>
    <w:p>
      <w:pPr>
        <w:jc w:val="both"/>
        <w:ind w:left="400"/>
        <w:spacing w:after="0" w:line="277" w:lineRule="auto"/>
        <w:rPr>
          <w:sz w:val="20"/>
          <w:szCs w:val="20"/>
          <w:color w:val="auto"/>
        </w:rPr>
      </w:pPr>
      <w:r>
        <w:rPr>
          <w:rFonts w:ascii="Arial" w:cs="Arial" w:eastAsia="Arial" w:hAnsi="Arial"/>
          <w:sz w:val="18"/>
          <w:szCs w:val="18"/>
          <w:color w:val="auto"/>
        </w:rPr>
        <w:t>And other materials required by Party B (including without limitation business license, letter of authorization, articles of association, resolutions of Shareholders’ meeting /Board of directors of Party A’s counterparty).</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Situation NO. 2</w:t>
      </w:r>
    </w:p>
    <w:p>
      <w:pPr>
        <w:spacing w:after="0" w:line="225"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 xml:space="preserve">If Party B determines, after reviewing the aforementioned materials, that Party may initiate the payment in accordance with Article 5.7 of this Contract, or a situation other than Situation NO. 1 arises, Party A shall submit to Party B the following materials no later than </w:t>
      </w:r>
      <w:r>
        <w:rPr>
          <w:rFonts w:ascii="Arial" w:cs="Arial" w:eastAsia="Arial" w:hAnsi="Arial"/>
          <w:sz w:val="18"/>
          <w:szCs w:val="18"/>
          <w:u w:val="single" w:color="auto"/>
          <w:color w:val="auto"/>
        </w:rPr>
        <w:t>ONE</w:t>
      </w:r>
      <w:r>
        <w:rPr>
          <w:rFonts w:ascii="Arial" w:cs="Arial" w:eastAsia="Arial" w:hAnsi="Arial"/>
          <w:sz w:val="18"/>
          <w:szCs w:val="18"/>
          <w:color w:val="auto"/>
        </w:rPr>
        <w:t xml:space="preserve"> working days before the date of such drawdown</w:t>
      </w:r>
    </w:p>
    <w:p>
      <w:pPr>
        <w:spacing w:after="0" w:line="181" w:lineRule="exact"/>
        <w:rPr>
          <w:sz w:val="20"/>
          <w:szCs w:val="20"/>
          <w:color w:val="auto"/>
        </w:rPr>
      </w:pPr>
    </w:p>
    <w:p>
      <w:pPr>
        <w:ind w:left="960" w:hanging="482"/>
        <w:spacing w:after="0"/>
        <w:tabs>
          <w:tab w:leader="none" w:pos="9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drawdown schedule corresponding to the proposed loan drawdown (The drawdown schedule being in the form of Schedule 3)</w:t>
      </w:r>
    </w:p>
    <w:p>
      <w:pPr>
        <w:spacing w:after="0" w:line="263" w:lineRule="exact"/>
        <w:rPr>
          <w:rFonts w:ascii="Arial" w:cs="Arial" w:eastAsia="Arial" w:hAnsi="Arial"/>
          <w:sz w:val="17"/>
          <w:szCs w:val="17"/>
          <w:color w:val="auto"/>
        </w:rPr>
      </w:pPr>
    </w:p>
    <w:p>
      <w:pPr>
        <w:ind w:left="960" w:hanging="482"/>
        <w:spacing w:after="0"/>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LDC signed by Party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152400</wp:posOffset>
            </wp:positionV>
            <wp:extent cx="64230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297815</wp:posOffset>
            </wp:positionV>
            <wp:extent cx="64230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443865</wp:posOffset>
            </wp:positionV>
            <wp:extent cx="64230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60" w:hanging="567"/>
        <w:spacing w:after="0" w:line="277" w:lineRule="auto"/>
        <w:rPr>
          <w:sz w:val="20"/>
          <w:szCs w:val="20"/>
          <w:color w:val="auto"/>
        </w:rPr>
      </w:pPr>
      <w:r>
        <w:rPr>
          <w:rFonts w:ascii="Arial" w:cs="Arial" w:eastAsia="Arial" w:hAnsi="Arial"/>
          <w:sz w:val="18"/>
          <w:szCs w:val="18"/>
          <w:color w:val="auto"/>
        </w:rPr>
        <w:t>And other materials required by Party B (including without limitation business license, letter of authorization, articles of association, resolutions of Shareholders’ meeting/Board of directors of Party A ’s counterparty).</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left="400"/>
        <w:spacing w:after="0" w:line="277" w:lineRule="auto"/>
        <w:rPr>
          <w:sz w:val="20"/>
          <w:szCs w:val="20"/>
          <w:color w:val="auto"/>
        </w:rPr>
      </w:pPr>
      <w:r>
        <w:rPr>
          <w:rFonts w:ascii="Arial" w:cs="Arial" w:eastAsia="Arial" w:hAnsi="Arial"/>
          <w:sz w:val="18"/>
          <w:szCs w:val="18"/>
          <w:color w:val="auto"/>
        </w:rPr>
        <w:t xml:space="preserve">Party A shall submit to Party B the following materials no later than </w:t>
      </w:r>
      <w:r>
        <w:rPr>
          <w:rFonts w:ascii="Arial" w:cs="Arial" w:eastAsia="Arial" w:hAnsi="Arial"/>
          <w:sz w:val="18"/>
          <w:szCs w:val="18"/>
          <w:u w:val="single" w:color="auto"/>
          <w:color w:val="auto"/>
        </w:rPr>
        <w:t>ONE</w:t>
      </w:r>
      <w:r>
        <w:rPr>
          <w:rFonts w:ascii="Arial" w:cs="Arial" w:eastAsia="Arial" w:hAnsi="Arial"/>
          <w:sz w:val="18"/>
          <w:szCs w:val="18"/>
          <w:color w:val="auto"/>
        </w:rPr>
        <w:t xml:space="preserve"> working days before the date of such drawdown regardless of the amount of any particular drawdown:</w:t>
      </w:r>
    </w:p>
    <w:p>
      <w:pPr>
        <w:spacing w:after="0" w:line="170" w:lineRule="exact"/>
        <w:rPr>
          <w:sz w:val="20"/>
          <w:szCs w:val="20"/>
          <w:color w:val="auto"/>
        </w:rPr>
      </w:pPr>
    </w:p>
    <w:p>
      <w:pPr>
        <w:ind w:left="960" w:hanging="482"/>
        <w:spacing w:after="0"/>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LDC signed by Party A and payment/settlement certificate (s) signed by Party A;</w:t>
      </w:r>
    </w:p>
    <w:p>
      <w:pPr>
        <w:spacing w:after="0" w:line="252" w:lineRule="exact"/>
        <w:rPr>
          <w:rFonts w:ascii="Arial" w:cs="Arial" w:eastAsia="Arial" w:hAnsi="Arial"/>
          <w:sz w:val="18"/>
          <w:szCs w:val="18"/>
          <w:color w:val="auto"/>
        </w:rPr>
      </w:pPr>
    </w:p>
    <w:p>
      <w:pPr>
        <w:ind w:left="960" w:hanging="482"/>
        <w:spacing w:after="0" w:line="277" w:lineRule="auto"/>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related to the underlying transactions (including without limitation goods/services/monetary contracts and/or invoices and other documents in writing or electronic form that are capable of evidencing the particular purposes of the loan drawdown);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117475</wp:posOffset>
            </wp:positionV>
            <wp:extent cx="64230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262890</wp:posOffset>
            </wp:positionV>
            <wp:extent cx="64230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408940</wp:posOffset>
            </wp:positionV>
            <wp:extent cx="64230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0"/>
        <w:spacing w:after="0" w:line="277" w:lineRule="auto"/>
        <w:rPr>
          <w:sz w:val="20"/>
          <w:szCs w:val="20"/>
          <w:color w:val="auto"/>
        </w:rPr>
      </w:pPr>
      <w:r>
        <w:rPr>
          <w:rFonts w:ascii="Arial" w:cs="Arial" w:eastAsia="Arial" w:hAnsi="Arial"/>
          <w:sz w:val="18"/>
          <w:szCs w:val="18"/>
          <w:color w:val="auto"/>
        </w:rPr>
        <w:t>And other materials required by Party B (including without limitation business license, letter of authorization, articles of association, resolutions of Shareholders’ meeting/Board of directors of Party A ’s counterparty).</w:t>
      </w:r>
    </w:p>
    <w:p>
      <w:pPr>
        <w:spacing w:after="0" w:line="17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Entrusted Payment through Party B</w:t>
      </w:r>
    </w:p>
    <w:p>
      <w:pPr>
        <w:spacing w:after="0" w:line="225" w:lineRule="exact"/>
        <w:rPr>
          <w:sz w:val="20"/>
          <w:szCs w:val="20"/>
          <w:color w:val="auto"/>
        </w:rPr>
      </w:pPr>
    </w:p>
    <w:p>
      <w:pPr>
        <w:ind w:left="960" w:hanging="482"/>
        <w:spacing w:after="0"/>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Situations where Entrusted Payment applies to Party B</w:t>
      </w:r>
    </w:p>
    <w:p>
      <w:pPr>
        <w:spacing w:after="0" w:line="225" w:lineRule="exact"/>
        <w:rPr>
          <w:sz w:val="20"/>
          <w:szCs w:val="20"/>
          <w:color w:val="auto"/>
        </w:rPr>
      </w:pPr>
    </w:p>
    <w:p>
      <w:pPr>
        <w:ind w:left="400"/>
        <w:spacing w:after="0" w:line="308" w:lineRule="auto"/>
        <w:rPr>
          <w:sz w:val="20"/>
          <w:szCs w:val="20"/>
          <w:color w:val="auto"/>
        </w:rPr>
      </w:pPr>
      <w:r>
        <w:rPr>
          <w:rFonts w:ascii="Arial" w:cs="Arial" w:eastAsia="Arial" w:hAnsi="Arial"/>
          <w:sz w:val="17"/>
          <w:szCs w:val="17"/>
          <w:color w:val="auto"/>
        </w:rPr>
        <w:t xml:space="preserve">If the situation described in </w:t>
      </w:r>
      <w:r>
        <w:rPr>
          <w:rFonts w:ascii="Arial" w:cs="Arial" w:eastAsia="Arial" w:hAnsi="Arial"/>
          <w:sz w:val="17"/>
          <w:szCs w:val="17"/>
          <w:u w:val="single" w:color="auto"/>
          <w:color w:val="auto"/>
        </w:rPr>
        <w:t>(i)</w:t>
      </w:r>
      <w:r>
        <w:rPr>
          <w:rFonts w:ascii="Arial" w:cs="Arial" w:eastAsia="Arial" w:hAnsi="Arial"/>
          <w:sz w:val="17"/>
          <w:szCs w:val="17"/>
          <w:color w:val="auto"/>
        </w:rPr>
        <w:t xml:space="preserve"> arises, Entrusted Payment shall apply, i.e. Party A hereby irrevocably entrusts Party B to pay the amount of the drawdown to Party A’s counterparty. Party A shall not pay such amount directly to such counterparty or any other third party.</w:t>
      </w:r>
    </w:p>
    <w:p>
      <w:pPr>
        <w:spacing w:after="0" w:line="14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881" w:right="239" w:bottom="1440" w:gutter="0" w:footer="0" w:header="0"/>
        </w:sectPr>
      </w:pPr>
    </w:p>
    <w:bookmarkStart w:id="81" w:name="page82"/>
    <w:bookmarkEnd w:id="81"/>
    <w:p>
      <w:pPr>
        <w:jc w:val="both"/>
        <w:ind w:left="716" w:hanging="230"/>
        <w:spacing w:after="0" w:line="264" w:lineRule="auto"/>
        <w:tabs>
          <w:tab w:leader="none" w:pos="716" w:val="left"/>
        </w:tabs>
        <w:numPr>
          <w:ilvl w:val="2"/>
          <w:numId w:val="81"/>
        </w:numPr>
        <w:rPr>
          <w:rFonts w:ascii="Arial" w:cs="Arial" w:eastAsia="Arial" w:hAnsi="Arial"/>
          <w:sz w:val="18"/>
          <w:szCs w:val="18"/>
          <w:color w:val="auto"/>
        </w:rPr>
      </w:pPr>
      <w:r>
        <w:rPr>
          <w:rFonts w:ascii="Arial" w:cs="Arial" w:eastAsia="Arial" w:hAnsi="Arial"/>
          <w:sz w:val="18"/>
          <w:szCs w:val="18"/>
          <w:color w:val="auto"/>
        </w:rPr>
        <w:t xml:space="preserve">the amount of any particular drawdown is more than RMB </w:t>
      </w:r>
      <w:r>
        <w:rPr>
          <w:rFonts w:ascii="Arial" w:cs="Arial" w:eastAsia="Arial" w:hAnsi="Arial"/>
          <w:sz w:val="18"/>
          <w:szCs w:val="18"/>
          <w:u w:val="single" w:color="auto"/>
          <w:color w:val="auto"/>
        </w:rPr>
        <w:t>TEN</w:t>
      </w:r>
      <w:r>
        <w:rPr>
          <w:rFonts w:ascii="Arial" w:cs="Arial" w:eastAsia="Arial" w:hAnsi="Arial"/>
          <w:sz w:val="18"/>
          <w:szCs w:val="18"/>
          <w:color w:val="auto"/>
        </w:rPr>
        <w:t xml:space="preserve"> million and the amount of any scheduled payment out of such drawdown is more than RMB </w:t>
      </w:r>
      <w:r>
        <w:rPr>
          <w:rFonts w:ascii="Arial" w:cs="Arial" w:eastAsia="Arial" w:hAnsi="Arial"/>
          <w:sz w:val="18"/>
          <w:szCs w:val="18"/>
          <w:u w:val="single" w:color="auto"/>
          <w:color w:val="auto"/>
        </w:rPr>
        <w:t>TEN</w:t>
      </w:r>
      <w:r>
        <w:rPr>
          <w:rFonts w:ascii="Arial" w:cs="Arial" w:eastAsia="Arial" w:hAnsi="Arial"/>
          <w:sz w:val="18"/>
          <w:szCs w:val="18"/>
          <w:color w:val="auto"/>
        </w:rPr>
        <w:t xml:space="preserve"> million, and Party B determines, after reviewing the materials submitted by Party A, that recipient of the payment is specific and identifiable;</w:t>
      </w:r>
    </w:p>
    <w:p>
      <w:pPr>
        <w:spacing w:after="0" w:line="181" w:lineRule="exact"/>
        <w:rPr>
          <w:rFonts w:ascii="Arial" w:cs="Arial" w:eastAsia="Arial" w:hAnsi="Arial"/>
          <w:sz w:val="18"/>
          <w:szCs w:val="18"/>
          <w:color w:val="auto"/>
        </w:rPr>
      </w:pPr>
    </w:p>
    <w:p>
      <w:pPr>
        <w:ind w:left="756" w:hanging="256"/>
        <w:spacing w:after="0"/>
        <w:tabs>
          <w:tab w:leader="none" w:pos="756" w:val="left"/>
        </w:tabs>
        <w:numPr>
          <w:ilvl w:val="3"/>
          <w:numId w:val="81"/>
        </w:numPr>
        <w:rPr>
          <w:rFonts w:ascii="Arial" w:cs="Arial" w:eastAsia="Arial" w:hAnsi="Arial"/>
          <w:sz w:val="18"/>
          <w:szCs w:val="18"/>
          <w:color w:val="auto"/>
        </w:rPr>
      </w:pPr>
      <w:r>
        <w:rPr>
          <w:rFonts w:ascii="Arial" w:cs="Arial" w:eastAsia="Arial" w:hAnsi="Arial"/>
          <w:sz w:val="18"/>
          <w:szCs w:val="18"/>
          <w:color w:val="auto"/>
        </w:rPr>
        <w:t>Entrusted Payment applies regardless of the amount of any particular drawdown;</w:t>
      </w:r>
    </w:p>
    <w:p>
      <w:pPr>
        <w:spacing w:after="0" w:line="225" w:lineRule="exact"/>
        <w:rPr>
          <w:rFonts w:ascii="Arial" w:cs="Arial" w:eastAsia="Arial" w:hAnsi="Arial"/>
          <w:sz w:val="18"/>
          <w:szCs w:val="18"/>
          <w:color w:val="auto"/>
        </w:rPr>
      </w:pPr>
    </w:p>
    <w:p>
      <w:pPr>
        <w:ind w:left="816" w:hanging="318"/>
        <w:spacing w:after="0"/>
        <w:tabs>
          <w:tab w:leader="none" w:pos="816" w:val="left"/>
        </w:tabs>
        <w:numPr>
          <w:ilvl w:val="3"/>
          <w:numId w:val="81"/>
        </w:numPr>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w:t>
      </w:r>
    </w:p>
    <w:p>
      <w:pPr>
        <w:spacing w:after="0" w:line="225" w:lineRule="exact"/>
        <w:rPr>
          <w:rFonts w:ascii="Arial" w:cs="Arial" w:eastAsia="Arial" w:hAnsi="Arial"/>
          <w:sz w:val="18"/>
          <w:szCs w:val="18"/>
          <w:color w:val="auto"/>
        </w:rPr>
      </w:pPr>
    </w:p>
    <w:p>
      <w:pPr>
        <w:ind w:left="496"/>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496"/>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jc w:val="both"/>
        <w:ind w:left="476" w:hanging="476"/>
        <w:spacing w:after="0" w:line="264" w:lineRule="auto"/>
        <w:tabs>
          <w:tab w:leader="none" w:pos="476"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case of entrusted payment, Party B deposits the amount of the loan drawdown in the Loan Disbursement Account and pays such amount through Loan Disbursement Account to the account designated by Party A’s counterparty. Party A shall not dispose of the loan drawdown in any way (including without limitation account transfer or withdrawal of cash).</w:t>
      </w:r>
    </w:p>
    <w:p>
      <w:pPr>
        <w:spacing w:after="0" w:line="181" w:lineRule="exact"/>
        <w:rPr>
          <w:rFonts w:ascii="Arial" w:cs="Arial" w:eastAsia="Arial" w:hAnsi="Arial"/>
          <w:sz w:val="18"/>
          <w:szCs w:val="18"/>
          <w:color w:val="auto"/>
        </w:rPr>
      </w:pPr>
    </w:p>
    <w:p>
      <w:pPr>
        <w:jc w:val="both"/>
        <w:ind w:left="476" w:hanging="476"/>
        <w:spacing w:after="0" w:line="272" w:lineRule="auto"/>
        <w:tabs>
          <w:tab w:leader="none" w:pos="476" w:val="left"/>
        </w:tabs>
        <w:numPr>
          <w:ilvl w:val="0"/>
          <w:numId w:val="82"/>
        </w:numPr>
        <w:rPr>
          <w:rFonts w:ascii="Arial" w:cs="Arial" w:eastAsia="Arial" w:hAnsi="Arial"/>
          <w:sz w:val="17"/>
          <w:szCs w:val="17"/>
          <w:color w:val="auto"/>
        </w:rPr>
      </w:pPr>
      <w:r>
        <w:rPr>
          <w:rFonts w:ascii="Arial" w:cs="Arial" w:eastAsia="Arial" w:hAnsi="Arial"/>
          <w:sz w:val="17"/>
          <w:szCs w:val="17"/>
          <w:color w:val="auto"/>
        </w:rPr>
        <w:t>Party B will make prima facie examination of the documents submitted by Party A regarding payment amount, time of payment, recipient of payment, means of payment, and related accounts Party B will pay the drawdown amount to Party A’s counterparty if Party B determines at its discretion that it is satisfied with the abovementioned prima facie examination. The obligations of Party B relating to entrusted payment shall be extinguished once the drawdown amount is paid into the account of Party A’s counterparty (the information of such account shall be provided by Party A). Party A shall check and verify the status of payment within one working day after the date of payment and shall notify Party B in case of failure of payment. Party A shall guarantee that there is consistence between documents/information regarding recipient of payment, utilization of the loan and materials related to underlying documents.</w:t>
      </w:r>
    </w:p>
    <w:p>
      <w:pPr>
        <w:spacing w:after="0" w:line="177" w:lineRule="exact"/>
        <w:rPr>
          <w:rFonts w:ascii="Arial" w:cs="Arial" w:eastAsia="Arial" w:hAnsi="Arial"/>
          <w:sz w:val="17"/>
          <w:szCs w:val="17"/>
          <w:color w:val="auto"/>
        </w:rPr>
      </w:pPr>
    </w:p>
    <w:p>
      <w:pPr>
        <w:ind w:left="396" w:hanging="383"/>
        <w:spacing w:after="0"/>
        <w:tabs>
          <w:tab w:leader="none" w:pos="396" w:val="left"/>
        </w:tabs>
        <w:numPr>
          <w:ilvl w:val="1"/>
          <w:numId w:val="82"/>
        </w:numPr>
        <w:rPr>
          <w:rFonts w:ascii="Arial" w:cs="Arial" w:eastAsia="Arial" w:hAnsi="Arial"/>
          <w:sz w:val="16"/>
          <w:szCs w:val="16"/>
          <w:color w:val="auto"/>
        </w:rPr>
      </w:pPr>
      <w:r>
        <w:rPr>
          <w:rFonts w:ascii="Arial" w:cs="Arial" w:eastAsia="Arial" w:hAnsi="Arial"/>
          <w:sz w:val="16"/>
          <w:szCs w:val="16"/>
          <w:color w:val="auto"/>
        </w:rPr>
        <w:t>There is no warranty or representation by Party B in respect of the truthfulness or legality or compliance with regulations of the underlying</w:t>
      </w:r>
    </w:p>
    <w:p>
      <w:pPr>
        <w:spacing w:after="0" w:line="46" w:lineRule="exact"/>
        <w:rPr>
          <w:sz w:val="20"/>
          <w:szCs w:val="20"/>
          <w:color w:val="auto"/>
        </w:rPr>
      </w:pPr>
    </w:p>
    <w:p>
      <w:pPr>
        <w:jc w:val="both"/>
        <w:ind w:left="396"/>
        <w:spacing w:after="0" w:line="254" w:lineRule="auto"/>
        <w:rPr>
          <w:sz w:val="20"/>
          <w:szCs w:val="20"/>
          <w:color w:val="auto"/>
        </w:rPr>
      </w:pPr>
      <w:r>
        <w:rPr>
          <w:rFonts w:ascii="Arial" w:cs="Arial" w:eastAsia="Arial" w:hAnsi="Arial"/>
          <w:sz w:val="18"/>
          <w:szCs w:val="18"/>
          <w:color w:val="auto"/>
        </w:rPr>
        <w:t>transactions although Party B has made the above-mentioned prima facie examination of the payment documents. Nor shall Party B be implicated in any dispute between Party A and Party A’s counterparty or any third party. Nor shall Party B be liable for any obligations or liabilities of Party A. Party A shall compensate Party B for any and all losses incurred by Party B resulting from Party B’s activities relating to Entrusted Payment.</w:t>
      </w:r>
    </w:p>
    <w:p>
      <w:pPr>
        <w:spacing w:after="0" w:line="190" w:lineRule="exact"/>
        <w:rPr>
          <w:sz w:val="20"/>
          <w:szCs w:val="20"/>
          <w:color w:val="auto"/>
        </w:rPr>
      </w:pPr>
    </w:p>
    <w:p>
      <w:pPr>
        <w:jc w:val="both"/>
        <w:ind w:left="396" w:hanging="383"/>
        <w:spacing w:after="0" w:line="264" w:lineRule="auto"/>
        <w:tabs>
          <w:tab w:leader="none" w:pos="396"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Where there is a failure or delay in payment of the drawdown amount to the account of Party A’s counterparty and such failure or delay is caused by incompleteness, untruthfulness or inaccuracy of the documents submitted by Party A, or by violation of permitted utilization of loan or by information discrepancy or by other reasons but not by Party B’s fault, the following applies:</w:t>
      </w:r>
    </w:p>
    <w:p>
      <w:pPr>
        <w:spacing w:after="0" w:line="181" w:lineRule="exact"/>
        <w:rPr>
          <w:rFonts w:ascii="Arial" w:cs="Arial" w:eastAsia="Arial" w:hAnsi="Arial"/>
          <w:sz w:val="18"/>
          <w:szCs w:val="18"/>
          <w:color w:val="auto"/>
        </w:rPr>
      </w:pPr>
    </w:p>
    <w:p>
      <w:pPr>
        <w:ind w:left="976" w:hanging="558"/>
        <w:spacing w:after="0" w:line="308" w:lineRule="auto"/>
        <w:tabs>
          <w:tab w:leader="none" w:pos="976" w:val="left"/>
        </w:tabs>
        <w:numPr>
          <w:ilvl w:val="1"/>
          <w:numId w:val="83"/>
        </w:numPr>
        <w:rPr>
          <w:rFonts w:ascii="Arial" w:cs="Arial" w:eastAsia="Arial" w:hAnsi="Arial"/>
          <w:sz w:val="17"/>
          <w:szCs w:val="17"/>
          <w:color w:val="auto"/>
        </w:rPr>
      </w:pPr>
      <w:r>
        <w:rPr>
          <w:rFonts w:ascii="Arial" w:cs="Arial" w:eastAsia="Arial" w:hAnsi="Arial"/>
          <w:sz w:val="17"/>
          <w:szCs w:val="17"/>
          <w:color w:val="auto"/>
        </w:rPr>
        <w:t>Party A shall be liable for all the consequences including without limitation all losses caused by the above mentioned failure or delay. Party B shall not be liable in any way and shall be compensated by Party A for any losses resulting therefrom;</w:t>
      </w:r>
    </w:p>
    <w:p>
      <w:pPr>
        <w:spacing w:after="0" w:line="390" w:lineRule="exact"/>
        <w:rPr>
          <w:sz w:val="20"/>
          <w:szCs w:val="20"/>
          <w:color w:val="auto"/>
        </w:rPr>
      </w:pPr>
    </w:p>
    <w:p>
      <w:pPr>
        <w:ind w:left="4936"/>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96"/>
          </w:cols>
          <w:pgMar w:left="964" w:top="1098" w:right="239" w:bottom="1440" w:gutter="0" w:footer="0" w:header="0"/>
        </w:sectPr>
      </w:pPr>
    </w:p>
    <w:bookmarkStart w:id="82" w:name="page83"/>
    <w:bookmarkEnd w:id="82"/>
    <w:p>
      <w:pPr>
        <w:ind w:left="1360" w:right="20" w:hanging="558"/>
        <w:spacing w:after="0" w:line="277" w:lineRule="auto"/>
        <w:tabs>
          <w:tab w:leader="none" w:pos="13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Party A shall not dispose of any of such drawdown amount in anyway (including without limitation account transfer or withdrawal of cash);</w:t>
      </w:r>
    </w:p>
    <w:p>
      <w:pPr>
        <w:spacing w:after="0" w:line="170" w:lineRule="exact"/>
        <w:rPr>
          <w:sz w:val="20"/>
          <w:szCs w:val="20"/>
          <w:color w:val="auto"/>
        </w:rPr>
      </w:pPr>
    </w:p>
    <w:p>
      <w:pPr>
        <w:ind w:left="1440" w:hanging="651"/>
        <w:spacing w:after="0"/>
        <w:tabs>
          <w:tab w:leader="none" w:pos="14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Party A shall resubmit materials, make corrections and/or perform other activities as instructed by Party B within </w:t>
      </w:r>
      <w:r>
        <w:rPr>
          <w:rFonts w:ascii="Arial" w:cs="Arial" w:eastAsia="Arial" w:hAnsi="Arial"/>
          <w:sz w:val="16"/>
          <w:szCs w:val="16"/>
          <w:u w:val="single" w:color="auto"/>
          <w:color w:val="auto"/>
        </w:rPr>
        <w:t>ONE</w:t>
      </w:r>
      <w:r>
        <w:rPr>
          <w:rFonts w:ascii="Arial" w:cs="Arial" w:eastAsia="Arial" w:hAnsi="Arial"/>
          <w:sz w:val="16"/>
          <w:szCs w:val="16"/>
          <w:color w:val="auto"/>
        </w:rPr>
        <w:t xml:space="preserve"> working days;</w:t>
      </w:r>
    </w:p>
    <w:p>
      <w:pPr>
        <w:spacing w:after="0" w:line="248"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Party B may accelerate the maturity of such loan drawdown if Party A is in breach of any of the above provisions.</w:t>
      </w:r>
    </w:p>
    <w:p>
      <w:pPr>
        <w:spacing w:after="0" w:line="225" w:lineRule="exact"/>
        <w:rPr>
          <w:sz w:val="20"/>
          <w:szCs w:val="20"/>
          <w:color w:val="auto"/>
        </w:rPr>
      </w:pPr>
    </w:p>
    <w:p>
      <w:pPr>
        <w:jc w:val="both"/>
        <w:ind w:left="880" w:hanging="483"/>
        <w:spacing w:after="0" w:line="308" w:lineRule="auto"/>
        <w:rPr>
          <w:sz w:val="20"/>
          <w:szCs w:val="20"/>
          <w:color w:val="auto"/>
        </w:rPr>
      </w:pPr>
      <w:r>
        <w:rPr>
          <w:rFonts w:ascii="Arial" w:cs="Arial" w:eastAsia="Arial" w:hAnsi="Arial"/>
          <w:sz w:val="17"/>
          <w:szCs w:val="17"/>
          <w:color w:val="auto"/>
        </w:rPr>
        <w:t>(6) Party A shall be liable for any and all risks, liabilities and losses caused by any failure or error or delay in payment which does not result from Party B’s fault. Party B shall not be liable in any way and shall be compensated by Party A for any losses resulting therefrom.</w:t>
      </w:r>
    </w:p>
    <w:p>
      <w:pPr>
        <w:spacing w:after="0" w:line="14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color w:val="auto"/>
        </w:rPr>
        <w:t>Payment on Party A’s own initiative</w:t>
      </w:r>
    </w:p>
    <w:p>
      <w:pPr>
        <w:spacing w:after="0" w:line="225"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Where situation other than that described in Article 5.6 (1) arises, Party A may initiate the payment at its own discretion. i.e. Party B may deposit the drawdown amount to the Loan Disbursement Account as instructed by Party As application for loan drawdown, Party A may then pay such amount directly to the recipient. Party A shall guarantee the conformity between the recipient, utilization of loan and the underlying transaction documents.</w:t>
      </w:r>
    </w:p>
    <w:p>
      <w:pPr>
        <w:spacing w:after="0" w:line="187" w:lineRule="exact"/>
        <w:rPr>
          <w:sz w:val="20"/>
          <w:szCs w:val="20"/>
          <w:color w:val="auto"/>
        </w:rPr>
      </w:pPr>
    </w:p>
    <w:p>
      <w:pPr>
        <w:jc w:val="both"/>
        <w:ind w:left="400" w:hanging="404"/>
        <w:spacing w:after="0" w:line="279" w:lineRule="auto"/>
        <w:tabs>
          <w:tab w:leader="none" w:pos="38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7"/>
          <w:szCs w:val="17"/>
          <w:color w:val="auto"/>
        </w:rPr>
        <w:t>The obligations of Party B to advance loans shall be extinguished once the loan amount is deposited into the Loan Disbursement Account regardless of entrusted payment or not. Party A shall ensure the Loan Disbursement Account remain in normal status (including without limitation not subject to freezing by competent authorities). Party A shall bear all risks, liabilities and losses including without limitation freezing and mandatory transfer by competent authorities. Party A shall compensate Party B for any losses resulting therefrom.</w:t>
      </w:r>
    </w:p>
    <w:p>
      <w:pPr>
        <w:spacing w:after="0" w:line="17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color w:val="auto"/>
        </w:rPr>
        <w:t>Change of means of payment</w:t>
      </w:r>
    </w:p>
    <w:p>
      <w:pPr>
        <w:spacing w:after="0" w:line="225"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Party B is entitled to change the means of payment if any of the following circumstances arises, including without limitation re-determining the situations where Entrusted Payment applies, (e.g. changing the threshold amount for Entrusted Payment) and changing the means of payment in respect of any particular drawdown:</w:t>
      </w:r>
    </w:p>
    <w:p>
      <w:pPr>
        <w:spacing w:after="0" w:line="181" w:lineRule="exact"/>
        <w:rPr>
          <w:sz w:val="20"/>
          <w:szCs w:val="20"/>
          <w:color w:val="auto"/>
        </w:rPr>
      </w:pPr>
    </w:p>
    <w:p>
      <w:pPr>
        <w:ind w:left="660" w:hanging="263"/>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event of default by Party A arises;</w:t>
      </w:r>
    </w:p>
    <w:p>
      <w:pPr>
        <w:spacing w:after="0" w:line="225" w:lineRule="exact"/>
        <w:rPr>
          <w:rFonts w:ascii="Arial" w:cs="Arial" w:eastAsia="Arial" w:hAnsi="Arial"/>
          <w:sz w:val="18"/>
          <w:szCs w:val="18"/>
          <w:color w:val="auto"/>
        </w:rPr>
      </w:pPr>
    </w:p>
    <w:p>
      <w:pPr>
        <w:ind w:left="660" w:hanging="262"/>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There arises any event that may adversely impact Party B’s rights as a creditor;</w:t>
      </w:r>
    </w:p>
    <w:p>
      <w:pPr>
        <w:spacing w:after="0" w:line="225" w:lineRule="exact"/>
        <w:rPr>
          <w:rFonts w:ascii="Arial" w:cs="Arial" w:eastAsia="Arial" w:hAnsi="Arial"/>
          <w:sz w:val="18"/>
          <w:szCs w:val="18"/>
          <w:color w:val="auto"/>
        </w:rPr>
      </w:pPr>
    </w:p>
    <w:p>
      <w:pPr>
        <w:ind w:left="660" w:hanging="262"/>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Other circumstances where Party B deems necessary to change the means of payment.</w:t>
      </w:r>
    </w:p>
    <w:p>
      <w:pPr>
        <w:spacing w:after="0" w:line="225" w:lineRule="exact"/>
        <w:rPr>
          <w:sz w:val="20"/>
          <w:szCs w:val="20"/>
          <w:color w:val="auto"/>
        </w:rPr>
      </w:pPr>
    </w:p>
    <w:p>
      <w:pPr>
        <w:ind w:left="400" w:right="20"/>
        <w:spacing w:after="0" w:line="277" w:lineRule="auto"/>
        <w:rPr>
          <w:sz w:val="20"/>
          <w:szCs w:val="20"/>
          <w:color w:val="auto"/>
        </w:rPr>
      </w:pPr>
      <w:r>
        <w:rPr>
          <w:rFonts w:ascii="Arial" w:cs="Arial" w:eastAsia="Arial" w:hAnsi="Arial"/>
          <w:sz w:val="18"/>
          <w:szCs w:val="18"/>
          <w:color w:val="auto"/>
        </w:rPr>
        <w:t>Where Party B changes the means of payment, Party A shall resubmit the materials or perform other activities as required by this Contract and Party B.</w:t>
      </w:r>
    </w:p>
    <w:p>
      <w:pPr>
        <w:spacing w:after="0" w:line="17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83" w:name="page84"/>
    <w:bookmarkEnd w:id="83"/>
    <w:p>
      <w:pPr>
        <w:ind w:left="780" w:right="7680" w:hanging="772"/>
        <w:spacing w:after="0" w:line="445" w:lineRule="auto"/>
        <w:tabs>
          <w:tab w:leader="none" w:pos="338"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USE AND SUPERVISION OF ACCOUNTS </w:t>
      </w:r>
      <w:r>
        <w:rPr>
          <w:rFonts w:ascii="Arial" w:cs="Arial" w:eastAsia="Arial" w:hAnsi="Arial"/>
          <w:sz w:val="17"/>
          <w:szCs w:val="17"/>
          <w:color w:val="auto"/>
        </w:rPr>
        <w:t>6.1 Loan Disbursement Account</w:t>
      </w:r>
    </w:p>
    <w:p>
      <w:pPr>
        <w:spacing w:after="0" w:line="3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The Loan Disbursement Account herein shall be determined in accordance with </w:t>
      </w:r>
      <w:r>
        <w:rPr>
          <w:rFonts w:ascii="Arial" w:cs="Arial" w:eastAsia="Arial" w:hAnsi="Arial"/>
          <w:sz w:val="18"/>
          <w:szCs w:val="18"/>
          <w:u w:val="single" w:color="auto"/>
          <w:color w:val="auto"/>
        </w:rPr>
        <w:t>(2):</w:t>
      </w:r>
    </w:p>
    <w:p>
      <w:pPr>
        <w:spacing w:after="0" w:line="225" w:lineRule="exact"/>
        <w:rPr>
          <w:sz w:val="20"/>
          <w:szCs w:val="20"/>
          <w:color w:val="auto"/>
        </w:rPr>
      </w:pPr>
    </w:p>
    <w:p>
      <w:pPr>
        <w:ind w:left="1860" w:hanging="434"/>
        <w:spacing w:after="0" w:line="308" w:lineRule="auto"/>
        <w:tabs>
          <w:tab w:leader="none" w:pos="18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within working days from the date of coming into effect of this Contract and before the date of first drawdown, Party A shall open an account within Party B for the sole purpose of the disbursement and payment of all loan amount under this Contract.</w:t>
      </w:r>
    </w:p>
    <w:p>
      <w:pPr>
        <w:spacing w:after="0" w:line="146" w:lineRule="exact"/>
        <w:rPr>
          <w:rFonts w:ascii="Arial" w:cs="Arial" w:eastAsia="Arial" w:hAnsi="Arial"/>
          <w:sz w:val="17"/>
          <w:szCs w:val="17"/>
          <w:color w:val="auto"/>
        </w:rPr>
      </w:pPr>
    </w:p>
    <w:p>
      <w:pPr>
        <w:ind w:left="1860" w:hanging="434"/>
        <w:spacing w:after="0"/>
        <w:tabs>
          <w:tab w:leader="none" w:pos="18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other account opened by Party A within Party B (Account Number: </w:t>
      </w:r>
      <w:r>
        <w:rPr>
          <w:rFonts w:ascii="Arial" w:cs="Arial" w:eastAsia="Arial" w:hAnsi="Arial"/>
          <w:sz w:val="18"/>
          <w:szCs w:val="18"/>
          <w:u w:val="single" w:color="auto"/>
          <w:color w:val="auto"/>
        </w:rPr>
        <w:t>33101995038050503008).</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6.2 Account to collect sale proceeds</w:t>
      </w:r>
    </w:p>
    <w:p>
      <w:pPr>
        <w:spacing w:after="0" w:line="225" w:lineRule="exact"/>
        <w:rPr>
          <w:sz w:val="20"/>
          <w:szCs w:val="20"/>
          <w:color w:val="auto"/>
        </w:rPr>
      </w:pPr>
    </w:p>
    <w:p>
      <w:pPr>
        <w:ind w:left="1760" w:hanging="428"/>
        <w:spacing w:after="0"/>
        <w:tabs>
          <w:tab w:leader="none" w:pos="17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within </w:t>
      </w:r>
      <w:r>
        <w:rPr>
          <w:rFonts w:ascii="Arial" w:cs="Arial" w:eastAsia="Arial" w:hAnsi="Arial"/>
          <w:sz w:val="16"/>
          <w:szCs w:val="16"/>
          <w:u w:val="single" w:color="auto"/>
          <w:color w:val="auto"/>
        </w:rPr>
        <w:t>ONE</w:t>
      </w:r>
      <w:r>
        <w:rPr>
          <w:rFonts w:ascii="Arial" w:cs="Arial" w:eastAsia="Arial" w:hAnsi="Arial"/>
          <w:sz w:val="16"/>
          <w:szCs w:val="16"/>
          <w:color w:val="auto"/>
        </w:rPr>
        <w:t xml:space="preserve"> working days from the date of coming into effect of this Contract, Party A shall open an account within Party B for the</w:t>
      </w:r>
    </w:p>
    <w:p>
      <w:pPr>
        <w:spacing w:after="0" w:line="41" w:lineRule="exact"/>
        <w:rPr>
          <w:sz w:val="20"/>
          <w:szCs w:val="20"/>
          <w:color w:val="auto"/>
        </w:rPr>
      </w:pPr>
    </w:p>
    <w:tbl>
      <w:tblPr>
        <w:tblLayout w:type="fixed"/>
        <w:tblInd w:w="134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7160" w:type="dxa"/>
            <w:vAlign w:val="bottom"/>
            <w:gridSpan w:val="4"/>
          </w:tcPr>
          <w:p>
            <w:pPr>
              <w:spacing w:after="0"/>
              <w:rPr>
                <w:sz w:val="20"/>
                <w:szCs w:val="20"/>
                <w:color w:val="auto"/>
              </w:rPr>
            </w:pPr>
            <w:r>
              <w:rPr>
                <w:rFonts w:ascii="Arial" w:cs="Arial" w:eastAsia="Arial" w:hAnsi="Arial"/>
                <w:sz w:val="18"/>
                <w:szCs w:val="18"/>
                <w:color w:val="auto"/>
                <w:w w:val="99"/>
              </w:rPr>
              <w:t>purpose  of  collecting  sale  proceeds  or  designate  an  existing  account  within  Party  B</w:t>
            </w:r>
          </w:p>
        </w:tc>
        <w:tc>
          <w:tcPr>
            <w:tcW w:w="2500" w:type="dxa"/>
            <w:vAlign w:val="bottom"/>
          </w:tcPr>
          <w:p>
            <w:pPr>
              <w:jc w:val="right"/>
              <w:spacing w:after="0"/>
              <w:rPr>
                <w:sz w:val="20"/>
                <w:szCs w:val="20"/>
                <w:color w:val="auto"/>
              </w:rPr>
            </w:pPr>
            <w:r>
              <w:rPr>
                <w:rFonts w:ascii="Arial" w:cs="Arial" w:eastAsia="Arial" w:hAnsi="Arial"/>
                <w:sz w:val="18"/>
                <w:szCs w:val="18"/>
                <w:color w:val="auto"/>
              </w:rPr>
              <w:t>as  such  (Account  Number:</w:t>
            </w:r>
          </w:p>
        </w:tc>
      </w:tr>
      <w:tr>
        <w:trPr>
          <w:trHeight w:val="190"/>
        </w:trPr>
        <w:tc>
          <w:tcPr>
            <w:tcW w:w="420" w:type="dxa"/>
            <w:vAlign w:val="bottom"/>
          </w:tcPr>
          <w:p>
            <w:pPr>
              <w:spacing w:after="0"/>
              <w:rPr>
                <w:sz w:val="16"/>
                <w:szCs w:val="16"/>
                <w:color w:val="auto"/>
              </w:rPr>
            </w:pPr>
          </w:p>
        </w:tc>
        <w:tc>
          <w:tcPr>
            <w:tcW w:w="2140" w:type="dxa"/>
            <w:vAlign w:val="bottom"/>
            <w:gridSpan w:val="3"/>
          </w:tcPr>
          <w:p>
            <w:pPr>
              <w:spacing w:after="0" w:line="190" w:lineRule="exact"/>
              <w:rPr>
                <w:sz w:val="20"/>
                <w:szCs w:val="20"/>
                <w:color w:val="auto"/>
              </w:rPr>
            </w:pPr>
            <w:r>
              <w:rPr>
                <w:rFonts w:ascii="Arial" w:cs="Arial" w:eastAsia="Arial" w:hAnsi="Arial"/>
                <w:sz w:val="18"/>
                <w:szCs w:val="18"/>
                <w:color w:val="auto"/>
              </w:rPr>
              <w:t>33101995038050503008).</w:t>
            </w:r>
          </w:p>
        </w:tc>
        <w:tc>
          <w:tcPr>
            <w:tcW w:w="502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412"/>
        </w:trPr>
        <w:tc>
          <w:tcPr>
            <w:tcW w:w="7580" w:type="dxa"/>
            <w:vAlign w:val="bottom"/>
            <w:gridSpan w:val="5"/>
          </w:tcPr>
          <w:p>
            <w:pPr>
              <w:spacing w:after="0"/>
              <w:rPr>
                <w:sz w:val="20"/>
                <w:szCs w:val="20"/>
                <w:color w:val="auto"/>
              </w:rPr>
            </w:pPr>
            <w:r>
              <w:rPr>
                <w:rFonts w:ascii="Arial" w:cs="Arial" w:eastAsia="Arial" w:hAnsi="Arial"/>
                <w:sz w:val="18"/>
                <w:szCs w:val="18"/>
                <w:color w:val="auto"/>
                <w:w w:val="99"/>
              </w:rPr>
              <w:t>(2)   Party A shall, on a monthly basis (choose “monthly” or “quarterly”), submit a report to Party</w:t>
            </w:r>
          </w:p>
        </w:tc>
        <w:tc>
          <w:tcPr>
            <w:tcW w:w="2500" w:type="dxa"/>
            <w:vAlign w:val="bottom"/>
          </w:tcPr>
          <w:p>
            <w:pPr>
              <w:jc w:val="right"/>
              <w:spacing w:after="0"/>
              <w:rPr>
                <w:sz w:val="20"/>
                <w:szCs w:val="20"/>
                <w:color w:val="auto"/>
              </w:rPr>
            </w:pPr>
            <w:r>
              <w:rPr>
                <w:rFonts w:ascii="Arial" w:cs="Arial" w:eastAsia="Arial" w:hAnsi="Arial"/>
                <w:sz w:val="18"/>
                <w:szCs w:val="18"/>
                <w:color w:val="auto"/>
                <w:w w:val="97"/>
              </w:rPr>
              <w:t>B on the incoming and outgoing</w:t>
            </w: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13" w:lineRule="exact"/>
        <w:rPr>
          <w:sz w:val="20"/>
          <w:szCs w:val="20"/>
          <w:color w:val="auto"/>
        </w:rPr>
      </w:pPr>
    </w:p>
    <w:p>
      <w:pPr>
        <w:ind w:left="1760"/>
        <w:spacing w:after="0" w:line="277" w:lineRule="auto"/>
        <w:rPr>
          <w:sz w:val="20"/>
          <w:szCs w:val="20"/>
          <w:color w:val="auto"/>
        </w:rPr>
      </w:pPr>
      <w:r>
        <w:rPr>
          <w:rFonts w:ascii="Arial" w:cs="Arial" w:eastAsia="Arial" w:hAnsi="Arial"/>
          <w:sz w:val="18"/>
          <w:szCs w:val="18"/>
          <w:color w:val="auto"/>
        </w:rPr>
        <w:t xml:space="preserve">amounts of such account. Party A shall submit such report for the immediately preceding month or quarter (as the case may be) within the first </w:t>
      </w:r>
      <w:r>
        <w:rPr>
          <w:rFonts w:ascii="Arial" w:cs="Arial" w:eastAsia="Arial" w:hAnsi="Arial"/>
          <w:sz w:val="18"/>
          <w:szCs w:val="18"/>
          <w:u w:val="single" w:color="auto"/>
          <w:color w:val="auto"/>
        </w:rPr>
        <w:t>FIVE</w:t>
      </w:r>
      <w:r>
        <w:rPr>
          <w:rFonts w:ascii="Arial" w:cs="Arial" w:eastAsia="Arial" w:hAnsi="Arial"/>
          <w:sz w:val="18"/>
          <w:szCs w:val="18"/>
          <w:color w:val="auto"/>
        </w:rPr>
        <w:t xml:space="preserve"> working days of each month or quarter.</w:t>
      </w:r>
    </w:p>
    <w:p>
      <w:pPr>
        <w:spacing w:after="0" w:line="170" w:lineRule="exact"/>
        <w:rPr>
          <w:sz w:val="20"/>
          <w:szCs w:val="20"/>
          <w:color w:val="auto"/>
        </w:rPr>
      </w:pPr>
    </w:p>
    <w:p>
      <w:pPr>
        <w:ind w:left="1760" w:hanging="428"/>
        <w:spacing w:after="0" w:line="277" w:lineRule="auto"/>
        <w:tabs>
          <w:tab w:leader="none" w:pos="17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Party B is entitled to manage the incoming and outgoing amounts of such account. In particular, such account shall be in compliance with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(one or more of the following requirements may be selected):</w:t>
      </w:r>
    </w:p>
    <w:p>
      <w:pPr>
        <w:spacing w:after="0" w:line="170" w:lineRule="exact"/>
        <w:rPr>
          <w:rFonts w:ascii="Arial" w:cs="Arial" w:eastAsia="Arial" w:hAnsi="Arial"/>
          <w:sz w:val="18"/>
          <w:szCs w:val="18"/>
          <w:color w:val="auto"/>
        </w:rPr>
      </w:pPr>
    </w:p>
    <w:p>
      <w:pPr>
        <w:ind w:left="1840" w:hanging="213"/>
        <w:spacing w:after="0"/>
        <w:tabs>
          <w:tab w:leader="none" w:pos="18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average balances of such account:</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900" w:hanging="273"/>
        <w:spacing w:after="0"/>
        <w:tabs>
          <w:tab w:leader="none" w:pos="1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time for incoming payment being deposited into such account:</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940" w:hanging="311"/>
        <w:spacing w:after="0"/>
        <w:tabs>
          <w:tab w:leader="none" w:pos="19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percentage of the overall sale proceeds of Party A that are to be deposited into such account:</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940" w:hanging="311"/>
        <w:spacing w:after="0"/>
        <w:tabs>
          <w:tab w:leader="none" w:pos="19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amount limit for any particular outgoing payment of such account:</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3" w:right="239" w:bottom="1440" w:gutter="0" w:footer="0" w:header="0"/>
        </w:sectPr>
      </w:pPr>
    </w:p>
    <w:bookmarkStart w:id="84" w:name="page85"/>
    <w:bookmarkEnd w:id="84"/>
    <w:p>
      <w:pPr>
        <w:ind w:left="1880" w:hanging="251"/>
        <w:spacing w:after="0"/>
        <w:tabs>
          <w:tab w:leader="none" w:pos="1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amount limit for daily outgoing payment (s) of such account:</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940" w:hanging="311"/>
        <w:spacing w:after="0"/>
        <w:tabs>
          <w:tab w:leader="none" w:pos="19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restrictions on internet-banking functions of such account:</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980" w:hanging="351"/>
        <w:spacing w:after="0"/>
        <w:tabs>
          <w:tab w:leader="none" w:pos="1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 outgoing payment shall be made without Party B’s prior consent;</w:t>
      </w:r>
    </w:p>
    <w:p>
      <w:pPr>
        <w:spacing w:after="0" w:line="225" w:lineRule="exact"/>
        <w:rPr>
          <w:rFonts w:ascii="Arial" w:cs="Arial" w:eastAsia="Arial" w:hAnsi="Arial"/>
          <w:sz w:val="18"/>
          <w:szCs w:val="18"/>
          <w:color w:val="auto"/>
        </w:rPr>
      </w:pPr>
    </w:p>
    <w:p>
      <w:pPr>
        <w:ind w:left="2040" w:hanging="409"/>
        <w:spacing w:after="0"/>
        <w:tabs>
          <w:tab w:leader="none" w:pos="20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Such account shall be used only for the purposes of collecting sale proceeds and repaying the loan, and not for any other purpose;</w:t>
      </w:r>
    </w:p>
    <w:p>
      <w:pPr>
        <w:spacing w:after="0" w:line="248" w:lineRule="exact"/>
        <w:rPr>
          <w:rFonts w:ascii="Arial" w:cs="Arial" w:eastAsia="Arial" w:hAnsi="Arial"/>
          <w:sz w:val="16"/>
          <w:szCs w:val="16"/>
          <w:color w:val="auto"/>
        </w:rPr>
      </w:pPr>
    </w:p>
    <w:p>
      <w:pPr>
        <w:ind w:left="1940" w:hanging="309"/>
        <w:spacing w:after="0"/>
        <w:tabs>
          <w:tab w:leader="none" w:pos="19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960" w:hanging="252"/>
        <w:spacing w:after="0"/>
        <w:tabs>
          <w:tab w:leader="none" w:pos="1960" w:val="left"/>
        </w:tabs>
        <w:numPr>
          <w:ilvl w:val="2"/>
          <w:numId w:val="92"/>
        </w:numPr>
        <w:rPr>
          <w:rFonts w:ascii="Arial" w:cs="Arial" w:eastAsia="Arial" w:hAnsi="Arial"/>
          <w:sz w:val="18"/>
          <w:szCs w:val="18"/>
          <w:color w:val="auto"/>
        </w:rPr>
      </w:pPr>
      <w:r>
        <w:rPr>
          <w:rFonts w:ascii="Arial" w:cs="Arial" w:eastAsia="Arial" w:hAnsi="Arial"/>
          <w:sz w:val="18"/>
          <w:szCs w:val="18"/>
          <w:color w:val="auto"/>
        </w:rPr>
        <w:t>other requirements by Party B;</w:t>
      </w:r>
    </w:p>
    <w:p>
      <w:pPr>
        <w:spacing w:after="0" w:line="225" w:lineRule="exact"/>
        <w:rPr>
          <w:rFonts w:ascii="Arial" w:cs="Arial" w:eastAsia="Arial" w:hAnsi="Arial"/>
          <w:sz w:val="18"/>
          <w:szCs w:val="18"/>
          <w:color w:val="auto"/>
        </w:rPr>
      </w:pPr>
    </w:p>
    <w:p>
      <w:pPr>
        <w:ind w:left="2000" w:hanging="292"/>
        <w:spacing w:after="0"/>
        <w:tabs>
          <w:tab w:leader="none" w:pos="2000" w:val="left"/>
        </w:tabs>
        <w:numPr>
          <w:ilvl w:val="2"/>
          <w:numId w:val="92"/>
        </w:numPr>
        <w:rPr>
          <w:rFonts w:ascii="Arial" w:cs="Arial" w:eastAsia="Arial" w:hAnsi="Arial"/>
          <w:sz w:val="18"/>
          <w:szCs w:val="18"/>
          <w:color w:val="auto"/>
        </w:rPr>
      </w:pPr>
      <w:r>
        <w:rPr>
          <w:rFonts w:ascii="Arial" w:cs="Arial" w:eastAsia="Arial" w:hAnsi="Arial"/>
          <w:sz w:val="18"/>
          <w:szCs w:val="18"/>
          <w:color w:val="auto"/>
        </w:rPr>
        <w:t>A separate Account Management Agreement signed by both Parties shall be complied with.</w:t>
      </w:r>
    </w:p>
    <w:p>
      <w:pPr>
        <w:spacing w:after="0" w:line="221"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REPAYMENT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7.1 General Principles for Repayment</w:t>
      </w:r>
    </w:p>
    <w:p>
      <w:pPr>
        <w:spacing w:after="0" w:line="225"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Party A shall repay the Loan in accordance with the following principles: Party B has the right to apply Party A’s repayment first towards payment of any expense which shall be borne by Party A as provided hereunder but has been advanced by Party B and the expenses incurred by Party B for realizing its creditor’s rights. Party B shall apply the balance of such repayment in the order of interest first and then principal adhering to the principle that the interest shall be fully repaid concurrently with the repayment in full of all the principal amounts.</w:t>
      </w:r>
    </w:p>
    <w:p>
      <w:pPr>
        <w:spacing w:after="0" w:line="171"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For any advance of which the principal has become due but unpaid for more than ninety days, or any advance on which the interest has become due but unpaid for more than ninety days, or any advance otherwise provided by the laws, regulations or rules, Party B may first apply Party A’s repayment towards those payments of expenses set out in the first paragraph of this article. Then Party B may apply the balance of such repayment towards payment in the order of principal first and then interest.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7.2 Payment of Interest</w:t>
      </w:r>
    </w:p>
    <w:p>
      <w:pPr>
        <w:spacing w:after="0" w:line="225" w:lineRule="exact"/>
        <w:rPr>
          <w:sz w:val="20"/>
          <w:szCs w:val="20"/>
          <w:color w:val="auto"/>
        </w:rPr>
      </w:pPr>
    </w:p>
    <w:p>
      <w:pPr>
        <w:ind w:left="360" w:right="20"/>
        <w:spacing w:after="0" w:line="342" w:lineRule="auto"/>
        <w:rPr>
          <w:sz w:val="20"/>
          <w:szCs w:val="20"/>
          <w:color w:val="auto"/>
        </w:rPr>
      </w:pPr>
      <w:r>
        <w:rPr>
          <w:rFonts w:ascii="Arial" w:cs="Arial" w:eastAsia="Arial" w:hAnsi="Arial"/>
          <w:sz w:val="16"/>
          <w:szCs w:val="16"/>
          <w:color w:val="auto"/>
        </w:rPr>
        <w:t>Party A shall pay due interest to Party B on the interest settlement date. The first interest payment date shall be the first interest settlement date after the release of an advance. All the interest and principal amounts outstanding shall be paid in full on the last repayment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7.3 Schedule for Repayment of the Principal</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The repayment schedule hereunder shall be determined in accordance with item </w:t>
      </w:r>
      <w:r>
        <w:rPr>
          <w:rFonts w:ascii="Arial" w:cs="Arial" w:eastAsia="Arial" w:hAnsi="Arial"/>
          <w:sz w:val="18"/>
          <w:szCs w:val="18"/>
          <w:b w:val="1"/>
          <w:bCs w:val="1"/>
          <w:color w:val="auto"/>
        </w:rPr>
        <w:t>[see Schedule A]</w:t>
      </w:r>
      <w:r>
        <w:rPr>
          <w:rFonts w:ascii="Arial" w:cs="Arial" w:eastAsia="Arial" w:hAnsi="Arial"/>
          <w:sz w:val="18"/>
          <w:szCs w:val="18"/>
          <w:color w:val="auto"/>
        </w:rPr>
        <w:t xml:space="preserve"> below:</w:t>
      </w:r>
    </w:p>
    <w:p>
      <w:pPr>
        <w:spacing w:after="0" w:line="229" w:lineRule="exact"/>
        <w:rPr>
          <w:sz w:val="20"/>
          <w:szCs w:val="20"/>
          <w:color w:val="auto"/>
        </w:rPr>
      </w:pPr>
    </w:p>
    <w:p>
      <w:pPr>
        <w:ind w:left="1520" w:hanging="1158"/>
        <w:spacing w:after="0"/>
        <w:tabs>
          <w:tab w:leader="none" w:pos="1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repayment schedule shall be as follows:</w:t>
      </w:r>
    </w:p>
    <w:p>
      <w:pPr>
        <w:spacing w:after="0" w:line="225" w:lineRule="exact"/>
        <w:rPr>
          <w:sz w:val="20"/>
          <w:szCs w:val="20"/>
          <w:color w:val="auto"/>
        </w:rPr>
      </w:pPr>
    </w:p>
    <w:p>
      <w:pPr>
        <w:ind w:left="1700"/>
        <w:spacing w:after="0"/>
        <w:tabs>
          <w:tab w:leader="none" w:pos="6600" w:val="left"/>
        </w:tabs>
        <w:rPr>
          <w:sz w:val="20"/>
          <w:szCs w:val="20"/>
          <w:color w:val="auto"/>
        </w:rPr>
      </w:pPr>
      <w:r>
        <w:rPr>
          <w:rFonts w:ascii="Arial" w:cs="Arial" w:eastAsia="Arial" w:hAnsi="Arial"/>
          <w:sz w:val="18"/>
          <w:szCs w:val="18"/>
          <w:color w:val="auto"/>
        </w:rPr>
        <w:t>Repayment Date(mm/dd/yyyy)</w:t>
      </w:r>
      <w:r>
        <w:rPr>
          <w:sz w:val="20"/>
          <w:szCs w:val="20"/>
          <w:color w:val="auto"/>
        </w:rPr>
        <w:tab/>
      </w:r>
      <w:r>
        <w:rPr>
          <w:rFonts w:ascii="Arial" w:cs="Arial" w:eastAsia="Arial" w:hAnsi="Arial"/>
          <w:sz w:val="17"/>
          <w:szCs w:val="17"/>
          <w:color w:val="auto"/>
        </w:rPr>
        <w:t>Amount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(iii)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(iv)</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(vi)</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6350</wp:posOffset>
            </wp:positionV>
            <wp:extent cx="62687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487680</wp:posOffset>
            </wp:positionH>
            <wp:positionV relativeFrom="paragraph">
              <wp:posOffset>152400</wp:posOffset>
            </wp:positionV>
            <wp:extent cx="62687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487680</wp:posOffset>
            </wp:positionH>
            <wp:positionV relativeFrom="paragraph">
              <wp:posOffset>297815</wp:posOffset>
            </wp:positionV>
            <wp:extent cx="62687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7.4 Repayment Method</w:t>
      </w:r>
    </w:p>
    <w:p>
      <w:pPr>
        <w:spacing w:after="0" w:line="225" w:lineRule="exact"/>
        <w:rPr>
          <w:sz w:val="20"/>
          <w:szCs w:val="20"/>
          <w:color w:val="auto"/>
        </w:rPr>
      </w:pPr>
    </w:p>
    <w:p>
      <w:pPr>
        <w:jc w:val="both"/>
        <w:ind w:left="360"/>
        <w:spacing w:after="0" w:line="264" w:lineRule="auto"/>
        <w:rPr>
          <w:sz w:val="20"/>
          <w:szCs w:val="20"/>
          <w:color w:val="auto"/>
        </w:rPr>
      </w:pPr>
      <w:r>
        <w:rPr>
          <w:rFonts w:ascii="Arial" w:cs="Arial" w:eastAsia="Arial" w:hAnsi="Arial"/>
          <w:sz w:val="18"/>
          <w:szCs w:val="18"/>
          <w:color w:val="auto"/>
        </w:rPr>
        <w:t>Party A shall deposit sufficient amount into the Account to collect sale processor other account at Party B before the repayment date provided hereunder and transfer such amount to repay the Loan (Party B may also debit such amount from such account to repay the Loan), or transfer such amount from another bank account of Party A to repay the Loan.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7.5 Prepayment</w:t>
      </w:r>
    </w:p>
    <w:p>
      <w:pPr>
        <w:spacing w:after="0" w:line="225" w:lineRule="exact"/>
        <w:rPr>
          <w:sz w:val="20"/>
          <w:szCs w:val="20"/>
          <w:color w:val="auto"/>
        </w:rPr>
      </w:pPr>
    </w:p>
    <w:p>
      <w:pPr>
        <w:jc w:val="both"/>
        <w:ind w:left="360" w:right="20"/>
        <w:spacing w:after="0" w:line="258" w:lineRule="auto"/>
        <w:rPr>
          <w:sz w:val="20"/>
          <w:szCs w:val="20"/>
          <w:color w:val="auto"/>
        </w:rPr>
      </w:pPr>
      <w:r>
        <w:rPr>
          <w:rFonts w:ascii="Arial" w:cs="Arial" w:eastAsia="Arial" w:hAnsi="Arial"/>
          <w:sz w:val="18"/>
          <w:szCs w:val="18"/>
          <w:color w:val="auto"/>
        </w:rPr>
        <w:t xml:space="preserve">Party A may prepay the principals in full or in part upon approval by Party B of a written application submitted to Party B </w:t>
      </w:r>
      <w:r>
        <w:rPr>
          <w:rFonts w:ascii="Arial" w:cs="Arial" w:eastAsia="Arial" w:hAnsi="Arial"/>
          <w:sz w:val="18"/>
          <w:szCs w:val="18"/>
          <w:u w:val="single" w:color="auto"/>
          <w:color w:val="auto"/>
        </w:rPr>
        <w:t>THIRTY</w:t>
      </w:r>
      <w:r>
        <w:rPr>
          <w:rFonts w:ascii="Arial" w:cs="Arial" w:eastAsia="Arial" w:hAnsi="Arial"/>
          <w:sz w:val="18"/>
          <w:szCs w:val="18"/>
          <w:color w:val="auto"/>
        </w:rPr>
        <w:t xml:space="preserve"> working days in advance.</w:t>
      </w:r>
    </w:p>
    <w:p>
      <w:pPr>
        <w:spacing w:after="0" w:line="1" w:lineRule="exact"/>
        <w:rPr>
          <w:sz w:val="20"/>
          <w:szCs w:val="20"/>
          <w:color w:val="auto"/>
        </w:rPr>
      </w:pPr>
    </w:p>
    <w:p>
      <w:pPr>
        <w:jc w:val="both"/>
        <w:ind w:left="360"/>
        <w:spacing w:after="0" w:line="261" w:lineRule="auto"/>
        <w:rPr>
          <w:sz w:val="20"/>
          <w:szCs w:val="20"/>
          <w:color w:val="auto"/>
        </w:rPr>
      </w:pPr>
      <w:r>
        <w:rPr>
          <w:rFonts w:ascii="Arial" w:cs="Arial" w:eastAsia="Arial" w:hAnsi="Arial"/>
          <w:sz w:val="18"/>
          <w:szCs w:val="18"/>
          <w:color w:val="auto"/>
        </w:rPr>
        <w:t>The interest accrued on the principals to be prepaid shall be calculated on the basis of the actual number of days lapsed and the Loan Rate provided herein.</w:t>
      </w:r>
    </w:p>
    <w:p>
      <w:pPr>
        <w:spacing w:after="0" w:line="184"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40"/>
          </w:cols>
          <w:pgMar w:left="1020" w:top="665" w:right="239" w:bottom="1440" w:gutter="0" w:footer="0" w:header="0"/>
        </w:sectPr>
      </w:pPr>
    </w:p>
    <w:bookmarkStart w:id="86" w:name="page87"/>
    <w:bookmarkEnd w:id="86"/>
    <w:p>
      <w:pPr>
        <w:ind w:left="1140"/>
        <w:spacing w:after="0" w:line="277" w:lineRule="auto"/>
        <w:rPr>
          <w:sz w:val="20"/>
          <w:szCs w:val="20"/>
          <w:color w:val="auto"/>
        </w:rPr>
      </w:pPr>
      <w:r>
        <w:rPr>
          <w:rFonts w:ascii="Arial" w:cs="Arial" w:eastAsia="Arial" w:hAnsi="Arial"/>
          <w:sz w:val="18"/>
          <w:szCs w:val="18"/>
          <w:color w:val="auto"/>
        </w:rPr>
        <w:t xml:space="preserve">If Party B approves the prepayment by Party A, Party B shall have the right to charge Party A the compensation fee in an amount to be determined in accordance with the </w:t>
      </w:r>
      <w:r>
        <w:rPr>
          <w:rFonts w:ascii="Arial" w:cs="Arial" w:eastAsia="Arial" w:hAnsi="Arial"/>
          <w:sz w:val="18"/>
          <w:szCs w:val="18"/>
          <w:u w:val="single" w:color="auto"/>
          <w:color w:val="auto"/>
        </w:rPr>
        <w:t>(1)</w:t>
      </w:r>
      <w:r>
        <w:rPr>
          <w:rFonts w:ascii="Arial" w:cs="Arial" w:eastAsia="Arial" w:hAnsi="Arial"/>
          <w:sz w:val="18"/>
          <w:szCs w:val="18"/>
          <w:color w:val="auto"/>
        </w:rPr>
        <w:t xml:space="preserve"> of the following methods:</w:t>
      </w:r>
    </w:p>
    <w:p>
      <w:pPr>
        <w:spacing w:after="0" w:line="166" w:lineRule="exact"/>
        <w:rPr>
          <w:sz w:val="20"/>
          <w:szCs w:val="20"/>
          <w:color w:val="auto"/>
        </w:rPr>
      </w:pPr>
    </w:p>
    <w:p>
      <w:pPr>
        <w:jc w:val="both"/>
        <w:ind w:left="1540" w:hanging="398"/>
        <w:spacing w:after="0" w:line="266" w:lineRule="auto"/>
        <w:tabs>
          <w:tab w:leader="none" w:pos="1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compensation fee = amount of the principal prepaid × number of months remaining until the scheduled repayment date(the “</w:t>
      </w:r>
      <w:r>
        <w:rPr>
          <w:rFonts w:ascii="Arial" w:cs="Arial" w:eastAsia="Arial" w:hAnsi="Arial"/>
          <w:sz w:val="18"/>
          <w:szCs w:val="18"/>
          <w:b w:val="1"/>
          <w:bCs w:val="1"/>
          <w:color w:val="auto"/>
        </w:rPr>
        <w:t>Remaining</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 __1__‰; provided, however, that the part of the Remaining Period that falls short of a month shall be calculated as a full</w:t>
      </w:r>
      <w:r>
        <w:rPr>
          <w:rFonts w:ascii="Arial" w:cs="Arial" w:eastAsia="Arial" w:hAnsi="Arial"/>
          <w:sz w:val="18"/>
          <w:szCs w:val="18"/>
          <w:b w:val="1"/>
          <w:bCs w:val="1"/>
          <w:color w:val="auto"/>
        </w:rPr>
        <w:t xml:space="preserve"> </w:t>
      </w:r>
      <w:r>
        <w:rPr>
          <w:rFonts w:ascii="Arial" w:cs="Arial" w:eastAsia="Arial" w:hAnsi="Arial"/>
          <w:sz w:val="18"/>
          <w:szCs w:val="18"/>
          <w:color w:val="auto"/>
        </w:rPr>
        <w:t>month; or</w:t>
      </w:r>
    </w:p>
    <w:p>
      <w:pPr>
        <w:spacing w:after="0" w:line="18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6350</wp:posOffset>
            </wp:positionV>
            <wp:extent cx="62687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152400</wp:posOffset>
            </wp:positionV>
            <wp:extent cx="62687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297815</wp:posOffset>
            </wp:positionV>
            <wp:extent cx="62687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40"/>
        <w:spacing w:after="0" w:line="342" w:lineRule="auto"/>
        <w:rPr>
          <w:sz w:val="20"/>
          <w:szCs w:val="20"/>
          <w:color w:val="auto"/>
        </w:rPr>
      </w:pPr>
      <w:r>
        <w:rPr>
          <w:rFonts w:ascii="Arial" w:cs="Arial" w:eastAsia="Arial" w:hAnsi="Arial"/>
          <w:sz w:val="16"/>
          <w:szCs w:val="16"/>
          <w:color w:val="auto"/>
        </w:rPr>
        <w:t>If Party A is required to repay the Loan in installments and prepays part of the principal, the prepaid amount shall be applied in the reverse order of the repayment schedule. After any partial prepayment, the outstanding Loan shall still be subject to the Loan Rate provided herein.</w:t>
      </w:r>
    </w:p>
    <w:p>
      <w:pPr>
        <w:spacing w:after="0" w:line="120" w:lineRule="exact"/>
        <w:rPr>
          <w:sz w:val="20"/>
          <w:szCs w:val="20"/>
          <w:color w:val="auto"/>
        </w:rPr>
      </w:pPr>
    </w:p>
    <w:p>
      <w:pPr>
        <w:ind w:left="660" w:right="7680" w:hanging="652"/>
        <w:spacing w:after="0" w:line="407" w:lineRule="auto"/>
        <w:tabs>
          <w:tab w:leader="none" w:pos="336"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PARTY A’S RIGHTS AND OBLIGATIONS </w:t>
      </w:r>
      <w:r>
        <w:rPr>
          <w:rFonts w:ascii="Arial" w:cs="Arial" w:eastAsia="Arial" w:hAnsi="Arial"/>
          <w:sz w:val="18"/>
          <w:szCs w:val="18"/>
          <w:color w:val="auto"/>
        </w:rPr>
        <w:t>8.1 Party A’s Rights</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Party A has the rights to:</w:t>
      </w:r>
    </w:p>
    <w:p>
      <w:pPr>
        <w:spacing w:after="0" w:line="225" w:lineRule="exact"/>
        <w:rPr>
          <w:sz w:val="20"/>
          <w:szCs w:val="20"/>
          <w:color w:val="auto"/>
        </w:rPr>
      </w:pPr>
    </w:p>
    <w:p>
      <w:pPr>
        <w:ind w:left="1360" w:hanging="393"/>
        <w:spacing w:after="0"/>
        <w:tabs>
          <w:tab w:leader="none" w:pos="13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request Party B to release each advance of the Loan as provided hereunder;</w:t>
      </w:r>
    </w:p>
    <w:p>
      <w:pPr>
        <w:spacing w:after="0" w:line="225" w:lineRule="exact"/>
        <w:rPr>
          <w:rFonts w:ascii="Arial" w:cs="Arial" w:eastAsia="Arial" w:hAnsi="Arial"/>
          <w:sz w:val="18"/>
          <w:szCs w:val="18"/>
          <w:color w:val="auto"/>
        </w:rPr>
      </w:pPr>
    </w:p>
    <w:p>
      <w:pPr>
        <w:ind w:left="1360" w:hanging="393"/>
        <w:spacing w:after="0"/>
        <w:tabs>
          <w:tab w:leader="none" w:pos="13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utilize the Loan for the purposes provided for hereunder;</w:t>
      </w:r>
    </w:p>
    <w:p>
      <w:pPr>
        <w:spacing w:after="0" w:line="225" w:lineRule="exact"/>
        <w:rPr>
          <w:rFonts w:ascii="Arial" w:cs="Arial" w:eastAsia="Arial" w:hAnsi="Arial"/>
          <w:sz w:val="18"/>
          <w:szCs w:val="18"/>
          <w:color w:val="auto"/>
        </w:rPr>
      </w:pPr>
    </w:p>
    <w:p>
      <w:pPr>
        <w:ind w:left="1360" w:hanging="393"/>
        <w:spacing w:after="0"/>
        <w:tabs>
          <w:tab w:leader="none" w:pos="13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apply to Party B for extension of the Term hereunder provided that it has satisfied all the conditions as Party B requests;</w:t>
      </w:r>
    </w:p>
    <w:p>
      <w:pPr>
        <w:spacing w:after="0" w:line="225" w:lineRule="exact"/>
        <w:rPr>
          <w:rFonts w:ascii="Arial" w:cs="Arial" w:eastAsia="Arial" w:hAnsi="Arial"/>
          <w:sz w:val="18"/>
          <w:szCs w:val="18"/>
          <w:color w:val="auto"/>
        </w:rPr>
      </w:pPr>
    </w:p>
    <w:p>
      <w:pPr>
        <w:jc w:val="both"/>
        <w:ind w:left="1360" w:hanging="393"/>
        <w:spacing w:after="0" w:line="264" w:lineRule="auto"/>
        <w:tabs>
          <w:tab w:leader="none" w:pos="13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require Party B to keep confidential the relevant financial information and manufacturing and operating trade secrets furnished by Party A except provided otherwise by law, regulations and rules, or required otherwise by the competent authorities, or agreed otherwise between the both parties hereto;</w:t>
      </w:r>
    </w:p>
    <w:p>
      <w:pPr>
        <w:spacing w:after="0" w:line="181" w:lineRule="exact"/>
        <w:rPr>
          <w:rFonts w:ascii="Arial" w:cs="Arial" w:eastAsia="Arial" w:hAnsi="Arial"/>
          <w:sz w:val="18"/>
          <w:szCs w:val="18"/>
          <w:color w:val="auto"/>
        </w:rPr>
      </w:pPr>
    </w:p>
    <w:p>
      <w:pPr>
        <w:ind w:left="1380" w:right="20" w:hanging="413"/>
        <w:spacing w:after="0" w:line="342" w:lineRule="auto"/>
        <w:tabs>
          <w:tab w:leader="none" w:pos="13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reject Party B or its employees asking for bribe; it shall have the right to lodge complaint with the competent authority about such misconduct and any other act of Party B that may violate the laws and regulations relating to the lending interest rate and service charges.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8.2 Party A’s Obligations</w:t>
      </w:r>
    </w:p>
    <w:p>
      <w:pPr>
        <w:spacing w:after="0" w:line="225" w:lineRule="exact"/>
        <w:rPr>
          <w:sz w:val="20"/>
          <w:szCs w:val="20"/>
          <w:color w:val="auto"/>
        </w:rPr>
      </w:pPr>
    </w:p>
    <w:p>
      <w:pPr>
        <w:ind w:left="1520" w:hanging="553"/>
        <w:spacing w:after="0" w:line="277" w:lineRule="auto"/>
        <w:tabs>
          <w:tab w:leader="none" w:pos="1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Party A shall draw the Loan and repay the principal and interest in full as provided herein, and bear the expenses and fees as provided herein;</w:t>
      </w:r>
    </w:p>
    <w:p>
      <w:pPr>
        <w:spacing w:after="0" w:line="170" w:lineRule="exact"/>
        <w:rPr>
          <w:rFonts w:ascii="Arial" w:cs="Arial" w:eastAsia="Arial" w:hAnsi="Arial"/>
          <w:sz w:val="18"/>
          <w:szCs w:val="18"/>
          <w:color w:val="auto"/>
        </w:rPr>
      </w:pPr>
    </w:p>
    <w:p>
      <w:pPr>
        <w:jc w:val="both"/>
        <w:ind w:left="1520" w:hanging="553"/>
        <w:spacing w:after="0" w:line="273" w:lineRule="auto"/>
        <w:tabs>
          <w:tab w:leader="none" w:pos="15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Party A shall provide its financial, accounting as well as manufacturing and operating information and other materials as the Party B may request, and among other things, on or before the </w:t>
      </w:r>
      <w:r>
        <w:rPr>
          <w:rFonts w:ascii="Arial" w:cs="Arial" w:eastAsia="Arial" w:hAnsi="Arial"/>
          <w:sz w:val="17"/>
          <w:szCs w:val="17"/>
          <w:u w:val="single" w:color="auto"/>
          <w:color w:val="auto"/>
        </w:rPr>
        <w:t>TWENTY</w:t>
      </w:r>
      <w:r>
        <w:rPr>
          <w:rFonts w:ascii="Arial" w:cs="Arial" w:eastAsia="Arial" w:hAnsi="Arial"/>
          <w:sz w:val="17"/>
          <w:szCs w:val="17"/>
          <w:color w:val="auto"/>
        </w:rPr>
        <w:t xml:space="preserve"> working day of the first month of each quarter, Party A shall provide to Party B with the balance sheet and the profit and loss statement (or the income and expenditure statement, if Party A is a public institution) up to the end of the preceding quarter, and shall provide the cash flow statement at the end of each year in a timely fashion. Party A shall be responsible for the legality, truthfulness, accuracy, completeness and validity of the information it provides, and shall not provide false information or conceal material facts with respect to its financial and operation status;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87" w:name="page88"/>
    <w:bookmarkEnd w:id="87"/>
    <w:p>
      <w:pPr>
        <w:jc w:val="both"/>
        <w:ind w:left="1520" w:hanging="553"/>
        <w:spacing w:after="0" w:line="302" w:lineRule="auto"/>
        <w:tabs>
          <w:tab w:leader="none" w:pos="15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case of any change in Party A’s name, legal representative (or principal officer), registered address, business scope, registered capital, articles of association or any other registration with local industrial and commercial authority, or there arises any circumstances that may adversely affect Party A’s capability to repay the indebtedness or may endanger Party B’s rights as a creditor, Party A shall notify Party B in writing of the same with relevant documents together with such notification evidencing the changes within 3 working days thereafter;</w:t>
      </w:r>
    </w:p>
    <w:p>
      <w:pPr>
        <w:spacing w:after="0" w:line="154" w:lineRule="exact"/>
        <w:rPr>
          <w:rFonts w:ascii="Arial" w:cs="Arial" w:eastAsia="Arial" w:hAnsi="Arial"/>
          <w:sz w:val="16"/>
          <w:szCs w:val="16"/>
          <w:color w:val="auto"/>
        </w:rPr>
      </w:pPr>
    </w:p>
    <w:p>
      <w:pPr>
        <w:jc w:val="both"/>
        <w:ind w:left="1520" w:hanging="553"/>
        <w:spacing w:after="0" w:line="288" w:lineRule="auto"/>
        <w:tabs>
          <w:tab w:leader="none" w:pos="15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Party A shall utilize the Loan in accordance with the purposes as provided herein, and shall not misappropriate the Loan or utilize the Loan to carry out any transactions in violation of the laws and regulations, nor for investments in fixed assets, or equity or other areas, nor for production or operations prohibited by the state, nor for repaying the indebtedness incurred as a result of Party A’s investments in fixed assets or equity etc.; Party A shall cooperate with Party B in its inspection of Party A’s manufacturing, operating and financial activities and utilization of the Loan herein, and shall be subject to the requirements of Party B relating to loan management; Party A shall not try to evade its repayment obligations owing to Party B by means of withdrawing capital it has injected, transferring assets or entering into related-party transactions. Further, Party A shall not attempt to obtain loans or credit facilities from Party B by using dummy contracts with its related parties or by pledging such rights as notes receivable or accounts receivable without actual underlying transactions or by applying to Party B for discounting the same; Party A shall be in compliance with the provisions relating to means of payment and shall not evade Entrusted Payment by way of dividing a larger-amount payment into payments in smaller amounts;</w:t>
      </w:r>
    </w:p>
    <w:p>
      <w:pPr>
        <w:spacing w:after="0" w:line="169" w:lineRule="exact"/>
        <w:rPr>
          <w:rFonts w:ascii="Arial" w:cs="Arial" w:eastAsia="Arial" w:hAnsi="Arial"/>
          <w:sz w:val="16"/>
          <w:szCs w:val="16"/>
          <w:color w:val="auto"/>
        </w:rPr>
      </w:pPr>
    </w:p>
    <w:p>
      <w:pPr>
        <w:ind w:left="1520" w:right="20" w:hanging="553"/>
        <w:spacing w:after="0" w:line="277" w:lineRule="auto"/>
        <w:tabs>
          <w:tab w:leader="none" w:pos="15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Party A shall comply with the regulations relating to environmental protection, if the Loan hereunder shall be utilized for manufacturing or project construction;</w:t>
      </w:r>
    </w:p>
    <w:p>
      <w:pPr>
        <w:spacing w:after="0" w:line="170" w:lineRule="exact"/>
        <w:rPr>
          <w:rFonts w:ascii="Arial" w:cs="Arial" w:eastAsia="Arial" w:hAnsi="Arial"/>
          <w:sz w:val="18"/>
          <w:szCs w:val="18"/>
          <w:color w:val="auto"/>
        </w:rPr>
      </w:pPr>
    </w:p>
    <w:p>
      <w:pPr>
        <w:ind w:left="1520" w:hanging="553"/>
        <w:spacing w:after="0" w:line="277" w:lineRule="auto"/>
        <w:tabs>
          <w:tab w:leader="none" w:pos="15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Without Party B’s consent, Party A shall not mortgage or pledge any assets acquired by utilizing the Loan hereunder for the benefit of a third party before full repayment of the principals and interest accrued thereon;</w:t>
      </w:r>
    </w:p>
    <w:p>
      <w:pPr>
        <w:spacing w:after="0" w:line="170" w:lineRule="exact"/>
        <w:rPr>
          <w:rFonts w:ascii="Arial" w:cs="Arial" w:eastAsia="Arial" w:hAnsi="Arial"/>
          <w:sz w:val="18"/>
          <w:szCs w:val="18"/>
          <w:color w:val="auto"/>
        </w:rPr>
      </w:pPr>
    </w:p>
    <w:p>
      <w:pPr>
        <w:jc w:val="both"/>
        <w:ind w:left="1520" w:hanging="553"/>
        <w:spacing w:after="0" w:line="259" w:lineRule="auto"/>
        <w:tabs>
          <w:tab w:leader="none" w:pos="15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Party A qualifies as a group customer, it shall promptly report to Party B any related-party transactions involving more than 10% of Party A’s net assets, including (i) the relationship among all the parties to such transaction; (ii) the transaction and its nature; (iii) the transaction amount or the relevant ratio; and (iv) pricing policy (also applicable to the transactions with no price or merely nominal price);</w:t>
      </w:r>
    </w:p>
    <w:p>
      <w:pPr>
        <w:spacing w:after="0" w:line="186" w:lineRule="exact"/>
        <w:rPr>
          <w:rFonts w:ascii="Arial" w:cs="Arial" w:eastAsia="Arial" w:hAnsi="Arial"/>
          <w:sz w:val="18"/>
          <w:szCs w:val="18"/>
          <w:color w:val="auto"/>
        </w:rPr>
      </w:pPr>
    </w:p>
    <w:p>
      <w:pPr>
        <w:jc w:val="both"/>
        <w:ind w:left="1520" w:hanging="553"/>
        <w:spacing w:after="0" w:line="259" w:lineRule="auto"/>
        <w:tabs>
          <w:tab w:leader="none" w:pos="15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Party A shall not carry out merger, split-up, transfer of shares, outward investment, substantial increase of debt financing or other activities of importance without Party B’s prior written consent. For the avoidance of doubt, such consent shall not impair Party B’s rights to take remedial measures if Party B determines at a later time that such activities of Party A may endanger Party B’s rights as a creditor;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10080" w:type="dxa"/>
            <w:vAlign w:val="bottom"/>
            <w:gridSpan w:val="3"/>
          </w:tcPr>
          <w:p>
            <w:pPr>
              <w:ind w:left="180"/>
              <w:spacing w:after="0"/>
              <w:rPr>
                <w:sz w:val="20"/>
                <w:szCs w:val="20"/>
                <w:color w:val="auto"/>
              </w:rPr>
            </w:pPr>
            <w:r>
              <w:rPr>
                <w:rFonts w:ascii="Arial" w:cs="Arial" w:eastAsia="Arial" w:hAnsi="Arial"/>
                <w:sz w:val="18"/>
                <w:szCs w:val="18"/>
                <w:color w:val="auto"/>
                <w:w w:val="91"/>
              </w:rPr>
              <w:t>In the case of payment at Party A’s own initiative, Party A shall submit reports to Party  B on the use and payment of loan amounts on a</w:t>
            </w:r>
          </w:p>
        </w:tc>
      </w:tr>
      <w:tr>
        <w:trPr>
          <w:trHeight w:val="190"/>
        </w:trPr>
        <w:tc>
          <w:tcPr>
            <w:tcW w:w="1340" w:type="dxa"/>
            <w:vAlign w:val="bottom"/>
          </w:tcPr>
          <w:p>
            <w:pPr>
              <w:spacing w:after="0"/>
              <w:rPr>
                <w:sz w:val="16"/>
                <w:szCs w:val="16"/>
                <w:color w:val="auto"/>
              </w:rPr>
            </w:pPr>
          </w:p>
        </w:tc>
        <w:tc>
          <w:tcPr>
            <w:tcW w:w="10080" w:type="dxa"/>
            <w:vAlign w:val="bottom"/>
            <w:gridSpan w:val="3"/>
          </w:tcPr>
          <w:p>
            <w:pPr>
              <w:ind w:left="180"/>
              <w:spacing w:after="0" w:line="190" w:lineRule="exact"/>
              <w:rPr>
                <w:sz w:val="20"/>
                <w:szCs w:val="20"/>
                <w:color w:val="auto"/>
              </w:rPr>
            </w:pPr>
            <w:r>
              <w:rPr>
                <w:rFonts w:ascii="Arial" w:cs="Arial" w:eastAsia="Arial" w:hAnsi="Arial"/>
                <w:sz w:val="18"/>
                <w:szCs w:val="18"/>
                <w:color w:val="auto"/>
                <w:w w:val="93"/>
              </w:rPr>
              <w:t>monthly basis. Party A shall submit such report for the immediately preceding month within the first TEN working days of each month,</w:t>
            </w:r>
          </w:p>
        </w:tc>
      </w:tr>
      <w:tr>
        <w:trPr>
          <w:trHeight w:val="20"/>
        </w:trPr>
        <w:tc>
          <w:tcPr>
            <w:tcW w:w="134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2"/>
        </w:trPr>
        <w:tc>
          <w:tcPr>
            <w:tcW w:w="1340" w:type="dxa"/>
            <w:vAlign w:val="bottom"/>
          </w:tcPr>
          <w:p>
            <w:pPr>
              <w:spacing w:after="0"/>
              <w:rPr>
                <w:sz w:val="19"/>
                <w:szCs w:val="19"/>
                <w:color w:val="auto"/>
              </w:rPr>
            </w:pPr>
          </w:p>
        </w:tc>
        <w:tc>
          <w:tcPr>
            <w:tcW w:w="10080" w:type="dxa"/>
            <w:vAlign w:val="bottom"/>
            <w:gridSpan w:val="3"/>
          </w:tcPr>
          <w:p>
            <w:pPr>
              <w:ind w:left="180"/>
              <w:spacing w:after="0"/>
              <w:rPr>
                <w:sz w:val="20"/>
                <w:szCs w:val="20"/>
                <w:color w:val="auto"/>
              </w:rPr>
            </w:pPr>
            <w:r>
              <w:rPr>
                <w:rFonts w:ascii="Arial" w:cs="Arial" w:eastAsia="Arial" w:hAnsi="Arial"/>
                <w:sz w:val="18"/>
                <w:szCs w:val="18"/>
                <w:color w:val="auto"/>
                <w:w w:val="91"/>
              </w:rPr>
              <w:t>together with a list of actual uses of loan amounts, until the date of repayment of all the loan. Such report shall be in the form attached in</w:t>
            </w:r>
          </w:p>
        </w:tc>
      </w:tr>
      <w:tr>
        <w:trPr>
          <w:trHeight w:val="230"/>
        </w:trPr>
        <w:tc>
          <w:tcPr>
            <w:tcW w:w="1340" w:type="dxa"/>
            <w:vAlign w:val="bottom"/>
          </w:tcPr>
          <w:p>
            <w:pPr>
              <w:spacing w:after="0"/>
              <w:rPr>
                <w:sz w:val="20"/>
                <w:szCs w:val="20"/>
                <w:color w:val="auto"/>
              </w:rPr>
            </w:pPr>
          </w:p>
        </w:tc>
        <w:tc>
          <w:tcPr>
            <w:tcW w:w="10080" w:type="dxa"/>
            <w:vAlign w:val="bottom"/>
            <w:gridSpan w:val="3"/>
          </w:tcPr>
          <w:p>
            <w:pPr>
              <w:ind w:left="180"/>
              <w:spacing w:after="0"/>
              <w:rPr>
                <w:sz w:val="20"/>
                <w:szCs w:val="20"/>
                <w:color w:val="auto"/>
              </w:rPr>
            </w:pPr>
            <w:r>
              <w:rPr>
                <w:rFonts w:ascii="Arial" w:cs="Arial" w:eastAsia="Arial" w:hAnsi="Arial"/>
                <w:sz w:val="18"/>
                <w:szCs w:val="18"/>
                <w:color w:val="auto"/>
              </w:rPr>
              <w:t>Schedule 4.</w:t>
            </w:r>
          </w:p>
        </w:tc>
      </w:tr>
      <w:tr>
        <w:trPr>
          <w:trHeight w:val="432"/>
        </w:trPr>
        <w:tc>
          <w:tcPr>
            <w:tcW w:w="134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ind w:left="4280"/>
              <w:spacing w:after="0"/>
              <w:rPr>
                <w:sz w:val="20"/>
                <w:szCs w:val="20"/>
                <w:color w:val="auto"/>
              </w:rPr>
            </w:pPr>
            <w:r>
              <w:rPr>
                <w:rFonts w:ascii="Arial" w:cs="Arial" w:eastAsia="Arial" w:hAnsi="Arial"/>
                <w:sz w:val="18"/>
                <w:szCs w:val="18"/>
                <w:color w:val="auto"/>
              </w:rPr>
              <w:t>15</w:t>
            </w:r>
          </w:p>
        </w:tc>
        <w:tc>
          <w:tcPr>
            <w:tcW w:w="4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88" w:name="page89"/>
    <w:bookmarkEnd w:id="88"/>
    <w:p>
      <w:pPr>
        <w:ind w:left="340" w:hanging="332"/>
        <w:spacing w:after="0"/>
        <w:tabs>
          <w:tab w:leader="none" w:pos="3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PARTY B’S RIGHTS AND OBLIGATIONS</w:t>
      </w:r>
    </w:p>
    <w:p>
      <w:pPr>
        <w:spacing w:after="0" w:line="121" w:lineRule="exact"/>
        <w:rPr>
          <w:sz w:val="20"/>
          <w:szCs w:val="20"/>
          <w:color w:val="auto"/>
        </w:rPr>
      </w:pPr>
    </w:p>
    <w:p>
      <w:pPr>
        <w:jc w:val="both"/>
        <w:ind w:left="1140" w:hanging="485"/>
        <w:spacing w:after="0" w:line="259" w:lineRule="auto"/>
        <w:tabs>
          <w:tab w:leader="none" w:pos="1120" w:val="left"/>
        </w:tabs>
        <w:rPr>
          <w:sz w:val="20"/>
          <w:szCs w:val="20"/>
          <w:color w:val="auto"/>
        </w:rPr>
      </w:pPr>
      <w:r>
        <w:rPr>
          <w:rFonts w:ascii="Arial" w:cs="Arial" w:eastAsia="Arial" w:hAnsi="Arial"/>
          <w:sz w:val="18"/>
          <w:szCs w:val="18"/>
          <w:color w:val="auto"/>
        </w:rPr>
        <w:t>9.1</w:t>
        <w:tab/>
        <w:t>Party B is entitled to request Party A to repay the principal, interest accrued thereon and expenses when due, to manage and control the payment of loan amounts, to monitor on a real-time basis overall cash flows of Party A and to accelerate the maturity of the loan considering the status of collection of sale proceeds of Party A. Party B may exercise any other rights hereunder and demand Party A to perform any other obligations hereunder.</w:t>
      </w:r>
    </w:p>
    <w:p>
      <w:pPr>
        <w:spacing w:after="0" w:line="187" w:lineRule="exact"/>
        <w:rPr>
          <w:sz w:val="20"/>
          <w:szCs w:val="20"/>
          <w:color w:val="auto"/>
        </w:rPr>
      </w:pPr>
    </w:p>
    <w:p>
      <w:pPr>
        <w:jc w:val="both"/>
        <w:ind w:left="1140" w:right="20" w:hanging="485"/>
        <w:spacing w:after="0" w:line="312" w:lineRule="auto"/>
        <w:tabs>
          <w:tab w:leader="none" w:pos="11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 xml:space="preserve">Party B is entitled to engage in Party A’s large-amount financing (The total amount of such financing shall be more than RMB </w:t>
      </w:r>
      <w:r>
        <w:rPr>
          <w:rFonts w:ascii="Arial" w:cs="Arial" w:eastAsia="Arial" w:hAnsi="Arial"/>
          <w:sz w:val="16"/>
          <w:szCs w:val="16"/>
          <w:u w:val="single" w:color="auto"/>
          <w:color w:val="auto"/>
        </w:rPr>
        <w:t>SEVENTY-FOUR MILLION</w:t>
      </w:r>
      <w:r>
        <w:rPr>
          <w:rFonts w:ascii="Arial" w:cs="Arial" w:eastAsia="Arial" w:hAnsi="Arial"/>
          <w:sz w:val="16"/>
          <w:szCs w:val="16"/>
          <w:color w:val="auto"/>
        </w:rPr>
        <w:t xml:space="preserve"> or Foreign Exchange equivalent), sale of assets, merger, split-up, stock-company restructuring, bankruptcy, liquidation and other activities for the purpose of protecting Party B’s rights. The way(s) of engagement shall be </w:t>
      </w:r>
      <w:r>
        <w:rPr>
          <w:rFonts w:ascii="Arial" w:cs="Arial" w:eastAsia="Arial" w:hAnsi="Arial"/>
          <w:sz w:val="16"/>
          <w:szCs w:val="16"/>
          <w:u w:val="single" w:color="auto"/>
          <w:color w:val="auto"/>
        </w:rPr>
        <w:t>(1)</w:t>
      </w:r>
      <w:r>
        <w:rPr>
          <w:rFonts w:ascii="Arial" w:cs="Arial" w:eastAsia="Arial" w:hAnsi="Arial"/>
          <w:sz w:val="16"/>
          <w:szCs w:val="16"/>
          <w:color w:val="auto"/>
        </w:rPr>
        <w:t xml:space="preserve"> (multiple choices are allowed)</w:t>
      </w:r>
    </w:p>
    <w:p>
      <w:pPr>
        <w:spacing w:after="0" w:line="147" w:lineRule="exact"/>
        <w:rPr>
          <w:sz w:val="20"/>
          <w:szCs w:val="20"/>
          <w:color w:val="auto"/>
        </w:rPr>
      </w:pPr>
    </w:p>
    <w:p>
      <w:pPr>
        <w:ind w:left="1400" w:hanging="259"/>
        <w:spacing w:after="0"/>
        <w:tabs>
          <w:tab w:leader="none" w:pos="14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Party A shall seek Party B’s prior written consent before carrying out any of the above activities;</w:t>
      </w:r>
    </w:p>
    <w:p>
      <w:pPr>
        <w:spacing w:after="0" w:line="225" w:lineRule="exact"/>
        <w:rPr>
          <w:rFonts w:ascii="Arial" w:cs="Arial" w:eastAsia="Arial" w:hAnsi="Arial"/>
          <w:sz w:val="18"/>
          <w:szCs w:val="18"/>
          <w:color w:val="auto"/>
        </w:rPr>
      </w:pPr>
    </w:p>
    <w:p>
      <w:pPr>
        <w:ind w:left="1400" w:hanging="259"/>
        <w:spacing w:after="0"/>
        <w:tabs>
          <w:tab w:leader="none" w:pos="14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Party B is entitled to arrange for Party A’s large-amount financings;</w:t>
      </w:r>
    </w:p>
    <w:p>
      <w:pPr>
        <w:spacing w:after="0" w:line="225" w:lineRule="exact"/>
        <w:rPr>
          <w:rFonts w:ascii="Arial" w:cs="Arial" w:eastAsia="Arial" w:hAnsi="Arial"/>
          <w:sz w:val="18"/>
          <w:szCs w:val="18"/>
          <w:color w:val="auto"/>
        </w:rPr>
      </w:pPr>
    </w:p>
    <w:p>
      <w:pPr>
        <w:ind w:left="1400" w:hanging="259"/>
        <w:spacing w:after="0"/>
        <w:tabs>
          <w:tab w:leader="none" w:pos="14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sale price and buyer of the assets shall be in compliance with the following:</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(4)__________________________________________________________________________________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(5) other ways Party B deems fit.</w:t>
      </w:r>
    </w:p>
    <w:p>
      <w:pPr>
        <w:spacing w:after="0" w:line="225" w:lineRule="exact"/>
        <w:rPr>
          <w:sz w:val="20"/>
          <w:szCs w:val="20"/>
          <w:color w:val="auto"/>
        </w:rPr>
      </w:pPr>
    </w:p>
    <w:p>
      <w:pPr>
        <w:ind w:left="1220" w:hanging="566"/>
        <w:spacing w:after="0" w:line="277" w:lineRule="auto"/>
        <w:tabs>
          <w:tab w:leader="none" w:pos="120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Party B shall advance the Loan as provided herein unless the delay or failure in advancing the Loan is caused by any reason attributable to Party A or any other reason that can not be attributed to Party B.</w:t>
      </w:r>
    </w:p>
    <w:p>
      <w:pPr>
        <w:spacing w:after="0" w:line="170" w:lineRule="exact"/>
        <w:rPr>
          <w:sz w:val="20"/>
          <w:szCs w:val="20"/>
          <w:color w:val="auto"/>
        </w:rPr>
      </w:pPr>
    </w:p>
    <w:p>
      <w:pPr>
        <w:ind w:left="1220" w:hanging="566"/>
        <w:spacing w:after="0" w:line="342" w:lineRule="auto"/>
        <w:tabs>
          <w:tab w:leader="none" w:pos="120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Party B shall keep confidential the relevant financial documents and manufacturing and operating trade secrets furnished by Party A except otherwise provided by the laws, regulations and rules, or required by the competent authorities, or agreed between the parties hereto.</w:t>
      </w:r>
    </w:p>
    <w:p>
      <w:pPr>
        <w:spacing w:after="0" w:line="12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Party B shall not bribe Party A or its employees, nor request any bribe or accept any bribe offered by Party A.</w:t>
      </w:r>
    </w:p>
    <w:p>
      <w:pPr>
        <w:spacing w:after="0" w:line="22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color w:val="auto"/>
        </w:rPr>
        <w:t>Party B shall not engage in any activity which is dishonest or will be detrimental to Party A’s lawful interests.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10. DEFAULT AND REMEDY</w:t>
      </w:r>
    </w:p>
    <w:p>
      <w:pPr>
        <w:spacing w:after="0" w:line="121"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Events of Default by Party B and Liabilities</w:t>
      </w:r>
    </w:p>
    <w:p>
      <w:pPr>
        <w:spacing w:after="0" w:line="225" w:lineRule="exact"/>
        <w:rPr>
          <w:sz w:val="20"/>
          <w:szCs w:val="20"/>
          <w:color w:val="auto"/>
        </w:rPr>
      </w:pPr>
    </w:p>
    <w:p>
      <w:pPr>
        <w:ind w:left="1620" w:hanging="410"/>
        <w:spacing w:after="0" w:line="277" w:lineRule="auto"/>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Party B does not advance the Loan as provided herein without justifiable reason, Party A may request Party B to advance the Loan in accordance with the Contract.</w:t>
      </w:r>
    </w:p>
    <w:p>
      <w:pPr>
        <w:spacing w:after="0" w:line="170" w:lineRule="exact"/>
        <w:rPr>
          <w:rFonts w:ascii="Arial" w:cs="Arial" w:eastAsia="Arial" w:hAnsi="Arial"/>
          <w:sz w:val="18"/>
          <w:szCs w:val="18"/>
          <w:color w:val="auto"/>
        </w:rPr>
      </w:pPr>
    </w:p>
    <w:p>
      <w:pPr>
        <w:ind w:left="1540" w:right="20" w:hanging="330"/>
        <w:spacing w:after="0" w:line="277" w:lineRule="auto"/>
        <w:tabs>
          <w:tab w:leader="none" w:pos="1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Party B charges any interest or fee which is prohibited by the laws or regulations, Party A may request Party B to refund the interest or fee charged.</w:t>
      </w:r>
    </w:p>
    <w:p>
      <w:pPr>
        <w:spacing w:after="0" w:line="170"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Events of Default by Party A</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events of default by Party A shall include:</w:t>
      </w:r>
    </w:p>
    <w:p>
      <w:pPr>
        <w:spacing w:after="0" w:line="225" w:lineRule="exact"/>
        <w:rPr>
          <w:sz w:val="20"/>
          <w:szCs w:val="20"/>
          <w:color w:val="auto"/>
        </w:rPr>
      </w:pPr>
    </w:p>
    <w:p>
      <w:pPr>
        <w:ind w:left="1620" w:hanging="396"/>
        <w:spacing w:after="0"/>
        <w:tabs>
          <w:tab w:leader="none" w:pos="16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Party A breaches any statutory obligation or any contractual obligation hereunder; and</w:t>
      </w:r>
    </w:p>
    <w:p>
      <w:pPr>
        <w:spacing w:after="0" w:line="225" w:lineRule="exact"/>
        <w:rPr>
          <w:rFonts w:ascii="Arial" w:cs="Arial" w:eastAsia="Arial" w:hAnsi="Arial"/>
          <w:sz w:val="18"/>
          <w:szCs w:val="18"/>
          <w:color w:val="auto"/>
        </w:rPr>
      </w:pPr>
    </w:p>
    <w:p>
      <w:pPr>
        <w:ind w:left="1620" w:hanging="396"/>
        <w:spacing w:after="0"/>
        <w:tabs>
          <w:tab w:leader="none" w:pos="16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Party A has repudiated its obligations hereunder expressly or by its conduct.</w:t>
      </w:r>
    </w:p>
    <w:p>
      <w:pPr>
        <w:spacing w:after="0" w:line="225"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Events that may Adversely Impact Creditor’s Rights</w:t>
      </w:r>
    </w:p>
    <w:p>
      <w:pPr>
        <w:spacing w:after="0" w:line="225" w:lineRule="exact"/>
        <w:rPr>
          <w:sz w:val="20"/>
          <w:szCs w:val="20"/>
          <w:color w:val="auto"/>
        </w:rPr>
      </w:pPr>
    </w:p>
    <w:p>
      <w:pPr>
        <w:ind w:left="1540" w:hanging="330"/>
        <w:spacing w:after="0"/>
        <w:tabs>
          <w:tab w:leader="none" w:pos="1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occurrence of any of the following events upon Party A which Party B believes may adversely impact its creditor’s rights:</w:t>
      </w:r>
    </w:p>
    <w:p>
      <w:pPr>
        <w:spacing w:after="0" w:line="225" w:lineRule="exact"/>
        <w:rPr>
          <w:rFonts w:ascii="Arial" w:cs="Arial" w:eastAsia="Arial" w:hAnsi="Arial"/>
          <w:sz w:val="18"/>
          <w:szCs w:val="18"/>
          <w:color w:val="auto"/>
        </w:rPr>
      </w:pPr>
    </w:p>
    <w:p>
      <w:pPr>
        <w:jc w:val="both"/>
        <w:ind w:left="1540" w:firstLine="2"/>
        <w:spacing w:after="0" w:line="272" w:lineRule="auto"/>
        <w:rPr>
          <w:rFonts w:ascii="Arial" w:cs="Arial" w:eastAsia="Arial" w:hAnsi="Arial"/>
          <w:sz w:val="18"/>
          <w:szCs w:val="18"/>
          <w:color w:val="auto"/>
        </w:rPr>
      </w:pPr>
      <w:r>
        <w:rPr>
          <w:rFonts w:ascii="Arial" w:cs="Arial" w:eastAsia="Arial" w:hAnsi="Arial"/>
          <w:sz w:val="17"/>
          <w:szCs w:val="17"/>
          <w:color w:val="auto"/>
        </w:rPr>
        <w:t>contracting, trustee (receiver) being appointed, lease, shareholding restructuring, decrease of its registered capital, investment, joint operation, mergers and acquisitions, acquisition and restructuring, division, joint venture, shares transfer, substantial increase of debt financing, applying for (or subject to an application for) temporary cessation of operation or dissolution, revocation, applying for (or subject to an application for) bankruptcy, change of controlling shareholders/actual controllers, transfer of material assets, suspension of production or operation, significant penalty imposed by regulatory authorities, cancellation of registration, revocation of business license, involvement in material legal proceedings, severe deterioration in operation and financial condition, deterioration of credit standing, legal representative/principal officer being unable to perform their duties;</w:t>
      </w:r>
    </w:p>
    <w:p>
      <w:pPr>
        <w:spacing w:after="0" w:line="177" w:lineRule="exact"/>
        <w:rPr>
          <w:rFonts w:ascii="Arial" w:cs="Arial" w:eastAsia="Arial" w:hAnsi="Arial"/>
          <w:sz w:val="18"/>
          <w:szCs w:val="18"/>
          <w:color w:val="auto"/>
        </w:rPr>
      </w:pPr>
    </w:p>
    <w:p>
      <w:pPr>
        <w:ind w:left="1540" w:hanging="330"/>
        <w:spacing w:after="0"/>
        <w:tabs>
          <w:tab w:leader="none" w:pos="1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occurrence of any of the following events which Party B believes may adversely impact its creditor’s rights:</w:t>
      </w:r>
    </w:p>
    <w:p>
      <w:pPr>
        <w:spacing w:after="0" w:line="225" w:lineRule="exact"/>
        <w:rPr>
          <w:rFonts w:ascii="Arial" w:cs="Arial" w:eastAsia="Arial" w:hAnsi="Arial"/>
          <w:sz w:val="18"/>
          <w:szCs w:val="18"/>
          <w:color w:val="auto"/>
        </w:rPr>
      </w:pPr>
    </w:p>
    <w:p>
      <w:pPr>
        <w:jc w:val="both"/>
        <w:ind w:left="1540" w:firstLine="1"/>
        <w:spacing w:after="0" w:line="293" w:lineRule="auto"/>
        <w:rPr>
          <w:rFonts w:ascii="Arial" w:cs="Arial" w:eastAsia="Arial" w:hAnsi="Arial"/>
          <w:sz w:val="18"/>
          <w:szCs w:val="18"/>
          <w:color w:val="auto"/>
        </w:rPr>
      </w:pPr>
      <w:r>
        <w:rPr>
          <w:rFonts w:ascii="Arial" w:cs="Arial" w:eastAsia="Arial" w:hAnsi="Arial"/>
          <w:sz w:val="16"/>
          <w:szCs w:val="16"/>
          <w:color w:val="auto"/>
        </w:rPr>
        <w:t>Party A fails to repay any other due debts, including such debts owed to any other branch or organization of China Construction Bank or to any other third party; Party A transfers assets at a low price or for free; Party A relieves or waives any debt of a third party; Party A fails to exercise its creditor’s rights or any other rights; or Party A provides security for a third party; financial indicators of Party A fail to meet, on a continuous basis, the requirements specified in Schedule2; there are unusual fluctuations in any of Party A’s accounts (including without limitation account to collect sale proceeds and other account subject to Party B’s supervision);there are grave cross-defaults by Party A; profit-making capability of Party A’s core business is undesirable; there is irregularity in the use of loan;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0" w:name="page91"/>
    <w:bookmarkEnd w:id="90"/>
    <w:p>
      <w:pPr>
        <w:ind w:left="680" w:hanging="575"/>
        <w:spacing w:after="0" w:line="308" w:lineRule="auto"/>
        <w:tabs>
          <w:tab w:leader="none" w:pos="68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Party A’s shareholder manipulates the independence status of Party A as a legal person or the limited liability status of the shareholder in order to evade debts, and Party B believes this manipulation may adversely impact its creditor’s rights;</w:t>
      </w:r>
    </w:p>
    <w:p>
      <w:pPr>
        <w:spacing w:after="0" w:line="146" w:lineRule="exact"/>
        <w:rPr>
          <w:rFonts w:ascii="Arial" w:cs="Arial" w:eastAsia="Arial" w:hAnsi="Arial"/>
          <w:sz w:val="17"/>
          <w:szCs w:val="17"/>
          <w:color w:val="auto"/>
        </w:rPr>
      </w:pPr>
    </w:p>
    <w:p>
      <w:pPr>
        <w:ind w:left="680" w:hanging="575"/>
        <w:spacing w:after="0"/>
        <w:tabs>
          <w:tab w:leader="none" w:pos="6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of the conditions precedent to advance the Loan has not been satisfied continuously;</w:t>
      </w:r>
    </w:p>
    <w:p>
      <w:pPr>
        <w:spacing w:after="0" w:line="225" w:lineRule="exact"/>
        <w:rPr>
          <w:rFonts w:ascii="Arial" w:cs="Arial" w:eastAsia="Arial" w:hAnsi="Arial"/>
          <w:sz w:val="18"/>
          <w:szCs w:val="18"/>
          <w:color w:val="auto"/>
        </w:rPr>
      </w:pPr>
    </w:p>
    <w:p>
      <w:pPr>
        <w:ind w:left="680" w:hanging="575"/>
        <w:spacing w:after="0"/>
        <w:tabs>
          <w:tab w:leader="none" w:pos="68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the occurrence of any of the following events upon the guarantor which Party B believes may adversely impact its creditor’s rights:</w:t>
      </w:r>
    </w:p>
    <w:p>
      <w:pPr>
        <w:spacing w:after="0" w:line="248" w:lineRule="exact"/>
        <w:rPr>
          <w:rFonts w:ascii="Arial" w:cs="Arial" w:eastAsia="Arial" w:hAnsi="Arial"/>
          <w:sz w:val="16"/>
          <w:szCs w:val="16"/>
          <w:color w:val="auto"/>
        </w:rPr>
      </w:pPr>
    </w:p>
    <w:p>
      <w:pPr>
        <w:ind w:left="1100" w:hanging="523"/>
        <w:spacing w:after="0" w:line="277" w:lineRule="auto"/>
        <w:tabs>
          <w:tab w:leader="none" w:pos="110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the guarantor breaches any provision of the guarantee contract, or any of the representations and warranties it has made proves to be false, wrong or incomplete;</w:t>
      </w:r>
    </w:p>
    <w:p>
      <w:pPr>
        <w:spacing w:after="0" w:line="170" w:lineRule="exact"/>
        <w:rPr>
          <w:rFonts w:ascii="Arial" w:cs="Arial" w:eastAsia="Arial" w:hAnsi="Arial"/>
          <w:sz w:val="18"/>
          <w:szCs w:val="18"/>
          <w:color w:val="auto"/>
        </w:rPr>
      </w:pPr>
    </w:p>
    <w:p>
      <w:pPr>
        <w:jc w:val="both"/>
        <w:ind w:left="1100" w:hanging="523"/>
        <w:spacing w:after="0" w:line="289" w:lineRule="auto"/>
        <w:tabs>
          <w:tab w:leader="none" w:pos="1100" w:val="left"/>
        </w:tabs>
        <w:numPr>
          <w:ilvl w:val="2"/>
          <w:numId w:val="105"/>
        </w:numPr>
        <w:rPr>
          <w:rFonts w:ascii="Arial" w:cs="Arial" w:eastAsia="Arial" w:hAnsi="Arial"/>
          <w:sz w:val="16"/>
          <w:szCs w:val="16"/>
          <w:color w:val="auto"/>
        </w:rPr>
      </w:pPr>
      <w:r>
        <w:rPr>
          <w:rFonts w:ascii="Arial" w:cs="Arial" w:eastAsia="Arial" w:hAnsi="Arial"/>
          <w:sz w:val="16"/>
          <w:szCs w:val="16"/>
          <w:color w:val="auto"/>
        </w:rPr>
        <w:t>contracting, trustee (receiver) being appointed, lease, shareholding restructuring, decrease of its registered capital, investment, joint operation, mergers and acquisitions, acquisition and restructuring, division, joint venture, shares transfer, substantial increase of debt financing, applying for (or subject to an application for) temporary cessation of operation or dissolution, revocation, applying for (or subject to an application for) bankruptcy, change of controlling shareholders/actual controllers, transfer of material assets, transfer of assets at a low price or for free, relieving or waiving any debt of a third party; failure to exercise its creditor’s rights or any other rights, suspension of production or operation, significant penalty imposed by regulatory authorities, cancellation of registration, revocation of business license, involvement in material legal proceedings, severe deterioration in operation and financial condition, deterioration of credit standing, legal representative/principal officer’s inability to perform their duties, which may adversely impact its capability as a guarantor;</w:t>
      </w:r>
    </w:p>
    <w:p>
      <w:pPr>
        <w:spacing w:after="0" w:line="166" w:lineRule="exact"/>
        <w:rPr>
          <w:rFonts w:ascii="Arial" w:cs="Arial" w:eastAsia="Arial" w:hAnsi="Arial"/>
          <w:sz w:val="16"/>
          <w:szCs w:val="16"/>
          <w:color w:val="auto"/>
        </w:rPr>
      </w:pPr>
    </w:p>
    <w:p>
      <w:pPr>
        <w:ind w:left="1100" w:hanging="523"/>
        <w:spacing w:after="0"/>
        <w:tabs>
          <w:tab w:leader="none" w:pos="110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other events in which the guarantor has lost or may lose its capability as guarantor.</w:t>
      </w:r>
    </w:p>
    <w:p>
      <w:pPr>
        <w:spacing w:after="0" w:line="225" w:lineRule="exact"/>
        <w:rPr>
          <w:rFonts w:ascii="Arial" w:cs="Arial" w:eastAsia="Arial" w:hAnsi="Arial"/>
          <w:sz w:val="18"/>
          <w:szCs w:val="18"/>
          <w:color w:val="auto"/>
        </w:rPr>
      </w:pPr>
    </w:p>
    <w:p>
      <w:pPr>
        <w:ind w:left="580" w:hanging="558"/>
        <w:spacing w:after="0" w:line="277" w:lineRule="auto"/>
        <w:tabs>
          <w:tab w:leader="none" w:pos="69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occurrence of any of the following events on the mortgage or pledge which Party B believes may adversely impact its creditor’s rights:</w:t>
      </w:r>
    </w:p>
    <w:p>
      <w:pPr>
        <w:spacing w:after="0" w:line="170" w:lineRule="exact"/>
        <w:rPr>
          <w:rFonts w:ascii="Arial" w:cs="Arial" w:eastAsia="Arial" w:hAnsi="Arial"/>
          <w:sz w:val="18"/>
          <w:szCs w:val="18"/>
          <w:color w:val="auto"/>
        </w:rPr>
      </w:pPr>
    </w:p>
    <w:p>
      <w:pPr>
        <w:jc w:val="both"/>
        <w:ind w:left="1100" w:hanging="523"/>
        <w:spacing w:after="0" w:line="264" w:lineRule="auto"/>
        <w:tabs>
          <w:tab w:leader="none" w:pos="110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the mortgaged or pledged property is damaged, destroyed or its value is reduced as a result of a third-party’s action, expropriation, confiscation, eminent domain or redevelopment and relocation by the government, market change, or any other reason;</w:t>
      </w:r>
    </w:p>
    <w:p>
      <w:pPr>
        <w:spacing w:after="0" w:line="181" w:lineRule="exact"/>
        <w:rPr>
          <w:rFonts w:ascii="Arial" w:cs="Arial" w:eastAsia="Arial" w:hAnsi="Arial"/>
          <w:sz w:val="18"/>
          <w:szCs w:val="18"/>
          <w:color w:val="auto"/>
        </w:rPr>
      </w:pPr>
    </w:p>
    <w:p>
      <w:pPr>
        <w:jc w:val="both"/>
        <w:ind w:left="1100" w:hanging="523"/>
        <w:spacing w:after="0" w:line="264" w:lineRule="auto"/>
        <w:tabs>
          <w:tab w:leader="none" w:pos="110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the mortgaged or pledged property has been seized, impounded, frozen, mandatorily debited, put on lien, sold by auction, subject to administration order by a government authority, or a dispute over the ownership of the mortgaged or pledged property occurs;</w:t>
      </w:r>
    </w:p>
    <w:p>
      <w:pPr>
        <w:spacing w:after="0" w:line="181" w:lineRule="exact"/>
        <w:rPr>
          <w:rFonts w:ascii="Arial" w:cs="Arial" w:eastAsia="Arial" w:hAnsi="Arial"/>
          <w:sz w:val="18"/>
          <w:szCs w:val="18"/>
          <w:color w:val="auto"/>
        </w:rPr>
      </w:pPr>
    </w:p>
    <w:p>
      <w:pPr>
        <w:ind w:left="1100" w:hanging="523"/>
        <w:spacing w:after="0" w:line="277" w:lineRule="auto"/>
        <w:tabs>
          <w:tab w:leader="none" w:pos="110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the mortgagor or pledgor breaches any provision of the mortgage/pledge contract, or any of the representations and warranties it has made proves to be false, wrong or incomplete;</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91" w:name="page92"/>
    <w:bookmarkEnd w:id="91"/>
    <w:p>
      <w:pPr>
        <w:ind w:left="1640" w:hanging="523"/>
        <w:spacing w:after="0"/>
        <w:tabs>
          <w:tab w:leader="none" w:pos="164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other events that may adversely impact Party B’s ability to realize its mortgage or pledge.</w:t>
      </w:r>
    </w:p>
    <w:p>
      <w:pPr>
        <w:spacing w:after="0" w:line="225" w:lineRule="exact"/>
        <w:rPr>
          <w:rFonts w:ascii="Arial" w:cs="Arial" w:eastAsia="Arial" w:hAnsi="Arial"/>
          <w:sz w:val="18"/>
          <w:szCs w:val="18"/>
          <w:color w:val="auto"/>
        </w:rPr>
      </w:pPr>
    </w:p>
    <w:p>
      <w:pPr>
        <w:jc w:val="both"/>
        <w:ind w:left="1220" w:hanging="575"/>
        <w:spacing w:after="0" w:line="259" w:lineRule="auto"/>
        <w:tabs>
          <w:tab w:leader="none" w:pos="1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security is not effected, becomes ineffective, invalid, or is rescinded or terminated, or the security provider defaults or repudiates its obligations expressly or by conduct, or the security provider has lost its capability to perform its obligations as a security provider in whole or in part, or the value of the collateral is reduced, which Party B believes may adversely impact its creditor’s rights; or</w:t>
      </w:r>
    </w:p>
    <w:p>
      <w:pPr>
        <w:spacing w:after="0" w:line="186" w:lineRule="exact"/>
        <w:rPr>
          <w:rFonts w:ascii="Arial" w:cs="Arial" w:eastAsia="Arial" w:hAnsi="Arial"/>
          <w:sz w:val="18"/>
          <w:szCs w:val="18"/>
          <w:color w:val="auto"/>
        </w:rPr>
      </w:pPr>
    </w:p>
    <w:p>
      <w:pPr>
        <w:ind w:left="1220" w:hanging="575"/>
        <w:spacing w:after="0"/>
        <w:tabs>
          <w:tab w:leader="none" w:pos="1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other events which Party B believes may adversely impact its creditor’s rights.</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Party B’s Remedy</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Upon occurrence of any event under Article 10.2 or 10.3, Party B may exercise one or more of the following rights:</w:t>
      </w:r>
    </w:p>
    <w:p>
      <w:pPr>
        <w:spacing w:after="0" w:line="225" w:lineRule="exact"/>
        <w:rPr>
          <w:sz w:val="20"/>
          <w:szCs w:val="20"/>
          <w:color w:val="auto"/>
        </w:rPr>
      </w:pPr>
    </w:p>
    <w:p>
      <w:pPr>
        <w:ind w:left="1220" w:hanging="575"/>
        <w:spacing w:after="0"/>
        <w:tabs>
          <w:tab w:leader="none" w:pos="1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stop advancing the Loan;</w:t>
      </w:r>
    </w:p>
    <w:p>
      <w:pPr>
        <w:spacing w:after="0" w:line="225" w:lineRule="exact"/>
        <w:rPr>
          <w:rFonts w:ascii="Arial" w:cs="Arial" w:eastAsia="Arial" w:hAnsi="Arial"/>
          <w:sz w:val="18"/>
          <w:szCs w:val="18"/>
          <w:color w:val="auto"/>
        </w:rPr>
      </w:pPr>
    </w:p>
    <w:p>
      <w:pPr>
        <w:ind w:left="1220" w:hanging="575"/>
        <w:spacing w:after="0"/>
        <w:tabs>
          <w:tab w:leader="none" w:pos="1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request for more conditions precedent for loan advance and payment;</w:t>
      </w:r>
    </w:p>
    <w:p>
      <w:pPr>
        <w:spacing w:after="0" w:line="225" w:lineRule="exact"/>
        <w:rPr>
          <w:rFonts w:ascii="Arial" w:cs="Arial" w:eastAsia="Arial" w:hAnsi="Arial"/>
          <w:sz w:val="18"/>
          <w:szCs w:val="18"/>
          <w:color w:val="auto"/>
        </w:rPr>
      </w:pPr>
    </w:p>
    <w:p>
      <w:pPr>
        <w:ind w:left="1220" w:hanging="575"/>
        <w:spacing w:after="0"/>
        <w:tabs>
          <w:tab w:leader="none" w:pos="1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change the means of payment of loan in accordance with this Contract;</w:t>
      </w:r>
    </w:p>
    <w:p>
      <w:pPr>
        <w:spacing w:after="0" w:line="225" w:lineRule="exact"/>
        <w:rPr>
          <w:rFonts w:ascii="Arial" w:cs="Arial" w:eastAsia="Arial" w:hAnsi="Arial"/>
          <w:sz w:val="18"/>
          <w:szCs w:val="18"/>
          <w:color w:val="auto"/>
        </w:rPr>
      </w:pPr>
    </w:p>
    <w:p>
      <w:pPr>
        <w:ind w:left="1220" w:right="20" w:hanging="575"/>
        <w:spacing w:after="0" w:line="277" w:lineRule="auto"/>
        <w:tabs>
          <w:tab w:leader="none" w:pos="1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declare the Loan immediately due and payable, and request Party A to repay immediately all the due and undue principal, interest and fees;</w:t>
      </w:r>
    </w:p>
    <w:p>
      <w:pPr>
        <w:spacing w:after="0" w:line="170" w:lineRule="exact"/>
        <w:rPr>
          <w:rFonts w:ascii="Arial" w:cs="Arial" w:eastAsia="Arial" w:hAnsi="Arial"/>
          <w:sz w:val="18"/>
          <w:szCs w:val="18"/>
          <w:color w:val="auto"/>
        </w:rPr>
      </w:pPr>
    </w:p>
    <w:p>
      <w:pPr>
        <w:ind w:left="1220" w:hanging="575"/>
        <w:spacing w:after="0" w:line="277" w:lineRule="auto"/>
        <w:tabs>
          <w:tab w:leader="none" w:pos="1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if Party A fails to make any drawdown in accordance with the Contract, Party B may hold Party A liable to pay a penalty equal to </w:t>
      </w:r>
      <w:r>
        <w:rPr>
          <w:rFonts w:ascii="Arial" w:cs="Arial" w:eastAsia="Arial" w:hAnsi="Arial"/>
          <w:sz w:val="18"/>
          <w:szCs w:val="18"/>
          <w:u w:val="single" w:color="auto"/>
          <w:color w:val="auto"/>
        </w:rPr>
        <w:t>0</w:t>
      </w:r>
      <w:r>
        <w:rPr>
          <w:rFonts w:ascii="Arial" w:cs="Arial" w:eastAsia="Arial" w:hAnsi="Arial"/>
          <w:sz w:val="18"/>
          <w:szCs w:val="18"/>
          <w:color w:val="auto"/>
        </w:rPr>
        <w:t xml:space="preserve"> % of the Loan proceeds not drawn and may reject Party A’s request for drawing such Loan;</w:t>
      </w:r>
    </w:p>
    <w:p>
      <w:pPr>
        <w:spacing w:after="0" w:line="170" w:lineRule="exact"/>
        <w:rPr>
          <w:rFonts w:ascii="Arial" w:cs="Arial" w:eastAsia="Arial" w:hAnsi="Arial"/>
          <w:sz w:val="18"/>
          <w:szCs w:val="18"/>
          <w:color w:val="auto"/>
        </w:rPr>
      </w:pPr>
    </w:p>
    <w:p>
      <w:pPr>
        <w:jc w:val="both"/>
        <w:ind w:left="1220" w:hanging="575"/>
        <w:spacing w:after="0" w:line="312" w:lineRule="auto"/>
        <w:tabs>
          <w:tab w:leader="none" w:pos="12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if Party A utilizes any part of the Loan for any purpose other than as provided herein, interest on the misappropriated amount shall be calculated and compounded for the period from the date of the misappropriation to the date when all the principal and interest have been fully paid in accordance with the relevant default interest rate and the interest settlement method as provided herein;</w:t>
      </w:r>
    </w:p>
    <w:p>
      <w:pPr>
        <w:spacing w:after="0" w:line="146" w:lineRule="exact"/>
        <w:rPr>
          <w:rFonts w:ascii="Arial" w:cs="Arial" w:eastAsia="Arial" w:hAnsi="Arial"/>
          <w:sz w:val="16"/>
          <w:szCs w:val="16"/>
          <w:color w:val="auto"/>
        </w:rPr>
      </w:pPr>
    </w:p>
    <w:p>
      <w:pPr>
        <w:jc w:val="both"/>
        <w:ind w:left="1220" w:hanging="575"/>
        <w:spacing w:after="0" w:line="259" w:lineRule="auto"/>
        <w:tabs>
          <w:tab w:leader="none" w:pos="12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any principal is overdue, the interest on such principal and on any overdue interest (including whole or part of the principal and interest which have been accelerated), shall be calculated and compounded for the period from the first date such principal becomes overdue to the date when all the principal and interest have been fully paid, in accordance with the relevant default interest rate and the interest settlement method as provided herein;</w:t>
      </w:r>
    </w:p>
    <w:p>
      <w:pPr>
        <w:spacing w:after="0" w:line="186" w:lineRule="exact"/>
        <w:rPr>
          <w:rFonts w:ascii="Arial" w:cs="Arial" w:eastAsia="Arial" w:hAnsi="Arial"/>
          <w:sz w:val="18"/>
          <w:szCs w:val="18"/>
          <w:color w:val="auto"/>
        </w:rPr>
      </w:pPr>
    </w:p>
    <w:p>
      <w:pPr>
        <w:ind w:left="1200" w:firstLine="2"/>
        <w:spacing w:after="0" w:line="277" w:lineRule="auto"/>
        <w:rPr>
          <w:rFonts w:ascii="Arial" w:cs="Arial" w:eastAsia="Arial" w:hAnsi="Arial"/>
          <w:sz w:val="18"/>
          <w:szCs w:val="18"/>
          <w:color w:val="auto"/>
        </w:rPr>
      </w:pPr>
      <w:r>
        <w:rPr>
          <w:rFonts w:ascii="Arial" w:cs="Arial" w:eastAsia="Arial" w:hAnsi="Arial"/>
          <w:sz w:val="18"/>
          <w:szCs w:val="18"/>
          <w:color w:val="auto"/>
        </w:rPr>
        <w:t>“Overdue” herein means that Party A fails to repay the Loan on the repayment date or, in case of repayment in installments, fails to repay the relevant installments in accordance with the repayment schedule as provided herein.</w:t>
      </w:r>
    </w:p>
    <w:p>
      <w:pPr>
        <w:spacing w:after="0" w:line="170" w:lineRule="exact"/>
        <w:rPr>
          <w:sz w:val="20"/>
          <w:szCs w:val="20"/>
          <w:color w:val="auto"/>
        </w:rPr>
      </w:pPr>
    </w:p>
    <w:p>
      <w:pPr>
        <w:ind w:left="1200" w:firstLine="2"/>
        <w:spacing w:after="0" w:line="277" w:lineRule="auto"/>
        <w:rPr>
          <w:sz w:val="20"/>
          <w:szCs w:val="20"/>
          <w:color w:val="auto"/>
        </w:rPr>
      </w:pPr>
      <w:r>
        <w:rPr>
          <w:rFonts w:ascii="Arial" w:cs="Arial" w:eastAsia="Arial" w:hAnsi="Arial"/>
          <w:sz w:val="18"/>
          <w:szCs w:val="18"/>
          <w:color w:val="auto"/>
        </w:rPr>
        <w:t>Before any principal is overdue, the overdue interest shall be compounded in accordance with the interest rate and the interest settlement method as provided herein;</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92" w:name="page93"/>
    <w:bookmarkEnd w:id="92"/>
    <w:p>
      <w:pPr>
        <w:ind w:left="1880" w:hanging="575"/>
        <w:spacing w:after="0"/>
        <w:tabs>
          <w:tab w:leader="none" w:pos="18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other remedies, including but not limited to:</w:t>
      </w:r>
    </w:p>
    <w:p>
      <w:pPr>
        <w:spacing w:after="0" w:line="225" w:lineRule="exact"/>
        <w:rPr>
          <w:rFonts w:ascii="Arial" w:cs="Arial" w:eastAsia="Arial" w:hAnsi="Arial"/>
          <w:sz w:val="18"/>
          <w:szCs w:val="18"/>
          <w:color w:val="auto"/>
        </w:rPr>
      </w:pPr>
    </w:p>
    <w:p>
      <w:pPr>
        <w:ind w:left="2300" w:right="20" w:hanging="523"/>
        <w:spacing w:after="0" w:line="277" w:lineRule="auto"/>
        <w:tabs>
          <w:tab w:leader="none" w:pos="230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to debit Party A’s accounts at China Construction Bank in RMB or other currencies with corresponding amount without prior notice to Party A;</w:t>
      </w:r>
    </w:p>
    <w:p>
      <w:pPr>
        <w:spacing w:after="0" w:line="170" w:lineRule="exact"/>
        <w:rPr>
          <w:rFonts w:ascii="Arial" w:cs="Arial" w:eastAsia="Arial" w:hAnsi="Arial"/>
          <w:sz w:val="18"/>
          <w:szCs w:val="18"/>
          <w:color w:val="auto"/>
        </w:rPr>
      </w:pPr>
    </w:p>
    <w:p>
      <w:pPr>
        <w:ind w:left="2300" w:hanging="523"/>
        <w:spacing w:after="0"/>
        <w:tabs>
          <w:tab w:leader="none" w:pos="230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to exercise its rights under the security interest;</w:t>
      </w:r>
    </w:p>
    <w:p>
      <w:pPr>
        <w:spacing w:after="0" w:line="225" w:lineRule="exact"/>
        <w:rPr>
          <w:rFonts w:ascii="Arial" w:cs="Arial" w:eastAsia="Arial" w:hAnsi="Arial"/>
          <w:sz w:val="18"/>
          <w:szCs w:val="18"/>
          <w:color w:val="auto"/>
        </w:rPr>
      </w:pPr>
    </w:p>
    <w:p>
      <w:pPr>
        <w:ind w:left="2300" w:hanging="523"/>
        <w:spacing w:after="0"/>
        <w:tabs>
          <w:tab w:leader="none" w:pos="230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to request Party A to provide new security satisfactory to Party B for all the debts of Party A hereunder;</w:t>
      </w:r>
    </w:p>
    <w:p>
      <w:pPr>
        <w:spacing w:after="0" w:line="225" w:lineRule="exact"/>
        <w:rPr>
          <w:rFonts w:ascii="Arial" w:cs="Arial" w:eastAsia="Arial" w:hAnsi="Arial"/>
          <w:sz w:val="18"/>
          <w:szCs w:val="18"/>
          <w:color w:val="auto"/>
        </w:rPr>
      </w:pPr>
    </w:p>
    <w:p>
      <w:pPr>
        <w:ind w:left="2300" w:right="20" w:hanging="523"/>
        <w:spacing w:after="0" w:line="277" w:lineRule="auto"/>
        <w:tabs>
          <w:tab w:leader="none" w:pos="230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to decline Party A’s request to dispose of its deposits of corresponding amount, within any account opened with any branch of China Construction Bank (including without limitation the account to collect sale proceeds);</w:t>
      </w:r>
    </w:p>
    <w:p>
      <w:pPr>
        <w:spacing w:after="0" w:line="170" w:lineRule="exact"/>
        <w:rPr>
          <w:rFonts w:ascii="Arial" w:cs="Arial" w:eastAsia="Arial" w:hAnsi="Arial"/>
          <w:sz w:val="18"/>
          <w:szCs w:val="18"/>
          <w:color w:val="auto"/>
        </w:rPr>
      </w:pPr>
    </w:p>
    <w:p>
      <w:pPr>
        <w:ind w:left="2300" w:hanging="523"/>
        <w:spacing w:after="0"/>
        <w:tabs>
          <w:tab w:leader="none" w:pos="230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to terminate the Contract.</w:t>
      </w:r>
    </w:p>
    <w:p>
      <w:pPr>
        <w:spacing w:after="0" w:line="221" w:lineRule="exact"/>
        <w:rPr>
          <w:rFonts w:ascii="Arial" w:cs="Arial" w:eastAsia="Arial" w:hAnsi="Arial"/>
          <w:sz w:val="18"/>
          <w:szCs w:val="18"/>
          <w:color w:val="auto"/>
        </w:rPr>
      </w:pPr>
    </w:p>
    <w:p>
      <w:pPr>
        <w:ind w:left="340" w:hanging="332"/>
        <w:spacing w:after="0"/>
        <w:tabs>
          <w:tab w:leader="none" w:pos="3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Cost Allocation</w:t>
      </w:r>
    </w:p>
    <w:p>
      <w:pPr>
        <w:spacing w:after="0" w:line="225" w:lineRule="exact"/>
        <w:rPr>
          <w:sz w:val="20"/>
          <w:szCs w:val="20"/>
          <w:color w:val="auto"/>
        </w:rPr>
      </w:pPr>
    </w:p>
    <w:p>
      <w:pPr>
        <w:jc w:val="both"/>
        <w:ind w:left="1880" w:hanging="575"/>
        <w:spacing w:after="0" w:line="286" w:lineRule="auto"/>
        <w:tabs>
          <w:tab w:leader="none" w:pos="18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all costs and expenses incurred as a result of Party A’s breach of any provision in this Contract, including without limitation court fees, arbitration fees, property preservation fees, travel expenses, enforcement expenses, valuation/appraisal fees, auction fees, notary fees, service fees, public announcement costs, legal fees, shall be borne by Party A.</w:t>
      </w:r>
    </w:p>
    <w:p>
      <w:pPr>
        <w:spacing w:after="0" w:line="165" w:lineRule="exact"/>
        <w:rPr>
          <w:rFonts w:ascii="Arial" w:cs="Arial" w:eastAsia="Arial" w:hAnsi="Arial"/>
          <w:sz w:val="17"/>
          <w:szCs w:val="17"/>
          <w:color w:val="auto"/>
        </w:rPr>
      </w:pPr>
    </w:p>
    <w:p>
      <w:pPr>
        <w:ind w:left="1880" w:hanging="575"/>
        <w:spacing w:after="0"/>
        <w:tabs>
          <w:tab w:leader="none" w:pos="1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respect of other fees the parties agree as follows:</w:t>
      </w:r>
    </w:p>
    <w:p>
      <w:pPr>
        <w:spacing w:after="0" w:line="22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Use of Party A’s Information</w:t>
      </w:r>
    </w:p>
    <w:p>
      <w:pPr>
        <w:spacing w:after="0" w:line="225" w:lineRule="exact"/>
        <w:rPr>
          <w:sz w:val="20"/>
          <w:szCs w:val="20"/>
          <w:color w:val="auto"/>
        </w:rPr>
      </w:pPr>
    </w:p>
    <w:p>
      <w:pPr>
        <w:jc w:val="both"/>
        <w:ind w:left="1220" w:right="20"/>
        <w:spacing w:after="0" w:line="312" w:lineRule="auto"/>
        <w:rPr>
          <w:sz w:val="20"/>
          <w:szCs w:val="20"/>
          <w:color w:val="auto"/>
        </w:rPr>
      </w:pPr>
      <w:r>
        <w:rPr>
          <w:rFonts w:ascii="Arial" w:cs="Arial" w:eastAsia="Arial" w:hAnsi="Arial"/>
          <w:sz w:val="16"/>
          <w:szCs w:val="16"/>
          <w:color w:val="auto"/>
        </w:rPr>
        <w:t>Party A agrees that Party B is entitled to inquire about Party A’s creditworthiness with the Credit Database or relevant authorities established or approved by the People’s Bank of China and the Credit Reference Agency, and that Party B is entitled to provide Party A’s information to such Credit Database. Party A further agrees that Party B may reasonably use and disclose Party A’s information for business purpose.</w:t>
      </w:r>
    </w:p>
    <w:p>
      <w:pPr>
        <w:spacing w:after="0" w:line="1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Collection by Public Announcement</w:t>
      </w:r>
    </w:p>
    <w:p>
      <w:pPr>
        <w:spacing w:after="0" w:line="225" w:lineRule="exact"/>
        <w:rPr>
          <w:sz w:val="20"/>
          <w:szCs w:val="20"/>
          <w:color w:val="auto"/>
        </w:rPr>
      </w:pPr>
    </w:p>
    <w:p>
      <w:pPr>
        <w:jc w:val="both"/>
        <w:ind w:left="1220"/>
        <w:spacing w:after="0" w:line="277" w:lineRule="auto"/>
        <w:rPr>
          <w:sz w:val="20"/>
          <w:szCs w:val="20"/>
          <w:color w:val="auto"/>
        </w:rPr>
      </w:pPr>
      <w:r>
        <w:rPr>
          <w:rFonts w:ascii="Arial" w:cs="Arial" w:eastAsia="Arial" w:hAnsi="Arial"/>
          <w:sz w:val="18"/>
          <w:szCs w:val="18"/>
          <w:color w:val="auto"/>
        </w:rPr>
        <w:t>In the event that Party A fails to repay on time any principal or interest or breaches any other contractual obligations hereunder, Party B is entitled to report to relevant authorities and demand repayments by means of public announcement via press.</w:t>
      </w:r>
    </w:p>
    <w:p>
      <w:pPr>
        <w:spacing w:after="0" w:line="17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Party B’s Record as Evidence</w:t>
      </w:r>
    </w:p>
    <w:p>
      <w:pPr>
        <w:spacing w:after="0" w:line="225" w:lineRule="exact"/>
        <w:rPr>
          <w:sz w:val="20"/>
          <w:szCs w:val="20"/>
          <w:color w:val="auto"/>
        </w:rPr>
      </w:pPr>
    </w:p>
    <w:p>
      <w:pPr>
        <w:jc w:val="both"/>
        <w:ind w:left="1220"/>
        <w:spacing w:after="0" w:line="279" w:lineRule="auto"/>
        <w:rPr>
          <w:sz w:val="20"/>
          <w:szCs w:val="20"/>
          <w:color w:val="auto"/>
        </w:rPr>
      </w:pPr>
      <w:r>
        <w:rPr>
          <w:rFonts w:ascii="Arial" w:cs="Arial" w:eastAsia="Arial" w:hAnsi="Arial"/>
          <w:sz w:val="17"/>
          <w:szCs w:val="17"/>
          <w:color w:val="auto"/>
        </w:rPr>
        <w:t>Unless there is reliable and definitive evidence to the contrary, Party B’s internal records of principal, interest, expenses and repayment, receipts, vouchers made or retained by Party B during the course of drawdown, repayment and interest payment, and records and vouchers relating to the collections by Party B shall constitute valid evidence of the creditor-debtor relationship between the two parties. Party A shall not raise any objection merely because the above records, receipts, vouchers are made or retained by Party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3" w:name="page94"/>
    <w:bookmarkEnd w:id="93"/>
    <w:p>
      <w:pPr>
        <w:spacing w:after="0"/>
        <w:tabs>
          <w:tab w:leader="none" w:pos="5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No Waivers</w:t>
      </w:r>
    </w:p>
    <w:p>
      <w:pPr>
        <w:spacing w:after="0" w:line="225" w:lineRule="exact"/>
        <w:rPr>
          <w:sz w:val="20"/>
          <w:szCs w:val="20"/>
          <w:color w:val="auto"/>
        </w:rPr>
      </w:pPr>
    </w:p>
    <w:p>
      <w:pPr>
        <w:jc w:val="both"/>
        <w:ind w:left="560"/>
        <w:spacing w:after="0" w:line="257" w:lineRule="auto"/>
        <w:rPr>
          <w:sz w:val="20"/>
          <w:szCs w:val="20"/>
          <w:color w:val="auto"/>
        </w:rPr>
      </w:pPr>
      <w:r>
        <w:rPr>
          <w:rFonts w:ascii="Arial" w:cs="Arial" w:eastAsia="Arial" w:hAnsi="Arial"/>
          <w:sz w:val="18"/>
          <w:szCs w:val="18"/>
          <w:color w:val="auto"/>
        </w:rPr>
        <w:t>Party B’s rights hereunder shall not prejudice or exclude any other rights Party B is entitled to under applicable laws, regulations and other contracts. No forbearance, extension of time limit, preferential treatment or delay in exercising any right hereunder shall be deemed to constitute a waiver of rights and interests hereunder or permit or recognition of any breach of the Contract. Nor shall it restrict, prevent or interfere with the continuous exercise of such right at a later time or any other right, nor shall the foregoing cause Party B to be liable in any way to the Borrower.</w:t>
      </w:r>
    </w:p>
    <w:p>
      <w:pPr>
        <w:spacing w:after="0" w:line="188" w:lineRule="exact"/>
        <w:rPr>
          <w:sz w:val="20"/>
          <w:szCs w:val="20"/>
          <w:color w:val="auto"/>
        </w:rPr>
      </w:pPr>
    </w:p>
    <w:p>
      <w:pPr>
        <w:jc w:val="both"/>
        <w:ind w:left="560" w:hanging="566"/>
        <w:spacing w:after="0" w:line="264" w:lineRule="auto"/>
        <w:tabs>
          <w:tab w:leader="none" w:pos="540" w:val="left"/>
        </w:tabs>
        <w:rPr>
          <w:sz w:val="20"/>
          <w:szCs w:val="20"/>
          <w:color w:val="auto"/>
        </w:rPr>
      </w:pPr>
      <w:r>
        <w:rPr>
          <w:rFonts w:ascii="Arial" w:cs="Arial" w:eastAsia="Arial" w:hAnsi="Arial"/>
          <w:sz w:val="18"/>
          <w:szCs w:val="18"/>
          <w:color w:val="auto"/>
        </w:rPr>
        <w:t>11.6</w:t>
        <w:tab/>
        <w:t>If Party A owes Party B any other due and payable debts in addition to the debts hereunder, Party B may debit any of Party A’s account at China Construction Bank in RMB or other currencies and may choose to repay any of the due and payable debts in the order it deems appropriate. Party A agrees not to raise any objection with respect thereto.</w:t>
      </w:r>
    </w:p>
    <w:p>
      <w:pPr>
        <w:spacing w:after="0" w:line="181" w:lineRule="exact"/>
        <w:rPr>
          <w:sz w:val="20"/>
          <w:szCs w:val="20"/>
          <w:color w:val="auto"/>
        </w:rPr>
      </w:pPr>
    </w:p>
    <w:p>
      <w:pPr>
        <w:jc w:val="both"/>
        <w:ind w:left="560" w:hanging="566"/>
        <w:spacing w:after="0" w:line="277" w:lineRule="auto"/>
        <w:tabs>
          <w:tab w:leader="none" w:pos="540" w:val="left"/>
        </w:tabs>
        <w:rPr>
          <w:sz w:val="20"/>
          <w:szCs w:val="20"/>
          <w:color w:val="auto"/>
        </w:rPr>
      </w:pPr>
      <w:r>
        <w:rPr>
          <w:rFonts w:ascii="Arial" w:cs="Arial" w:eastAsia="Arial" w:hAnsi="Arial"/>
          <w:sz w:val="18"/>
          <w:szCs w:val="18"/>
          <w:color w:val="auto"/>
        </w:rPr>
        <w:t>11.7</w:t>
        <w:tab/>
        <w:t>In the event of any change to the address or other contact information, Party A shall promptly notify Party B of such change in writing. Party A shall be liable for any loss caused by its failure of giving prompt notice of such change.</w:t>
      </w:r>
    </w:p>
    <w:p>
      <w:pPr>
        <w:spacing w:after="0" w:line="17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7"/>
          <w:szCs w:val="17"/>
          <w:color w:val="auto"/>
        </w:rPr>
        <w:t>Direct Debit Right</w:t>
      </w:r>
    </w:p>
    <w:p>
      <w:pPr>
        <w:spacing w:after="0" w:line="225" w:lineRule="exact"/>
        <w:rPr>
          <w:sz w:val="20"/>
          <w:szCs w:val="20"/>
          <w:color w:val="auto"/>
        </w:rPr>
      </w:pPr>
    </w:p>
    <w:p>
      <w:pPr>
        <w:jc w:val="both"/>
        <w:ind w:left="560"/>
        <w:spacing w:after="0" w:line="264" w:lineRule="auto"/>
        <w:rPr>
          <w:sz w:val="20"/>
          <w:szCs w:val="20"/>
          <w:color w:val="auto"/>
        </w:rPr>
      </w:pPr>
      <w:r>
        <w:rPr>
          <w:rFonts w:ascii="Arial" w:cs="Arial" w:eastAsia="Arial" w:hAnsi="Arial"/>
          <w:sz w:val="18"/>
          <w:szCs w:val="18"/>
          <w:color w:val="auto"/>
        </w:rPr>
        <w:t>Party B is entitled to debit, without prior notice to Party A, any account of Party A at China Construction Bank in RMB or other currencies to pay all amounts payable under the Contract. Party A shall assist Party B to complete any procedures for foreign exchange settlement or sale, and Party A shall bear the risk of exchange rate fluctuation.</w:t>
      </w:r>
    </w:p>
    <w:p>
      <w:pPr>
        <w:spacing w:after="0" w:line="18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Dispute Resolution</w:t>
      </w:r>
    </w:p>
    <w:p>
      <w:pPr>
        <w:spacing w:after="0" w:line="225"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 xml:space="preserve">Any dispute arising from the performance of the Contract may be settled by consultation. If the dispute cannot be resolved through consultation, such dispute shall be submitted to </w:t>
      </w:r>
      <w:r>
        <w:rPr>
          <w:rFonts w:ascii="Arial" w:cs="Arial" w:eastAsia="Arial" w:hAnsi="Arial"/>
          <w:sz w:val="18"/>
          <w:szCs w:val="18"/>
          <w:u w:val="single" w:color="auto"/>
          <w:color w:val="auto"/>
        </w:rPr>
        <w:t>(1)</w:t>
      </w:r>
      <w:r>
        <w:rPr>
          <w:rFonts w:ascii="Arial" w:cs="Arial" w:eastAsia="Arial" w:hAnsi="Arial"/>
          <w:sz w:val="18"/>
          <w:szCs w:val="18"/>
          <w:color w:val="auto"/>
        </w:rPr>
        <w:t xml:space="preserve"> [please select from below]:</w:t>
      </w:r>
    </w:p>
    <w:p>
      <w:pPr>
        <w:spacing w:after="0" w:line="170" w:lineRule="exact"/>
        <w:rPr>
          <w:sz w:val="20"/>
          <w:szCs w:val="20"/>
          <w:color w:val="auto"/>
        </w:rPr>
      </w:pPr>
    </w:p>
    <w:p>
      <w:pPr>
        <w:ind w:left="1220" w:hanging="575"/>
        <w:spacing w:after="0"/>
        <w:tabs>
          <w:tab w:leader="none" w:pos="12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People’s court within the jurisdiction where Party B is located.</w:t>
      </w:r>
    </w:p>
    <w:p>
      <w:pPr>
        <w:spacing w:after="0" w:line="225" w:lineRule="exact"/>
        <w:rPr>
          <w:rFonts w:ascii="Arial" w:cs="Arial" w:eastAsia="Arial" w:hAnsi="Arial"/>
          <w:sz w:val="18"/>
          <w:szCs w:val="18"/>
          <w:color w:val="auto"/>
        </w:rPr>
      </w:pPr>
    </w:p>
    <w:p>
      <w:pPr>
        <w:ind w:left="1220" w:hanging="575"/>
        <w:spacing w:after="0" w:line="277" w:lineRule="auto"/>
        <w:tabs>
          <w:tab w:leader="none" w:pos="12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[name of the arbitration committee] for arbitration at </w:t>
      </w:r>
      <w:r>
        <w:rPr>
          <w:rFonts w:ascii="Arial" w:cs="Arial" w:eastAsia="Arial" w:hAnsi="Arial"/>
          <w:sz w:val="18"/>
          <w:szCs w:val="18"/>
          <w:u w:val="single" w:color="auto"/>
          <w:color w:val="auto"/>
        </w:rPr>
        <w:t>____</w:t>
      </w:r>
      <w:r>
        <w:rPr>
          <w:rFonts w:ascii="Arial" w:cs="Arial" w:eastAsia="Arial" w:hAnsi="Arial"/>
          <w:sz w:val="18"/>
          <w:szCs w:val="18"/>
          <w:color w:val="auto"/>
        </w:rPr>
        <w:t xml:space="preserve"> [place of arbitration] in accordance with the then prevailing arbitration rules. The arbitration award shall be final and binding on both Party A and Party B.</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undisputed provisions shall remain enforceable during the process of litigation or arbitration.</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94" w:name="page95"/>
    <w:bookmarkEnd w:id="94"/>
    <w:p>
      <w:pPr>
        <w:ind w:left="660"/>
        <w:spacing w:after="0"/>
        <w:tabs>
          <w:tab w:leader="none" w:pos="120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color w:val="auto"/>
        </w:rPr>
        <w:t>Effectiveness of the Contract</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Contract shall become effective upon:</w:t>
      </w:r>
    </w:p>
    <w:p>
      <w:pPr>
        <w:spacing w:after="0" w:line="225" w:lineRule="exact"/>
        <w:rPr>
          <w:sz w:val="20"/>
          <w:szCs w:val="20"/>
          <w:color w:val="auto"/>
        </w:rPr>
      </w:pPr>
    </w:p>
    <w:p>
      <w:pPr>
        <w:ind w:left="1880" w:right="20" w:hanging="575"/>
        <w:spacing w:after="0" w:line="277" w:lineRule="auto"/>
        <w:tabs>
          <w:tab w:leader="none" w:pos="1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execution by the legal representative/(principal officer) or authorized representative of Party A and being affixed with the company chop of Party A; and</w:t>
      </w:r>
    </w:p>
    <w:p>
      <w:pPr>
        <w:spacing w:after="0" w:line="170" w:lineRule="exact"/>
        <w:rPr>
          <w:rFonts w:ascii="Arial" w:cs="Arial" w:eastAsia="Arial" w:hAnsi="Arial"/>
          <w:sz w:val="18"/>
          <w:szCs w:val="18"/>
          <w:color w:val="auto"/>
        </w:rPr>
      </w:pPr>
    </w:p>
    <w:p>
      <w:pPr>
        <w:ind w:left="1880" w:hanging="575"/>
        <w:spacing w:after="0" w:line="277" w:lineRule="auto"/>
        <w:tabs>
          <w:tab w:leader="none" w:pos="1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execution by the principal officer or authorized representative of Party B and being affixed with the company chop of Party B. All Schedules of this Contract shall constitute integral parts of this Contract and shall be equally binding.</w:t>
      </w:r>
    </w:p>
    <w:p>
      <w:pPr>
        <w:spacing w:after="0" w:line="16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 xml:space="preserve">The Contract shall be executed in </w:t>
      </w:r>
      <w:r>
        <w:rPr>
          <w:rFonts w:ascii="Arial" w:cs="Arial" w:eastAsia="Arial" w:hAnsi="Arial"/>
          <w:sz w:val="16"/>
          <w:szCs w:val="16"/>
          <w:b w:val="1"/>
          <w:bCs w:val="1"/>
          <w:color w:val="auto"/>
        </w:rPr>
        <w:t>_______</w:t>
      </w:r>
      <w:r>
        <w:rPr>
          <w:rFonts w:ascii="Arial" w:cs="Arial" w:eastAsia="Arial" w:hAnsi="Arial"/>
          <w:sz w:val="16"/>
          <w:szCs w:val="16"/>
          <w:color w:val="auto"/>
        </w:rPr>
        <w:t xml:space="preserve"> counterparts.</w:t>
      </w:r>
    </w:p>
    <w:p>
      <w:pPr>
        <w:spacing w:after="0" w:line="22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color w:val="auto"/>
        </w:rPr>
        <w:t>Other Provisions:</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___________________________________________________________________________________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REPRESENTATIONS</w:t>
      </w:r>
    </w:p>
    <w:p>
      <w:pPr>
        <w:spacing w:after="0" w:line="12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Party A clearly understands the business scope and authorization limit of Party B.</w:t>
      </w:r>
    </w:p>
    <w:p>
      <w:pPr>
        <w:spacing w:after="0" w:line="225" w:lineRule="exact"/>
        <w:rPr>
          <w:sz w:val="20"/>
          <w:szCs w:val="20"/>
          <w:color w:val="auto"/>
        </w:rPr>
      </w:pPr>
    </w:p>
    <w:p>
      <w:pPr>
        <w:jc w:val="both"/>
        <w:ind w:left="1220" w:right="20" w:hanging="566"/>
        <w:spacing w:after="0" w:line="277" w:lineRule="auto"/>
        <w:tabs>
          <w:tab w:leader="none" w:pos="1200" w:val="left"/>
        </w:tabs>
        <w:rPr>
          <w:sz w:val="20"/>
          <w:szCs w:val="20"/>
          <w:color w:val="auto"/>
        </w:rPr>
      </w:pPr>
      <w:r>
        <w:rPr>
          <w:rFonts w:ascii="Arial" w:cs="Arial" w:eastAsia="Arial" w:hAnsi="Arial"/>
          <w:sz w:val="18"/>
          <w:szCs w:val="18"/>
          <w:color w:val="auto"/>
        </w:rPr>
        <w:t>12.2</w:t>
        <w:tab/>
        <w:t>Party A has read the Contract. Party B, at Party A’s request, has explained the terms of the Contract, and Party A fully understands their meanings and corresponding legal consequences.</w:t>
      </w:r>
    </w:p>
    <w:p>
      <w:pPr>
        <w:spacing w:after="0" w:line="170" w:lineRule="exact"/>
        <w:rPr>
          <w:sz w:val="20"/>
          <w:szCs w:val="20"/>
          <w:color w:val="auto"/>
        </w:rPr>
      </w:pPr>
    </w:p>
    <w:p>
      <w:pPr>
        <w:jc w:val="both"/>
        <w:ind w:left="1220" w:hanging="566"/>
        <w:spacing w:after="0" w:line="264" w:lineRule="auto"/>
        <w:tabs>
          <w:tab w:leader="none" w:pos="1200" w:val="left"/>
        </w:tabs>
        <w:rPr>
          <w:sz w:val="20"/>
          <w:szCs w:val="20"/>
          <w:color w:val="auto"/>
        </w:rPr>
      </w:pPr>
      <w:r>
        <w:rPr>
          <w:rFonts w:ascii="Arial" w:cs="Arial" w:eastAsia="Arial" w:hAnsi="Arial"/>
          <w:sz w:val="18"/>
          <w:szCs w:val="18"/>
          <w:color w:val="auto"/>
        </w:rPr>
        <w:t>12.3</w:t>
        <w:tab/>
        <w:t>The execution and performance of the Contract by Party A is in compliance with laws, administrative regulations, rules and Party A’s articles of association (or its other internal constitutional documents) and has been approved by its internal competent organization and/or the competent governmental authorities.</w:t>
      </w:r>
    </w:p>
    <w:p>
      <w:pPr>
        <w:spacing w:after="0" w:line="18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Party A carries out production and operation in compliance with laws and regulations.</w:t>
      </w:r>
    </w:p>
    <w:p>
      <w:pPr>
        <w:spacing w:after="0" w:line="22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Party A has the capability to keep its business going and has the legitimate sources to repay the loan.</w:t>
      </w:r>
    </w:p>
    <w:p>
      <w:pPr>
        <w:spacing w:after="0" w:line="225" w:lineRule="exact"/>
        <w:rPr>
          <w:sz w:val="20"/>
          <w:szCs w:val="20"/>
          <w:color w:val="auto"/>
        </w:rPr>
      </w:pPr>
    </w:p>
    <w:p>
      <w:pPr>
        <w:jc w:val="both"/>
        <w:ind w:left="1220" w:hanging="566"/>
        <w:spacing w:after="0" w:line="277" w:lineRule="auto"/>
        <w:tabs>
          <w:tab w:leader="none" w:pos="1200" w:val="left"/>
        </w:tabs>
        <w:rPr>
          <w:sz w:val="20"/>
          <w:szCs w:val="20"/>
          <w:color w:val="auto"/>
        </w:rPr>
      </w:pPr>
      <w:r>
        <w:rPr>
          <w:rFonts w:ascii="Arial" w:cs="Arial" w:eastAsia="Arial" w:hAnsi="Arial"/>
          <w:sz w:val="18"/>
          <w:szCs w:val="18"/>
          <w:color w:val="auto"/>
        </w:rPr>
        <w:t>12.6</w:t>
        <w:tab/>
        <w:t>Party A warrants that the loan amount requested under this Contract is no more than necessary to meet the real needs of Party A for the purposes specified herein.</w:t>
      </w:r>
    </w:p>
    <w:p>
      <w:pPr>
        <w:spacing w:after="0" w:line="17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Both Party A and its controlling shareholder have good financial standing and have no record of gross misconducts.</w:t>
      </w:r>
    </w:p>
    <w:p>
      <w:pPr>
        <w:spacing w:after="0" w:line="225" w:lineRule="exact"/>
        <w:rPr>
          <w:sz w:val="20"/>
          <w:szCs w:val="20"/>
          <w:color w:val="auto"/>
        </w:rPr>
      </w:pPr>
    </w:p>
    <w:p>
      <w:pPr>
        <w:jc w:val="both"/>
        <w:ind w:left="1220" w:right="20" w:hanging="566"/>
        <w:spacing w:after="0" w:line="277" w:lineRule="auto"/>
        <w:tabs>
          <w:tab w:leader="none" w:pos="1200" w:val="left"/>
        </w:tabs>
        <w:rPr>
          <w:sz w:val="20"/>
          <w:szCs w:val="20"/>
          <w:color w:val="auto"/>
        </w:rPr>
      </w:pPr>
      <w:r>
        <w:rPr>
          <w:rFonts w:ascii="Arial" w:cs="Arial" w:eastAsia="Arial" w:hAnsi="Arial"/>
          <w:sz w:val="18"/>
          <w:szCs w:val="18"/>
          <w:color w:val="auto"/>
        </w:rPr>
        <w:t>12.8</w:t>
        <w:tab/>
        <w:t>Party A agrees that Party B has the right to instruct other branches of China Construction Bank to advance loan under this Contract and to exercise or perform the rights and obligations hereunder.</w:t>
      </w:r>
    </w:p>
    <w:p>
      <w:pPr>
        <w:spacing w:after="0" w:line="170" w:lineRule="exact"/>
        <w:rPr>
          <w:sz w:val="20"/>
          <w:szCs w:val="20"/>
          <w:color w:val="auto"/>
        </w:rPr>
      </w:pPr>
    </w:p>
    <w:p>
      <w:pPr>
        <w:jc w:val="both"/>
        <w:ind w:left="1220" w:hanging="566"/>
        <w:spacing w:after="0" w:line="273" w:lineRule="auto"/>
        <w:tabs>
          <w:tab w:leader="none" w:pos="120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7"/>
          <w:szCs w:val="17"/>
          <w:color w:val="auto"/>
        </w:rPr>
        <w:t>Party A represents that, at the time of execution of this Contract, there exists no action or event that violates any applicable laws, regulations or rules in relation to environmental protection, energy saving and emission/pollution reduction (the “Environmental Laws”). Party A further warrants that it shall strictly comply with such Environmental Law after the execution of this Contract. If any of the above representations or warranties is untrue, or Party A defaults on any of the above undertakings, or there is any potential risk of energy dissipation or pollution by Party A, Party B is entitled to stop advancing loans, to declare an acceleration of the principal and interest not yet due hereunder, or adopt other remedial measures provided hereunder or permitted by laws.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 xml:space="preserve">Party A </w:t>
      </w:r>
      <w:r>
        <w:rPr>
          <w:rFonts w:ascii="Arial" w:cs="Arial" w:eastAsia="Arial" w:hAnsi="Arial"/>
          <w:sz w:val="18"/>
          <w:szCs w:val="18"/>
          <w:color w:val="auto"/>
        </w:rPr>
        <w:t>(Company Chop)</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By the legal representative (principal officer) or authorized representative: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Signature: 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Party B </w:t>
      </w:r>
      <w:r>
        <w:rPr>
          <w:rFonts w:ascii="Arial" w:cs="Arial" w:eastAsia="Arial" w:hAnsi="Arial"/>
          <w:sz w:val="18"/>
          <w:szCs w:val="18"/>
          <w:color w:val="auto"/>
        </w:rPr>
        <w:t>(Company Chop)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the principal officer or authorized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61" w:right="1440"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Schedule 1</w:t>
      </w: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Loan Information</w:t>
      </w:r>
    </w:p>
    <w:p>
      <w:pPr>
        <w:spacing w:after="0" w:line="200" w:lineRule="exact"/>
        <w:rPr>
          <w:sz w:val="20"/>
          <w:szCs w:val="20"/>
          <w:color w:val="auto"/>
        </w:rPr>
      </w:pPr>
    </w:p>
    <w:p>
      <w:pPr>
        <w:spacing w:after="0" w:line="24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 Specific purposes of the loan:</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This Loan is used for company’s daily operation expense, including material purchase payment and employee’s salary.</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Party A shall not change the purpose of the loan without Party B’s written consent.</w:t>
      </w:r>
    </w:p>
    <w:p>
      <w:pPr>
        <w:spacing w:after="0" w:line="333" w:lineRule="exact"/>
        <w:rPr>
          <w:sz w:val="20"/>
          <w:szCs w:val="20"/>
          <w:color w:val="auto"/>
        </w:rPr>
      </w:pPr>
    </w:p>
    <w:p>
      <w:pPr>
        <w:ind w:left="820" w:right="7400" w:hanging="434"/>
        <w:spacing w:after="0" w:line="483" w:lineRule="auto"/>
        <w:tabs>
          <w:tab w:leader="none" w:pos="56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Sources of funds for loan repayment: </w:t>
      </w:r>
      <w:r>
        <w:rPr>
          <w:rFonts w:ascii="Arial" w:cs="Arial" w:eastAsia="Arial" w:hAnsi="Arial"/>
          <w:sz w:val="16"/>
          <w:szCs w:val="16"/>
          <w:u w:val="single" w:color="auto"/>
          <w:color w:val="auto"/>
        </w:rPr>
        <w:t>Company’s proceeds of sales.</w:t>
      </w:r>
    </w:p>
    <w:p>
      <w:pPr>
        <w:spacing w:after="0" w:line="1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Party A guarantees the truthfulness and legality of such sources of funds and the steadiness and adequacy of cash flows of such sources.</w:t>
      </w:r>
    </w:p>
    <w:p>
      <w:pPr>
        <w:spacing w:after="0" w:line="356" w:lineRule="exact"/>
        <w:rPr>
          <w:sz w:val="20"/>
          <w:szCs w:val="20"/>
          <w:color w:val="auto"/>
        </w:rPr>
      </w:pPr>
    </w:p>
    <w:p>
      <w:pPr>
        <w:ind w:left="560" w:hanging="174"/>
        <w:spacing w:after="0"/>
        <w:tabs>
          <w:tab w:leader="none" w:pos="5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117"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40"/>
          </w:cols>
          <w:pgMar w:left="240" w:top="661" w:right="101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Schedule 2</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Mandatory Financial Indicators</w:t>
      </w:r>
    </w:p>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Financial indicators of Party A shall on a continuous basis meet the following requirements:</w:t>
      </w:r>
    </w:p>
    <w:p>
      <w:pPr>
        <w:spacing w:after="0" w:line="100"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2440" w:type="dxa"/>
            <w:vAlign w:val="bottom"/>
          </w:tcPr>
          <w:p>
            <w:pPr>
              <w:spacing w:after="0"/>
              <w:rPr>
                <w:sz w:val="20"/>
                <w:szCs w:val="20"/>
                <w:color w:val="auto"/>
              </w:rPr>
            </w:pPr>
            <w:r>
              <w:rPr>
                <w:rFonts w:ascii="Arial" w:cs="Arial" w:eastAsia="Arial" w:hAnsi="Arial"/>
                <w:sz w:val="18"/>
                <w:szCs w:val="18"/>
                <w:color w:val="auto"/>
                <w:w w:val="96"/>
              </w:rPr>
              <w:t>Maximum Monthly Capital/Debt</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304"/>
        </w:trPr>
        <w:tc>
          <w:tcPr>
            <w:tcW w:w="2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Minimum Current Ratio:</w:t>
            </w:r>
          </w:p>
        </w:tc>
        <w:tc>
          <w:tcPr>
            <w:tcW w:w="58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100%</w:t>
            </w:r>
          </w:p>
        </w:tc>
        <w:tc>
          <w:tcPr>
            <w:tcW w:w="4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4"/>
        </w:trPr>
        <w:tc>
          <w:tcPr>
            <w:tcW w:w="2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Minimum liquidity Ratio:</w:t>
            </w:r>
          </w:p>
        </w:tc>
        <w:tc>
          <w:tcPr>
            <w:tcW w:w="5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4"/>
        </w:trPr>
        <w:tc>
          <w:tcPr>
            <w:tcW w:w="29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6"/>
              </w:rPr>
              <w:t>Maximum contingency liability/Capital</w:t>
            </w:r>
          </w:p>
        </w:tc>
        <w:tc>
          <w:tcPr>
            <w:tcW w:w="120" w:type="dxa"/>
            <w:vAlign w:val="bottom"/>
            <w:tcBorders>
              <w:bottom w:val="single" w:sz="8" w:color="auto"/>
            </w:tcBorders>
            <w:gridSpan w:val="2"/>
          </w:tcPr>
          <w:p>
            <w:pPr>
              <w:spacing w:after="0"/>
              <w:rPr>
                <w:sz w:val="24"/>
                <w:szCs w:val="2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4"/>
        </w:trPr>
        <w:tc>
          <w:tcPr>
            <w:tcW w:w="422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rPr>
              <w:t>Maximum accumulated long term investment/Capital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00" w:lineRule="exact"/>
        <w:rPr>
          <w:sz w:val="20"/>
          <w:szCs w:val="20"/>
          <w:color w:val="auto"/>
        </w:rPr>
      </w:pPr>
    </w:p>
    <w:p>
      <w:pPr>
        <w:spacing w:after="0" w:line="241"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color w:val="auto"/>
        </w:rPr>
        <w:t xml:space="preserve">Party B has the right to change unilaterally such requirements as to mandatory indicators provided that </w:t>
      </w:r>
      <w:r>
        <w:rPr>
          <w:rFonts w:ascii="Arial" w:cs="Arial" w:eastAsia="Arial" w:hAnsi="Arial"/>
          <w:sz w:val="18"/>
          <w:szCs w:val="18"/>
          <w:u w:val="single" w:color="auto"/>
          <w:color w:val="auto"/>
        </w:rPr>
        <w:t>FIVE</w:t>
      </w:r>
      <w:r>
        <w:rPr>
          <w:rFonts w:ascii="Arial" w:cs="Arial" w:eastAsia="Arial" w:hAnsi="Arial"/>
          <w:sz w:val="18"/>
          <w:szCs w:val="18"/>
          <w:color w:val="auto"/>
        </w:rPr>
        <w:t xml:space="preserve"> working-day advanced notice is issued to Party A.</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Schedule 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for Loan Drawdown</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Contract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7240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24025"/>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Date of Drawdown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No.</w:t>
            </w:r>
          </w:p>
        </w:tc>
        <w:tc>
          <w:tcPr>
            <w:tcW w:w="2420" w:type="dxa"/>
            <w:vAlign w:val="bottom"/>
            <w:tcBorders>
              <w:top w:val="single" w:sz="8" w:color="auto"/>
              <w:right w:val="single" w:sz="8" w:color="auto"/>
            </w:tcBorders>
          </w:tcPr>
          <w:p>
            <w:pPr>
              <w:ind w:left="540"/>
              <w:spacing w:after="0" w:line="195" w:lineRule="exact"/>
              <w:rPr>
                <w:sz w:val="20"/>
                <w:szCs w:val="20"/>
                <w:color w:val="auto"/>
              </w:rPr>
            </w:pPr>
            <w:r>
              <w:rPr>
                <w:rFonts w:ascii="Arial" w:cs="Arial" w:eastAsia="Arial" w:hAnsi="Arial"/>
                <w:sz w:val="18"/>
                <w:szCs w:val="18"/>
                <w:color w:val="auto"/>
              </w:rPr>
              <w:t>Proposed Purpose</w:t>
            </w:r>
          </w:p>
        </w:tc>
        <w:tc>
          <w:tcPr>
            <w:tcW w:w="2720" w:type="dxa"/>
            <w:vAlign w:val="bottom"/>
            <w:tcBorders>
              <w:top w:val="single" w:sz="8" w:color="auto"/>
              <w:right w:val="single" w:sz="8" w:color="auto"/>
            </w:tcBorders>
          </w:tcPr>
          <w:p>
            <w:pPr>
              <w:ind w:left="360"/>
              <w:spacing w:after="0" w:line="195" w:lineRule="exact"/>
              <w:rPr>
                <w:sz w:val="20"/>
                <w:szCs w:val="20"/>
                <w:color w:val="auto"/>
              </w:rPr>
            </w:pPr>
            <w:r>
              <w:rPr>
                <w:rFonts w:ascii="Arial" w:cs="Arial" w:eastAsia="Arial" w:hAnsi="Arial"/>
                <w:sz w:val="18"/>
                <w:szCs w:val="18"/>
                <w:color w:val="auto"/>
              </w:rPr>
              <w:t>Proposed Payment Amount</w:t>
            </w:r>
          </w:p>
        </w:tc>
        <w:tc>
          <w:tcPr>
            <w:tcW w:w="398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Proposed Recipient</w:t>
            </w:r>
          </w:p>
        </w:tc>
        <w:tc>
          <w:tcPr>
            <w:tcW w:w="1360" w:type="dxa"/>
            <w:vAlign w:val="bottom"/>
            <w:tcBorders>
              <w:top w:val="single" w:sz="8" w:color="auto"/>
            </w:tcBorders>
          </w:tcPr>
          <w:p>
            <w:pPr>
              <w:ind w:left="460"/>
              <w:spacing w:after="0" w:line="195" w:lineRule="exact"/>
              <w:rPr>
                <w:sz w:val="20"/>
                <w:szCs w:val="20"/>
                <w:color w:val="auto"/>
              </w:rPr>
            </w:pPr>
            <w:r>
              <w:rPr>
                <w:rFonts w:ascii="Arial" w:cs="Arial" w:eastAsia="Arial" w:hAnsi="Arial"/>
                <w:sz w:val="18"/>
                <w:szCs w:val="18"/>
                <w:color w:val="auto"/>
              </w:rPr>
              <w:t>Notes</w:t>
            </w:r>
          </w:p>
        </w:tc>
      </w:tr>
      <w:tr>
        <w:trPr>
          <w:trHeight w:val="230"/>
        </w:trPr>
        <w:tc>
          <w:tcPr>
            <w:tcW w:w="940" w:type="dxa"/>
            <w:vAlign w:val="bottom"/>
            <w:tcBorders>
              <w:bottom w:val="single" w:sz="8" w:color="auto"/>
              <w:right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(if any)</w:t>
            </w:r>
          </w:p>
        </w:tc>
        <w:tc>
          <w:tcPr>
            <w:tcW w:w="1360" w:type="dxa"/>
            <w:vAlign w:val="bottom"/>
            <w:tcBorders>
              <w:bottom w:val="single" w:sz="8" w:color="auto"/>
            </w:tcBorders>
          </w:tcPr>
          <w:p>
            <w:pPr>
              <w:spacing w:after="0"/>
              <w:rPr>
                <w:sz w:val="20"/>
                <w:szCs w:val="20"/>
                <w:color w:val="auto"/>
              </w:rPr>
            </w:pPr>
          </w:p>
        </w:tc>
      </w:tr>
      <w:tr>
        <w:trPr>
          <w:trHeight w:val="210"/>
        </w:trPr>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42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0"/>
        </w:trPr>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42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195"/>
        </w:trPr>
        <w:tc>
          <w:tcPr>
            <w:tcW w:w="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42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30"/>
        </w:trPr>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2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39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10"/>
        </w:trPr>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Total</w:t>
            </w:r>
          </w:p>
        </w:tc>
        <w:tc>
          <w:tcPr>
            <w:tcW w:w="2420" w:type="dxa"/>
            <w:vAlign w:val="bottom"/>
            <w:tcBorders>
              <w:bottom w:val="single" w:sz="8" w:color="auto"/>
            </w:tcBorders>
          </w:tcPr>
          <w:p>
            <w:pPr>
              <w:spacing w:after="0"/>
              <w:rPr>
                <w:sz w:val="18"/>
                <w:szCs w:val="18"/>
                <w:color w:val="auto"/>
              </w:rPr>
            </w:pPr>
          </w:p>
        </w:tc>
        <w:tc>
          <w:tcPr>
            <w:tcW w:w="6700" w:type="dxa"/>
            <w:vAlign w:val="bottom"/>
            <w:tcBorders>
              <w:bottom w:val="single" w:sz="8" w:color="auto"/>
            </w:tcBorders>
            <w:gridSpan w:val="2"/>
          </w:tcPr>
          <w:p>
            <w:pPr>
              <w:ind w:left="1940"/>
              <w:spacing w:after="0"/>
              <w:rPr>
                <w:sz w:val="20"/>
                <w:szCs w:val="20"/>
                <w:color w:val="auto"/>
              </w:rPr>
            </w:pPr>
            <w:r>
              <w:rPr>
                <w:rFonts w:ascii="Arial" w:cs="Arial" w:eastAsia="Arial" w:hAnsi="Arial"/>
                <w:sz w:val="18"/>
                <w:szCs w:val="18"/>
                <w:color w:val="auto"/>
              </w:rPr>
              <w:t>RMB (CAPITALIZE WORDS)</w:t>
            </w:r>
          </w:p>
        </w:tc>
        <w:tc>
          <w:tcPr>
            <w:tcW w:w="136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 of the Borrower (company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85"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Schedule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report on payment at Party A’s initiative</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Contract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24269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242697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 of Delivery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NO.</w:t>
            </w:r>
          </w:p>
        </w:tc>
        <w:tc>
          <w:tcPr>
            <w:tcW w:w="188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Actual purpose of the</w:t>
            </w:r>
          </w:p>
        </w:tc>
        <w:tc>
          <w:tcPr>
            <w:tcW w:w="1140" w:type="dxa"/>
            <w:vAlign w:val="bottom"/>
            <w:tcBorders>
              <w:top w:val="single" w:sz="8" w:color="auto"/>
              <w:right w:val="single" w:sz="8" w:color="auto"/>
            </w:tcBorders>
            <w:vMerge w:val="restart"/>
          </w:tcPr>
          <w:p>
            <w:pPr>
              <w:ind w:left="220"/>
              <w:spacing w:after="0"/>
              <w:rPr>
                <w:sz w:val="20"/>
                <w:szCs w:val="20"/>
                <w:color w:val="auto"/>
              </w:rPr>
            </w:pPr>
            <w:r>
              <w:rPr>
                <w:rFonts w:ascii="Arial" w:cs="Arial" w:eastAsia="Arial" w:hAnsi="Arial"/>
                <w:sz w:val="18"/>
                <w:szCs w:val="18"/>
                <w:color w:val="auto"/>
              </w:rPr>
              <w:t>Recipient</w:t>
            </w:r>
          </w:p>
        </w:tc>
        <w:tc>
          <w:tcPr>
            <w:tcW w:w="82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Amount</w:t>
            </w:r>
          </w:p>
        </w:tc>
        <w:tc>
          <w:tcPr>
            <w:tcW w:w="1540" w:type="dxa"/>
            <w:vAlign w:val="bottom"/>
            <w:tcBorders>
              <w:top w:val="single" w:sz="8" w:color="auto"/>
              <w:right w:val="single" w:sz="8" w:color="auto"/>
            </w:tcBorders>
          </w:tcPr>
          <w:p>
            <w:pPr>
              <w:ind w:left="340"/>
              <w:spacing w:after="0" w:line="195" w:lineRule="exact"/>
              <w:rPr>
                <w:sz w:val="20"/>
                <w:szCs w:val="20"/>
                <w:color w:val="auto"/>
              </w:rPr>
            </w:pPr>
            <w:r>
              <w:rPr>
                <w:rFonts w:ascii="Arial" w:cs="Arial" w:eastAsia="Arial" w:hAnsi="Arial"/>
                <w:sz w:val="18"/>
                <w:szCs w:val="18"/>
                <w:color w:val="auto"/>
              </w:rPr>
              <w:t>Evidencing</w:t>
            </w:r>
          </w:p>
        </w:tc>
        <w:tc>
          <w:tcPr>
            <w:tcW w:w="4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Whether or not in compliance with the purpose specified in this</w:t>
            </w:r>
          </w:p>
        </w:tc>
        <w:tc>
          <w:tcPr>
            <w:tcW w:w="0" w:type="dxa"/>
            <w:vAlign w:val="bottom"/>
          </w:tcPr>
          <w:p>
            <w:pPr>
              <w:spacing w:after="0"/>
              <w:rPr>
                <w:sz w:val="1"/>
                <w:szCs w:val="1"/>
                <w:color w:val="auto"/>
              </w:rPr>
            </w:pPr>
          </w:p>
        </w:tc>
      </w:tr>
      <w:tr>
        <w:trPr>
          <w:trHeight w:val="122"/>
        </w:trPr>
        <w:tc>
          <w:tcPr>
            <w:tcW w:w="118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Loan</w:t>
            </w:r>
          </w:p>
        </w:tc>
        <w:tc>
          <w:tcPr>
            <w:tcW w:w="114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15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8"/>
                <w:szCs w:val="18"/>
                <w:color w:val="auto"/>
              </w:rPr>
              <w:t>Materials</w:t>
            </w:r>
          </w:p>
        </w:tc>
        <w:tc>
          <w:tcPr>
            <w:tcW w:w="4860" w:type="dxa"/>
            <w:vAlign w:val="bottom"/>
            <w:vMerge w:val="restart"/>
          </w:tcPr>
          <w:p>
            <w:pPr>
              <w:jc w:val="center"/>
              <w:spacing w:after="0"/>
              <w:rPr>
                <w:sz w:val="20"/>
                <w:szCs w:val="20"/>
                <w:color w:val="auto"/>
              </w:rPr>
            </w:pPr>
            <w:r>
              <w:rPr>
                <w:rFonts w:ascii="Arial" w:cs="Arial" w:eastAsia="Arial" w:hAnsi="Arial"/>
                <w:sz w:val="18"/>
                <w:szCs w:val="18"/>
                <w:color w:val="auto"/>
                <w:w w:val="91"/>
              </w:rPr>
              <w:t>Contract</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vMerge w:val="continue"/>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vMerge w:val="continue"/>
          </w:tcPr>
          <w:p>
            <w:pPr>
              <w:spacing w:after="0"/>
              <w:rPr>
                <w:sz w:val="9"/>
                <w:szCs w:val="9"/>
                <w:color w:val="auto"/>
              </w:rPr>
            </w:pPr>
          </w:p>
        </w:tc>
        <w:tc>
          <w:tcPr>
            <w:tcW w:w="48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88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188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total</w:t>
            </w:r>
          </w:p>
        </w:tc>
        <w:tc>
          <w:tcPr>
            <w:tcW w:w="18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40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color w:val="auto"/>
              </w:rPr>
              <w:t>RMB (CAPITALIZE WORDS)</w:t>
            </w:r>
          </w:p>
        </w:tc>
        <w:tc>
          <w:tcPr>
            <w:tcW w:w="0" w:type="dxa"/>
            <w:vAlign w:val="bottom"/>
          </w:tcPr>
          <w:p>
            <w:pPr>
              <w:spacing w:after="0"/>
              <w:rPr>
                <w:sz w:val="1"/>
                <w:szCs w:val="1"/>
                <w:color w:val="auto"/>
              </w:rPr>
            </w:pPr>
          </w:p>
        </w:tc>
      </w:tr>
      <w:tr>
        <w:trPr>
          <w:trHeight w:val="642"/>
        </w:trPr>
        <w:tc>
          <w:tcPr>
            <w:tcW w:w="30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93"/>
              </w:rPr>
              <w:t>Name of the Borrower (company seal):</w:t>
            </w:r>
          </w:p>
        </w:tc>
        <w:tc>
          <w:tcPr>
            <w:tcW w:w="1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2"/>
        </w:trPr>
        <w:tc>
          <w:tcPr>
            <w:tcW w:w="1180" w:type="dxa"/>
            <w:vAlign w:val="bottom"/>
          </w:tcPr>
          <w:p>
            <w:pPr>
              <w:jc w:val="center"/>
              <w:spacing w:after="0"/>
              <w:rPr>
                <w:sz w:val="20"/>
                <w:szCs w:val="20"/>
                <w:color w:val="auto"/>
              </w:rPr>
            </w:pPr>
            <w:r>
              <w:rPr>
                <w:rFonts w:ascii="Arial" w:cs="Arial" w:eastAsia="Arial" w:hAnsi="Arial"/>
                <w:sz w:val="18"/>
                <w:szCs w:val="18"/>
                <w:color w:val="auto"/>
                <w:w w:val="93"/>
              </w:rPr>
              <w:t>Internal</w:t>
            </w:r>
          </w:p>
        </w:tc>
        <w:tc>
          <w:tcPr>
            <w:tcW w:w="18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ind w:left="1840"/>
              <w:spacing w:after="0"/>
              <w:rPr>
                <w:sz w:val="20"/>
                <w:szCs w:val="20"/>
                <w:color w:val="auto"/>
              </w:rPr>
            </w:pPr>
            <w:r>
              <w:rPr>
                <w:rFonts w:ascii="Arial" w:cs="Arial" w:eastAsia="Arial" w:hAnsi="Arial"/>
                <w:sz w:val="18"/>
                <w:szCs w:val="18"/>
                <w:color w:val="auto"/>
              </w:rPr>
              <w:t>Relationship Manager (signature):</w:t>
            </w:r>
          </w:p>
        </w:tc>
        <w:tc>
          <w:tcPr>
            <w:tcW w:w="0" w:type="dxa"/>
            <w:vAlign w:val="bottom"/>
          </w:tcPr>
          <w:p>
            <w:pPr>
              <w:spacing w:after="0"/>
              <w:rPr>
                <w:sz w:val="1"/>
                <w:szCs w:val="1"/>
                <w:color w:val="auto"/>
              </w:rPr>
            </w:pPr>
          </w:p>
        </w:tc>
      </w:tr>
      <w:tr>
        <w:trPr>
          <w:trHeight w:val="210"/>
        </w:trPr>
        <w:tc>
          <w:tcPr>
            <w:tcW w:w="1180" w:type="dxa"/>
            <w:vAlign w:val="bottom"/>
          </w:tcPr>
          <w:p>
            <w:pPr>
              <w:jc w:val="center"/>
              <w:spacing w:after="0"/>
              <w:rPr>
                <w:sz w:val="20"/>
                <w:szCs w:val="20"/>
                <w:color w:val="auto"/>
              </w:rPr>
            </w:pPr>
            <w:r>
              <w:rPr>
                <w:rFonts w:ascii="Arial" w:cs="Arial" w:eastAsia="Arial" w:hAnsi="Arial"/>
                <w:sz w:val="18"/>
                <w:szCs w:val="18"/>
                <w:color w:val="auto"/>
                <w:w w:val="92"/>
              </w:rPr>
              <w:t>review</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Officer in charge of reviewing loan advances and payments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Schedule A to Form of USD Trust Receipt Loan Agreement</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Loan</w:t>
            </w:r>
          </w:p>
        </w:tc>
        <w:tc>
          <w:tcPr>
            <w:tcW w:w="14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w w:val="98"/>
              </w:rPr>
              <w:t>Loan Expiration</w:t>
            </w:r>
          </w:p>
        </w:tc>
        <w:tc>
          <w:tcPr>
            <w:tcW w:w="150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Loan Amount</w:t>
            </w:r>
          </w:p>
        </w:tc>
        <w:tc>
          <w:tcPr>
            <w:tcW w:w="2960" w:type="dxa"/>
            <w:vAlign w:val="bottom"/>
            <w:tcBorders>
              <w:top w:val="single" w:sz="8" w:color="auto"/>
              <w:right w:val="single" w:sz="8" w:color="auto"/>
            </w:tcBorders>
          </w:tcPr>
          <w:p>
            <w:pPr>
              <w:ind w:left="1060"/>
              <w:spacing w:after="0"/>
              <w:rPr>
                <w:sz w:val="20"/>
                <w:szCs w:val="20"/>
                <w:color w:val="auto"/>
              </w:rPr>
            </w:pPr>
            <w:r>
              <w:rPr>
                <w:rFonts w:ascii="Arial" w:cs="Arial" w:eastAsia="Arial" w:hAnsi="Arial"/>
                <w:sz w:val="18"/>
                <w:szCs w:val="18"/>
                <w:b w:val="1"/>
                <w:bCs w:val="1"/>
                <w:color w:val="auto"/>
              </w:rPr>
              <w:t>Loan Rate</w:t>
            </w:r>
          </w:p>
        </w:tc>
        <w:tc>
          <w:tcPr>
            <w:tcW w:w="148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auto"/>
              </w:rPr>
              <w:t>Drawdown</w:t>
            </w:r>
          </w:p>
        </w:tc>
        <w:tc>
          <w:tcPr>
            <w:tcW w:w="226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w w:val="96"/>
              </w:rPr>
              <w:t>Schedule for Repayment</w:t>
            </w:r>
          </w:p>
        </w:tc>
      </w:tr>
      <w:tr>
        <w:trPr>
          <w:trHeight w:val="216"/>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Commencement</w:t>
            </w:r>
          </w:p>
        </w:tc>
        <w:tc>
          <w:tcPr>
            <w:tcW w:w="1480" w:type="dxa"/>
            <w:vAlign w:val="bottom"/>
            <w:tcBorders>
              <w:right w:val="single" w:sz="8" w:color="auto"/>
            </w:tcBorders>
          </w:tcPr>
          <w:p>
            <w:pPr>
              <w:ind w:left="560"/>
              <w:spacing w:after="0"/>
              <w:rPr>
                <w:sz w:val="20"/>
                <w:szCs w:val="20"/>
                <w:color w:val="auto"/>
              </w:rPr>
            </w:pPr>
            <w:r>
              <w:rPr>
                <w:rFonts w:ascii="Arial" w:cs="Arial" w:eastAsia="Arial" w:hAnsi="Arial"/>
                <w:sz w:val="18"/>
                <w:szCs w:val="18"/>
                <w:b w:val="1"/>
                <w:bCs w:val="1"/>
                <w:color w:val="auto"/>
              </w:rPr>
              <w:t>Date</w:t>
            </w:r>
          </w:p>
        </w:tc>
        <w:tc>
          <w:tcPr>
            <w:tcW w:w="150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ind w:left="380"/>
              <w:spacing w:after="0"/>
              <w:rPr>
                <w:sz w:val="20"/>
                <w:szCs w:val="20"/>
                <w:color w:val="auto"/>
              </w:rPr>
            </w:pPr>
            <w:r>
              <w:rPr>
                <w:rFonts w:ascii="Arial" w:cs="Arial" w:eastAsia="Arial" w:hAnsi="Arial"/>
                <w:sz w:val="18"/>
                <w:szCs w:val="18"/>
                <w:b w:val="1"/>
                <w:bCs w:val="1"/>
                <w:color w:val="auto"/>
              </w:rPr>
              <w:t>Schedule</w:t>
            </w:r>
          </w:p>
        </w:tc>
        <w:tc>
          <w:tcPr>
            <w:tcW w:w="2260" w:type="dxa"/>
            <w:vAlign w:val="bottom"/>
            <w:tcBorders>
              <w:right w:val="single" w:sz="8" w:color="auto"/>
            </w:tcBorders>
          </w:tcPr>
          <w:p>
            <w:pPr>
              <w:spacing w:after="0"/>
              <w:rPr>
                <w:sz w:val="18"/>
                <w:szCs w:val="18"/>
                <w:color w:val="auto"/>
              </w:rPr>
            </w:pPr>
          </w:p>
        </w:tc>
      </w:tr>
      <w:tr>
        <w:trPr>
          <w:trHeight w:val="234"/>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4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1740" w:type="dxa"/>
            <w:vAlign w:val="bottom"/>
            <w:tcBorders>
              <w:left w:val="single" w:sz="8" w:color="auto"/>
              <w:right w:val="single" w:sz="8" w:color="auto"/>
            </w:tcBorders>
            <w:shd w:val="clear" w:color="auto" w:fill="EEEEEE"/>
          </w:tcPr>
          <w:p>
            <w:pPr>
              <w:ind w:left="120"/>
              <w:spacing w:after="0" w:line="195" w:lineRule="exact"/>
              <w:rPr>
                <w:sz w:val="20"/>
                <w:szCs w:val="20"/>
                <w:color w:val="auto"/>
              </w:rPr>
            </w:pPr>
            <w:r>
              <w:rPr>
                <w:rFonts w:ascii="Arial" w:cs="Arial" w:eastAsia="Arial" w:hAnsi="Arial"/>
                <w:sz w:val="18"/>
                <w:szCs w:val="18"/>
                <w:color w:val="auto"/>
              </w:rPr>
              <w:t>July 14, 2014</w:t>
            </w:r>
          </w:p>
        </w:tc>
        <w:tc>
          <w:tcPr>
            <w:tcW w:w="1480" w:type="dxa"/>
            <w:vAlign w:val="bottom"/>
            <w:tcBorders>
              <w:right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w w:val="96"/>
              </w:rPr>
              <w:t>October 10, 2014</w:t>
            </w:r>
          </w:p>
        </w:tc>
        <w:tc>
          <w:tcPr>
            <w:tcW w:w="1500" w:type="dxa"/>
            <w:vAlign w:val="bottom"/>
            <w:tcBorders>
              <w:right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rPr>
              <w:t>200,039.50 USD</w:t>
            </w:r>
          </w:p>
        </w:tc>
        <w:tc>
          <w:tcPr>
            <w:tcW w:w="296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A fixed interest rate of 2.0366%,</w:t>
            </w:r>
          </w:p>
        </w:tc>
        <w:tc>
          <w:tcPr>
            <w:tcW w:w="1480" w:type="dxa"/>
            <w:vAlign w:val="bottom"/>
            <w:tcBorders>
              <w:right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shd w:val="clear" w:color="auto" w:fill="EEEEEE"/>
          </w:tcPr>
          <w:p>
            <w:pPr>
              <w:spacing w:after="0"/>
              <w:rPr>
                <w:sz w:val="18"/>
                <w:szCs w:val="18"/>
                <w:color w:val="auto"/>
              </w:rPr>
            </w:pPr>
          </w:p>
        </w:tc>
        <w:tc>
          <w:tcPr>
            <w:tcW w:w="1480" w:type="dxa"/>
            <w:vAlign w:val="bottom"/>
            <w:tcBorders>
              <w:right w:val="single" w:sz="8" w:color="auto"/>
            </w:tcBorders>
            <w:shd w:val="clear" w:color="auto" w:fill="EEEEEE"/>
          </w:tcPr>
          <w:p>
            <w:pPr>
              <w:spacing w:after="0"/>
              <w:rPr>
                <w:sz w:val="18"/>
                <w:szCs w:val="18"/>
                <w:color w:val="auto"/>
              </w:rPr>
            </w:pPr>
          </w:p>
        </w:tc>
        <w:tc>
          <w:tcPr>
            <w:tcW w:w="1500" w:type="dxa"/>
            <w:vAlign w:val="bottom"/>
            <w:tcBorders>
              <w:right w:val="single" w:sz="8" w:color="auto"/>
            </w:tcBorders>
            <w:shd w:val="clear" w:color="auto" w:fill="EEEEEE"/>
          </w:tcPr>
          <w:p>
            <w:pPr>
              <w:spacing w:after="0"/>
              <w:rPr>
                <w:sz w:val="18"/>
                <w:szCs w:val="18"/>
                <w:color w:val="auto"/>
              </w:rPr>
            </w:pPr>
          </w:p>
        </w:tc>
        <w:tc>
          <w:tcPr>
            <w:tcW w:w="29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w w:val="95"/>
              </w:rPr>
              <w:t>equal to LIBOR plus 180 basis points</w:t>
            </w:r>
          </w:p>
        </w:tc>
        <w:tc>
          <w:tcPr>
            <w:tcW w:w="1480" w:type="dxa"/>
            <w:vAlign w:val="bottom"/>
            <w:tcBorders>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w w:val="98"/>
              </w:rPr>
              <w:t>On July 14, 2014</w:t>
            </w:r>
          </w:p>
        </w:tc>
        <w:tc>
          <w:tcPr>
            <w:tcW w:w="22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w w:val="98"/>
              </w:rPr>
              <w:t>On October 10, 2014 in the</w:t>
            </w:r>
          </w:p>
        </w:tc>
      </w:tr>
      <w:tr>
        <w:trPr>
          <w:trHeight w:val="216"/>
        </w:trPr>
        <w:tc>
          <w:tcPr>
            <w:tcW w:w="1740" w:type="dxa"/>
            <w:vAlign w:val="bottom"/>
            <w:tcBorders>
              <w:left w:val="single" w:sz="8" w:color="auto"/>
              <w:right w:val="single" w:sz="8" w:color="auto"/>
            </w:tcBorders>
            <w:shd w:val="clear" w:color="auto" w:fill="EEEEEE"/>
          </w:tcPr>
          <w:p>
            <w:pPr>
              <w:spacing w:after="0"/>
              <w:rPr>
                <w:sz w:val="18"/>
                <w:szCs w:val="18"/>
                <w:color w:val="auto"/>
              </w:rPr>
            </w:pPr>
          </w:p>
        </w:tc>
        <w:tc>
          <w:tcPr>
            <w:tcW w:w="1480" w:type="dxa"/>
            <w:vAlign w:val="bottom"/>
            <w:tcBorders>
              <w:right w:val="single" w:sz="8" w:color="auto"/>
            </w:tcBorders>
            <w:shd w:val="clear" w:color="auto" w:fill="EEEEEE"/>
          </w:tcPr>
          <w:p>
            <w:pPr>
              <w:spacing w:after="0"/>
              <w:rPr>
                <w:sz w:val="18"/>
                <w:szCs w:val="18"/>
                <w:color w:val="auto"/>
              </w:rPr>
            </w:pPr>
          </w:p>
        </w:tc>
        <w:tc>
          <w:tcPr>
            <w:tcW w:w="1500" w:type="dxa"/>
            <w:vAlign w:val="bottom"/>
            <w:tcBorders>
              <w:right w:val="single" w:sz="8" w:color="auto"/>
            </w:tcBorders>
            <w:shd w:val="clear" w:color="auto" w:fill="EEEEEE"/>
          </w:tcPr>
          <w:p>
            <w:pPr>
              <w:spacing w:after="0"/>
              <w:rPr>
                <w:sz w:val="18"/>
                <w:szCs w:val="18"/>
                <w:color w:val="auto"/>
              </w:rPr>
            </w:pPr>
          </w:p>
        </w:tc>
        <w:tc>
          <w:tcPr>
            <w:tcW w:w="29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w w:val="92"/>
              </w:rPr>
              <w:t>and 135 basis points of service charge</w:t>
            </w:r>
          </w:p>
        </w:tc>
        <w:tc>
          <w:tcPr>
            <w:tcW w:w="1480" w:type="dxa"/>
            <w:vAlign w:val="bottom"/>
            <w:tcBorders>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for 200,039.50</w:t>
            </w:r>
          </w:p>
        </w:tc>
        <w:tc>
          <w:tcPr>
            <w:tcW w:w="22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w w:val="98"/>
              </w:rPr>
              <w:t>amount of 200,039.50 USD</w:t>
            </w:r>
          </w:p>
        </w:tc>
      </w:tr>
      <w:tr>
        <w:trPr>
          <w:trHeight w:val="230"/>
        </w:trPr>
        <w:tc>
          <w:tcPr>
            <w:tcW w:w="1740" w:type="dxa"/>
            <w:vAlign w:val="bottom"/>
            <w:tcBorders>
              <w:left w:val="single" w:sz="8" w:color="auto"/>
              <w:bottom w:val="single" w:sz="8" w:color="auto"/>
              <w:right w:val="single" w:sz="8" w:color="auto"/>
            </w:tcBorders>
            <w:shd w:val="clear" w:color="auto" w:fill="EEEEEE"/>
          </w:tcPr>
          <w:p>
            <w:pPr>
              <w:spacing w:after="0"/>
              <w:rPr>
                <w:sz w:val="20"/>
                <w:szCs w:val="20"/>
                <w:color w:val="auto"/>
              </w:rPr>
            </w:pPr>
          </w:p>
        </w:tc>
        <w:tc>
          <w:tcPr>
            <w:tcW w:w="1480" w:type="dxa"/>
            <w:vAlign w:val="bottom"/>
            <w:tcBorders>
              <w:bottom w:val="single" w:sz="8" w:color="auto"/>
              <w:right w:val="single" w:sz="8" w:color="auto"/>
            </w:tcBorders>
            <w:shd w:val="clear" w:color="auto" w:fill="EEEEEE"/>
          </w:tcPr>
          <w:p>
            <w:pPr>
              <w:spacing w:after="0"/>
              <w:rPr>
                <w:sz w:val="20"/>
                <w:szCs w:val="20"/>
                <w:color w:val="auto"/>
              </w:rPr>
            </w:pPr>
          </w:p>
        </w:tc>
        <w:tc>
          <w:tcPr>
            <w:tcW w:w="1500" w:type="dxa"/>
            <w:vAlign w:val="bottom"/>
            <w:tcBorders>
              <w:bottom w:val="single" w:sz="8" w:color="auto"/>
              <w:right w:val="single" w:sz="8" w:color="auto"/>
            </w:tcBorders>
            <w:shd w:val="clear" w:color="auto" w:fill="EEEEEE"/>
          </w:tcPr>
          <w:p>
            <w:pPr>
              <w:spacing w:after="0"/>
              <w:rPr>
                <w:sz w:val="20"/>
                <w:szCs w:val="20"/>
                <w:color w:val="auto"/>
              </w:rPr>
            </w:pPr>
          </w:p>
        </w:tc>
        <w:tc>
          <w:tcPr>
            <w:tcW w:w="2960" w:type="dxa"/>
            <w:vAlign w:val="bottom"/>
            <w:tcBorders>
              <w:bottom w:val="single" w:sz="8" w:color="auto"/>
              <w:right w:val="single" w:sz="8" w:color="auto"/>
            </w:tcBorders>
            <w:shd w:val="clear" w:color="auto" w:fill="EEEEEE"/>
          </w:tcPr>
          <w:p>
            <w:pPr>
              <w:spacing w:after="0"/>
              <w:rPr>
                <w:sz w:val="20"/>
                <w:szCs w:val="20"/>
                <w:color w:val="auto"/>
              </w:rPr>
            </w:pPr>
          </w:p>
        </w:tc>
        <w:tc>
          <w:tcPr>
            <w:tcW w:w="1480" w:type="dxa"/>
            <w:vAlign w:val="bottom"/>
            <w:tcBorders>
              <w:bottom w:val="single" w:sz="8" w:color="auto"/>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USD</w:t>
            </w:r>
          </w:p>
        </w:tc>
        <w:tc>
          <w:tcPr>
            <w:tcW w:w="2260" w:type="dxa"/>
            <w:vAlign w:val="bottom"/>
            <w:tcBorders>
              <w:bottom w:val="single" w:sz="8" w:color="auto"/>
              <w:right w:val="single" w:sz="8" w:color="auto"/>
            </w:tcBorders>
            <w:shd w:val="clear" w:color="auto" w:fill="EEEEEE"/>
          </w:tcPr>
          <w:p>
            <w:pPr>
              <w:spacing w:after="0"/>
              <w:rPr>
                <w:sz w:val="20"/>
                <w:szCs w:val="20"/>
                <w:color w:val="auto"/>
              </w:rPr>
            </w:pPr>
          </w:p>
        </w:tc>
      </w:tr>
      <w:tr>
        <w:trPr>
          <w:trHeight w:val="195"/>
        </w:trPr>
        <w:tc>
          <w:tcPr>
            <w:tcW w:w="17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August 15, 2014</w:t>
            </w:r>
          </w:p>
        </w:tc>
        <w:tc>
          <w:tcPr>
            <w:tcW w:w="14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November 13,</w:t>
            </w:r>
          </w:p>
        </w:tc>
        <w:tc>
          <w:tcPr>
            <w:tcW w:w="15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255,447.00 USD</w:t>
            </w:r>
          </w:p>
        </w:tc>
        <w:tc>
          <w:tcPr>
            <w:tcW w:w="29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 fixed interest rate of 2.0366%,</w:t>
            </w:r>
          </w:p>
        </w:tc>
        <w:tc>
          <w:tcPr>
            <w:tcW w:w="14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2014</w:t>
            </w:r>
          </w:p>
        </w:tc>
        <w:tc>
          <w:tcPr>
            <w:tcW w:w="150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equal to LIBOR plus 180 basis points</w:t>
            </w: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On August 15,</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On November 13, 2014 in</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and 135 basis points of service charge</w:t>
            </w: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2014 for</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amount of 255,447.00</w:t>
            </w:r>
          </w:p>
        </w:tc>
      </w:tr>
      <w:tr>
        <w:trPr>
          <w:trHeight w:val="230"/>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255,447.00 USD</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USD</w:t>
            </w:r>
          </w:p>
        </w:tc>
      </w:tr>
      <w:tr>
        <w:trPr>
          <w:trHeight w:val="195"/>
        </w:trPr>
        <w:tc>
          <w:tcPr>
            <w:tcW w:w="1740" w:type="dxa"/>
            <w:vAlign w:val="bottom"/>
            <w:tcBorders>
              <w:left w:val="single" w:sz="8" w:color="auto"/>
              <w:right w:val="single" w:sz="8" w:color="auto"/>
            </w:tcBorders>
            <w:shd w:val="clear" w:color="auto" w:fill="EEEEEE"/>
          </w:tcPr>
          <w:p>
            <w:pPr>
              <w:ind w:left="120"/>
              <w:spacing w:after="0" w:line="195" w:lineRule="exact"/>
              <w:rPr>
                <w:sz w:val="20"/>
                <w:szCs w:val="20"/>
                <w:color w:val="auto"/>
              </w:rPr>
            </w:pPr>
            <w:r>
              <w:rPr>
                <w:rFonts w:ascii="Arial" w:cs="Arial" w:eastAsia="Arial" w:hAnsi="Arial"/>
                <w:sz w:val="18"/>
                <w:szCs w:val="18"/>
                <w:color w:val="auto"/>
              </w:rPr>
              <w:t>August 15, 2014</w:t>
            </w:r>
          </w:p>
        </w:tc>
        <w:tc>
          <w:tcPr>
            <w:tcW w:w="1480" w:type="dxa"/>
            <w:vAlign w:val="bottom"/>
            <w:tcBorders>
              <w:right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rPr>
              <w:t>November 13,</w:t>
            </w:r>
          </w:p>
        </w:tc>
        <w:tc>
          <w:tcPr>
            <w:tcW w:w="1500" w:type="dxa"/>
            <w:vAlign w:val="bottom"/>
            <w:tcBorders>
              <w:right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rPr>
              <w:t>250,639.62 USD</w:t>
            </w:r>
          </w:p>
        </w:tc>
        <w:tc>
          <w:tcPr>
            <w:tcW w:w="296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A fixed interest rate of 2.0366%,</w:t>
            </w:r>
          </w:p>
        </w:tc>
        <w:tc>
          <w:tcPr>
            <w:tcW w:w="1480" w:type="dxa"/>
            <w:vAlign w:val="bottom"/>
            <w:tcBorders>
              <w:right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shd w:val="clear" w:color="auto" w:fill="EEEEEE"/>
          </w:tcPr>
          <w:p>
            <w:pPr>
              <w:spacing w:after="0"/>
              <w:rPr>
                <w:sz w:val="18"/>
                <w:szCs w:val="18"/>
                <w:color w:val="auto"/>
              </w:rPr>
            </w:pPr>
          </w:p>
        </w:tc>
        <w:tc>
          <w:tcPr>
            <w:tcW w:w="1480" w:type="dxa"/>
            <w:vAlign w:val="bottom"/>
            <w:tcBorders>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2014</w:t>
            </w:r>
          </w:p>
        </w:tc>
        <w:tc>
          <w:tcPr>
            <w:tcW w:w="1500" w:type="dxa"/>
            <w:vAlign w:val="bottom"/>
            <w:tcBorders>
              <w:right w:val="single" w:sz="8" w:color="auto"/>
            </w:tcBorders>
            <w:shd w:val="clear" w:color="auto" w:fill="EEEEEE"/>
          </w:tcPr>
          <w:p>
            <w:pPr>
              <w:spacing w:after="0"/>
              <w:rPr>
                <w:sz w:val="18"/>
                <w:szCs w:val="18"/>
                <w:color w:val="auto"/>
              </w:rPr>
            </w:pPr>
          </w:p>
        </w:tc>
        <w:tc>
          <w:tcPr>
            <w:tcW w:w="29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w w:val="95"/>
              </w:rPr>
              <w:t>equal to LIBOR plus 180 basis points</w:t>
            </w:r>
          </w:p>
        </w:tc>
        <w:tc>
          <w:tcPr>
            <w:tcW w:w="1480" w:type="dxa"/>
            <w:vAlign w:val="bottom"/>
            <w:tcBorders>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On August 15,</w:t>
            </w:r>
          </w:p>
        </w:tc>
        <w:tc>
          <w:tcPr>
            <w:tcW w:w="22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On November 13, 2014 in</w:t>
            </w:r>
          </w:p>
        </w:tc>
      </w:tr>
      <w:tr>
        <w:trPr>
          <w:trHeight w:val="216"/>
        </w:trPr>
        <w:tc>
          <w:tcPr>
            <w:tcW w:w="1740" w:type="dxa"/>
            <w:vAlign w:val="bottom"/>
            <w:tcBorders>
              <w:left w:val="single" w:sz="8" w:color="auto"/>
              <w:right w:val="single" w:sz="8" w:color="auto"/>
            </w:tcBorders>
            <w:shd w:val="clear" w:color="auto" w:fill="EEEEEE"/>
          </w:tcPr>
          <w:p>
            <w:pPr>
              <w:spacing w:after="0"/>
              <w:rPr>
                <w:sz w:val="18"/>
                <w:szCs w:val="18"/>
                <w:color w:val="auto"/>
              </w:rPr>
            </w:pPr>
          </w:p>
        </w:tc>
        <w:tc>
          <w:tcPr>
            <w:tcW w:w="1480" w:type="dxa"/>
            <w:vAlign w:val="bottom"/>
            <w:tcBorders>
              <w:right w:val="single" w:sz="8" w:color="auto"/>
            </w:tcBorders>
            <w:shd w:val="clear" w:color="auto" w:fill="EEEEEE"/>
          </w:tcPr>
          <w:p>
            <w:pPr>
              <w:spacing w:after="0"/>
              <w:rPr>
                <w:sz w:val="18"/>
                <w:szCs w:val="18"/>
                <w:color w:val="auto"/>
              </w:rPr>
            </w:pPr>
          </w:p>
        </w:tc>
        <w:tc>
          <w:tcPr>
            <w:tcW w:w="1500" w:type="dxa"/>
            <w:vAlign w:val="bottom"/>
            <w:tcBorders>
              <w:right w:val="single" w:sz="8" w:color="auto"/>
            </w:tcBorders>
            <w:shd w:val="clear" w:color="auto" w:fill="EEEEEE"/>
          </w:tcPr>
          <w:p>
            <w:pPr>
              <w:spacing w:after="0"/>
              <w:rPr>
                <w:sz w:val="18"/>
                <w:szCs w:val="18"/>
                <w:color w:val="auto"/>
              </w:rPr>
            </w:pPr>
          </w:p>
        </w:tc>
        <w:tc>
          <w:tcPr>
            <w:tcW w:w="29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w w:val="92"/>
              </w:rPr>
              <w:t>and 135 basis points of service charge</w:t>
            </w:r>
          </w:p>
        </w:tc>
        <w:tc>
          <w:tcPr>
            <w:tcW w:w="1480" w:type="dxa"/>
            <w:vAlign w:val="bottom"/>
            <w:tcBorders>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2014 for</w:t>
            </w:r>
          </w:p>
        </w:tc>
        <w:tc>
          <w:tcPr>
            <w:tcW w:w="22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the amount of 250,639.62</w:t>
            </w:r>
          </w:p>
        </w:tc>
      </w:tr>
      <w:tr>
        <w:trPr>
          <w:trHeight w:val="230"/>
        </w:trPr>
        <w:tc>
          <w:tcPr>
            <w:tcW w:w="1740" w:type="dxa"/>
            <w:vAlign w:val="bottom"/>
            <w:tcBorders>
              <w:left w:val="single" w:sz="8" w:color="auto"/>
              <w:bottom w:val="single" w:sz="8" w:color="auto"/>
              <w:right w:val="single" w:sz="8" w:color="auto"/>
            </w:tcBorders>
            <w:shd w:val="clear" w:color="auto" w:fill="EEEEEE"/>
          </w:tcPr>
          <w:p>
            <w:pPr>
              <w:spacing w:after="0"/>
              <w:rPr>
                <w:sz w:val="20"/>
                <w:szCs w:val="20"/>
                <w:color w:val="auto"/>
              </w:rPr>
            </w:pPr>
          </w:p>
        </w:tc>
        <w:tc>
          <w:tcPr>
            <w:tcW w:w="1480" w:type="dxa"/>
            <w:vAlign w:val="bottom"/>
            <w:tcBorders>
              <w:bottom w:val="single" w:sz="8" w:color="auto"/>
              <w:right w:val="single" w:sz="8" w:color="auto"/>
            </w:tcBorders>
            <w:shd w:val="clear" w:color="auto" w:fill="EEEEEE"/>
          </w:tcPr>
          <w:p>
            <w:pPr>
              <w:spacing w:after="0"/>
              <w:rPr>
                <w:sz w:val="20"/>
                <w:szCs w:val="20"/>
                <w:color w:val="auto"/>
              </w:rPr>
            </w:pPr>
          </w:p>
        </w:tc>
        <w:tc>
          <w:tcPr>
            <w:tcW w:w="1500" w:type="dxa"/>
            <w:vAlign w:val="bottom"/>
            <w:tcBorders>
              <w:bottom w:val="single" w:sz="8" w:color="auto"/>
              <w:right w:val="single" w:sz="8" w:color="auto"/>
            </w:tcBorders>
            <w:shd w:val="clear" w:color="auto" w:fill="EEEEEE"/>
          </w:tcPr>
          <w:p>
            <w:pPr>
              <w:spacing w:after="0"/>
              <w:rPr>
                <w:sz w:val="20"/>
                <w:szCs w:val="20"/>
                <w:color w:val="auto"/>
              </w:rPr>
            </w:pPr>
          </w:p>
        </w:tc>
        <w:tc>
          <w:tcPr>
            <w:tcW w:w="2960" w:type="dxa"/>
            <w:vAlign w:val="bottom"/>
            <w:tcBorders>
              <w:bottom w:val="single" w:sz="8" w:color="auto"/>
              <w:right w:val="single" w:sz="8" w:color="auto"/>
            </w:tcBorders>
            <w:shd w:val="clear" w:color="auto" w:fill="EEEEEE"/>
          </w:tcPr>
          <w:p>
            <w:pPr>
              <w:spacing w:after="0"/>
              <w:rPr>
                <w:sz w:val="20"/>
                <w:szCs w:val="20"/>
                <w:color w:val="auto"/>
              </w:rPr>
            </w:pPr>
          </w:p>
        </w:tc>
        <w:tc>
          <w:tcPr>
            <w:tcW w:w="1480" w:type="dxa"/>
            <w:vAlign w:val="bottom"/>
            <w:tcBorders>
              <w:bottom w:val="single" w:sz="8" w:color="auto"/>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250,639.62 USD</w:t>
            </w:r>
          </w:p>
        </w:tc>
        <w:tc>
          <w:tcPr>
            <w:tcW w:w="2260" w:type="dxa"/>
            <w:vAlign w:val="bottom"/>
            <w:tcBorders>
              <w:bottom w:val="single" w:sz="8" w:color="auto"/>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USD</w:t>
            </w:r>
          </w:p>
        </w:tc>
      </w:tr>
      <w:tr>
        <w:trPr>
          <w:trHeight w:val="195"/>
        </w:trPr>
        <w:tc>
          <w:tcPr>
            <w:tcW w:w="17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August 29, 2014</w:t>
            </w:r>
          </w:p>
        </w:tc>
        <w:tc>
          <w:tcPr>
            <w:tcW w:w="14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November 26,</w:t>
            </w:r>
          </w:p>
        </w:tc>
        <w:tc>
          <w:tcPr>
            <w:tcW w:w="15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267,000.00 USD</w:t>
            </w:r>
          </w:p>
        </w:tc>
        <w:tc>
          <w:tcPr>
            <w:tcW w:w="29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 fixed interest rate of 1.3346%,</w:t>
            </w:r>
          </w:p>
        </w:tc>
        <w:tc>
          <w:tcPr>
            <w:tcW w:w="14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2014</w:t>
            </w:r>
          </w:p>
        </w:tc>
        <w:tc>
          <w:tcPr>
            <w:tcW w:w="150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equal to LIBOR plus 130 basis points</w:t>
            </w: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On August 29,</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On November 26, 2014 in</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29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and 185 basis points of service charge</w:t>
            </w:r>
          </w:p>
        </w:tc>
        <w:tc>
          <w:tcPr>
            <w:tcW w:w="14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2014 for</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amount of 267,000.00</w:t>
            </w:r>
          </w:p>
        </w:tc>
      </w:tr>
      <w:tr>
        <w:trPr>
          <w:trHeight w:val="230"/>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267,000.00 USD</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USD</w:t>
            </w:r>
          </w:p>
        </w:tc>
      </w:tr>
      <w:tr>
        <w:trPr>
          <w:trHeight w:val="195"/>
        </w:trPr>
        <w:tc>
          <w:tcPr>
            <w:tcW w:w="1740" w:type="dxa"/>
            <w:vAlign w:val="bottom"/>
            <w:tcBorders>
              <w:left w:val="single" w:sz="8" w:color="auto"/>
              <w:right w:val="single" w:sz="8" w:color="auto"/>
            </w:tcBorders>
            <w:shd w:val="clear" w:color="auto" w:fill="EEEEEE"/>
          </w:tcPr>
          <w:p>
            <w:pPr>
              <w:ind w:left="120"/>
              <w:spacing w:after="0" w:line="195" w:lineRule="exact"/>
              <w:rPr>
                <w:sz w:val="20"/>
                <w:szCs w:val="20"/>
                <w:color w:val="auto"/>
              </w:rPr>
            </w:pPr>
            <w:r>
              <w:rPr>
                <w:rFonts w:ascii="Arial" w:cs="Arial" w:eastAsia="Arial" w:hAnsi="Arial"/>
                <w:sz w:val="18"/>
                <w:szCs w:val="18"/>
                <w:color w:val="auto"/>
                <w:w w:val="96"/>
              </w:rPr>
              <w:t>September 29, 2014</w:t>
            </w:r>
          </w:p>
        </w:tc>
        <w:tc>
          <w:tcPr>
            <w:tcW w:w="1480" w:type="dxa"/>
            <w:vAlign w:val="bottom"/>
            <w:tcBorders>
              <w:right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rPr>
              <w:t>December 26,</w:t>
            </w:r>
          </w:p>
        </w:tc>
        <w:tc>
          <w:tcPr>
            <w:tcW w:w="1500" w:type="dxa"/>
            <w:vAlign w:val="bottom"/>
            <w:tcBorders>
              <w:right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rPr>
              <w:t>336,027.00 USD</w:t>
            </w:r>
          </w:p>
        </w:tc>
        <w:tc>
          <w:tcPr>
            <w:tcW w:w="296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A fixed interest rate of 2.1331%,</w:t>
            </w:r>
          </w:p>
        </w:tc>
        <w:tc>
          <w:tcPr>
            <w:tcW w:w="1480" w:type="dxa"/>
            <w:vAlign w:val="bottom"/>
            <w:tcBorders>
              <w:right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shd w:val="clear" w:color="auto" w:fill="EEEEEE"/>
          </w:tcPr>
          <w:p>
            <w:pPr>
              <w:spacing w:after="0"/>
              <w:rPr>
                <w:sz w:val="18"/>
                <w:szCs w:val="18"/>
                <w:color w:val="auto"/>
              </w:rPr>
            </w:pPr>
          </w:p>
        </w:tc>
        <w:tc>
          <w:tcPr>
            <w:tcW w:w="1480" w:type="dxa"/>
            <w:vAlign w:val="bottom"/>
            <w:tcBorders>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2014</w:t>
            </w:r>
          </w:p>
        </w:tc>
        <w:tc>
          <w:tcPr>
            <w:tcW w:w="1500" w:type="dxa"/>
            <w:vAlign w:val="bottom"/>
            <w:tcBorders>
              <w:right w:val="single" w:sz="8" w:color="auto"/>
            </w:tcBorders>
            <w:shd w:val="clear" w:color="auto" w:fill="EEEEEE"/>
          </w:tcPr>
          <w:p>
            <w:pPr>
              <w:spacing w:after="0"/>
              <w:rPr>
                <w:sz w:val="18"/>
                <w:szCs w:val="18"/>
                <w:color w:val="auto"/>
              </w:rPr>
            </w:pPr>
          </w:p>
        </w:tc>
        <w:tc>
          <w:tcPr>
            <w:tcW w:w="29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w w:val="95"/>
              </w:rPr>
              <w:t>equal to LIBOR plus 190 basis points</w:t>
            </w:r>
          </w:p>
        </w:tc>
        <w:tc>
          <w:tcPr>
            <w:tcW w:w="1480" w:type="dxa"/>
            <w:vAlign w:val="bottom"/>
            <w:tcBorders>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On September</w:t>
            </w:r>
          </w:p>
        </w:tc>
        <w:tc>
          <w:tcPr>
            <w:tcW w:w="22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On December 26, 2014 in</w:t>
            </w:r>
          </w:p>
        </w:tc>
      </w:tr>
      <w:tr>
        <w:trPr>
          <w:trHeight w:val="216"/>
        </w:trPr>
        <w:tc>
          <w:tcPr>
            <w:tcW w:w="1740" w:type="dxa"/>
            <w:vAlign w:val="bottom"/>
            <w:tcBorders>
              <w:left w:val="single" w:sz="8" w:color="auto"/>
              <w:right w:val="single" w:sz="8" w:color="auto"/>
            </w:tcBorders>
            <w:shd w:val="clear" w:color="auto" w:fill="EEEEEE"/>
          </w:tcPr>
          <w:p>
            <w:pPr>
              <w:spacing w:after="0"/>
              <w:rPr>
                <w:sz w:val="18"/>
                <w:szCs w:val="18"/>
                <w:color w:val="auto"/>
              </w:rPr>
            </w:pPr>
          </w:p>
        </w:tc>
        <w:tc>
          <w:tcPr>
            <w:tcW w:w="1480" w:type="dxa"/>
            <w:vAlign w:val="bottom"/>
            <w:tcBorders>
              <w:right w:val="single" w:sz="8" w:color="auto"/>
            </w:tcBorders>
            <w:shd w:val="clear" w:color="auto" w:fill="EEEEEE"/>
          </w:tcPr>
          <w:p>
            <w:pPr>
              <w:spacing w:after="0"/>
              <w:rPr>
                <w:sz w:val="18"/>
                <w:szCs w:val="18"/>
                <w:color w:val="auto"/>
              </w:rPr>
            </w:pPr>
          </w:p>
        </w:tc>
        <w:tc>
          <w:tcPr>
            <w:tcW w:w="1500" w:type="dxa"/>
            <w:vAlign w:val="bottom"/>
            <w:tcBorders>
              <w:right w:val="single" w:sz="8" w:color="auto"/>
            </w:tcBorders>
            <w:shd w:val="clear" w:color="auto" w:fill="EEEEEE"/>
          </w:tcPr>
          <w:p>
            <w:pPr>
              <w:spacing w:after="0"/>
              <w:rPr>
                <w:sz w:val="18"/>
                <w:szCs w:val="18"/>
                <w:color w:val="auto"/>
              </w:rPr>
            </w:pPr>
          </w:p>
        </w:tc>
        <w:tc>
          <w:tcPr>
            <w:tcW w:w="29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w w:val="92"/>
              </w:rPr>
              <w:t>and 125 basis points of service charge</w:t>
            </w:r>
          </w:p>
        </w:tc>
        <w:tc>
          <w:tcPr>
            <w:tcW w:w="1480" w:type="dxa"/>
            <w:vAlign w:val="bottom"/>
            <w:tcBorders>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29, 2014 for</w:t>
            </w:r>
          </w:p>
        </w:tc>
        <w:tc>
          <w:tcPr>
            <w:tcW w:w="22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the amount of 336,027.00</w:t>
            </w:r>
          </w:p>
        </w:tc>
      </w:tr>
      <w:tr>
        <w:trPr>
          <w:trHeight w:val="230"/>
        </w:trPr>
        <w:tc>
          <w:tcPr>
            <w:tcW w:w="1740" w:type="dxa"/>
            <w:vAlign w:val="bottom"/>
            <w:tcBorders>
              <w:left w:val="single" w:sz="8" w:color="auto"/>
              <w:bottom w:val="single" w:sz="8" w:color="auto"/>
              <w:right w:val="single" w:sz="8" w:color="auto"/>
            </w:tcBorders>
            <w:shd w:val="clear" w:color="auto" w:fill="EEEEEE"/>
          </w:tcPr>
          <w:p>
            <w:pPr>
              <w:spacing w:after="0"/>
              <w:rPr>
                <w:sz w:val="20"/>
                <w:szCs w:val="20"/>
                <w:color w:val="auto"/>
              </w:rPr>
            </w:pPr>
          </w:p>
        </w:tc>
        <w:tc>
          <w:tcPr>
            <w:tcW w:w="1480" w:type="dxa"/>
            <w:vAlign w:val="bottom"/>
            <w:tcBorders>
              <w:bottom w:val="single" w:sz="8" w:color="auto"/>
              <w:right w:val="single" w:sz="8" w:color="auto"/>
            </w:tcBorders>
            <w:shd w:val="clear" w:color="auto" w:fill="EEEEEE"/>
          </w:tcPr>
          <w:p>
            <w:pPr>
              <w:spacing w:after="0"/>
              <w:rPr>
                <w:sz w:val="20"/>
                <w:szCs w:val="20"/>
                <w:color w:val="auto"/>
              </w:rPr>
            </w:pPr>
          </w:p>
        </w:tc>
        <w:tc>
          <w:tcPr>
            <w:tcW w:w="1500" w:type="dxa"/>
            <w:vAlign w:val="bottom"/>
            <w:tcBorders>
              <w:bottom w:val="single" w:sz="8" w:color="auto"/>
              <w:right w:val="single" w:sz="8" w:color="auto"/>
            </w:tcBorders>
            <w:shd w:val="clear" w:color="auto" w:fill="EEEEEE"/>
          </w:tcPr>
          <w:p>
            <w:pPr>
              <w:spacing w:after="0"/>
              <w:rPr>
                <w:sz w:val="20"/>
                <w:szCs w:val="20"/>
                <w:color w:val="auto"/>
              </w:rPr>
            </w:pPr>
          </w:p>
        </w:tc>
        <w:tc>
          <w:tcPr>
            <w:tcW w:w="2960" w:type="dxa"/>
            <w:vAlign w:val="bottom"/>
            <w:tcBorders>
              <w:bottom w:val="single" w:sz="8" w:color="auto"/>
              <w:right w:val="single" w:sz="8" w:color="auto"/>
            </w:tcBorders>
            <w:shd w:val="clear" w:color="auto" w:fill="EEEEEE"/>
          </w:tcPr>
          <w:p>
            <w:pPr>
              <w:spacing w:after="0"/>
              <w:rPr>
                <w:sz w:val="20"/>
                <w:szCs w:val="20"/>
                <w:color w:val="auto"/>
              </w:rPr>
            </w:pPr>
          </w:p>
        </w:tc>
        <w:tc>
          <w:tcPr>
            <w:tcW w:w="1480" w:type="dxa"/>
            <w:vAlign w:val="bottom"/>
            <w:tcBorders>
              <w:bottom w:val="single" w:sz="8" w:color="auto"/>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336,027.00 USD</w:t>
            </w:r>
          </w:p>
        </w:tc>
        <w:tc>
          <w:tcPr>
            <w:tcW w:w="2260" w:type="dxa"/>
            <w:vAlign w:val="bottom"/>
            <w:tcBorders>
              <w:bottom w:val="single" w:sz="8" w:color="auto"/>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USD</w:t>
            </w:r>
          </w:p>
        </w:tc>
      </w:tr>
      <w:tr>
        <w:trPr>
          <w:trHeight w:val="669"/>
        </w:trPr>
        <w:tc>
          <w:tcPr>
            <w:tcW w:w="17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28</w:t>
            </w:r>
          </w:p>
        </w:tc>
        <w:tc>
          <w:tcPr>
            <w:tcW w:w="14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x"/>
      <w:numFmt w:val="bullet"/>
      <w:start w:val="1"/>
    </w:lvl>
  </w:abstractNum>
  <w:abstractNum w:abstractNumId="1">
    <w:nsid w:val="354FE9F9"/>
    <w:multiLevelType w:val="hybridMultilevel"/>
    <w:lvl w:ilvl="0">
      <w:lvlJc w:val="left"/>
      <w:lvlText w:val="o"/>
      <w:numFmt w:val="bullet"/>
      <w:start w:val="1"/>
    </w:lvl>
  </w:abstractNum>
  <w:abstractNum w:abstractNumId="2">
    <w:nsid w:val="15B5AF5C"/>
    <w:multiLevelType w:val="hybridMultilevel"/>
    <w:lvl w:ilvl="0">
      <w:lvlJc w:val="left"/>
      <w:lvlText w:val="(%1)"/>
      <w:numFmt w:val="decimal"/>
      <w:start w:val="281"/>
    </w:lvl>
  </w:abstractNum>
  <w:abstractNum w:abstractNumId="3">
    <w:nsid w:val="741226BB"/>
    <w:multiLevelType w:val="hybridMultilevel"/>
    <w:lvl w:ilvl="0">
      <w:lvlJc w:val="left"/>
      <w:lvlText w:val="%1."/>
      <w:numFmt w:val="decimal"/>
      <w:start w:val="1"/>
    </w:lvl>
  </w:abstractNum>
  <w:abstractNum w:abstractNumId="4">
    <w:nsid w:val="D34B6A8"/>
    <w:multiLevelType w:val="hybridMultilevel"/>
    <w:lvl w:ilvl="0">
      <w:lvlJc w:val="left"/>
      <w:lvlText w:val="%1."/>
      <w:numFmt w:val="decimal"/>
      <w:start w:val="2"/>
    </w:lvl>
  </w:abstractNum>
  <w:abstractNum w:abstractNumId="5">
    <w:nsid w:val="10233C99"/>
    <w:multiLevelType w:val="hybridMultilevel"/>
    <w:lvl w:ilvl="0">
      <w:lvlJc w:val="left"/>
      <w:lvlText w:val="%1."/>
      <w:numFmt w:val="decimal"/>
      <w:start w:val="3"/>
    </w:lvl>
  </w:abstractNum>
  <w:abstractNum w:abstractNumId="6">
    <w:nsid w:val="3F6AB60F"/>
    <w:multiLevelType w:val="hybridMultilevel"/>
    <w:lvl w:ilvl="0">
      <w:lvlJc w:val="left"/>
      <w:lvlText w:val="(%1)"/>
      <w:numFmt w:val="decimal"/>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
      <w:numFmt w:val="bullet"/>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1)"/>
      <w:numFmt w:val="lowerLetter"/>
      <w:start w:val="1"/>
    </w:lvl>
  </w:abstractNum>
  <w:abstractNum w:abstractNumId="15">
    <w:nsid w:val="1DBABF00"/>
    <w:multiLevelType w:val="hybridMultilevel"/>
    <w:lvl w:ilvl="0">
      <w:lvlJc w:val="left"/>
      <w:lvlText w:val="*"/>
      <w:numFmt w:val="bullet"/>
      <w:start w:val="1"/>
    </w:lvl>
  </w:abstractNum>
  <w:abstractNum w:abstractNumId="16">
    <w:nsid w:val="4AD084E9"/>
    <w:multiLevelType w:val="hybridMultilevel"/>
    <w:lvl w:ilvl="0">
      <w:lvlJc w:val="left"/>
      <w:lvlText w:val="%1."/>
      <w:numFmt w:val="decimal"/>
      <w:start w:val="1"/>
    </w:lvl>
    <w:lvl w:ilvl="1">
      <w:lvlJc w:val="left"/>
      <w:lvlText w:val="%2)"/>
      <w:numFmt w:val="lowerLetter"/>
      <w:start w:val="1"/>
    </w:lvl>
  </w:abstractNum>
  <w:abstractNum w:abstractNumId="17">
    <w:nsid w:val="1F48EAA1"/>
    <w:multiLevelType w:val="hybridMultilevel"/>
    <w:lvl w:ilvl="0">
      <w:lvlJc w:val="left"/>
      <w:lvlText w:val="%1."/>
      <w:numFmt w:val="decimal"/>
      <w:start w:val="1"/>
    </w:lvl>
    <w:lvl w:ilvl="1">
      <w:lvlJc w:val="left"/>
      <w:lvlText w:val="%2)"/>
      <w:numFmt w:val="lowerLetter"/>
      <w:start w:val="1"/>
    </w:lvl>
  </w:abstractNum>
  <w:abstractNum w:abstractNumId="18">
    <w:nsid w:val="1381823A"/>
    <w:multiLevelType w:val="hybridMultilevel"/>
    <w:lvl w:ilvl="0">
      <w:lvlJc w:val="left"/>
      <w:lvlText w:val="%1."/>
      <w:numFmt w:val="decimal"/>
      <w:start w:val="1"/>
    </w:lvl>
  </w:abstractNum>
  <w:abstractNum w:abstractNumId="19">
    <w:nsid w:val="5DB70AE5"/>
    <w:multiLevelType w:val="hybridMultilevel"/>
    <w:lvl w:ilvl="0">
      <w:lvlJc w:val="left"/>
      <w:lvlText w:val="(%1)"/>
      <w:numFmt w:val="decimal"/>
      <w:start w:val="1"/>
    </w:lvl>
  </w:abstractNum>
  <w:abstractNum w:abstractNumId="20">
    <w:nsid w:val="100F8FCA"/>
    <w:multiLevelType w:val="hybridMultilevel"/>
    <w:lvl w:ilvl="0">
      <w:lvlJc w:val="left"/>
      <w:lvlText w:val="%1."/>
      <w:numFmt w:val="decimal"/>
      <w:start w:val="1"/>
    </w:lvl>
  </w:abstractNum>
  <w:abstractNum w:abstractNumId="21">
    <w:nsid w:val="6590700B"/>
    <w:multiLevelType w:val="hybridMultilevel"/>
    <w:lvl w:ilvl="0">
      <w:lvlJc w:val="left"/>
      <w:lvlText w:val="(%1)"/>
      <w:numFmt w:val="decimal"/>
      <w:start w:val="2"/>
    </w:lvl>
  </w:abstractNum>
  <w:abstractNum w:abstractNumId="22">
    <w:nsid w:val="15014ACB"/>
    <w:multiLevelType w:val="hybridMultilevel"/>
    <w:lvl w:ilvl="0">
      <w:lvlJc w:val="left"/>
      <w:lvlText w:val="(%1)"/>
      <w:numFmt w:val="decimal"/>
      <w:start w:val="1"/>
    </w:lvl>
  </w:abstractNum>
  <w:abstractNum w:abstractNumId="23">
    <w:nsid w:val="5F5E7FD0"/>
    <w:multiLevelType w:val="hybridMultilevel"/>
    <w:lvl w:ilvl="0">
      <w:lvlJc w:val="left"/>
      <w:lvlText w:val="(%1)"/>
      <w:numFmt w:val="decimal"/>
      <w:start w:val="1"/>
    </w:lvl>
  </w:abstractNum>
  <w:abstractNum w:abstractNumId="24">
    <w:nsid w:val="98A3148"/>
    <w:multiLevelType w:val="hybridMultilevel"/>
    <w:lvl w:ilvl="0">
      <w:lvlJc w:val="left"/>
      <w:lvlText w:val="(%1)"/>
      <w:numFmt w:val="decimal"/>
      <w:start w:val="2"/>
    </w:lvl>
    <w:lvl w:ilvl="1">
      <w:lvlJc w:val="left"/>
      <w:lvlText w:val="(%2)"/>
      <w:numFmt w:val="lowerRoman"/>
      <w:start w:val="1"/>
    </w:lvl>
  </w:abstractNum>
  <w:abstractNum w:abstractNumId="25">
    <w:nsid w:val="799D0247"/>
    <w:multiLevelType w:val="hybridMultilevel"/>
    <w:lvl w:ilvl="0">
      <w:lvlJc w:val="left"/>
      <w:lvlText w:val="%1."/>
      <w:numFmt w:val="decimal"/>
      <w:start w:val="5"/>
    </w:lvl>
  </w:abstractNum>
  <w:abstractNum w:abstractNumId="26">
    <w:nsid w:val="6B94764"/>
    <w:multiLevelType w:val="hybridMultilevel"/>
    <w:lvl w:ilvl="0">
      <w:lvlJc w:val="left"/>
      <w:lvlText w:val="(%1)"/>
      <w:numFmt w:val="decimal"/>
      <w:start w:val="1"/>
    </w:lvl>
  </w:abstractNum>
  <w:abstractNum w:abstractNumId="27">
    <w:nsid w:val="42C296BD"/>
    <w:multiLevelType w:val="hybridMultilevel"/>
    <w:lvl w:ilvl="0">
      <w:lvlJc w:val="left"/>
      <w:lvlText w:val="(%1)"/>
      <w:numFmt w:val="decimal"/>
      <w:start w:val="1"/>
    </w:lvl>
  </w:abstractNum>
  <w:abstractNum w:abstractNumId="28">
    <w:nsid w:val="168E121F"/>
    <w:multiLevelType w:val="hybridMultilevel"/>
    <w:lvl w:ilvl="0">
      <w:lvlJc w:val="left"/>
      <w:lvlText w:val="(%1)"/>
      <w:numFmt w:val="decimal"/>
      <w:start w:val="2"/>
    </w:lvl>
  </w:abstractNum>
  <w:abstractNum w:abstractNumId="29">
    <w:nsid w:val="1EBA5D23"/>
    <w:multiLevelType w:val="hybridMultilevel"/>
    <w:lvl w:ilvl="0">
      <w:lvlJc w:val="left"/>
      <w:lvlText w:val="(%1)"/>
      <w:numFmt w:val="decimal"/>
      <w:start w:val="3"/>
    </w:lvl>
  </w:abstractNum>
  <w:abstractNum w:abstractNumId="30">
    <w:nsid w:val="661E3F1E"/>
    <w:multiLevelType w:val="hybridMultilevel"/>
    <w:lvl w:ilvl="0">
      <w:lvlJc w:val="left"/>
      <w:lvlText w:val="(%1)"/>
      <w:numFmt w:val="decimal"/>
      <w:start w:val="1"/>
    </w:lvl>
  </w:abstractNum>
  <w:abstractNum w:abstractNumId="31">
    <w:nsid w:val="5DC79EA8"/>
    <w:multiLevelType w:val="hybridMultilevel"/>
    <w:lvl w:ilvl="0">
      <w:lvlJc w:val="left"/>
      <w:lvlText w:val="(%1)"/>
      <w:numFmt w:val="decimal"/>
      <w:start w:val="1"/>
    </w:lvl>
  </w:abstractNum>
  <w:abstractNum w:abstractNumId="32">
    <w:nsid w:val="540A471C"/>
    <w:multiLevelType w:val="hybridMultilevel"/>
    <w:lvl w:ilvl="0">
      <w:lvlJc w:val="left"/>
      <w:lvlText w:val="(%1)"/>
      <w:numFmt w:val="decimal"/>
      <w:start w:val="1"/>
    </w:lvl>
  </w:abstractNum>
  <w:abstractNum w:abstractNumId="33">
    <w:nsid w:val="7BD3EE7B"/>
    <w:multiLevelType w:val="hybridMultilevel"/>
    <w:lvl w:ilvl="0">
      <w:lvlJc w:val="left"/>
      <w:lvlText w:val="(%1)"/>
      <w:numFmt w:val="decimal"/>
      <w:start w:val="1"/>
    </w:lvl>
  </w:abstractNum>
  <w:abstractNum w:abstractNumId="34">
    <w:nsid w:val="51D9C564"/>
    <w:multiLevelType w:val="hybridMultilevel"/>
    <w:lvl w:ilvl="0">
      <w:lvlJc w:val="left"/>
      <w:lvlText w:val="(%1)"/>
      <w:numFmt w:val="decimal"/>
      <w:start w:val="1"/>
    </w:lvl>
    <w:lvl w:ilvl="1">
      <w:lvlJc w:val="left"/>
      <w:lvlText w:val="(%2)"/>
      <w:numFmt w:val="lowerRoman"/>
      <w:start w:val="1"/>
    </w:lvl>
  </w:abstractNum>
  <w:abstractNum w:abstractNumId="35">
    <w:nsid w:val="613EFDC5"/>
    <w:multiLevelType w:val="hybridMultilevel"/>
    <w:lvl w:ilvl="0">
      <w:lvlJc w:val="left"/>
      <w:lvlText w:val="%1"/>
      <w:numFmt w:val="decimal"/>
      <w:start w:val="1"/>
    </w:lvl>
    <w:lvl w:ilvl="1">
      <w:lvlJc w:val="left"/>
      <w:lvlText w:val="(%2)"/>
      <w:numFmt w:val="lowerRoman"/>
      <w:start w:val="2"/>
    </w:lvl>
  </w:abstractNum>
  <w:abstractNum w:abstractNumId="36">
    <w:nsid w:val="BF72B14"/>
    <w:multiLevelType w:val="hybridMultilevel"/>
    <w:lvl w:ilvl="0">
      <w:lvlJc w:val="left"/>
      <w:lvlText w:val="(%1)"/>
      <w:numFmt w:val="decimal"/>
      <w:start w:val="2"/>
    </w:lvl>
    <w:lvl w:ilvl="1">
      <w:lvlJc w:val="left"/>
      <w:lvlText w:val="(%2)"/>
      <w:numFmt w:val="lowerRoman"/>
      <w:start w:val="1"/>
    </w:lvl>
  </w:abstractNum>
  <w:abstractNum w:abstractNumId="37">
    <w:nsid w:val="11447B73"/>
    <w:multiLevelType w:val="hybridMultilevel"/>
    <w:lvl w:ilvl="0">
      <w:lvlJc w:val="left"/>
      <w:lvlText w:val="(%1)"/>
      <w:numFmt w:val="decimal"/>
      <w:start w:val="6"/>
    </w:lvl>
  </w:abstractNum>
  <w:abstractNum w:abstractNumId="38">
    <w:nsid w:val="42963E5A"/>
    <w:multiLevelType w:val="hybridMultilevel"/>
    <w:lvl w:ilvl="0">
      <w:lvlJc w:val="left"/>
      <w:lvlText w:val="(%1)"/>
      <w:numFmt w:val="decimal"/>
      <w:start w:val="1"/>
    </w:lvl>
  </w:abstractNum>
  <w:abstractNum w:abstractNumId="39">
    <w:nsid w:val="A0382C5"/>
    <w:multiLevelType w:val="hybridMultilevel"/>
    <w:lvl w:ilvl="0">
      <w:lvlJc w:val="left"/>
      <w:lvlText w:val="%1."/>
      <w:numFmt w:val="decimal"/>
      <w:start w:val="6"/>
    </w:lvl>
  </w:abstractNum>
  <w:abstractNum w:abstractNumId="40">
    <w:nsid w:val="8F2B15E"/>
    <w:multiLevelType w:val="hybridMultilevel"/>
    <w:lvl w:ilvl="0">
      <w:lvlJc w:val="left"/>
      <w:lvlText w:val="(%1)"/>
      <w:numFmt w:val="decimal"/>
      <w:start w:val="1"/>
    </w:lvl>
  </w:abstractNum>
  <w:abstractNum w:abstractNumId="41">
    <w:nsid w:val="1A32234B"/>
    <w:multiLevelType w:val="hybridMultilevel"/>
    <w:lvl w:ilvl="0">
      <w:lvlJc w:val="left"/>
      <w:lvlText w:val="(%1)"/>
      <w:numFmt w:val="decimal"/>
      <w:start w:val="2"/>
    </w:lvl>
    <w:lvl w:ilvl="1">
      <w:lvlJc w:val="left"/>
      <w:lvlText w:val="(%2)"/>
      <w:numFmt w:val="lowerRoman"/>
      <w:start w:val="1"/>
    </w:lvl>
  </w:abstractNum>
  <w:abstractNum w:abstractNumId="42">
    <w:nsid w:val="3B0FD379"/>
    <w:multiLevelType w:val="hybridMultilevel"/>
    <w:lvl w:ilvl="0">
      <w:lvlJc w:val="left"/>
      <w:lvlText w:val="(%1)"/>
      <w:numFmt w:val="lowerRoman"/>
      <w:start w:val="6"/>
    </w:lvl>
  </w:abstractNum>
  <w:abstractNum w:abstractNumId="43">
    <w:nsid w:val="68EB2F63"/>
    <w:multiLevelType w:val="hybridMultilevel"/>
    <w:lvl w:ilvl="0">
      <w:lvlJc w:val="left"/>
      <w:lvlText w:val="%1"/>
      <w:numFmt w:val="decimal"/>
      <w:start w:val="1"/>
    </w:lvl>
    <w:lvl w:ilvl="1">
      <w:lvlJc w:val="left"/>
      <w:lvlText w:val="(%2)"/>
      <w:numFmt w:val="lowerRoman"/>
      <w:start w:val="10"/>
    </w:lvl>
  </w:abstractNum>
  <w:abstractNum w:abstractNumId="44">
    <w:nsid w:val="4962813B"/>
    <w:multiLevelType w:val="hybridMultilevel"/>
    <w:lvl w:ilvl="0">
      <w:lvlJc w:val="left"/>
      <w:lvlText w:val="%1."/>
      <w:numFmt w:val="decimal"/>
      <w:start w:val="7"/>
    </w:lvl>
    <w:lvl w:ilvl="1">
      <w:lvlJc w:val="left"/>
      <w:lvlText w:val="%2"/>
      <w:numFmt w:val="lowerRoman"/>
      <w:start w:val="1"/>
    </w:lvl>
  </w:abstractNum>
  <w:abstractNum w:abstractNumId="45">
    <w:nsid w:val="60B6DF70"/>
    <w:multiLevelType w:val="hybridMultilevel"/>
    <w:lvl w:ilvl="0">
      <w:lvlJc w:val="left"/>
      <w:lvlText w:val="(%1)"/>
      <w:numFmt w:val="decimal"/>
      <w:start w:val="1"/>
    </w:lvl>
  </w:abstractNum>
  <w:abstractNum w:abstractNumId="46">
    <w:nsid w:val="6A5EE64"/>
    <w:multiLevelType w:val="hybridMultilevel"/>
    <w:lvl w:ilvl="0">
      <w:lvlJc w:val="left"/>
      <w:lvlText w:val="(%1)"/>
      <w:numFmt w:val="decimal"/>
      <w:start w:val="1"/>
    </w:lvl>
  </w:abstractNum>
  <w:abstractNum w:abstractNumId="47">
    <w:nsid w:val="14330624"/>
    <w:multiLevelType w:val="hybridMultilevel"/>
    <w:lvl w:ilvl="0">
      <w:lvlJc w:val="left"/>
      <w:lvlText w:val="%1."/>
      <w:numFmt w:val="decimal"/>
      <w:start w:val="8"/>
    </w:lvl>
    <w:lvl w:ilvl="1">
      <w:lvlJc w:val="left"/>
      <w:lvlText w:val="(%2)"/>
      <w:numFmt w:val="decimal"/>
      <w:start w:val="1"/>
    </w:lvl>
  </w:abstractNum>
  <w:abstractNum w:abstractNumId="48">
    <w:nsid w:val="7FFFCA11"/>
    <w:multiLevelType w:val="hybridMultilevel"/>
    <w:lvl w:ilvl="0">
      <w:lvlJc w:val="left"/>
      <w:lvlText w:val="(%1)"/>
      <w:numFmt w:val="decimal"/>
      <w:start w:val="1"/>
    </w:lvl>
  </w:abstractNum>
  <w:abstractNum w:abstractNumId="49">
    <w:nsid w:val="1A27709E"/>
    <w:multiLevelType w:val="hybridMultilevel"/>
    <w:lvl w:ilvl="0">
      <w:lvlJc w:val="left"/>
      <w:lvlText w:val="%1"/>
      <w:numFmt w:val="decimal"/>
      <w:start w:val="1"/>
    </w:lvl>
    <w:lvl w:ilvl="1">
      <w:lvlJc w:val="left"/>
      <w:lvlText w:val="(%2)"/>
      <w:numFmt w:val="decimal"/>
      <w:start w:val="5"/>
    </w:lvl>
  </w:abstractNum>
  <w:abstractNum w:abstractNumId="50">
    <w:nsid w:val="71EA1109"/>
    <w:multiLevelType w:val="hybridMultilevel"/>
    <w:lvl w:ilvl="0">
      <w:lvlJc w:val="left"/>
      <w:lvlText w:val="%1."/>
      <w:numFmt w:val="decimal"/>
      <w:start w:val="9"/>
    </w:lvl>
    <w:lvl w:ilvl="1">
      <w:lvlJc w:val="left"/>
      <w:lvlText w:val="%2"/>
      <w:numFmt w:val="decimal"/>
      <w:start w:val="1"/>
    </w:lvl>
  </w:abstractNum>
  <w:abstractNum w:abstractNumId="51">
    <w:nsid w:val="100F59DC"/>
    <w:multiLevelType w:val="hybridMultilevel"/>
    <w:lvl w:ilvl="0">
      <w:lvlJc w:val="left"/>
      <w:lvlText w:val="(%1)"/>
      <w:numFmt w:val="decimal"/>
      <w:start w:val="1"/>
    </w:lvl>
  </w:abstractNum>
  <w:abstractNum w:abstractNumId="52">
    <w:nsid w:val="7FB7E0AA"/>
    <w:multiLevelType w:val="hybridMultilevel"/>
    <w:lvl w:ilvl="0">
      <w:lvlJc w:val="left"/>
      <w:lvlText w:val="%1."/>
      <w:numFmt w:val="decimal"/>
      <w:start w:val="10"/>
    </w:lvl>
  </w:abstractNum>
  <w:abstractNum w:abstractNumId="53">
    <w:nsid w:val="6EB5BD4"/>
    <w:multiLevelType w:val="hybridMultilevel"/>
    <w:lvl w:ilvl="0">
      <w:lvlJc w:val="left"/>
      <w:lvlText w:val="(%1)"/>
      <w:numFmt w:val="decimal"/>
      <w:start w:val="1"/>
    </w:lvl>
  </w:abstractNum>
  <w:abstractNum w:abstractNumId="54">
    <w:nsid w:val="6F6DD9AC"/>
    <w:multiLevelType w:val="hybridMultilevel"/>
    <w:lvl w:ilvl="0">
      <w:lvlJc w:val="left"/>
      <w:lvlText w:val="(%1)"/>
      <w:numFmt w:val="decimal"/>
      <w:start w:val="1"/>
    </w:lvl>
  </w:abstractNum>
  <w:abstractNum w:abstractNumId="55">
    <w:nsid w:val="94211F2"/>
    <w:multiLevelType w:val="hybridMultilevel"/>
    <w:lvl w:ilvl="0">
      <w:lvlJc w:val="left"/>
      <w:lvlText w:val="%1"/>
      <w:numFmt w:val="decimal"/>
      <w:start w:val="1"/>
    </w:lvl>
    <w:lvl w:ilvl="1">
      <w:lvlJc w:val="left"/>
      <w:lvlText w:val="(%2)"/>
      <w:numFmt w:val="decimal"/>
      <w:start w:val="2"/>
    </w:lvl>
    <w:lvl w:ilvl="2">
      <w:lvlJc w:val="left"/>
      <w:lvlText w:val="%3"/>
      <w:numFmt w:val="lowerRoman"/>
      <w:start w:val="1"/>
    </w:lvl>
  </w:abstractNum>
  <w:abstractNum w:abstractNumId="56">
    <w:nsid w:val="885E1B"/>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57">
    <w:nsid w:val="76272110"/>
    <w:multiLevelType w:val="hybridMultilevel"/>
    <w:lvl w:ilvl="0">
      <w:lvlJc w:val="left"/>
      <w:lvlText w:val="(%1)"/>
      <w:numFmt w:val="decimal"/>
      <w:start w:val="6"/>
    </w:lvl>
    <w:lvl w:ilvl="1">
      <w:lvlJc w:val="left"/>
      <w:lvlText w:val="(%2)"/>
      <w:numFmt w:val="lowerRoman"/>
      <w:start w:val="1"/>
    </w:lvl>
  </w:abstractNum>
  <w:abstractNum w:abstractNumId="58">
    <w:nsid w:val="4C04A8AF"/>
    <w:multiLevelType w:val="hybridMultilevel"/>
    <w:lvl w:ilvl="0">
      <w:lvlJc w:val="left"/>
      <w:lvlText w:val="(%1)"/>
      <w:numFmt w:val="decimal"/>
      <w:start w:val="1"/>
    </w:lvl>
  </w:abstractNum>
  <w:abstractNum w:abstractNumId="59">
    <w:nsid w:val="1716703B"/>
    <w:multiLevelType w:val="hybridMultilevel"/>
    <w:lvl w:ilvl="0">
      <w:lvlJc w:val="left"/>
      <w:lvlText w:val="(%1)"/>
      <w:numFmt w:val="decimal"/>
      <w:start w:val="2"/>
    </w:lvl>
    <w:lvl w:ilvl="1">
      <w:lvlJc w:val="left"/>
      <w:lvlText w:val="%"/>
      <w:numFmt w:val="bullet"/>
      <w:start w:val="1"/>
    </w:lvl>
    <w:lvl w:ilvl="2">
      <w:lvlJc w:val="left"/>
      <w:lvlText w:val="(%3)"/>
      <w:numFmt w:val="lowerRoman"/>
      <w:start w:val="1"/>
    </w:lvl>
  </w:abstractNum>
  <w:abstractNum w:abstractNumId="60">
    <w:nsid w:val="14E17E33"/>
    <w:multiLevelType w:val="hybridMultilevel"/>
    <w:lvl w:ilvl="0">
      <w:lvlJc w:val="left"/>
      <w:lvlText w:val="%1."/>
      <w:numFmt w:val="decimal"/>
      <w:start w:val="11"/>
    </w:lvl>
    <w:lvl w:ilvl="1">
      <w:lvlJc w:val="left"/>
      <w:lvlText w:val="(%2)"/>
      <w:numFmt w:val="decimal"/>
      <w:start w:val="1"/>
    </w:lvl>
  </w:abstractNum>
  <w:abstractNum w:abstractNumId="61">
    <w:nsid w:val="3222E7CD"/>
    <w:multiLevelType w:val="hybridMultilevel"/>
    <w:lvl w:ilvl="0">
      <w:lvlJc w:val="left"/>
      <w:lvlText w:val="(%1)"/>
      <w:numFmt w:val="decimal"/>
      <w:start w:val="1"/>
    </w:lvl>
  </w:abstractNum>
  <w:abstractNum w:abstractNumId="62">
    <w:nsid w:val="74DE0EE3"/>
    <w:multiLevelType w:val="hybridMultilevel"/>
    <w:lvl w:ilvl="0">
      <w:lvlJc w:val="left"/>
      <w:lvlText w:val="(%1)"/>
      <w:numFmt w:val="decimal"/>
      <w:start w:val="1"/>
    </w:lvl>
  </w:abstractNum>
  <w:abstractNum w:abstractNumId="63">
    <w:nsid w:val="68EBC550"/>
    <w:multiLevelType w:val="hybridMultilevel"/>
    <w:lvl w:ilvl="0">
      <w:lvlJc w:val="left"/>
      <w:lvlText w:val="%1."/>
      <w:numFmt w:val="decimal"/>
      <w:start w:val="12"/>
    </w:lvl>
  </w:abstractNum>
  <w:abstractNum w:abstractNumId="64">
    <w:nsid w:val="2DF6D648"/>
    <w:multiLevelType w:val="hybridMultilevel"/>
    <w:lvl w:ilvl="0">
      <w:lvlJc w:val="left"/>
      <w:lvlText w:val="%1."/>
      <w:numFmt w:val="decimal"/>
      <w:start w:val="1"/>
    </w:lvl>
  </w:abstractNum>
  <w:abstractNum w:abstractNumId="65">
    <w:nsid w:val="46B7D447"/>
    <w:multiLevelType w:val="hybridMultilevel"/>
    <w:lvl w:ilvl="0">
      <w:lvlJc w:val="left"/>
      <w:lvlText w:val="(%1)"/>
      <w:numFmt w:val="decimal"/>
      <w:start w:val="1"/>
    </w:lvl>
  </w:abstractNum>
  <w:abstractNum w:abstractNumId="66">
    <w:nsid w:val="4A2AC315"/>
    <w:multiLevelType w:val="hybridMultilevel"/>
    <w:lvl w:ilvl="0">
      <w:lvlJc w:val="left"/>
      <w:lvlText w:val="%1."/>
      <w:numFmt w:val="decimal"/>
      <w:start w:val="1"/>
    </w:lvl>
    <w:lvl w:ilvl="1">
      <w:lvlJc w:val="left"/>
      <w:lvlText w:val="(%2)"/>
      <w:numFmt w:val="decimal"/>
      <w:start w:val="1"/>
    </w:lvl>
  </w:abstractNum>
  <w:abstractNum w:abstractNumId="67">
    <w:nsid w:val="39EE015C"/>
    <w:multiLevelType w:val="hybridMultilevel"/>
    <w:lvl w:ilvl="0">
      <w:lvlJc w:val="left"/>
      <w:lvlText w:val="(%1)"/>
      <w:numFmt w:val="decimal"/>
      <w:start w:val="3"/>
    </w:lvl>
  </w:abstractNum>
  <w:abstractNum w:abstractNumId="68">
    <w:nsid w:val="57FC4FBB"/>
    <w:multiLevelType w:val="hybridMultilevel"/>
    <w:lvl w:ilvl="0">
      <w:lvlJc w:val="left"/>
      <w:lvlText w:val="(%1)"/>
      <w:numFmt w:val="decimal"/>
      <w:start w:val="1"/>
    </w:lvl>
  </w:abstractNum>
  <w:abstractNum w:abstractNumId="69">
    <w:nsid w:val="CC1016F"/>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lowerRoman"/>
      <w:start w:val="2"/>
    </w:lvl>
  </w:abstractNum>
  <w:abstractNum w:abstractNumId="70">
    <w:nsid w:val="43F18422"/>
    <w:multiLevelType w:val="hybridMultilevel"/>
    <w:lvl w:ilvl="0">
      <w:lvlJc w:val="left"/>
      <w:lvlText w:val="%1."/>
      <w:numFmt w:val="decimal"/>
      <w:start w:val="5"/>
    </w:lvl>
    <w:lvl w:ilvl="1">
      <w:lvlJc w:val="left"/>
      <w:lvlText w:val="%2"/>
      <w:numFmt w:val="decimal"/>
      <w:start w:val="1"/>
    </w:lvl>
    <w:lvl w:ilvl="2">
      <w:lvlJc w:val="left"/>
      <w:lvlText w:val="%3"/>
      <w:numFmt w:val="lowerRoman"/>
      <w:start w:val="1"/>
    </w:lvl>
    <w:lvl w:ilvl="3">
      <w:lvlJc w:val="left"/>
      <w:lvlText w:val="%4"/>
      <w:numFmt w:val="lowerRoman"/>
      <w:start w:val="1"/>
    </w:lvl>
  </w:abstractNum>
  <w:abstractNum w:abstractNumId="71">
    <w:nsid w:val="60EF0119"/>
    <w:multiLevelType w:val="hybridMultilevel"/>
    <w:lvl w:ilvl="0">
      <w:lvlJc w:val="left"/>
      <w:lvlText w:val="(%1)"/>
      <w:numFmt w:val="decimal"/>
      <w:start w:val="1"/>
    </w:lvl>
  </w:abstractNum>
  <w:abstractNum w:abstractNumId="72">
    <w:nsid w:val="26F324BA"/>
    <w:multiLevelType w:val="hybridMultilevel"/>
    <w:lvl w:ilvl="0">
      <w:lvlJc w:val="left"/>
      <w:lvlText w:val="(%1)"/>
      <w:numFmt w:val="decimal"/>
      <w:start w:val="1"/>
    </w:lvl>
  </w:abstractNum>
  <w:abstractNum w:abstractNumId="73">
    <w:nsid w:val="7F01579B"/>
    <w:multiLevelType w:val="hybridMultilevel"/>
    <w:lvl w:ilvl="0">
      <w:lvlJc w:val="left"/>
      <w:lvlText w:val="(%1)"/>
      <w:numFmt w:val="decimal"/>
      <w:start w:val="2"/>
    </w:lvl>
  </w:abstractNum>
  <w:abstractNum w:abstractNumId="74">
    <w:nsid w:val="49DA307D"/>
    <w:multiLevelType w:val="hybridMultilevel"/>
    <w:lvl w:ilvl="0">
      <w:lvlJc w:val="left"/>
      <w:lvlText w:val="(%1)"/>
      <w:numFmt w:val="decimal"/>
      <w:start w:val="3"/>
    </w:lvl>
  </w:abstractNum>
  <w:abstractNum w:abstractNumId="75">
    <w:nsid w:val="7055A5F5"/>
    <w:multiLevelType w:val="hybridMultilevel"/>
    <w:lvl w:ilvl="0">
      <w:lvlJc w:val="left"/>
      <w:lvlText w:val="(%1)"/>
      <w:numFmt w:val="decimal"/>
      <w:start w:val="1"/>
    </w:lvl>
  </w:abstractNum>
  <w:abstractNum w:abstractNumId="76">
    <w:nsid w:val="5FB8370B"/>
    <w:multiLevelType w:val="hybridMultilevel"/>
    <w:lvl w:ilvl="0">
      <w:lvlJc w:val="left"/>
      <w:lvlText w:val="(%1)"/>
      <w:numFmt w:val="decimal"/>
      <w:start w:val="1"/>
    </w:lvl>
  </w:abstractNum>
  <w:abstractNum w:abstractNumId="77">
    <w:nsid w:val="50801EE1"/>
    <w:multiLevelType w:val="hybridMultilevel"/>
    <w:lvl w:ilvl="0">
      <w:lvlJc w:val="left"/>
      <w:lvlText w:val="(%1)"/>
      <w:numFmt w:val="decimal"/>
      <w:start w:val="1"/>
    </w:lvl>
  </w:abstractNum>
  <w:abstractNum w:abstractNumId="78">
    <w:nsid w:val="488AC1A"/>
    <w:multiLevelType w:val="hybridMultilevel"/>
    <w:lvl w:ilvl="0">
      <w:lvlJc w:val="left"/>
      <w:lvlText w:val="(%1)"/>
      <w:numFmt w:val="decimal"/>
      <w:start w:val="1"/>
    </w:lvl>
  </w:abstractNum>
  <w:abstractNum w:abstractNumId="79">
    <w:nsid w:val="5FB8011C"/>
    <w:multiLevelType w:val="hybridMultilevel"/>
    <w:lvl w:ilvl="0">
      <w:lvlJc w:val="left"/>
      <w:lvlText w:val="(%1)"/>
      <w:numFmt w:val="decimal"/>
      <w:start w:val="1"/>
    </w:lvl>
  </w:abstractNum>
  <w:abstractNum w:abstractNumId="80">
    <w:nsid w:val="6AA78F7F"/>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lowerRoman"/>
      <w:start w:val="2"/>
    </w:lvl>
  </w:abstractNum>
  <w:abstractNum w:abstractNumId="81">
    <w:nsid w:val="7672BD23"/>
    <w:multiLevelType w:val="hybridMultilevel"/>
    <w:lvl w:ilvl="0">
      <w:lvlJc w:val="left"/>
      <w:lvlText w:val="(%1)"/>
      <w:numFmt w:val="decimal"/>
      <w:start w:val="2"/>
    </w:lvl>
    <w:lvl w:ilvl="1">
      <w:lvlJc w:val="left"/>
      <w:lvlText w:val="(%2)"/>
      <w:numFmt w:val="decimal"/>
      <w:start w:val="4"/>
    </w:lvl>
    <w:lvl w:ilvl="2">
      <w:lvlJc w:val="left"/>
      <w:lvlText w:val="%3"/>
      <w:numFmt w:val="lowerRoman"/>
      <w:start w:val="1"/>
    </w:lvl>
    <w:lvl w:ilvl="3">
      <w:lvlJc w:val="left"/>
      <w:lvlText w:val="%4"/>
      <w:numFmt w:val="lowerRoman"/>
      <w:start w:val="1"/>
    </w:lvl>
  </w:abstractNum>
  <w:abstractNum w:abstractNumId="82">
    <w:nsid w:val="6FC75AF8"/>
    <w:multiLevelType w:val="hybridMultilevel"/>
    <w:lvl w:ilvl="0">
      <w:lvlJc w:val="left"/>
      <w:lvlText w:val="(%1)"/>
      <w:numFmt w:val="decimal"/>
      <w:start w:val="5"/>
    </w:lvl>
    <w:lvl w:ilvl="1">
      <w:lvlJc w:val="left"/>
      <w:lvlText w:val="(%2)"/>
      <w:numFmt w:val="lowerRoman"/>
      <w:start w:val="1"/>
    </w:lvl>
  </w:abstractNum>
  <w:abstractNum w:abstractNumId="83">
    <w:nsid w:val="6A5F7029"/>
    <w:multiLevelType w:val="hybridMultilevel"/>
    <w:lvl w:ilvl="0">
      <w:lvlJc w:val="left"/>
      <w:lvlText w:val="(%1)"/>
      <w:numFmt w:val="lowerRoman"/>
      <w:start w:val="2"/>
    </w:lvl>
  </w:abstractNum>
  <w:abstractNum w:abstractNumId="84">
    <w:nsid w:val="7D5E18F8"/>
    <w:multiLevelType w:val="hybridMultilevel"/>
    <w:lvl w:ilvl="0">
      <w:lvlJc w:val="left"/>
      <w:lvlText w:val="(%1)"/>
      <w:numFmt w:val="lowerRoman"/>
      <w:start w:val="3"/>
    </w:lvl>
  </w:abstractNum>
  <w:abstractNum w:abstractNumId="85">
    <w:nsid w:val="5F3534A4"/>
    <w:multiLevelType w:val="hybridMultilevel"/>
    <w:lvl w:ilvl="0">
      <w:lvlJc w:val="left"/>
      <w:lvlText w:val="(%1)"/>
      <w:numFmt w:val="decimal"/>
      <w:start w:val="1"/>
    </w:lvl>
  </w:abstractNum>
  <w:abstractNum w:abstractNumId="86">
    <w:nsid w:val="73A1821B"/>
    <w:multiLevelType w:val="hybridMultilevel"/>
    <w:lvl w:ilvl="0">
      <w:lvlJc w:val="left"/>
      <w:lvlText w:val="%1."/>
      <w:numFmt w:val="decimal"/>
      <w:start w:val="6"/>
    </w:lvl>
  </w:abstractNum>
  <w:abstractNum w:abstractNumId="87">
    <w:nsid w:val="7DE67713"/>
    <w:multiLevelType w:val="hybridMultilevel"/>
    <w:lvl w:ilvl="0">
      <w:lvlJc w:val="left"/>
      <w:lvlText w:val="(%1)"/>
      <w:numFmt w:val="decimal"/>
      <w:start w:val="1"/>
    </w:lvl>
  </w:abstractNum>
  <w:abstractNum w:abstractNumId="88">
    <w:nsid w:val="555C55B5"/>
    <w:multiLevelType w:val="hybridMultilevel"/>
    <w:lvl w:ilvl="0">
      <w:lvlJc w:val="left"/>
      <w:lvlText w:val="(%1)"/>
      <w:numFmt w:val="decimal"/>
      <w:start w:val="1"/>
    </w:lvl>
  </w:abstractNum>
  <w:abstractNum w:abstractNumId="89">
    <w:nsid w:val="3FA62ACA"/>
    <w:multiLevelType w:val="hybridMultilevel"/>
    <w:lvl w:ilvl="0">
      <w:lvlJc w:val="left"/>
      <w:lvlText w:val="(%1)"/>
      <w:numFmt w:val="decimal"/>
      <w:start w:val="3"/>
    </w:lvl>
    <w:lvl w:ilvl="1">
      <w:lvlJc w:val="left"/>
      <w:lvlText w:val="(%2)"/>
      <w:numFmt w:val="lowerRoman"/>
      <w:start w:val="1"/>
    </w:lvl>
  </w:abstractNum>
  <w:abstractNum w:abstractNumId="90">
    <w:nsid w:val="14FCE74E"/>
    <w:multiLevelType w:val="hybridMultilevel"/>
    <w:lvl w:ilvl="0">
      <w:lvlJc w:val="left"/>
      <w:lvlText w:val="(%1)"/>
      <w:numFmt w:val="lowerRoman"/>
      <w:start w:val="5"/>
    </w:lvl>
    <w:lvl w:ilvl="1">
      <w:lvlJc w:val="left"/>
      <w:lvlText w:val="%2"/>
      <w:numFmt w:val="lowerRoman"/>
      <w:start w:val="1"/>
    </w:lvl>
    <w:lvl w:ilvl="2">
      <w:lvlJc w:val="left"/>
      <w:lvlText w:val="%3"/>
      <w:numFmt w:val="lowerRoman"/>
      <w:start w:val="1"/>
    </w:lvl>
  </w:abstractNum>
  <w:abstractNum w:abstractNumId="91">
    <w:nsid w:val="6A3DD3E8"/>
    <w:multiLevelType w:val="hybridMultilevel"/>
    <w:lvl w:ilvl="0">
      <w:lvlJc w:val="left"/>
      <w:lvlText w:val="(%1)"/>
      <w:numFmt w:val="lowerRoman"/>
      <w:start w:val="3"/>
    </w:lvl>
    <w:lvl w:ilvl="1">
      <w:lvlJc w:val="left"/>
      <w:lvlText w:val="%2"/>
      <w:numFmt w:val="lowerRoman"/>
      <w:start w:val="1"/>
    </w:lvl>
    <w:lvl w:ilvl="2">
      <w:lvlJc w:val="left"/>
      <w:lvlText w:val="(%3)"/>
      <w:numFmt w:val="lowerRoman"/>
      <w:start w:val="10"/>
    </w:lvl>
  </w:abstractNum>
  <w:abstractNum w:abstractNumId="92">
    <w:nsid w:val="71C91298"/>
    <w:multiLevelType w:val="hybridMultilevel"/>
    <w:lvl w:ilvl="0">
      <w:lvlJc w:val="left"/>
      <w:lvlText w:val="%1."/>
      <w:numFmt w:val="decimal"/>
      <w:start w:val="7"/>
    </w:lvl>
  </w:abstractNum>
  <w:abstractNum w:abstractNumId="93">
    <w:nsid w:val="9DAF632"/>
    <w:multiLevelType w:val="hybridMultilevel"/>
    <w:lvl w:ilvl="0">
      <w:lvlJc w:val="left"/>
      <w:lvlText w:val="(%1)"/>
      <w:numFmt w:val="decimal"/>
      <w:start w:val="1"/>
    </w:lvl>
  </w:abstractNum>
  <w:abstractNum w:abstractNumId="94">
    <w:nsid w:val="53299938"/>
    <w:multiLevelType w:val="hybridMultilevel"/>
    <w:lvl w:ilvl="0">
      <w:lvlJc w:val="left"/>
      <w:lvlText w:val="(%1)"/>
      <w:numFmt w:val="decimal"/>
      <w:start w:val="1"/>
    </w:lvl>
  </w:abstractNum>
  <w:abstractNum w:abstractNumId="95">
    <w:nsid w:val="1FBFE8E0"/>
    <w:multiLevelType w:val="hybridMultilevel"/>
    <w:lvl w:ilvl="0">
      <w:lvlJc w:val="left"/>
      <w:lvlText w:val="%1."/>
      <w:numFmt w:val="decimal"/>
      <w:start w:val="8"/>
    </w:lvl>
  </w:abstractNum>
  <w:abstractNum w:abstractNumId="96">
    <w:nsid w:val="5092CA79"/>
    <w:multiLevelType w:val="hybridMultilevel"/>
    <w:lvl w:ilvl="0">
      <w:lvlJc w:val="left"/>
      <w:lvlText w:val="(%1)"/>
      <w:numFmt w:val="decimal"/>
      <w:start w:val="1"/>
    </w:lvl>
  </w:abstractNum>
  <w:abstractNum w:abstractNumId="97">
    <w:nsid w:val="1D545C4D"/>
    <w:multiLevelType w:val="hybridMultilevel"/>
    <w:lvl w:ilvl="0">
      <w:lvlJc w:val="left"/>
      <w:lvlText w:val="(%1)"/>
      <w:numFmt w:val="decimal"/>
      <w:start w:val="1"/>
    </w:lvl>
  </w:abstractNum>
  <w:abstractNum w:abstractNumId="98">
    <w:nsid w:val="59ADEA3D"/>
    <w:multiLevelType w:val="hybridMultilevel"/>
    <w:lvl w:ilvl="0">
      <w:lvlJc w:val="left"/>
      <w:lvlText w:val="(%1)"/>
      <w:numFmt w:val="decimal"/>
      <w:start w:val="3"/>
    </w:lvl>
  </w:abstractNum>
  <w:abstractNum w:abstractNumId="99">
    <w:nsid w:val="288F1A34"/>
    <w:multiLevelType w:val="hybridMultilevel"/>
    <w:lvl w:ilvl="0">
      <w:lvlJc w:val="left"/>
      <w:lvlText w:val="%1."/>
      <w:numFmt w:val="decimal"/>
      <w:start w:val="9"/>
    </w:lvl>
  </w:abstractNum>
  <w:abstractNum w:abstractNumId="100">
    <w:nsid w:val="2A155DBC"/>
    <w:multiLevelType w:val="hybridMultilevel"/>
    <w:lvl w:ilvl="0">
      <w:lvlJc w:val="left"/>
      <w:lvlText w:val="(%1)"/>
      <w:numFmt w:val="decimal"/>
      <w:start w:val="1"/>
    </w:lvl>
  </w:abstractNum>
  <w:abstractNum w:abstractNumId="101">
    <w:nsid w:val="1D9F6E5F"/>
    <w:multiLevelType w:val="hybridMultilevel"/>
    <w:lvl w:ilvl="0">
      <w:lvlJc w:val="left"/>
      <w:lvlText w:val="(%1)"/>
      <w:numFmt w:val="decimal"/>
      <w:start w:val="1"/>
    </w:lvl>
  </w:abstractNum>
  <w:abstractNum w:abstractNumId="102">
    <w:nsid w:val="97E1B4E"/>
    <w:multiLevelType w:val="hybridMultilevel"/>
    <w:lvl w:ilvl="0">
      <w:lvlJc w:val="left"/>
      <w:lvlText w:val="(%1)"/>
      <w:numFmt w:val="decimal"/>
      <w:start w:val="1"/>
    </w:lvl>
  </w:abstractNum>
  <w:abstractNum w:abstractNumId="103">
    <w:nsid w:val="51088277"/>
    <w:multiLevelType w:val="hybridMultilevel"/>
    <w:lvl w:ilvl="0">
      <w:lvlJc w:val="left"/>
      <w:lvlText w:val="(%1)"/>
      <w:numFmt w:val="decimal"/>
      <w:start w:val="1"/>
    </w:lvl>
  </w:abstractNum>
  <w:abstractNum w:abstractNumId="104">
    <w:nsid w:val="1CA0C5FA"/>
    <w:multiLevelType w:val="hybridMultilevel"/>
    <w:lvl w:ilvl="0">
      <w:lvlJc w:val="left"/>
      <w:lvlText w:val="%1"/>
      <w:numFmt w:val="decimal"/>
      <w:start w:val="1"/>
    </w:lvl>
    <w:lvl w:ilvl="1">
      <w:lvlJc w:val="left"/>
      <w:lvlText w:val="(%2)"/>
      <w:numFmt w:val="decimal"/>
      <w:start w:val="3"/>
    </w:lvl>
    <w:lvl w:ilvl="2">
      <w:lvlJc w:val="left"/>
      <w:lvlText w:val="(%3)"/>
      <w:numFmt w:val="lowerRoman"/>
      <w:start w:val="1"/>
    </w:lvl>
  </w:abstractNum>
  <w:abstractNum w:abstractNumId="105">
    <w:nsid w:val="53584BCB"/>
    <w:multiLevelType w:val="hybridMultilevel"/>
    <w:lvl w:ilvl="0">
      <w:lvlJc w:val="left"/>
      <w:lvlText w:val="(%1)"/>
      <w:numFmt w:val="decimal"/>
      <w:start w:val="6"/>
    </w:lvl>
    <w:lvl w:ilvl="1">
      <w:lvlJc w:val="left"/>
      <w:lvlText w:val="%2"/>
      <w:numFmt w:val="decimal"/>
      <w:start w:val="1"/>
    </w:lvl>
    <w:lvl w:ilvl="2">
      <w:lvlJc w:val="left"/>
      <w:lvlText w:val="(%3)"/>
      <w:numFmt w:val="lowerRoman"/>
      <w:start w:val="1"/>
    </w:lvl>
  </w:abstractNum>
  <w:abstractNum w:abstractNumId="106">
    <w:nsid w:val="415E286C"/>
    <w:multiLevelType w:val="hybridMultilevel"/>
    <w:lvl w:ilvl="0">
      <w:lvlJc w:val="left"/>
      <w:lvlText w:val="%1"/>
      <w:numFmt w:val="decimal"/>
      <w:start w:val="1"/>
    </w:lvl>
    <w:lvl w:ilvl="1">
      <w:lvlJc w:val="left"/>
      <w:lvlText w:val="(%2)"/>
      <w:numFmt w:val="lowerRoman"/>
      <w:start w:val="4"/>
    </w:lvl>
  </w:abstractNum>
  <w:abstractNum w:abstractNumId="107">
    <w:nsid w:val="7C58FD05"/>
    <w:multiLevelType w:val="hybridMultilevel"/>
    <w:lvl w:ilvl="0">
      <w:lvlJc w:val="left"/>
      <w:lvlText w:val="(%1)"/>
      <w:numFmt w:val="decimal"/>
      <w:start w:val="7"/>
    </w:lvl>
    <w:lvl w:ilvl="1">
      <w:lvlJc w:val="left"/>
      <w:lvlText w:val="%2"/>
      <w:numFmt w:val="lowerRoman"/>
      <w:start w:val="1"/>
    </w:lvl>
  </w:abstractNum>
  <w:abstractNum w:abstractNumId="108">
    <w:nsid w:val="23D86AAC"/>
    <w:multiLevelType w:val="hybridMultilevel"/>
    <w:lvl w:ilvl="0">
      <w:lvlJc w:val="left"/>
      <w:lvlText w:val="(%1)"/>
      <w:numFmt w:val="decimal"/>
      <w:start w:val="1"/>
    </w:lvl>
  </w:abstractNum>
  <w:abstractNum w:abstractNumId="109">
    <w:nsid w:val="45E6D486"/>
    <w:multiLevelType w:val="hybridMultilevel"/>
    <w:lvl w:ilvl="0">
      <w:lvlJc w:val="left"/>
      <w:lvlText w:val="%1"/>
      <w:numFmt w:val="decimal"/>
      <w:start w:val="1"/>
    </w:lvl>
    <w:lvl w:ilvl="1">
      <w:lvlJc w:val="left"/>
      <w:lvlText w:val="(%2)"/>
      <w:numFmt w:val="decimal"/>
      <w:start w:val="8"/>
    </w:lvl>
    <w:lvl w:ilvl="2">
      <w:lvlJc w:val="left"/>
      <w:lvlText w:val="(%3)"/>
      <w:numFmt w:val="lowerRoman"/>
      <w:start w:val="1"/>
    </w:lvl>
  </w:abstractNum>
  <w:abstractNum w:abstractNumId="110">
    <w:nsid w:val="5C10FE21"/>
    <w:multiLevelType w:val="hybridMultilevel"/>
    <w:lvl w:ilvl="0">
      <w:lvlJc w:val="left"/>
      <w:lvlText w:val="%1."/>
      <w:numFmt w:val="decimal"/>
      <w:start w:val="11"/>
    </w:lvl>
    <w:lvl w:ilvl="1">
      <w:lvlJc w:val="left"/>
      <w:lvlText w:val="%2"/>
      <w:numFmt w:val="decimal"/>
      <w:start w:val="1"/>
    </w:lvl>
    <w:lvl w:ilvl="2">
      <w:lvlJc w:val="left"/>
      <w:lvlText w:val="%3"/>
      <w:numFmt w:val="lowerRoman"/>
      <w:start w:val="1"/>
    </w:lvl>
  </w:abstractNum>
  <w:abstractNum w:abstractNumId="111">
    <w:nsid w:val="E7FFA2B"/>
    <w:multiLevelType w:val="hybridMultilevel"/>
    <w:lvl w:ilvl="0">
      <w:lvlJc w:val="left"/>
      <w:lvlText w:val="(%1)"/>
      <w:numFmt w:val="decimal"/>
      <w:start w:val="1"/>
    </w:lvl>
  </w:abstractNum>
  <w:abstractNum w:abstractNumId="112">
    <w:nsid w:val="3C5991AA"/>
    <w:multiLevelType w:val="hybridMultilevel"/>
    <w:lvl w:ilvl="0">
      <w:lvlJc w:val="left"/>
      <w:lvlText w:val="(%1)"/>
      <w:numFmt w:val="decimal"/>
      <w:start w:val="1"/>
    </w:lvl>
  </w:abstractNum>
  <w:abstractNum w:abstractNumId="113">
    <w:nsid w:val="4BD8591A"/>
    <w:multiLevelType w:val="hybridMultilevel"/>
    <w:lvl w:ilvl="0">
      <w:lvlJc w:val="left"/>
      <w:lvlText w:val="(%1)"/>
      <w:numFmt w:val="decimal"/>
      <w:start w:val="1"/>
    </w:lvl>
  </w:abstractNum>
  <w:abstractNum w:abstractNumId="114">
    <w:nsid w:val="78DF6A55"/>
    <w:multiLevelType w:val="hybridMultilevel"/>
    <w:lvl w:ilvl="0">
      <w:lvlJc w:val="left"/>
      <w:lvlText w:val="%1."/>
      <w:numFmt w:val="decimal"/>
      <w:start w:val="2"/>
    </w:lvl>
  </w:abstractNum>
  <w:abstractNum w:abstractNumId="115">
    <w:nsid w:val="39B7AAA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2019-12-07T03:00:05Z</dcterms:created>
  <dcterms:modified xsi:type="dcterms:W3CDTF">2019-12-07T03:00:05Z</dcterms:modified>
</cp:coreProperties>
</file>