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229" w:right="1060" w:hanging="3229"/>
        <w:spacing w:after="0" w:line="493" w:lineRule="auto"/>
        <w:tabs>
          <w:tab w:leader="none" w:pos="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09" w:hanging="209"/>
        <w:spacing w:after="0"/>
        <w:tabs>
          <w:tab w:leader="none" w:pos="209"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2989"/>
        <w:spacing w:after="0"/>
        <w:rPr>
          <w:sz w:val="20"/>
          <w:szCs w:val="20"/>
          <w:color w:val="auto"/>
        </w:rPr>
      </w:pP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409"/>
          </w:cols>
          <w:pgMar w:left="751" w:top="233" w:right="739" w:bottom="1440" w:gutter="0" w:footer="0" w:header="0"/>
        </w:sectPr>
      </w:pPr>
    </w:p>
    <w:p>
      <w:pPr>
        <w:spacing w:after="0" w:line="220" w:lineRule="exact"/>
        <w:rPr>
          <w:sz w:val="24"/>
          <w:szCs w:val="24"/>
          <w:color w:val="auto"/>
        </w:rPr>
      </w:pPr>
    </w:p>
    <w:p>
      <w:pPr>
        <w:jc w:val="center"/>
        <w:ind w:right="51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11"/>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5709" w:space="720"/>
            <w:col w:w="3980"/>
          </w:cols>
          <w:pgMar w:left="751" w:top="233" w:right="739" w:bottom="1440" w:gutter="0" w:footer="0" w:header="0"/>
          <w:type w:val="continuous"/>
        </w:sectPr>
      </w:pPr>
    </w:p>
    <w:p>
      <w:pPr>
        <w:spacing w:after="0" w:line="1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3" w:lineRule="exact"/>
        <w:rPr>
          <w:sz w:val="24"/>
          <w:szCs w:val="24"/>
          <w:color w:val="auto"/>
        </w:rPr>
      </w:pPr>
    </w:p>
    <w:p>
      <w:pPr>
        <w:ind w:left="5069" w:hanging="428"/>
        <w:spacing w:after="0"/>
        <w:tabs>
          <w:tab w:leader="none" w:pos="50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39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197"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0"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0" w:lineRule="exact"/>
        <w:rPr>
          <w:sz w:val="24"/>
          <w:szCs w:val="24"/>
          <w:color w:val="auto"/>
        </w:rPr>
      </w:pPr>
    </w:p>
    <w:p>
      <w:pPr>
        <w:jc w:val="both"/>
        <w:ind w:left="9"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9"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spacing w:after="0"/>
              <w:rPr>
                <w:sz w:val="24"/>
                <w:szCs w:val="24"/>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05"/>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9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70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78"/>
        </w:trPr>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55" w:lineRule="exact"/>
        <w:rPr>
          <w:sz w:val="24"/>
          <w:szCs w:val="24"/>
          <w:color w:val="auto"/>
        </w:rPr>
      </w:pPr>
    </w:p>
    <w:p>
      <w:pPr>
        <w:ind w:left="9" w:firstLine="41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ind w:left="409"/>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ind w:left="9"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3, 2017 there were 19,382,186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648970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10"/>
          </w:tcPr>
          <w:p>
            <w:pPr>
              <w:jc w:val="center"/>
              <w:ind w:right="2660"/>
              <w:spacing w:after="0"/>
              <w:rPr>
                <w:sz w:val="20"/>
                <w:szCs w:val="20"/>
                <w:color w:val="auto"/>
              </w:rPr>
            </w:pPr>
            <w:r>
              <w:rPr>
                <w:rFonts w:ascii="Arial" w:cs="Arial" w:eastAsia="Arial" w:hAnsi="Arial"/>
                <w:sz w:val="18"/>
                <w:szCs w:val="18"/>
                <w:b w:val="1"/>
                <w:bCs w:val="1"/>
                <w:color w:val="auto"/>
                <w:w w:val="89"/>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1"/>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3"/>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1"/>
            <w:vMerge w:val="continue"/>
          </w:tcPr>
          <w:p>
            <w:pPr>
              <w:spacing w:after="0"/>
              <w:rPr>
                <w:sz w:val="13"/>
                <w:szCs w:val="13"/>
                <w:color w:val="auto"/>
              </w:rPr>
            </w:pPr>
          </w:p>
        </w:tc>
        <w:tc>
          <w:tcPr>
            <w:tcW w:w="6380" w:type="dxa"/>
            <w:vAlign w:val="bottom"/>
            <w:gridSpan w:val="13"/>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6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Balance Sheets as of September 30, 2017 (Unaudited) and December 31, 2016</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w:t>
              </w:r>
            </w:hyperlink>
          </w:p>
        </w:tc>
        <w:tc>
          <w:tcPr>
            <w:tcW w:w="3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2017 and 2016 (Unaudited)</w:t>
              </w:r>
            </w:hyperlink>
          </w:p>
        </w:tc>
        <w:tc>
          <w:tcPr>
            <w:tcW w:w="588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w:t>
              </w:r>
            </w:hyperlink>
          </w:p>
        </w:tc>
        <w:tc>
          <w:tcPr>
            <w:tcW w:w="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2017 and 2016 (Unaudited)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Nine Months ended September 30,</w:t>
              </w:r>
            </w:hyperlink>
          </w:p>
        </w:tc>
        <w:tc>
          <w:tcPr>
            <w:tcW w:w="3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 (Unaudited)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Nine Months ended September 30, 2017 and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2016 (Unaudited)</w:t>
              </w:r>
            </w:hyperlink>
          </w:p>
        </w:tc>
        <w:tc>
          <w:tcPr>
            <w:tcW w:w="38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26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786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352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260" w:type="dxa"/>
            <w:vAlign w:val="bottom"/>
            <w:gridSpan w:val="2"/>
          </w:tcPr>
          <w:p>
            <w:pPr>
              <w:spacing w:after="0"/>
              <w:rPr>
                <w:sz w:val="24"/>
                <w:szCs w:val="24"/>
                <w:color w:val="auto"/>
              </w:rPr>
            </w:pP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610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2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720" w:type="dxa"/>
            <w:vAlign w:val="bottom"/>
            <w:tcBorders>
              <w:top w:val="single" w:sz="8" w:color="0000EE"/>
            </w:tcBorders>
            <w:gridSpan w:val="5"/>
          </w:tcPr>
          <w:p>
            <w:pPr>
              <w:spacing w:after="0"/>
              <w:rPr>
                <w:sz w:val="24"/>
                <w:szCs w:val="24"/>
                <w:color w:val="auto"/>
              </w:rPr>
            </w:pPr>
          </w:p>
        </w:tc>
        <w:tc>
          <w:tcPr>
            <w:tcW w:w="6540" w:type="dxa"/>
            <w:vAlign w:val="bottom"/>
            <w:gridSpan w:val="1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710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3"/>
          </w:tcPr>
          <w:p>
            <w:pPr>
              <w:jc w:val="center"/>
              <w:ind w:left="31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49,766</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51,817</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6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157,552</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Cash restricted for construction in progress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144,098</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11,421</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60" w:type="dxa"/>
            <w:vAlign w:val="bottom"/>
            <w:shd w:val="clear" w:color="auto" w:fill="CCEEFF"/>
          </w:tcPr>
          <w:p>
            <w:pPr>
              <w:spacing w:after="0"/>
              <w:rPr>
                <w:sz w:val="18"/>
                <w:szCs w:val="18"/>
                <w:color w:val="auto"/>
              </w:rPr>
            </w:pPr>
          </w:p>
        </w:tc>
      </w:tr>
      <w:tr>
        <w:trPr>
          <w:trHeight w:val="217"/>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322,318</w:t>
            </w:r>
          </w:p>
        </w:tc>
        <w:tc>
          <w:tcPr>
            <w:tcW w:w="60" w:type="dxa"/>
            <w:vAlign w:val="bottom"/>
            <w:tcBorders>
              <w:bottom w:val="single" w:sz="8" w:color="CCEEFF"/>
            </w:tcBorders>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4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36,375</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60" w:type="dxa"/>
            <w:vAlign w:val="bottom"/>
            <w:shd w:val="clear" w:color="auto" w:fill="CCEEFF"/>
          </w:tcPr>
          <w:p>
            <w:pPr>
              <w:spacing w:after="0"/>
              <w:rPr>
                <w:sz w:val="18"/>
                <w:szCs w:val="18"/>
                <w:color w:val="auto"/>
              </w:rPr>
            </w:pPr>
          </w:p>
        </w:tc>
      </w:tr>
      <w:tr>
        <w:trPr>
          <w:trHeight w:val="210"/>
        </w:trPr>
        <w:tc>
          <w:tcPr>
            <w:tcW w:w="6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76,891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59,973</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114,262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w:t>
            </w:r>
          </w:p>
        </w:tc>
        <w:tc>
          <w:tcPr>
            <w:tcW w:w="6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6680" w:type="dxa"/>
            <w:vAlign w:val="bottom"/>
          </w:tcPr>
          <w:p>
            <w:pPr>
              <w:ind w:left="120"/>
              <w:spacing w:after="0" w:line="201" w:lineRule="exact"/>
              <w:rPr>
                <w:sz w:val="20"/>
                <w:szCs w:val="20"/>
                <w:color w:val="auto"/>
              </w:rPr>
            </w:pPr>
            <w:r>
              <w:rPr>
                <w:rFonts w:ascii="Arial" w:cs="Arial" w:eastAsia="Arial" w:hAnsi="Arial"/>
                <w:sz w:val="18"/>
                <w:szCs w:val="18"/>
                <w:color w:val="auto"/>
                <w:w w:val="97"/>
              </w:rPr>
              <w:t>Preferred Stock; 5,000 shares authorized at $0.001 par value; no shares issued and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680" w:type="dxa"/>
            <w:vAlign w:val="bottom"/>
          </w:tcPr>
          <w:p>
            <w:pPr>
              <w:ind w:left="120"/>
              <w:spacing w:after="0"/>
              <w:rPr>
                <w:sz w:val="20"/>
                <w:szCs w:val="20"/>
                <w:color w:val="auto"/>
              </w:rPr>
            </w:pPr>
            <w:r>
              <w:rPr>
                <w:rFonts w:ascii="Arial" w:cs="Arial" w:eastAsia="Arial" w:hAnsi="Arial"/>
                <w:sz w:val="18"/>
                <w:szCs w:val="18"/>
                <w:color w:val="auto"/>
              </w:rPr>
              <w:t>outstanding at September 30, 2017 and December 31, 2016,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6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Common Stock; 45,000 shares authorized at $0.001 par value; 19,359 and 18,400 shares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issued and outstanding at September 30, 2017 and December 31, 2016, respectively</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0"/>
                <w:szCs w:val="20"/>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285,600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265,264</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gain (loss)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(37,013)</w:t>
            </w:r>
          </w:p>
        </w:tc>
        <w:tc>
          <w:tcPr>
            <w:tcW w:w="6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227,384</w:t>
            </w:r>
          </w:p>
        </w:tc>
        <w:tc>
          <w:tcPr>
            <w:tcW w:w="60" w:type="dxa"/>
            <w:vAlign w:val="bottom"/>
            <w:shd w:val="clear" w:color="auto" w:fill="CCEEFF"/>
          </w:tcPr>
          <w:p>
            <w:pPr>
              <w:spacing w:after="0"/>
              <w:rPr>
                <w:sz w:val="18"/>
                <w:szCs w:val="18"/>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322,318</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OPERATIONS (Unaudited,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40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68,235</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0"/>
              </w:rPr>
              <w:t>Weighted average shares used to compute net income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19,294,022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17,151,031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18,993,068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17,057,687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20,422,609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18,360,531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20,133,644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17,954,229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$ 19,375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$ 17,736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$ 68,235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$ 17,009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Gain on foreign currency translation adjustment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7,285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Pr>
          <w:p>
            <w:pPr>
              <w:spacing w:after="0"/>
              <w:rPr>
                <w:sz w:val="18"/>
                <w:szCs w:val="18"/>
                <w:color w:val="auto"/>
              </w:rPr>
            </w:pPr>
          </w:p>
        </w:tc>
      </w:tr>
      <w:tr>
        <w:trPr>
          <w:trHeight w:val="217"/>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$ 21,407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$ 19,059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$ 75,520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$ 18,830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vMerge w:val="restart"/>
          </w:tcPr>
          <w:p>
            <w:pPr>
              <w:spacing w:after="0"/>
              <w:rPr>
                <w:sz w:val="14"/>
                <w:szCs w:val="14"/>
                <w:color w:val="auto"/>
              </w:rPr>
            </w:pPr>
          </w:p>
        </w:tc>
        <w:tc>
          <w:tcPr>
            <w:tcW w:w="124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earnings/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w w:val="98"/>
              </w:rPr>
              <w:t>paid-in</w:t>
            </w:r>
          </w:p>
        </w:tc>
        <w:tc>
          <w:tcPr>
            <w:tcW w:w="14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(Accumulated</w:t>
            </w:r>
          </w:p>
        </w:tc>
        <w:tc>
          <w:tcPr>
            <w:tcW w:w="14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gain (loss)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2017</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265,264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(37,013)</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21,571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Stock options exercised, net of shares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withheld for employee tax</w:t>
            </w:r>
          </w:p>
        </w:tc>
        <w:tc>
          <w:tcPr>
            <w:tcW w:w="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Issuance of restricted stock, net 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spacing w:after="0"/>
              <w:rPr>
                <w:sz w:val="20"/>
                <w:szCs w:val="20"/>
                <w:color w:val="auto"/>
              </w:rPr>
            </w:pPr>
            <w:r>
              <w:rPr>
                <w:rFonts w:ascii="Arial" w:cs="Arial" w:eastAsia="Arial" w:hAnsi="Arial"/>
                <w:sz w:val="14"/>
                <w:szCs w:val="14"/>
                <w:color w:val="auto"/>
              </w:rPr>
              <w:t>shares withheld for employee tax</w:t>
            </w: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Cumulative effect of previously</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spacing w:after="0"/>
              <w:rPr>
                <w:sz w:val="20"/>
                <w:szCs w:val="20"/>
                <w:color w:val="auto"/>
              </w:rPr>
            </w:pPr>
            <w:r>
              <w:rPr>
                <w:rFonts w:ascii="Arial" w:cs="Arial" w:eastAsia="Arial" w:hAnsi="Arial"/>
                <w:sz w:val="14"/>
                <w:szCs w:val="14"/>
                <w:color w:val="auto"/>
              </w:rPr>
              <w:t>unrecognized tax benefits</w:t>
            </w: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adjustment</w:t>
            </w:r>
          </w:p>
        </w:tc>
        <w:tc>
          <w:tcPr>
            <w:tcW w:w="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68,235</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00" w:type="dxa"/>
            <w:vAlign w:val="bottom"/>
            <w:gridSpan w:val="2"/>
          </w:tcPr>
          <w:p>
            <w:pPr>
              <w:spacing w:after="0"/>
              <w:rPr>
                <w:sz w:val="20"/>
                <w:szCs w:val="20"/>
                <w:color w:val="auto"/>
              </w:rPr>
            </w:pPr>
            <w:r>
              <w:rPr>
                <w:rFonts w:ascii="Arial" w:cs="Arial" w:eastAsia="Arial" w:hAnsi="Arial"/>
                <w:sz w:val="14"/>
                <w:szCs w:val="14"/>
                <w:color w:val="auto"/>
              </w:rPr>
              <w:t>September 30, 2017</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19,359</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285,600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32,423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CASH FLOWS (Unaudited, in thousands)</w:t>
      </w:r>
    </w:p>
    <w:p>
      <w:pPr>
        <w:spacing w:after="0" w:line="118"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4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7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68,235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17,009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Lower of cost or market adjustment to inventory</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9,926</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Loss on disposal of assets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Unrealized foreign exchange loss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Accounts receivable, trade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(23,261)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(5,412)</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9,423</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3,450</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Accrued income taxes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00" w:type="dxa"/>
            <w:vAlign w:val="bottom"/>
            <w:shd w:val="clear" w:color="auto" w:fill="CCEEFF"/>
          </w:tcPr>
          <w:p>
            <w:pPr>
              <w:spacing w:after="0"/>
              <w:rPr>
                <w:sz w:val="17"/>
                <w:szCs w:val="17"/>
                <w:color w:val="auto"/>
              </w:rPr>
            </w:pPr>
          </w:p>
        </w:tc>
      </w:tr>
      <w:tr>
        <w:trPr>
          <w:trHeight w:val="196"/>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57,498</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28,368</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Maturities of short-term investments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7,749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restricted cash for construction in progress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(46,529)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(40,333)</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disposal of equipment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Deposits and prepaid for equipment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intangible assets</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00" w:type="dxa"/>
            <w:vAlign w:val="bottom"/>
            <w:shd w:val="clear" w:color="auto" w:fill="CCEEFF"/>
          </w:tcPr>
          <w:p>
            <w:pPr>
              <w:spacing w:after="0"/>
              <w:rPr>
                <w:sz w:val="17"/>
                <w:szCs w:val="17"/>
                <w:color w:val="auto"/>
              </w:rPr>
            </w:pPr>
          </w:p>
        </w:tc>
      </w:tr>
      <w:tr>
        <w:trPr>
          <w:trHeight w:val="196"/>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(49,118)</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(31,906)</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issuance of notes payable and long-term debt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28,858</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115,798</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(114,542)</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bank acceptance payable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5,850</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bank acceptance payable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Repayments of note payable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(750)</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w w:val="99"/>
              </w:rPr>
              <w:t>Payments of tax withholding on behalf of employees related to share-based compensation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(8,490)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common stock offering, net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11,874</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26,168</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27,399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51,956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32,793</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60,192</w:t>
            </w:r>
          </w:p>
        </w:tc>
        <w:tc>
          <w:tcPr>
            <w:tcW w:w="200" w:type="dxa"/>
            <w:vAlign w:val="bottom"/>
            <w:tcBorders>
              <w:bottom w:val="single" w:sz="8" w:color="CCEEFF"/>
            </w:tcBorders>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Cash paid for:</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7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6480" w:type="dxa"/>
            <w:vAlign w:val="bottom"/>
          </w:tcPr>
          <w:p>
            <w:pPr>
              <w:ind w:left="220"/>
              <w:spacing w:after="0"/>
              <w:rPr>
                <w:sz w:val="20"/>
                <w:szCs w:val="20"/>
                <w:color w:val="auto"/>
              </w:rPr>
            </w:pPr>
            <w:r>
              <w:rPr>
                <w:rFonts w:ascii="Arial" w:cs="Arial" w:eastAsia="Arial" w:hAnsi="Arial"/>
                <w:sz w:val="16"/>
                <w:szCs w:val="16"/>
                <w:color w:val="auto"/>
              </w:rPr>
              <w:t>Net change in accounts payable related to property and equipment additions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56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Applied Optoelectronics, Inc. (“AOI” or the “Company”) was incorporated in Texas on February 28, 1997. In March 2013, the Company converted into a Delaware corporation. The Company is a leading, vertically integrated provider of fiber-optic networking products, primarily for four networking end-markets: internet data center, cable television, fiber-to-the-home and telecommunications. The Company designs and manufactures a wide range of optical communications products at varying levels of integration, from components, subassemblies and modules to complete turn-key equipment.</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our data center transceiver products, including subassemblies, as well as Cable TV Broadband (“CATV”) systems and equipment, and performs research and development activities for the CATV products. Prime World also operates a branch in Taiwan, which primarily manufactures transceivers. The Company also has a research and development center in Lawrenceville, Georgia.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unaudited condensed consolidated financial statements of the Company as of September 30, 2017 and December 31, 2016 and for the three and nine months ended September 30, 2017 and September 30, 2016,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2016. The results of operations for the three and nine months ended September 30, 2017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There have been no changes in the Company’s significant accounting policies for the three and nine months ended September 30, 2017, as compared to the significant accounting policies described in its 2016 Annual Report, except as described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Adopted in 2017</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March 2016, the FASB issued Accounting Standards Update (ASU) No. 2016-09, Improvements to Employee Share-Based Payment Accounting,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guidance is effective for public business entities in fiscal years beginning after December 15, 2016, and in the interim periods within those fiscal years. The guidance requires a mix of prospective, modified retrospective and retrospective transition. The Company adopted the provisions of ASU 2016-09 as of January 1, 2017. The impact from adoption of the provisions related to forfeiture rates was reflected in the Company's condensed consolidated financial statements on a modified retrospective basis, resulting in an adjustment of $0.01 million to retained earnings. Provisions related to windfall tax benefits have been adopted prospectively resulting in an adjustment of $1.2 million to retained earnings. Provisions related to the statement of cash flows remain unchanged from prior periods.</w:t>
      </w:r>
    </w:p>
    <w:p>
      <w:pPr>
        <w:spacing w:after="0" w:line="17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November 2016, the FASB issued ASU No. 2016-18, Statement of Cash Flows: Restricted Cash, providing guidance on the presentation of restricted cash or restricted cash equivalents in the statement of cash flows. ASU 2016-18 is effective for interim and annual periods beginning after December 15, 2017, with early adoption permitted. The amendments in this ASU would be applied using a retrospective approach. The Company adopted the provisions of ASU 2016-18 as of July 1, 2017 with no material impact on the financial statements.</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The ASU update addresses eight specific cash flow issues that currently result in diverse practices, including debt prepayment or debt extinguishment costs, contingent consideration payments made after a business combination and separately identifiable cash flows and applicability of the predominance principle. ASU 2016-15 is effective for interim and annual periods beginning after December 15, 2017, with early adoption permitted. The Company adopted the provisions of ASU 2016-15 as of July 1, 2017 with no material impact on the financial statements.</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which clarifies when modification accounting should be applied for changes to terms or conditions of a share-based payment award. This ASU will be applied prospectively and is effective for fiscal years beginning after December 15, 2017, and interim periods within those years, with early adoption permitted. The Company adopted the provisions of ASU 2017-09 as of July 1, 2017 with no material impact on the financial statements.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The guidance is intended to improve the recognition and measurement of financial instruments. The ASU affects public and private companies, not-for-profit organizations, and employee benefit plans that hold financial assets or owe financial liabilities. The guidance is effective for public companies for fiscal years beginning after December 15, 2017, including interim periods within those fiscal years. The Company is evaluating the impact of the accounting standard on its financial statements.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May 2014, the FASB issued ASU No. 2014-09, Revenue from Contracts with Customers (Topic 606).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In applying the new guidance, the Company will: 1) identify the contracts with its customers, 2) identify the performance obligations in the contracts, 3) determine the transaction price, 4) allocate the transaction price to the performance obligations of the contract, and 5) recognize revenue when (or as) the Company satisfies a performance obligation. Since this guidance was issued, the Company has undertaken an accounting assessment phase focusing on developing a scoping plan and a review plan to determine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gaps between existing revenue recognition policies and the requirements of the new revenue guidance. This accounting assessment involved developing a training and education process for the Company personnel, performing sales contract walkthroughs to identify financial obligations, reviewing existing revenue streams and mapping contract features to revenue streams. The Company is in the process of developing any necessary accounting policy changes to adopt new standards on the effective date. The Company’s assessment has determined that nearly all of the Company’s revenue is derived from sales of products to customers. Contracts governing the terms and conditions of these sales include purchase orders and various master purchase agreements or similar contracts. These contracts specify terms associated with these sales and the Company recognizes revenue when the products are delivered according to the terms specified in the contracts. The new guidance will not affect this revenue recognition practice. For this reason, the Company does not believe that the new standard will have a material effect on its financial statements. The Company is continuing its evaluation of any required disclosures and changes to its accounting policies, as well as any other potential effects on its consolidated financial position, results of operations and cash flows as a result of this new standard. The Company plans to adopt the new standards after December 15, 2017.</w:t>
      </w:r>
    </w:p>
    <w:p>
      <w:pPr>
        <w:spacing w:after="0" w:line="16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guidance will require lessees to recognize most leases on the balance sheet for capital and operating leases. The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Restricted Cash</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50,224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9"/>
              </w:rPr>
              <w:t>Total cash, cash equivalents and restricted cash shown in the</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72,002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51,956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60,192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10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4"/>
                <w:szCs w:val="14"/>
                <w:b w:val="1"/>
                <w:bCs w:val="1"/>
                <w:color w:val="auto"/>
                <w:w w:val="90"/>
              </w:rPr>
              <w:t>As of September 30, 2017</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As of December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70,930</w:t>
            </w:r>
          </w:p>
        </w:tc>
        <w:tc>
          <w:tcPr>
            <w:tcW w:w="3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70,930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50,224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50,224</w:t>
            </w:r>
          </w:p>
        </w:tc>
        <w:tc>
          <w:tcPr>
            <w:tcW w:w="40" w:type="dxa"/>
            <w:vAlign w:val="bottom"/>
          </w:tcPr>
          <w:p>
            <w:pPr>
              <w:spacing w:after="0"/>
              <w:rPr>
                <w:sz w:val="18"/>
                <w:szCs w:val="18"/>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 w:type="dxa"/>
            <w:vAlign w:val="bottom"/>
            <w:shd w:val="clear" w:color="auto" w:fill="CCEEFF"/>
          </w:tcPr>
          <w:p>
            <w:pPr>
              <w:spacing w:after="0"/>
              <w:rPr>
                <w:sz w:val="18"/>
                <w:szCs w:val="18"/>
                <w:color w:val="auto"/>
              </w:rPr>
            </w:pP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Short term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30"/>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72,038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72,038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52,008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52,008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246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8"/>
                <w:szCs w:val="18"/>
                <w:color w:val="auto"/>
              </w:rPr>
            </w:pPr>
          </w:p>
        </w:tc>
      </w:tr>
      <w:tr>
        <w:trPr>
          <w:trHeight w:val="217"/>
        </w:trPr>
        <w:tc>
          <w:tcPr>
            <w:tcW w:w="246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carrying value amounts of accounts receivable, prepaid expenses and other current assets, accounts payable, accrued expenses and other current liabilities approximate fair value because of the short-term maturity of these instruments. The carrying value of the term loans approximate fair value due to the variable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stock options and restricted stock units outstanding during the period.</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19,375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17,736</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68,235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89"/>
              </w:rPr>
              <w:t>Weighted average shares used to compute net income per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share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7"/>
              </w:rPr>
              <w:t>Effective of dilutive options and restricted stock units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0.97</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securities that were excluded from the computation of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2016</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24,334</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60" w:type="dxa"/>
            <w:vAlign w:val="bottom"/>
            <w:shd w:val="clear" w:color="auto" w:fill="CCEEFF"/>
          </w:tcPr>
          <w:p>
            <w:pPr>
              <w:spacing w:after="0"/>
              <w:rPr>
                <w:sz w:val="18"/>
                <w:szCs w:val="18"/>
                <w:color w:val="auto"/>
              </w:rPr>
            </w:pPr>
          </w:p>
        </w:tc>
      </w:tr>
      <w:tr>
        <w:trPr>
          <w:trHeight w:val="217"/>
        </w:trPr>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51,817</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lower of cost or market adjustment expensed for inventory for the three months ended September 30, 2017 and 2016 was $0.7 million and $0.9 million, respectively. The lower of cost or market adjustment expensed for inventory for the nine months ended September 30, 2017 and 2016 was $1.4 million and $2.8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2016</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69,368</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108,724</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4,227</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190,183</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(63,903)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(49,175)</w:t>
            </w:r>
          </w:p>
        </w:tc>
        <w:tc>
          <w:tcPr>
            <w:tcW w:w="60" w:type="dxa"/>
            <w:vAlign w:val="bottom"/>
          </w:tcPr>
          <w:p>
            <w:pPr>
              <w:spacing w:after="0"/>
              <w:rPr>
                <w:sz w:val="18"/>
                <w:szCs w:val="18"/>
                <w:color w:val="auto"/>
              </w:rPr>
            </w:pPr>
          </w:p>
        </w:tc>
      </w:tr>
      <w:tr>
        <w:trPr>
          <w:trHeight w:val="210"/>
        </w:trPr>
        <w:tc>
          <w:tcPr>
            <w:tcW w:w="4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173,202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181,481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144,098</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For the three months ended September 30, 2017 and 2016, depreciation expense of property, plant and equipment was $5.3 million and $3.6 million, respectively. For the nine months ended September 30, 2017 and 2016, depreciation expense of property, plant and equipment was $14.0 million and $9.6 million, respectively.</w:t>
      </w:r>
    </w:p>
    <w:p>
      <w:pPr>
        <w:spacing w:after="0" w:line="166"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Included in depreciation expense was $3.4 million and $2.1 million recorded as cost of sales for the three months ended September 30, 2017 and 2016, respectively. Included in depreciation expense was $8.7 million and $6.0 million recorded as cost of sales for the nine months ended September 30, 2017 and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September 30, 2017</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30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3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$ 6,425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Trademarks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7"/>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30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December 31, 2016</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30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3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Trademarks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3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35"/>
        </w:trPr>
        <w:tc>
          <w:tcPr>
            <w:tcW w:w="3020" w:type="dxa"/>
            <w:vAlign w:val="bottom"/>
          </w:tcPr>
          <w:p>
            <w:pPr>
              <w:spacing w:after="0"/>
              <w:rPr>
                <w:sz w:val="24"/>
                <w:szCs w:val="24"/>
                <w:color w:val="auto"/>
              </w:rPr>
            </w:pPr>
          </w:p>
        </w:tc>
        <w:tc>
          <w:tcPr>
            <w:tcW w:w="3500" w:type="dxa"/>
            <w:vAlign w:val="bottom"/>
          </w:tcPr>
          <w:p>
            <w:pPr>
              <w:jc w:val="right"/>
              <w:ind w:right="181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months ended September 30, 2017 and 2016, amortization expense for intangible assets, included in general and administrative expenses on the income statement, was each $0.1 million. For the nine months ended September 30, 2017 and 2016, amortization expense for intangible assets, included in general and administrative expenses on the income statement, were each $0.4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8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September 30, 2017</w:t>
            </w:r>
          </w:p>
        </w:tc>
        <w:tc>
          <w:tcPr>
            <w:tcW w:w="1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U.S. bank up to $50,000 with interest at LIBOR plus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1.5%, maturing September 28, 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2"/>
              </w:rPr>
              <w:t>Term loan with a U.S. bank with monthly payments of principal and interest at LIBOR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plus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Term loan with a U.S. bank with monthly payments of principal and interest at LIBOR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plus 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2"/>
              </w:rPr>
              <w:t>Term loan with a U.S. bank with monthly payments of principal and interest at LIBOR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plus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4.5% interest,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maturing May 27, 2018 and June 30, 2018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4% interest,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maturing March 31, 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Borders>
              <w:bottom w:val="single" w:sz="8" w:color="auto"/>
            </w:tcBorders>
            <w:shd w:val="clear" w:color="auto" w:fill="CCEEFF"/>
          </w:tcPr>
          <w:p>
            <w:pPr>
              <w:ind w:left="2140"/>
              <w:spacing w:after="0" w:line="149" w:lineRule="exact"/>
              <w:rPr>
                <w:sz w:val="20"/>
                <w:szCs w:val="20"/>
                <w:color w:val="auto"/>
              </w:rPr>
            </w:pPr>
            <w:r>
              <w:rPr>
                <w:rFonts w:ascii="Arial" w:cs="Arial" w:eastAsia="Arial" w:hAnsi="Arial"/>
                <w:sz w:val="14"/>
                <w:szCs w:val="14"/>
                <w:b w:val="1"/>
                <w:bCs w:val="1"/>
                <w:color w:val="auto"/>
              </w:rPr>
              <w:t>Bank Acceptance Notes Payable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648"/>
        <w:spacing w:after="0" w:line="308" w:lineRule="auto"/>
        <w:rPr>
          <w:sz w:val="20"/>
          <w:szCs w:val="20"/>
          <w:color w:val="auto"/>
        </w:rPr>
      </w:pPr>
      <w:r>
        <w:rPr>
          <w:rFonts w:ascii="Arial" w:cs="Arial" w:eastAsia="Arial" w:hAnsi="Arial"/>
          <w:sz w:val="17"/>
          <w:szCs w:val="17"/>
          <w:color w:val="auto"/>
        </w:rPr>
        <w:t>The current portion of long-term debt is the amount payable within one year of the balance sheet date of September 30, 2017. The one-month London Interbank Offered Rate (LIBOR) was 1.23% on September 30, 2017.</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Maturities of long-term debt are as follows for the future one-year periods ending September 30,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2019</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36,000</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2021</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2023 and thereafter</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14,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 campus expansion plan in Sugar Land, Texas, originally dated January 26, 2015 (the “Construction Loan Agreement”). Upon signing the original Construction Loan Agreement, the Company deposited $11.0 million into a restricted bank account for owner’s contribution of construction costs. The Modification Agreement had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would have been due on January 26, 2022 and would have included all unpaid principal and all accrued and unpaid interest. The Company may pay without penalty all or a portion of the amount owed earlier than due. Under the Construction Loan Agreement, the loan bears interest at an annual rate based on the one-month LIBOR Borrowing Rate plus 2.75%, and the interest rate was adjusted to LIBOR Borrowing Rate plus 2.0% under the Modification Agreement.</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the Company terminated the Credit Agreement and all outstanding balances of the loans had been repaid.</w:t>
      </w:r>
    </w:p>
    <w:p>
      <w:pPr>
        <w:spacing w:after="0" w:line="16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also had a term loan with East West Bank of $5.0 million with monthly payments of principal and interest that matured on July 31, 2019. On February 27, 2017, the Company repaid the outstanding balance of $2.8 million and terminated the loan.</w:t>
      </w:r>
    </w:p>
    <w:p>
      <w:pPr>
        <w:spacing w:after="0" w:line="181"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On October 5, 2016, the Company executed a Change in Terms Agreement, Notice of Final Agreement and Second Modification to the Construction Loan Agreement (the “Second Modifications”) to the Construction Loan Agreement with East West Bank. The Second Modifications amended and restated in part the Company’s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sixty-six</w:t>
      </w:r>
    </w:p>
    <w:p>
      <w:pPr>
        <w:spacing w:after="0" w:line="5" w:lineRule="exact"/>
        <w:rPr>
          <w:sz w:val="20"/>
          <w:szCs w:val="20"/>
          <w:color w:val="auto"/>
        </w:rPr>
      </w:pPr>
    </w:p>
    <w:p>
      <w:pPr>
        <w:ind w:right="160" w:firstLine="3"/>
        <w:spacing w:after="0" w:line="270" w:lineRule="auto"/>
        <w:tabs>
          <w:tab w:leader="none" w:pos="345"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month term loan, with principal and interest payments due monthly amortized over three hundred (300) months. The first principal and interest payment was due on October 26, 2016 and would have continued on the same day of each month thereafter. The final principal and interest payment was due on January 26, 2022 and would have included all unpaid principal and all accrued and unpaid interest. Except as expressly changed by the Second Modifications, the terms of the original obligation and the Modification Agreement remained unchanged. On September 28, 2017, the Company repaid the outstanding balance of $11.2 million and terminated the loan.</w:t>
      </w:r>
    </w:p>
    <w:p>
      <w:pPr>
        <w:spacing w:after="0" w:line="179" w:lineRule="exact"/>
        <w:rPr>
          <w:sz w:val="20"/>
          <w:szCs w:val="20"/>
          <w:color w:val="auto"/>
        </w:rPr>
      </w:pPr>
    </w:p>
    <w:p>
      <w:pPr>
        <w:ind w:right="520" w:firstLine="495"/>
        <w:spacing w:after="0" w:line="342" w:lineRule="auto"/>
        <w:rPr>
          <w:sz w:val="20"/>
          <w:szCs w:val="20"/>
          <w:color w:val="auto"/>
        </w:rPr>
      </w:pPr>
      <w:r>
        <w:rPr>
          <w:rFonts w:ascii="Arial" w:cs="Arial" w:eastAsia="Arial" w:hAnsi="Arial"/>
          <w:sz w:val="16"/>
          <w:szCs w:val="16"/>
          <w:color w:val="auto"/>
        </w:rPr>
        <w:t>On September 28, 2017, the Company entered into a Loan Agreement, a Promissory Note, an Addendum to the Promissory Note, a BB&amp;T Security Agreement, a Trademark Security Agreement, and a Patent Security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(together the “Credit Facility”) with Branch Banking and Trust Company (“BB&amp;T”). The Credit Facility provides the Company with a three year, $50 million, revolving line of credit. Borrowings under the Credit Facility will be used for general corporate purposes. The Company will make monthly payments of accrued interest with the final monthly payment being for all principal and all accrued interest not yet paid.The Company’s obligations under the Credit Facility will be secured by the Company’s accounts receivable, inventory, intellectual property, all business assets with the exception of real estate and equipment. Borrowings under the Credit Facility will bear interest at a rate equal to the one-month LIBOR plus</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1.50%. The Credit Facility requires the Company to maintain certain financial covenants and also contains representations and warranties, and events of default applicable to the Company that are customary for agreements of this type. As of September 30, 2017, the Company was in compliance with all covenants under the Credit Facility. As of September 30, 2017, $36.0 million was outstanding under the Credit Facility.</w:t>
      </w:r>
    </w:p>
    <w:p>
      <w:pPr>
        <w:spacing w:after="0" w:line="19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May 27, 2015, the Company’s Taiwan branch entered into a Purchase and Sale Contract and a Finance Lease Agreement with Chailease Finance Co, Ltd. (“Chailease”) in connection with certain equipment, structured as a sale lease-back transaction. Pursuant to the Purchase and Sale contract, the Company’s Taiwan branch sold certain equipment to Chailease for a purchase price of 180,148,532 New Taiwan dollars, approximately $6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 million. The Finance Lease Agreement has a three-year term, with monthly payments, maturing on May 27 , 2018. The title to the equipment will be transferred to the Company’s Taiwan branch upon the expiration of the Finance Lease Agreement. As of September 30, 2017, $0.9 million was outstanding under this Finance Lease Agreement.</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the Company’s Taiwan branch upon the expiration of the Finance Lease Agreement. As of September 30, 2017, $4.1 million was outstanding under this Finance Lease Agreement.</w:t>
      </w:r>
    </w:p>
    <w:p>
      <w:pPr>
        <w:spacing w:after="0" w:line="18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Chinese subsidiary had credit facilities with China Construction Bank totaling $13.2 million, which could be drawn in U.S. currency, RMB currency, issuing bank acceptance notes to vendors with different interest rates or issuing standby letters of credit. The Company pledged the land use rights and buildings of its Chinese subsidiary as collateral for the credit facility. The Company’s Chinese subsidiary used $10.0 million of its credit facility to issue standby letters of credit as collateral for the Company’s Taiwan branch line of credit with China Construction Bank. On March 29, 2017, the Company repaid the outstanding balance and terminated the loan.</w:t>
      </w:r>
    </w:p>
    <w:p>
      <w:pPr>
        <w:spacing w:after="0" w:line="17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September 30, 2017 and December 31, 2016, the Company had $14.0 million and $75.8 million of unused borrowing capacity, respectively.</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2017, there was no restricted cash, investments or security deposit associated with the loan facilities. As of December 31, 2016, there was $1.7 million of restricted cash, investments or security deposit associated with the loan facilities.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1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Accrued rent</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capital expenditures</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1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60" w:type="dxa"/>
            <w:vAlign w:val="bottom"/>
            <w:tcBorders>
              <w:bottom w:val="single" w:sz="8" w:color="CCEEFF"/>
            </w:tcBorders>
          </w:tcPr>
          <w:p>
            <w:pPr>
              <w:spacing w:after="0"/>
              <w:rPr>
                <w:sz w:val="18"/>
                <w:szCs w:val="18"/>
                <w:color w:val="auto"/>
              </w:rPr>
            </w:pPr>
          </w:p>
        </w:tc>
      </w:tr>
      <w:tr>
        <w:trPr>
          <w:trHeight w:val="217"/>
        </w:trPr>
        <w:tc>
          <w:tcPr>
            <w:tcW w:w="34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4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r>
      <w:tr>
        <w:trPr>
          <w:trHeight w:val="182"/>
        </w:trPr>
        <w:tc>
          <w:tcPr>
            <w:tcW w:w="2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Foreign exchange transaction</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(442)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20"/>
                <w:szCs w:val="20"/>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Government subsidy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17"/>
        </w:trPr>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on Date of</w:t>
            </w: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61.81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19,056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September 30, 2017</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10.01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September 30,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35,698</w:t>
            </w:r>
          </w:p>
        </w:tc>
        <w:tc>
          <w:tcPr>
            <w:tcW w:w="0" w:type="dxa"/>
            <w:vAlign w:val="bottom"/>
          </w:tcPr>
          <w:p>
            <w:pPr>
              <w:spacing w:after="0"/>
              <w:rPr>
                <w:sz w:val="1"/>
                <w:szCs w:val="1"/>
                <w:color w:val="auto"/>
              </w:rPr>
            </w:pPr>
          </w:p>
        </w:tc>
      </w:tr>
      <w:tr>
        <w:trPr>
          <w:trHeight w:val="210"/>
        </w:trPr>
        <w:tc>
          <w:tcPr>
            <w:tcW w:w="416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c>
          <w:tcPr>
            <w:tcW w:w="200" w:type="dxa"/>
            <w:vAlign w:val="bottom"/>
            <w:gridSpan w:val="2"/>
          </w:tcPr>
          <w:p>
            <w:pPr>
              <w:ind w:left="8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93"/>
              </w:rPr>
              <w:t>10.01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5.89</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September 30, 2017, there was approximately $0.1 million of unrecognized stock option expense, which is expected to be recognized over 0.3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RSUs or RSAs have been granted to the Company’s employees under the 2013 Plan and generally vest over a period of four years with 25% of the shares vesting over each of the one-year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Average Share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Price on Date</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of Release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12,128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19,676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15,294</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49,444</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September 30, 2017</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49,444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2017, there was $20.6 million of unrecognized compensation expense related to these RSUs and RSAs. This expense is expected to be recognized over 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38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goods sold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Sales and marketing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1,989</w:t>
            </w:r>
          </w:p>
        </w:tc>
        <w:tc>
          <w:tcPr>
            <w:tcW w:w="160" w:type="dxa"/>
            <w:vAlign w:val="bottom"/>
            <w:shd w:val="clear" w:color="auto" w:fill="CCEEFF"/>
          </w:tcPr>
          <w:p>
            <w:pPr>
              <w:spacing w:after="0"/>
              <w:rPr>
                <w:sz w:val="18"/>
                <w:szCs w:val="18"/>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2,830</w:t>
            </w:r>
          </w:p>
        </w:tc>
        <w:tc>
          <w:tcPr>
            <w:tcW w:w="160" w:type="dxa"/>
            <w:vAlign w:val="bottom"/>
          </w:tcPr>
          <w:p>
            <w:pPr>
              <w:spacing w:after="0"/>
              <w:rPr>
                <w:sz w:val="18"/>
                <w:szCs w:val="18"/>
                <w:color w:val="auto"/>
              </w:rPr>
            </w:pPr>
          </w:p>
        </w:tc>
      </w:tr>
      <w:tr>
        <w:trPr>
          <w:trHeight w:val="864"/>
        </w:trPr>
        <w:tc>
          <w:tcPr>
            <w:tcW w:w="3840" w:type="dxa"/>
            <w:vAlign w:val="bottom"/>
          </w:tcPr>
          <w:p>
            <w:pPr>
              <w:spacing w:after="0"/>
              <w:rPr>
                <w:sz w:val="24"/>
                <w:szCs w:val="24"/>
                <w:color w:val="auto"/>
              </w:rPr>
            </w:pPr>
          </w:p>
        </w:tc>
        <w:tc>
          <w:tcPr>
            <w:tcW w:w="2140" w:type="dxa"/>
            <w:vAlign w:val="bottom"/>
          </w:tcPr>
          <w:p>
            <w:pPr>
              <w:jc w:val="right"/>
              <w:ind w:right="12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6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award type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Employee stock options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1,111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1,818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1,719</w:t>
            </w:r>
          </w:p>
        </w:tc>
        <w:tc>
          <w:tcPr>
            <w:tcW w:w="80" w:type="dxa"/>
            <w:vAlign w:val="bottom"/>
            <w:shd w:val="clear" w:color="auto" w:fill="CCEEFF"/>
          </w:tcPr>
          <w:p>
            <w:pPr>
              <w:spacing w:after="0"/>
              <w:rPr>
                <w:sz w:val="18"/>
                <w:szCs w:val="18"/>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2,081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2,830</w:t>
            </w:r>
          </w:p>
        </w:tc>
        <w:tc>
          <w:tcPr>
            <w:tcW w:w="8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220" w:firstLine="64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issuance of up to 45,000,000 shares of common stock, all of which have been designated voting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22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5,000,000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“ATM Offering”) from time to time through Raymond James &amp; Associates, Inc. On November 22, 2016, the Company commenced sales of common stock through the ATM Offering. The Company completed its ATM Offering in March 2017 and sold 1.6 million shares of common stock at a weighted average price of $31.55 per share, providing proceeds of $48.8 million, net of expenses and underwriting discounts and commissions.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23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3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7,277</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13,519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44,723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2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64,587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18,137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105,049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88,879</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70,137</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302,474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2760" w:type="dxa"/>
            <w:vAlign w:val="bottom"/>
          </w:tcPr>
          <w:p>
            <w:pPr>
              <w:spacing w:after="0"/>
              <w:rPr>
                <w:sz w:val="24"/>
                <w:szCs w:val="24"/>
                <w:color w:val="auto"/>
              </w:rPr>
            </w:pPr>
          </w:p>
        </w:tc>
        <w:tc>
          <w:tcPr>
            <w:tcW w:w="226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As of the period ended</w:t>
            </w:r>
          </w:p>
        </w:tc>
      </w:tr>
      <w:tr>
        <w:trPr>
          <w:trHeight w:val="142"/>
        </w:trPr>
        <w:tc>
          <w:tcPr>
            <w:tcW w:w="4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96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71,023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66,028</w:t>
            </w:r>
          </w:p>
        </w:tc>
        <w:tc>
          <w:tcPr>
            <w:tcW w:w="18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w:t>
            </w:r>
          </w:p>
        </w:tc>
        <w:tc>
          <w:tcPr>
            <w:tcW w:w="180" w:type="dxa"/>
            <w:vAlign w:val="bottom"/>
            <w:shd w:val="clear" w:color="auto" w:fill="CCEEFF"/>
          </w:tcPr>
          <w:p>
            <w:pPr>
              <w:spacing w:after="0"/>
              <w:rPr>
                <w:sz w:val="18"/>
                <w:szCs w:val="18"/>
                <w:color w:val="auto"/>
              </w:rPr>
            </w:pPr>
          </w:p>
        </w:tc>
      </w:tr>
      <w:tr>
        <w:trPr>
          <w:trHeight w:val="216"/>
        </w:trPr>
        <w:tc>
          <w:tcPr>
            <w:tcW w:w="4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34,113</w:t>
            </w:r>
          </w:p>
        </w:tc>
        <w:tc>
          <w:tcPr>
            <w:tcW w:w="180" w:type="dxa"/>
            <w:vAlign w:val="bottom"/>
            <w:tcBorders>
              <w:bottom w:val="single" w:sz="8" w:color="CCEEFF"/>
            </w:tcBorders>
          </w:tcPr>
          <w:p>
            <w:pPr>
              <w:spacing w:after="0"/>
              <w:rPr>
                <w:sz w:val="18"/>
                <w:szCs w:val="18"/>
                <w:color w:val="auto"/>
              </w:rPr>
            </w:pPr>
          </w:p>
        </w:tc>
      </w:tr>
      <w:tr>
        <w:trPr>
          <w:trHeight w:val="217"/>
        </w:trPr>
        <w:tc>
          <w:tcPr>
            <w:tcW w:w="410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148,869</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37"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Except for the lawsuit described below, the Company believes that there are no claims or actions pending or threatened against it, the ultimate disposition of which would have a material adverse effect on it.</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10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its officers in </w:t>
      </w:r>
      <w:r>
        <w:rPr>
          <w:rFonts w:ascii="Arial" w:cs="Arial" w:eastAsia="Arial" w:hAnsi="Arial"/>
          <w:sz w:val="17"/>
          <w:szCs w:val="17"/>
          <w:i w:val="1"/>
          <w:iCs w:val="1"/>
          <w:color w:val="auto"/>
        </w:rPr>
        <w:t>Mona Abouzied v. Applied Optoelectronics, Inc., Chih-Hsiang (Thompson) Lin, and</w:t>
      </w:r>
      <w:r>
        <w:rPr>
          <w:rFonts w:ascii="Arial" w:cs="Arial" w:eastAsia="Arial" w:hAnsi="Arial"/>
          <w:sz w:val="17"/>
          <w:szCs w:val="17"/>
          <w:color w:val="auto"/>
        </w:rPr>
        <w:t xml:space="preserve"> </w:t>
      </w: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The complaint requests unspecified damages and other relief. The Company disputes the allegations and intends to vigorously contest the matter.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evaluated subsequent events through the date the financial statements were available to be issued.</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October 5, 2017, the Company’s Taiwan branch entered into an Early Termination Agreement (the “Termination Agreement”) with Chailease Finance Co., Ltd. (“Chailease”), pursuant to which the Finance Lease Agreement executed on March 31, 2016 (the “Original Agreement”) was terminated effective on October 6, 2017. Under the terms of the Termination Agreement, the Company agreed to pay Chailease 124,788,007 New Taiwan Dollars, or approximately $4.1 million, which includes all costs and expenses associated with the early termination, and Chailease agreed to transfer title to the Company of all property contemplated under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2017 and the audited consolidated financial statements and notes thereto and management’s discussion and analysis of financial condition and results of operations for the fiscal year ended December 31, 2016 included in our Annual Report on Form 10-K. References to “Applied Optoelectronics” “we,” “our” and “us” are to Applied Optoelectronics, Inc. and its subsidiaries unless otherwise specified or the context otherwise requires.</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fiber-to-the-home, or FTTH, and telecommunication, or telecom.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manufacture are proven to be reliable over time and highly tolerant of changes in temperature and humidity, making them well-suited to the CATV and FTTH markets where networking equipment is often installed outdoors.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three manufacturing sites: Sugar Land, Texas, Ningbo, China and Taipei, Taiwan. We have an additional research and development center in Lawrenceville,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telecom,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manufacturing facility conducts testing on the components, modules or subsystems it manufactures and each such facility is certified to ISO 9001:2008. Our facilities in Ningbo, China, Taipei, Taiwan, and Sugar Land, TX are all certified to ISO 14001:2004.</w:t>
      </w:r>
    </w:p>
    <w:p>
      <w:pPr>
        <w:spacing w:after="0" w:line="16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internet data center, CATV, FTTH and telecom customers. Throughout our sales cycle, we work closely with our customers to achieve design wins that we believe provide long-lasting relationships and promote higher customer retention.</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0"/>
              </w:rPr>
              <w:t>Three months</w:t>
            </w:r>
          </w:p>
        </w:tc>
        <w:tc>
          <w:tcPr>
            <w:tcW w:w="100" w:type="dxa"/>
            <w:vAlign w:val="bottom"/>
          </w:tcPr>
          <w:p>
            <w:pPr>
              <w:spacing w:after="0"/>
              <w:rPr>
                <w:sz w:val="14"/>
                <w:szCs w:val="14"/>
                <w:color w:val="auto"/>
              </w:rPr>
            </w:pPr>
          </w:p>
        </w:tc>
        <w:tc>
          <w:tcPr>
            <w:tcW w:w="146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0"/>
              </w:rPr>
              <w:t>Three months</w:t>
            </w:r>
          </w:p>
        </w:tc>
        <w:tc>
          <w:tcPr>
            <w:tcW w:w="100" w:type="dxa"/>
            <w:vAlign w:val="bottom"/>
          </w:tcPr>
          <w:p>
            <w:pPr>
              <w:spacing w:after="0"/>
              <w:rPr>
                <w:sz w:val="14"/>
                <w:szCs w:val="14"/>
                <w:color w:val="auto"/>
              </w:rPr>
            </w:pPr>
          </w:p>
        </w:tc>
        <w:tc>
          <w:tcPr>
            <w:tcW w:w="1500" w:type="dxa"/>
            <w:vAlign w:val="bottom"/>
            <w:gridSpan w:val="5"/>
            <w:vMerge w:val="restart"/>
          </w:tcPr>
          <w:p>
            <w:pPr>
              <w:jc w:val="center"/>
              <w:ind w:right="110"/>
              <w:spacing w:after="0"/>
              <w:rPr>
                <w:sz w:val="20"/>
                <w:szCs w:val="20"/>
                <w:color w:val="auto"/>
              </w:rPr>
            </w:pPr>
            <w:r>
              <w:rPr>
                <w:rFonts w:ascii="Arial" w:cs="Arial" w:eastAsia="Arial" w:hAnsi="Arial"/>
                <w:sz w:val="14"/>
                <w:szCs w:val="14"/>
                <w:b w:val="1"/>
                <w:bCs w:val="1"/>
                <w:color w:val="auto"/>
                <w:w w:val="90"/>
              </w:rPr>
              <w:t>Nine months ended</w:t>
            </w:r>
          </w:p>
        </w:tc>
        <w:tc>
          <w:tcPr>
            <w:tcW w:w="40" w:type="dxa"/>
            <w:vAlign w:val="bottom"/>
          </w:tcPr>
          <w:p>
            <w:pPr>
              <w:spacing w:after="0"/>
              <w:rPr>
                <w:sz w:val="14"/>
                <w:szCs w:val="14"/>
                <w:color w:val="auto"/>
              </w:rPr>
            </w:pPr>
          </w:p>
        </w:tc>
        <w:tc>
          <w:tcPr>
            <w:tcW w:w="1660" w:type="dxa"/>
            <w:vAlign w:val="bottom"/>
            <w:gridSpan w:val="5"/>
            <w:vMerge w:val="restart"/>
          </w:tcPr>
          <w:p>
            <w:pPr>
              <w:jc w:val="center"/>
              <w:ind w:right="27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4"/>
          </w:tcPr>
          <w:p>
            <w:pPr>
              <w:jc w:val="center"/>
              <w:ind w:right="15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460" w:type="dxa"/>
            <w:vAlign w:val="bottom"/>
            <w:gridSpan w:val="4"/>
          </w:tcPr>
          <w:p>
            <w:pPr>
              <w:jc w:val="center"/>
              <w:ind w:right="17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46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39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89"/>
              </w:rPr>
              <w:t>2016</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72"/>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72"/>
              <w:spacing w:after="0" w:line="142" w:lineRule="exact"/>
              <w:rPr>
                <w:sz w:val="20"/>
                <w:szCs w:val="20"/>
                <w:color w:val="auto"/>
              </w:rPr>
            </w:pPr>
            <w:r>
              <w:rPr>
                <w:rFonts w:ascii="Arial" w:cs="Arial" w:eastAsia="Arial" w:hAnsi="Arial"/>
                <w:sz w:val="14"/>
                <w:szCs w:val="14"/>
                <w:b w:val="1"/>
                <w:bCs w:val="1"/>
                <w:color w:val="auto"/>
                <w:w w:val="96"/>
              </w:rPr>
              <w:t>2016</w:t>
            </w:r>
          </w:p>
        </w:tc>
        <w:tc>
          <w:tcPr>
            <w:tcW w:w="46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$88,879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$70,137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302,474  100.0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175,813  100.0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49,507</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55.7 %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46,976</w:t>
            </w: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67.0 %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168,348</w:t>
            </w:r>
          </w:p>
        </w:tc>
        <w:tc>
          <w:tcPr>
            <w:tcW w:w="100" w:type="dxa"/>
            <w:vAlign w:val="bottom"/>
          </w:tcPr>
          <w:p>
            <w:pPr>
              <w:spacing w:after="0"/>
              <w:rPr>
                <w:sz w:val="18"/>
                <w:szCs w:val="18"/>
                <w:color w:val="auto"/>
              </w:rPr>
            </w:pPr>
          </w:p>
        </w:tc>
        <w:tc>
          <w:tcPr>
            <w:tcW w:w="2360" w:type="dxa"/>
            <w:vAlign w:val="bottom"/>
            <w:gridSpan w:val="8"/>
          </w:tcPr>
          <w:p>
            <w:pPr>
              <w:jc w:val="right"/>
              <w:ind w:right="110"/>
              <w:spacing w:after="0"/>
              <w:rPr>
                <w:sz w:val="20"/>
                <w:szCs w:val="20"/>
                <w:color w:val="auto"/>
              </w:rPr>
            </w:pPr>
            <w:r>
              <w:rPr>
                <w:rFonts w:ascii="Arial" w:cs="Arial" w:eastAsia="Arial" w:hAnsi="Arial"/>
                <w:sz w:val="18"/>
                <w:szCs w:val="18"/>
                <w:color w:val="auto"/>
              </w:rPr>
              <w:t>55.7 %  121,097   68.9 %</w:t>
            </w: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134,126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2.9 %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57,495</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47,540</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2.1 %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7"/>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64"/>
        </w:trPr>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2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and telecom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2017 and 2016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9"/>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9"/>
          </w:tcPr>
          <w:p>
            <w:pPr>
              <w:jc w:val="right"/>
              <w:ind w:right="43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8"/>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8"/>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4"/>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CATV</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18.4</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tcBorders>
              <w:top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top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Data Center</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74.1 %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150"/>
              <w:spacing w:after="0"/>
              <w:rPr>
                <w:sz w:val="20"/>
                <w:szCs w:val="20"/>
                <w:color w:val="auto"/>
              </w:rPr>
            </w:pPr>
            <w:r>
              <w:rPr>
                <w:rFonts w:ascii="Arial" w:cs="Arial" w:eastAsia="Arial" w:hAnsi="Arial"/>
                <w:sz w:val="18"/>
                <w:szCs w:val="18"/>
                <w:color w:val="auto"/>
                <w:w w:val="92"/>
              </w:rPr>
              <w:t>75.5 %</w:t>
            </w:r>
          </w:p>
        </w:tc>
        <w:tc>
          <w:tcPr>
            <w:tcW w:w="120" w:type="dxa"/>
            <w:vAlign w:val="bottom"/>
          </w:tcPr>
          <w:p>
            <w:pPr>
              <w:spacing w:after="0"/>
              <w:rPr>
                <w:sz w:val="18"/>
                <w:szCs w:val="18"/>
                <w:color w:val="auto"/>
              </w:rPr>
            </w:pPr>
          </w:p>
        </w:tc>
        <w:tc>
          <w:tcPr>
            <w:tcW w:w="860" w:type="dxa"/>
            <w:vAlign w:val="bottom"/>
            <w:gridSpan w:val="5"/>
          </w:tcPr>
          <w:p>
            <w:pPr>
              <w:jc w:val="right"/>
              <w:ind w:right="176"/>
              <w:spacing w:after="0"/>
              <w:rPr>
                <w:sz w:val="20"/>
                <w:szCs w:val="20"/>
                <w:color w:val="auto"/>
              </w:rPr>
            </w:pPr>
            <w:r>
              <w:rPr>
                <w:rFonts w:ascii="Arial" w:cs="Arial" w:eastAsia="Arial" w:hAnsi="Arial"/>
                <w:sz w:val="18"/>
                <w:szCs w:val="18"/>
                <w:color w:val="auto"/>
              </w:rPr>
              <w:t>80.9 %</w:t>
            </w:r>
          </w:p>
        </w:tc>
        <w:tc>
          <w:tcPr>
            <w:tcW w:w="80" w:type="dxa"/>
            <w:vAlign w:val="bottom"/>
          </w:tcPr>
          <w:p>
            <w:pPr>
              <w:spacing w:after="0"/>
              <w:rPr>
                <w:sz w:val="18"/>
                <w:szCs w:val="18"/>
                <w:color w:val="auto"/>
              </w:rPr>
            </w:pPr>
          </w:p>
        </w:tc>
        <w:tc>
          <w:tcPr>
            <w:tcW w:w="820" w:type="dxa"/>
            <w:vAlign w:val="bottom"/>
            <w:gridSpan w:val="4"/>
          </w:tcPr>
          <w:p>
            <w:pPr>
              <w:jc w:val="right"/>
              <w:ind w:right="90"/>
              <w:spacing w:after="0"/>
              <w:rPr>
                <w:sz w:val="20"/>
                <w:szCs w:val="20"/>
                <w:color w:val="auto"/>
              </w:rPr>
            </w:pPr>
            <w:r>
              <w:rPr>
                <w:rFonts w:ascii="Arial" w:cs="Arial" w:eastAsia="Arial" w:hAnsi="Arial"/>
                <w:sz w:val="18"/>
                <w:szCs w:val="18"/>
                <w:color w:val="auto"/>
              </w:rPr>
              <w:t>75.8 %</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76"/>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Telecom</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3.9 %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150"/>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18"/>
                <w:szCs w:val="18"/>
                <w:color w:val="auto"/>
              </w:rPr>
            </w:pPr>
          </w:p>
        </w:tc>
        <w:tc>
          <w:tcPr>
            <w:tcW w:w="860" w:type="dxa"/>
            <w:vAlign w:val="bottom"/>
            <w:gridSpan w:val="5"/>
          </w:tcPr>
          <w:p>
            <w:pPr>
              <w:jc w:val="right"/>
              <w:ind w:right="176"/>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8"/>
                <w:szCs w:val="18"/>
                <w:color w:val="auto"/>
              </w:rPr>
            </w:pPr>
          </w:p>
        </w:tc>
        <w:tc>
          <w:tcPr>
            <w:tcW w:w="820" w:type="dxa"/>
            <w:vAlign w:val="bottom"/>
            <w:gridSpan w:val="4"/>
          </w:tcPr>
          <w:p>
            <w:pPr>
              <w:jc w:val="right"/>
              <w:ind w:right="9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76"/>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100.0</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55"/>
        </w:trPr>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7"/>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5"/>
            <w:vMerge w:val="restart"/>
          </w:tcPr>
          <w:p>
            <w:pPr>
              <w:jc w:val="right"/>
              <w:ind w:right="61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4"/>
                <w:szCs w:val="24"/>
                <w:color w:val="auto"/>
              </w:rPr>
            </w:pPr>
          </w:p>
        </w:tc>
        <w:tc>
          <w:tcPr>
            <w:tcW w:w="148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w w:val="98"/>
              </w:rPr>
              <w:t>Nine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6"/>
            <w:vMerge w:val="restart"/>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CATV</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$18,932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20" w:type="dxa"/>
            <w:vAlign w:val="bottom"/>
            <w:tcBorders>
              <w:top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46,430</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16,287</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Data Center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65,819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12,870</w:t>
            </w:r>
          </w:p>
        </w:tc>
        <w:tc>
          <w:tcPr>
            <w:tcW w:w="140" w:type="dxa"/>
            <w:vAlign w:val="bottom"/>
          </w:tcPr>
          <w:p>
            <w:pPr>
              <w:spacing w:after="0"/>
              <w:rPr>
                <w:sz w:val="18"/>
                <w:szCs w:val="18"/>
                <w:color w:val="auto"/>
              </w:rPr>
            </w:pPr>
          </w:p>
        </w:tc>
        <w:tc>
          <w:tcPr>
            <w:tcW w:w="760" w:type="dxa"/>
            <w:vAlign w:val="bottom"/>
            <w:gridSpan w:val="3"/>
          </w:tcPr>
          <w:p>
            <w:pPr>
              <w:jc w:val="right"/>
              <w:ind w:right="76"/>
              <w:spacing w:after="0"/>
              <w:rPr>
                <w:sz w:val="20"/>
                <w:szCs w:val="20"/>
                <w:color w:val="auto"/>
              </w:rPr>
            </w:pPr>
            <w:r>
              <w:rPr>
                <w:rFonts w:ascii="Arial" w:cs="Arial" w:eastAsia="Arial" w:hAnsi="Arial"/>
                <w:sz w:val="18"/>
                <w:szCs w:val="18"/>
                <w:color w:val="auto"/>
              </w:rPr>
              <w:t>24.3 %</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244,711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133,209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111,502</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83.7 %</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w w:val="91"/>
              </w:rPr>
              <w:t>(61.8)%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Telecom</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760" w:type="dxa"/>
            <w:vAlign w:val="bottom"/>
            <w:gridSpan w:val="3"/>
          </w:tcPr>
          <w:p>
            <w:pPr>
              <w:jc w:val="right"/>
              <w:ind w:right="76"/>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9,722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10,082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24.2 %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17"/>
        </w:trPr>
        <w:tc>
          <w:tcPr>
            <w:tcW w:w="18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88,879</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70,137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18,742</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76"/>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302,474</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175,813</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126,661</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Growth in the three and nine months ended September 30, 2017 was driven primarily by increasing revenue from our internet data center customers, with significant growth also coming from our CATV customers.</w:t>
      </w:r>
    </w:p>
    <w:p>
      <w:pPr>
        <w:spacing w:after="0" w:line="14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During the three months ended September 30, 2017, revenues in the internet data center market were driven primarily by increasing demand for our 100 Gbps transceivers, partially offset by a decline in our 40 Gpbs transceiver sales, as our customers continued to upgrade their technology infrastructure. In the nine months ended September 30, 2017, revenues in the internet datacenter market were driven primarily by increasing demand for our 40 Gpbs and 100 Gpbs transceivers as our customers upgraded their technology infrastructure. The decrease in revenue in our FTTH market is due to a decline in demand for certain older legacy products. Demand for these legacy products is expected to continue to fluctuate. The increase in revenues in the CATV market for the three and nine months ended September 30, 2017 was a result of increased demand from customers who are supplying equipment for CATV network upgrades which began during the year. Revenue in our telecom market remained relatively unchanged for the three month period ended September 30, 2017 and decreased modestly for the nine month period ended September 30, 2017, compared to the prior year. The decrease was primarily attributable to reduced orders for some of our telecom customers, particularly in China.</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three months ended September 30, 2017 and 2016, our top ten customers represented 91.6% and 95.5%, respectively. For the nine months ended September 30, 2017 and 2016, our top ten customers represented 94.8% and 95.2%,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gridSpan w:val="2"/>
          </w:tcPr>
          <w:p>
            <w:pPr>
              <w:ind w:left="28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10"/>
          </w:tcPr>
          <w:p>
            <w:pPr>
              <w:ind w:left="4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$49,507</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55.7 % $46,976</w:t>
            </w:r>
          </w:p>
        </w:tc>
        <w:tc>
          <w:tcPr>
            <w:tcW w:w="15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67.0 % $2,531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39,372</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44.3 %  23,161</w:t>
            </w:r>
          </w:p>
        </w:tc>
        <w:tc>
          <w:tcPr>
            <w:tcW w:w="860" w:type="dxa"/>
            <w:vAlign w:val="bottom"/>
            <w:gridSpan w:val="4"/>
          </w:tcPr>
          <w:p>
            <w:pPr>
              <w:ind w:left="320"/>
              <w:spacing w:after="0"/>
              <w:rPr>
                <w:sz w:val="20"/>
                <w:szCs w:val="20"/>
                <w:color w:val="auto"/>
              </w:rPr>
            </w:pPr>
            <w:r>
              <w:rPr>
                <w:rFonts w:ascii="Arial" w:cs="Arial" w:eastAsia="Arial" w:hAnsi="Arial"/>
                <w:sz w:val="18"/>
                <w:szCs w:val="18"/>
                <w:color w:val="auto"/>
                <w:w w:val="92"/>
              </w:rPr>
              <w:t>33.0 %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10"/>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24"/>
                <w:szCs w:val="24"/>
                <w:color w:val="auto"/>
              </w:rPr>
            </w:pPr>
          </w:p>
        </w:tc>
        <w:tc>
          <w:tcPr>
            <w:tcW w:w="12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ind w:right="1"/>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80" w:type="dxa"/>
            <w:vAlign w:val="bottom"/>
            <w:tcBorders>
              <w:top w:val="single" w:sz="8" w:color="auto"/>
            </w:tcBorders>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9"/>
              </w:rPr>
              <w:t>Revenue</w:t>
            </w:r>
          </w:p>
        </w:tc>
        <w:tc>
          <w:tcPr>
            <w:tcW w:w="88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8"/>
          </w:tcPr>
          <w:p>
            <w:pPr>
              <w:ind w:left="240"/>
              <w:spacing w:after="0" w:line="142" w:lineRule="exact"/>
              <w:rPr>
                <w:sz w:val="20"/>
                <w:szCs w:val="20"/>
                <w:color w:val="auto"/>
              </w:rPr>
            </w:pPr>
            <w:r>
              <w:rPr>
                <w:rFonts w:ascii="Arial" w:cs="Arial" w:eastAsia="Arial" w:hAnsi="Arial"/>
                <w:sz w:val="14"/>
                <w:szCs w:val="14"/>
                <w:b w:val="1"/>
                <w:bCs w:val="1"/>
                <w:color w:val="auto"/>
                <w:w w:val="92"/>
              </w:rPr>
              <w:t>(in thousands, except percentages)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$168,348</w:t>
            </w:r>
          </w:p>
        </w:tc>
        <w:tc>
          <w:tcPr>
            <w:tcW w:w="28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w w:val="99"/>
              </w:rPr>
              <w:t>55.7 % $121,097</w:t>
            </w:r>
          </w:p>
        </w:tc>
        <w:tc>
          <w:tcPr>
            <w:tcW w:w="15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68.9 % $47,251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39.0 %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134,126</w:t>
            </w:r>
          </w:p>
        </w:tc>
        <w:tc>
          <w:tcPr>
            <w:tcW w:w="2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44.3 %</w:t>
            </w:r>
          </w:p>
        </w:tc>
        <w:tc>
          <w:tcPr>
            <w:tcW w:w="880" w:type="dxa"/>
            <w:vAlign w:val="bottom"/>
            <w:gridSpan w:val="2"/>
          </w:tcPr>
          <w:p>
            <w:pPr>
              <w:jc w:val="right"/>
              <w:ind w:right="128"/>
              <w:spacing w:after="0"/>
              <w:rPr>
                <w:sz w:val="20"/>
                <w:szCs w:val="20"/>
                <w:color w:val="auto"/>
              </w:rPr>
            </w:pPr>
            <w:r>
              <w:rPr>
                <w:rFonts w:ascii="Arial" w:cs="Arial" w:eastAsia="Arial" w:hAnsi="Arial"/>
                <w:sz w:val="18"/>
                <w:szCs w:val="18"/>
                <w:color w:val="auto"/>
              </w:rPr>
              <w:t>54,716</w:t>
            </w:r>
          </w:p>
        </w:tc>
        <w:tc>
          <w:tcPr>
            <w:tcW w:w="800" w:type="dxa"/>
            <w:vAlign w:val="bottom"/>
            <w:gridSpan w:val="3"/>
          </w:tcPr>
          <w:p>
            <w:pPr>
              <w:ind w:left="180"/>
              <w:spacing w:after="0"/>
              <w:rPr>
                <w:sz w:val="20"/>
                <w:szCs w:val="20"/>
                <w:color w:val="auto"/>
              </w:rPr>
            </w:pPr>
            <w:r>
              <w:rPr>
                <w:rFonts w:ascii="Arial" w:cs="Arial" w:eastAsia="Arial" w:hAnsi="Arial"/>
                <w:sz w:val="18"/>
                <w:szCs w:val="18"/>
                <w:color w:val="auto"/>
              </w:rPr>
              <w:t>31.1 %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Cost of goods sold increased by $2.5 million, or 5.4%, for the three months ended September 30, 2017, as compared to the three months ended September 30, 2016, primarily due to the increase in sales over the prior year. Cost of goods sold increased by $47.3 million, or 39.0%, for the nine months ended September 30, 2017, as compared to the nine months ended September 30, 2016, primarily due to the increase in sales over the prior year. The increase in gross margin for the three and nine months ended September 30, 2017 compared to the same periods ended September 30, 2016 was primarily the result of lower production costs associated with certain 40 Gbps and 100 Gbps products. Production costs were reduced due mainly to improved product yields, related to process improvements and automation, as well as raw material cost reduction.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12"/>
          </w:tcPr>
          <w:p>
            <w:pPr>
              <w:jc w:val="right"/>
              <w:ind w:right="59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6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vMerge w:val="continue"/>
          </w:tcPr>
          <w:p>
            <w:pPr>
              <w:spacing w:after="0"/>
              <w:rPr>
                <w:sz w:val="14"/>
                <w:szCs w:val="14"/>
                <w:color w:val="auto"/>
              </w:rPr>
            </w:pPr>
          </w:p>
        </w:tc>
        <w:tc>
          <w:tcPr>
            <w:tcW w:w="76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60.0 %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20" w:type="dxa"/>
            <w:vAlign w:val="bottom"/>
            <w:gridSpan w:val="8"/>
            <w:shd w:val="clear" w:color="auto" w:fill="CCEEFF"/>
          </w:tcPr>
          <w:p>
            <w:pPr>
              <w:jc w:val="right"/>
              <w:ind w:right="10"/>
              <w:spacing w:after="0"/>
              <w:rPr>
                <w:sz w:val="20"/>
                <w:szCs w:val="20"/>
                <w:color w:val="auto"/>
              </w:rPr>
            </w:pPr>
            <w:r>
              <w:rPr>
                <w:rFonts w:ascii="Arial" w:cs="Arial" w:eastAsia="Arial" w:hAnsi="Arial"/>
                <w:sz w:val="18"/>
                <w:szCs w:val="18"/>
                <w:color w:val="auto"/>
              </w:rPr>
              <w:t>9.2 %  3,135   48.</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21,321</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16,401</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4,920</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30.</w:t>
            </w:r>
            <w:r>
              <w:rPr>
                <w:rFonts w:ascii="Arial" w:cs="Arial" w:eastAsia="Arial" w:hAnsi="Arial"/>
                <w:sz w:val="18"/>
                <w:szCs w:val="18"/>
                <w:u w:val="single" w:color="auto"/>
                <w:color w:val="auto"/>
                <w:w w:val="85"/>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2"/>
          </w:tcPr>
          <w:p>
            <w:pPr>
              <w:jc w:val="right"/>
              <w:ind w:right="63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6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vMerge w:val="continue"/>
          </w:tcPr>
          <w:p>
            <w:pPr>
              <w:spacing w:after="0"/>
              <w:rPr>
                <w:sz w:val="14"/>
                <w:szCs w:val="14"/>
                <w:color w:val="auto"/>
              </w:rPr>
            </w:pPr>
          </w:p>
        </w:tc>
        <w:tc>
          <w:tcPr>
            <w:tcW w:w="76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14.0 %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4,884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8"/>
          </w:tcPr>
          <w:p>
            <w:pPr>
              <w:jc w:val="right"/>
              <w:ind w:right="10"/>
              <w:spacing w:after="0"/>
              <w:rPr>
                <w:sz w:val="20"/>
                <w:szCs w:val="20"/>
                <w:color w:val="auto"/>
              </w:rPr>
            </w:pPr>
            <w:r>
              <w:rPr>
                <w:rFonts w:ascii="Arial" w:cs="Arial" w:eastAsia="Arial" w:hAnsi="Arial"/>
                <w:sz w:val="18"/>
                <w:szCs w:val="18"/>
                <w:color w:val="auto"/>
              </w:rPr>
              <w:t>2.8 %  1,728   35.4 %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20" w:type="dxa"/>
            <w:vAlign w:val="bottom"/>
            <w:gridSpan w:val="8"/>
            <w:shd w:val="clear" w:color="auto" w:fill="CCEEFF"/>
          </w:tcPr>
          <w:p>
            <w:pPr>
              <w:jc w:val="right"/>
              <w:ind w:right="10"/>
              <w:spacing w:after="0"/>
              <w:rPr>
                <w:sz w:val="20"/>
                <w:szCs w:val="20"/>
                <w:color w:val="auto"/>
              </w:rPr>
            </w:pPr>
            <w:r>
              <w:rPr>
                <w:rFonts w:ascii="Arial" w:cs="Arial" w:eastAsia="Arial" w:hAnsi="Arial"/>
                <w:sz w:val="18"/>
                <w:szCs w:val="18"/>
                <w:color w:val="auto"/>
              </w:rPr>
              <w:t>10.3 %  8,104   44.</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57,495</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47,540</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9,955</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20.</w:t>
            </w:r>
            <w:r>
              <w:rPr>
                <w:rFonts w:ascii="Arial" w:cs="Arial" w:eastAsia="Arial" w:hAnsi="Arial"/>
                <w:sz w:val="18"/>
                <w:szCs w:val="18"/>
                <w:u w:val="single" w:color="auto"/>
                <w:color w:val="auto"/>
                <w:w w:val="85"/>
              </w:rPr>
              <w:t>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Research and development expense increased by $0.8 million, or 9.9%, for the three months ended September 30, 2017 as compared to the three months ended September 30, 2016. Research and development expense increased by $0.1 million, or 0.5%, for the nine months ended September 30, 2017 as compared to the nine months ended September 30, 2016. Research and development costs consist of R&amp;D work orders, R&amp;D material usage and other project related costs related to 40 Gbps, 100 Gbps, and 200/400 Gbps data center products, DOCSIS 3.1-capable CATV products, including remote-PHY products, and other new product development, and depreciation expense resulting from R&amp;D equipment investments. Research and development costs increased for the three and nine months ended September 30,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2017 as compared to the three and nine months ended September 30, 2016 due mainly to an increase in personnel-related costs and increased overhead costs associated with our new building in Sugar Land, offset by a decrease in materials and supplies used in R&amp;D activities and a decrease in costs from R&amp;D work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Sales and marketing expense increased by $1.0 million, or 60.0%, for the three months ended September 30, 2017 as compared to the three months ended September 30, 2016. Sales and marketing expense increased by $1.7 million, or 35.4%, for the nine months ended September 30, 2017 as compared to the nine months ended September 30, 2016. These increases were due to an increase in personnel costs, including sales commissions, an increase in customs taxes and duties, partially offset by decreased commissions payable to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General and administrative expense increased by $3.1 million, or 48.6%, for the three months ended September 30, 2017 compared to the three months ended September 30, 2016. General and administrative expense increased by $8.1 million, or 44.8%, for the nine months ended September 30, 2017 compared to the nine months ended September 30, 2016. These increases were primarily due to an increase in personnel-related costs, share-based compensation expenses, overhead costs due to our new building in Sugar Land, and additional professional service fees.</w:t>
      </w:r>
    </w:p>
    <w:p>
      <w:pPr>
        <w:spacing w:after="0" w:line="15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General and administrative expenses include costs to comply with Section 404 of the Sarbanes-Oxley Act, or SOX, and other regulations governing public companies, costs of directors' and officers' liability insurance and investor relations activities. As of June 30, 2017, the market value of our common stock held by non-affiliates exceeded $700 million. Commencing December 31, 2017, we will be a "large accelerated filer" and, accordingly, will no longer qualify as an emerging growth company and no longer be able to rely on certain exemptions that were available to us as an emerging growth company. We anticipate that general and administrative expenses will continue to increase in absolute dollars in the future as we continue to incur both increased external audit fees as well as additional spending to ensure continued SOX and other regulatory compliance. We expect such expenses to decline as a percentage of our revenues over time as our revenues grow.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18"/>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vMerge w:val="restart"/>
          </w:tcPr>
          <w:p>
            <w:pPr>
              <w:jc w:val="right"/>
              <w:ind w:right="250"/>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5"/>
          </w:tcPr>
          <w:p>
            <w:pPr>
              <w:jc w:val="right"/>
              <w:ind w:right="398"/>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6"/>
            <w:vMerge w:val="continue"/>
          </w:tcPr>
          <w:p>
            <w:pPr>
              <w:spacing w:after="0"/>
              <w:rPr>
                <w:sz w:val="14"/>
                <w:szCs w:val="14"/>
                <w:color w:val="auto"/>
              </w:rPr>
            </w:pPr>
          </w:p>
        </w:tc>
        <w:tc>
          <w:tcPr>
            <w:tcW w:w="7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Pr>
          <w:p>
            <w:pPr>
              <w:spacing w:after="0"/>
              <w:rPr>
                <w:sz w:val="14"/>
                <w:szCs w:val="14"/>
                <w:color w:val="auto"/>
              </w:rPr>
            </w:pPr>
          </w:p>
        </w:tc>
        <w:tc>
          <w:tcPr>
            <w:tcW w:w="1520" w:type="dxa"/>
            <w:vAlign w:val="bottom"/>
            <w:gridSpan w:val="10"/>
          </w:tcPr>
          <w:p>
            <w:pPr>
              <w:jc w:val="right"/>
              <w:ind w:right="210"/>
              <w:spacing w:after="0"/>
              <w:rPr>
                <w:sz w:val="20"/>
                <w:szCs w:val="20"/>
                <w:color w:val="auto"/>
              </w:rPr>
            </w:pPr>
            <w:r>
              <w:rPr>
                <w:rFonts w:ascii="Arial" w:cs="Arial" w:eastAsia="Arial" w:hAnsi="Arial"/>
                <w:sz w:val="14"/>
                <w:szCs w:val="14"/>
                <w:b w:val="1"/>
                <w:bCs w:val="1"/>
                <w:color w:val="auto"/>
              </w:rPr>
              <w:t>Amount   revenue</w:t>
            </w:r>
          </w:p>
        </w:tc>
        <w:tc>
          <w:tcPr>
            <w:tcW w:w="660" w:type="dxa"/>
            <w:vAlign w:val="bottom"/>
            <w:gridSpan w:val="6"/>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17"/>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0.1 %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5"/>
              <w:spacing w:after="0"/>
              <w:rPr>
                <w:sz w:val="20"/>
                <w:szCs w:val="20"/>
                <w:color w:val="auto"/>
              </w:rPr>
            </w:pPr>
            <w:r>
              <w:rPr>
                <w:rFonts w:ascii="Arial" w:cs="Arial" w:eastAsia="Arial" w:hAnsi="Arial"/>
                <w:sz w:val="18"/>
                <w:szCs w:val="18"/>
                <w:color w:val="auto"/>
              </w:rPr>
              <w:t>0.1 %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52.5 %</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(462)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0"/>
              </w:rPr>
              <w:t>(636.4)%</w:t>
            </w:r>
          </w:p>
        </w:tc>
        <w:tc>
          <w:tcPr>
            <w:tcW w:w="0" w:type="dxa"/>
            <w:vAlign w:val="bottom"/>
          </w:tcPr>
          <w:p>
            <w:pPr>
              <w:spacing w:after="0"/>
              <w:rPr>
                <w:sz w:val="1"/>
                <w:szCs w:val="1"/>
                <w:color w:val="auto"/>
              </w:rPr>
            </w:pPr>
          </w:p>
        </w:tc>
      </w:tr>
      <w:tr>
        <w:trPr>
          <w:trHeight w:val="217"/>
        </w:trPr>
        <w:tc>
          <w:tcPr>
            <w:tcW w:w="326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gridSpan w:val="3"/>
          </w:tcPr>
          <w:p>
            <w:pPr>
              <w:jc w:val="right"/>
              <w:ind w:right="19"/>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78"/>
        </w:trPr>
        <w:tc>
          <w:tcPr>
            <w:tcW w:w="3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8"/>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5"/>
            <w:vMerge w:val="restart"/>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56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Borders>
              <w:bottom w:val="single" w:sz="8" w:color="auto"/>
            </w:tcBorders>
            <w:gridSpan w:val="6"/>
            <w:vMerge w:val="continue"/>
          </w:tcPr>
          <w:p>
            <w:pPr>
              <w:spacing w:after="0"/>
              <w:rPr>
                <w:sz w:val="14"/>
                <w:szCs w:val="14"/>
                <w:color w:val="auto"/>
              </w:rPr>
            </w:pPr>
          </w:p>
        </w:tc>
        <w:tc>
          <w:tcPr>
            <w:tcW w:w="76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6"/>
            <w:vMerge w:val="continue"/>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gridSpan w:val="17"/>
          </w:tcPr>
          <w:p>
            <w:pPr>
              <w:jc w:val="right"/>
              <w:ind w:right="25"/>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0.1 % $ (40)</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(792)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(1,313)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(366)</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68.8 %</w:t>
            </w:r>
          </w:p>
        </w:tc>
        <w:tc>
          <w:tcPr>
            <w:tcW w:w="0" w:type="dxa"/>
            <w:vAlign w:val="bottom"/>
          </w:tcPr>
          <w:p>
            <w:pPr>
              <w:spacing w:after="0"/>
              <w:rPr>
                <w:sz w:val="1"/>
                <w:szCs w:val="1"/>
                <w:color w:val="auto"/>
              </w:rPr>
            </w:pPr>
          </w:p>
        </w:tc>
      </w:tr>
      <w:tr>
        <w:trPr>
          <w:trHeight w:val="217"/>
        </w:trPr>
        <w:tc>
          <w:tcPr>
            <w:tcW w:w="326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2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(1,524)</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income increased 52.5% for the three months ended September 30, 2017 as compared to the three months ended September 30, 2016, due to larger cash balances. Interest income decreased 19.4% for the nine months ended September 30, 2017 as compared to the nine months ended September 30, 2016, due to lower investment balances during the period.</w:t>
      </w:r>
    </w:p>
    <w:p>
      <w:pPr>
        <w:spacing w:after="0" w:line="1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Interest expense decreased 46.3% for the three months ended September 30, 2017 as compared to the three months ended September 30, 2016. Interest expense decreased 39.7% for the nine months ended September 30, 2017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compared to the nine months ended September 30, 2016. These decreases were due to repayment of debt that had been previously borrowed to fund expansion projects.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Other income (expense) for the three months ended September 30, 2017 was expense of $0.4 million, an $0.4 million unfavorable increase as compared to the three months ended September 30, 2016. Other income (expense) for the nine months ended September 30, 2017 was expense of $0.9 million, an unfavorable increase as compared to the nine months ended September 30, 2016. These increases were due to the increase of foreign exchange losses resulting from the unfavorable fluctuation of certain Asian currencies against the U.S. dollar. We qualify as a high-tech enterprise in China, as determined by the Chinese government, and are paid subsidies from time to time by the Chinese government to foster local high-tech manufacturing. We received $0.1 million of government subsidies during the three and nine months ended September 30, 2017, as compared to the same amounts for the three and nine months ended September 30,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w:t>
            </w: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1460" w:type="dxa"/>
            <w:vAlign w:val="bottom"/>
            <w:tcBorders>
              <w:top w:val="single" w:sz="8" w:color="auto"/>
              <w:bottom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26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$ 11,332</w:t>
            </w:r>
          </w:p>
        </w:tc>
        <w:tc>
          <w:tcPr>
            <w:tcW w:w="10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(9,467)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(83.5)%</w:t>
            </w:r>
          </w:p>
        </w:tc>
      </w:tr>
      <w:tr>
        <w:trPr>
          <w:trHeight w:val="378"/>
        </w:trPr>
        <w:tc>
          <w:tcPr>
            <w:tcW w:w="4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(6,872)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4"/>
              </w:rPr>
              <w:t>$ 11,472</w:t>
            </w:r>
          </w:p>
        </w:tc>
        <w:tc>
          <w:tcPr>
            <w:tcW w:w="10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8"/>
              </w:rPr>
              <w:t>(18,344)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159.9 %</w:t>
            </w:r>
          </w:p>
        </w:tc>
      </w:tr>
    </w:tbl>
    <w:p>
      <w:pPr>
        <w:ind w:firstLine="648"/>
        <w:spacing w:after="0" w:line="271"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is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9"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Our effective tax rate for the three months ended September 30, 2017 and 2016 was (10.65%) and (176.97%), respectively. For the three months ended September 30, 2017, the effective tax rate varied from the federal statutory rate of 35% primarily due to the level and mix of earnings among tax jurisdictions and excess tax benefits due to employee share-based compensation. We recognized a tax benefit of $5.8 million for excess tax benefits due to employee share-based compensation in accordance with ASU 2016-09. Additionally, we recognized a tax benefit of $0.1 million related to the release of our valuation allowance on deferred tax assets in China. For the three months ended September 30, 2016, the effective tax rate varied from the federal statutory rate of 35% primarily due to the level and mix of earnings among tax jurisdictions and as a result of the release of our valuation allowances recorded on the deferred tax assets in the US and Taiwan.</w:t>
      </w:r>
    </w:p>
    <w:p>
      <w:pPr>
        <w:spacing w:after="0" w:line="19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Our effective tax rate for the nine months ended September 30, 2017 and 2016 was 9.15% and (207.21%), respectively. For the nine months ending September 30, 2017, the effective tax rate varied from the federal statutory rate of 35% primarily due to the level and mix of earnings among tax jurisdictions and excess tax benefits due to employee share-based compensation. We recognized a tax benefit of $9.4 million for excess tax benefits due to employee share-based compensation in accordance with ASU 2016-09. Additionally, we recognized a tax benefit of $0.4 million related to the release of our valuation allowance on deferred tax assets in China. For the nine months ended September 30, 2016, the effective tax rate varied from the federal statutory rate of 35% primarily due to the level and mix of earnings among tax jurisdictions and as a result of the release of our valuation allowances recorded on the deferred tax assets in the US and Taiwan.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1, 2017, we adopted ASU 2016-09, "Improvements to Employee Share-Based Payment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Accounting." The new standard requires that the tax impact related to the difference between share-based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book and tax purposes be recognized as income tax benefit or expense in our condensed consolidated statement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reporting period in which such awards vest. The standard also required a modified retrospective adoption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previously unrecognized excess tax benefits. Accordingly, we recognized a deferred tax asset of $1.2 million and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corresponding credit to retained earnings in conjunction with the adoption. The effects of adopting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other provisions of ASU 2016-09 were not significant. See also Note 2 —Significant Accounting Policies —Recent Accounting Pronouncements for additional information.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221E1F"/>
        </w:rPr>
        <w:t xml:space="preserve">We recorded a valuation allowance against our deferred tax assets in China as of March 31, 2017 and December 31, 2016. </w:t>
      </w:r>
      <w:r>
        <w:rPr>
          <w:rFonts w:ascii="Arial" w:cs="Arial" w:eastAsia="Arial" w:hAnsi="Arial"/>
          <w:sz w:val="18"/>
          <w:szCs w:val="18"/>
          <w:color w:val="000000"/>
        </w:rPr>
        <w:t>During the three months ending June 30, 2017, we removed the valuation allowance that had been recorded against</w:t>
      </w:r>
      <w:r>
        <w:rPr>
          <w:rFonts w:ascii="Arial" w:cs="Arial" w:eastAsia="Arial" w:hAnsi="Arial"/>
          <w:sz w:val="18"/>
          <w:szCs w:val="18"/>
          <w:color w:val="221E1F"/>
        </w:rPr>
        <w:t xml:space="preserve"> </w:t>
      </w:r>
      <w:r>
        <w:rPr>
          <w:rFonts w:ascii="Arial" w:cs="Arial" w:eastAsia="Arial" w:hAnsi="Arial"/>
          <w:sz w:val="18"/>
          <w:szCs w:val="18"/>
          <w:color w:val="000000"/>
        </w:rPr>
        <w:t xml:space="preserve">our China deferred tax assets. </w:t>
      </w:r>
      <w:r>
        <w:rPr>
          <w:rFonts w:ascii="Arial" w:cs="Arial" w:eastAsia="Arial" w:hAnsi="Arial"/>
          <w:sz w:val="18"/>
          <w:szCs w:val="18"/>
          <w:color w:val="221E1F"/>
        </w:rPr>
        <w:t>Release of the valuation allowance resulted in the recognition of $0.4 million of deferred tax</w:t>
      </w:r>
      <w:r>
        <w:rPr>
          <w:rFonts w:ascii="Arial" w:cs="Arial" w:eastAsia="Arial" w:hAnsi="Arial"/>
          <w:sz w:val="18"/>
          <w:szCs w:val="18"/>
          <w:color w:val="000000"/>
        </w:rPr>
        <w:t xml:space="preserve"> </w:t>
      </w:r>
      <w:r>
        <w:rPr>
          <w:rFonts w:ascii="Arial" w:cs="Arial" w:eastAsia="Arial" w:hAnsi="Arial"/>
          <w:sz w:val="18"/>
          <w:szCs w:val="18"/>
          <w:color w:val="221E1F"/>
        </w:rPr>
        <w:t>assets and a decrease to income tax expense for the same amount.</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221E1F"/>
        </w:rPr>
        <w:t>As of each reporting date, management considers new evidence, both positive and negative, that could affect its view of the future realization of deferred tax assets. During the second quarter of 2017, in part because in the current period we achieved cumulative pretax income in China and anticipate future earnings, we determined that there is sufficient positive evidence to conclude that it is more likely than not that additional deferred taxes of $0.3 million are realizable. We therefore reduced the valuation allowance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From inception until our initial public offering in September 2013, we financed our operations through private sales of equity securities, cash generated from operations and from various lending arrangements. As of September 30, 2017, we had $14.0 million of unused borrowing capacity from all of our loan agreements. As of September 30, 2017, our cash, cash equivalents, restricted cash and short-term investments totaled $72.0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0"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Nine months ended</w:t>
      </w:r>
    </w:p>
    <w:p>
      <w:pPr>
        <w:ind w:left="58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28,368</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(31,906)</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26,168</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4,769</w:t>
            </w:r>
          </w:p>
        </w:tc>
        <w:tc>
          <w:tcPr>
            <w:tcW w:w="160" w:type="dxa"/>
            <w:vAlign w:val="bottom"/>
          </w:tcPr>
          <w:p>
            <w:pPr>
              <w:spacing w:after="0"/>
              <w:rPr>
                <w:sz w:val="18"/>
                <w:szCs w:val="18"/>
                <w:color w:val="auto"/>
              </w:rPr>
            </w:pPr>
          </w:p>
        </w:tc>
      </w:tr>
      <w:tr>
        <w:trPr>
          <w:trHeight w:val="217"/>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nine months ended September 30, 2017, net cash provided by operating activities was $57.5 million. Net cash provided by operating activities consisted of our net income of $68.3 million, after the exclusion of non-cash items of $18.8 million as well as an increase in accounts payable to our vendors of $14.6 million and an increase in accrued liabilities of $1.9 million and accrued income taxes of $4.4 million. These cash increases were offset by an increase in accounts receivable from our customers of $23.2 million, an increase in inventories of $21.1 million and an increase in prepaid assets of $6.1 million.</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nine months ended September 30, 2016, net cash provided by operating activities was $28.4 million. During the nine months ended September 30, 2016, we recorded net income of $17.0 million. The net income included non-cash charges, including depreciation and amortization of $9.9 million, share-based compensation expense of $2.8 million, non-cash increases to our inventory reserve account of $2.8 million, deferred income tax benefit of $11.9 million from the release of our valuation allowance and an unrealized exchange gain of $3.5 million. Cash provided by operating activities primarily related to a $9.4 million decrease in inventory related to sales orders and cash provided by the increase of accounts payable to our vendors of $3.9 million. These increases were offset by an increase in our accounts receivable of $5.4 million from the sale of our products in excess of collection of trade receivables.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nine months ended September 30, 2017, net cash used in investing activities was $49.1 million mainly for the purchase of additional machinery and equipment.</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nine months ended September 30, 2016, net cash used in investing activities was $31.9 million mainly for the purchase of additional machinery and equipment and investment in construction of our U.S. plant of $40.3 million, offset by the maturity of short term investments of $7.7 million.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nine months ended September 30, 2017, our financing activities provided $11.9 million in cash. We received $21.6 million in net proceeds from the sale of our common stock pursuant to an at-the market offering. This increase in cash was offset by the repayment of net borrowings of $2.6 million and $8.5 million of withholding taxes paid on behalf of employees related to share-based compensation.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nine months ended September 30, 2016, our financing activities provided $26.2 million in cash. We received $28.9 million in net long-term borrowings associated with our bank loans, offset by $4.0 million of principal payment. In addition, we received net $1.3 million cash from our line of credit facility and $0.3 million of net cash receipt from acceptances payable.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with Branch, Banking and Trust Company (“BB&amp;T”) in the U.S. and lines of credit and financing agreements for our Taiwan branch. As of September 30, 2017, we had $14.0 million of unused borrowing capacity.</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June 14, 2016, we executed a Change in Terms Agreement, Notice of Final Agreement and Modification of the Construction Loan Agreement (the “Modification Agreement”) in connection with our Construction Loan Agreement with East West Bank for up to $22.0 million dollars to finance the construction of our campus expansion plan in Sugar Land, Texas, originally dated January 26, 2015 (the “Construction Loan Agreement”). Upon signing the original Construction Loan Agreement, we deposited $11.0 million into a restricted bank account for owner’s contribution of construction costs. The Modification Agreement had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would have been due on January 26, 2022 and would have included all unpaid principal and all accrued and unpaid interest. We may pay without penalty all or a portion of the amount owed earlier than due. Under the Construction Loan Agreement, the loan bears interest at an annual rate based on the one-month LIBOR Borrowing Rate plus 2.75%, and the interest rate was adjusted to LIBOR Borrowing Rate plus 2.0% under the Modification Agreement.</w:t>
      </w:r>
    </w:p>
    <w:p>
      <w:pPr>
        <w:spacing w:after="0" w:line="17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June 24, 2016, we entered into a First Amendment to the Credit Agreement with East West Bank and Comerica Bank (the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the Company terminated the credit agreement and all outstanding balances of the loans had been repaid.</w:t>
      </w:r>
    </w:p>
    <w:p>
      <w:pPr>
        <w:spacing w:after="0" w:line="16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also had a term loan with East West Bank of $5.0 million with monthly payments of principal and interest that would have matured on July 31, 2019. On February 27, 2017, we repaid the outstanding balance of $2.8 million and terminated the loan.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October 5, 2016, we executed a Change in Terms Agreement, Notice of Final Agreement and Second Modification to the Construction Loan Agreement (the “Second Modifications”) to the Construction Loan Agreement with East West Bank. The Second Modifications amended and restated in part our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sixty-six (66) month term loan, with principal and interest payments due monthly amortized over three hundred (300) months. The first principal and interest payment was due on October 26, 2016 and would have continued on the same day of each month thereafter. The final principal and interest payment would have been due on January 26, 2022 and would have included all unpaid principal and all accrued and unpaid interest. Except as expressly changed by the Second Modifications, the terms of the original obligation and the Modification Agreement remained unchanged. On September 28, 2017, we repaid the outstanding balance of $11.2 million and terminated the loan.</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28, 2017, we entered into a Loan Agreement, a Promissory Note, an Addendum to the Promissory Note, a BB&amp;T Security Agreement, a Trademark Security Agreement, and a Patent Security Agreement (together the “Credit Facility”) with BB&amp;T. The Credit Facility provides us with a three year, $50 million, revolving line of credit. Borrowings under the Credit Facility will be used for general corporate purposes. We will make monthly payments of accrued interest with the final monthly payment being for all principal and all accrued interest not yet paid. Our obligations under the Credit Facility will be secured by our accounts receivable, inventory, intellectual property, all business assets with the exception of real estate and equipment. Borrowings under the Credit Facility will bear interest at a rate equal to the one-month LIBOR plus 1.50%. The Credit Facility requires us to maintain certain financial covenants and also contains representations and warranties, and events of default applicable to us that are customary for agreements of this type. As of September 30, 2017, we were in compliance with all covenants under the Credit Facility. As of September 30, 2017, $36.0 million was outstanding under the Credit Facility.</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May 27, 2015, our Taiwan branch entered into a Purchase and Sale Contract and a Finance Lease Agreement with Chailease Finance Co, Ltd. (“Chailease”) in connection with certain equipment, structured as a sale lease-back transaction. Pursuant to the Purchase and Sale Contract, our Taiwan branch sold certain equipment to Chailease for a purchase price of 180,148,532 New Taiwan dollars, approximately $6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 million. The Finance Lease Agreement has a three-year term, with monthly payments, maturing on May 27, 2018. The title to the equipment will be transferred to our Taiwan branch upon the expiration of the Finance Lease Agreement. As of September 30, 2017, $0.9 million was outstanding under this Finance Lease Agreement.</w:t>
      </w:r>
    </w:p>
    <w:p>
      <w:pPr>
        <w:spacing w:after="0" w:line="16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our Taiwan branch upon the expiration of the Finance Lease Agreement. As of September 30, 2017, $4.1 million was outstanding under this Finance Lease Agreement.</w:t>
      </w:r>
    </w:p>
    <w:p>
      <w:pPr>
        <w:spacing w:after="0" w:line="16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Chinese subsidiary had credit facilities with China Construction Bank totaling $13.2 million, which could be drawn in U.S. currency, RMB currency, issuing bank acceptance notes to vendors with different interest rates or issuing standby letters of credit. We pledged the land use rights and buildings of our Chinese subsidiary as collateral for the credit facility. Our Chinese subsidiary used $10.0 million of its credit facility to issue standby letters of credit as collateral for our Taiwan branch line of credit with China Construction Bank. On March 29, 2017, we repaid the outstanding balance and terminated the loan.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2017, there were no security deposits associated with the loan facilities.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ind w:right="50"/>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780" w:type="dxa"/>
            <w:vAlign w:val="bottom"/>
            <w:gridSpan w:val="7"/>
          </w:tcPr>
          <w:p>
            <w:pPr>
              <w:ind w:left="160"/>
              <w:spacing w:after="0" w:line="119" w:lineRule="exact"/>
              <w:rPr>
                <w:sz w:val="20"/>
                <w:szCs w:val="20"/>
                <w:color w:val="auto"/>
              </w:rPr>
            </w:pPr>
            <w:r>
              <w:rPr>
                <w:rFonts w:ascii="Arial" w:cs="Arial" w:eastAsia="Arial" w:hAnsi="Arial"/>
                <w:sz w:val="13"/>
                <w:szCs w:val="13"/>
                <w:b w:val="1"/>
                <w:bCs w:val="1"/>
                <w:color w:val="auto"/>
              </w:rPr>
              <w:t>Less than 1</w:t>
            </w:r>
          </w:p>
        </w:tc>
        <w:tc>
          <w:tcPr>
            <w:tcW w:w="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3-5 Years</w:t>
            </w:r>
          </w:p>
        </w:tc>
        <w:tc>
          <w:tcPr>
            <w:tcW w:w="8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$ 41,154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$ 37,387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12,317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2,029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53,471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39,395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0" w:hanging="317"/>
        <w:spacing w:after="0" w:line="25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several loan and security agreements in Taiwan and the U.S. that provide various credit facilities, including lines of credit and term loans. The amount presented in the table represents the principal portion and estimated interest expense for the obligations.</w:t>
      </w:r>
    </w:p>
    <w:p>
      <w:pPr>
        <w:ind w:left="320" w:hanging="317"/>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entered into various non-cancellable operating lease agreements for our offices in Taiwan and in the U.S.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three and nine months ended September 30, 2017, we did not, and we do not currently,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our annual report on Form 10-K for the year ended December 31, 2016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$1.07 billion will, in general, qualify as an “emerging growth company” until the earliest of:</w:t>
      </w:r>
    </w:p>
    <w:p>
      <w:pPr>
        <w:spacing w:after="0" w:line="171" w:lineRule="exact"/>
        <w:rPr>
          <w:sz w:val="20"/>
          <w:szCs w:val="20"/>
          <w:color w:val="auto"/>
        </w:rPr>
      </w:pPr>
    </w:p>
    <w:p>
      <w:pPr>
        <w:ind w:left="980" w:right="16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225"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date on which it is deemed to be a “large accelerated filer,” which will occur at such time as the company</w:t>
      </w:r>
    </w:p>
    <w:p>
      <w:pPr>
        <w:spacing w:after="0" w:line="46" w:lineRule="exact"/>
        <w:rPr>
          <w:rFonts w:ascii="Arial" w:cs="Arial" w:eastAsia="Arial" w:hAnsi="Arial"/>
          <w:sz w:val="16"/>
          <w:szCs w:val="16"/>
          <w:color w:val="auto"/>
        </w:rPr>
      </w:pPr>
    </w:p>
    <w:p>
      <w:pPr>
        <w:ind w:left="980" w:right="20"/>
        <w:spacing w:after="0" w:line="273" w:lineRule="auto"/>
        <w:rPr>
          <w:rFonts w:ascii="Arial" w:cs="Arial" w:eastAsia="Arial" w:hAnsi="Arial"/>
          <w:sz w:val="16"/>
          <w:szCs w:val="16"/>
          <w:color w:val="auto"/>
        </w:rPr>
      </w:pPr>
      <w:r>
        <w:rPr>
          <w:rFonts w:ascii="Arial" w:cs="Arial" w:eastAsia="Arial" w:hAnsi="Arial"/>
          <w:sz w:val="17"/>
          <w:szCs w:val="17"/>
          <w:color w:val="auto"/>
        </w:rPr>
        <w:t>(a)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Under this definition, we are an “emerging growth company.” On June 30, 2017, the last day of our second fiscal quarter, the value of common equity securities held by non-affiliates exceeded $700 million. As such, we will no longer be an “emerging growth company” on December 31, 2017.</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Commencing December 31, 2017, we can no longer qualify as an emerging growth company and are no longer able to rely on such exemptions.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2016. We do not believe the Company’s exposure to market risk has changed materially since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2017. Based upon that evaluation, our Chief Executive Officer and Chief Financial Officer concluded that, as of the end of the period covered by this report,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5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On August 5, 2017, a lawsuit was filed in the U.S. District Court for the Southern District of Texas against us and two of our officers in </w:t>
      </w:r>
      <w:r>
        <w:rPr>
          <w:rFonts w:ascii="Arial" w:cs="Arial" w:eastAsia="Arial" w:hAnsi="Arial"/>
          <w:sz w:val="18"/>
          <w:szCs w:val="18"/>
          <w:i w:val="1"/>
          <w:iCs w:val="1"/>
          <w:color w:val="auto"/>
        </w:rPr>
        <w:t>Mona Abouzied v. Applied Optoelectronics, Inc., Chih-Hsiang (Thompson) Lin, and Stefan J. Murry,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Case No. 4:17-cv-02399. The complaint in this matter seeks class action status on behalf of our shareholders,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of Sections 10(b) and 20(a) of the Exchange Act against the Company,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The complaint requests unspecified damages and other relief. We dispute the allegations and intend to vigorously contest the matter.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generate much of our revenue from a limited number of customers. In 2016, 2015 and 2014 and the three and nine months ended September 30, 2017, our top ten customers represented 95.5%, 88.7%, 87.2%, 91.6% and 94.8% of our revenue, respectively. In 2016, Amazon represented 54.6% of our revenue and Microsoft represented 18.3%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completed its purchase of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2016, 2015 and 2014, the CATV market represented 16.7%, 28.3% and 36.3%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market, and our business could be harmed if this market does not develop as we expect.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2016 and 2015, respectively, we generated 0.6%, and 1.3%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2,171 of our employees as of December 31, 2016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of certain of our products;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and North America General Manager,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business. Although we carry product liability insurance, this insurance may not adequately cover our costs arising from defects in our products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2016, 2015 and 2014, 15.8%, 19.0% and 29.5%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lending arrangements with several financial institutions, including loan agreements with BB&amp;T Bank in the U.S., and our Taiwan location has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substantially all of our U.S. assets, other than real estate and equipment.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00" w:hanging="6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00" w:hanging="6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00" w:hanging="649"/>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ind w:left="1300" w:hanging="6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00" w:right="340" w:hanging="649"/>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00" w:hanging="6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6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1. Legal Proceedings,” on August 5, 2017, a purported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Such lawsuit and any other such litigation could result in substantial costs and divert our management’s attention from other business concerns, which could seriously harm our business.</w:t>
      </w:r>
    </w:p>
    <w:p>
      <w:pPr>
        <w:spacing w:after="0" w:line="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980" w:right="20" w:hanging="329"/>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right="360" w:hanging="329"/>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substantial expenses such as legal expenses, damages for past infringement or royalties for future use. Any indemnity claim could also adversely affect our relationships with our customers and result in substantial costs to us.</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since we will no longer qualify as an “emerging growth company” under the JOBS Act as of December 31, 2017, we will have to provide an auditor’s attestation report on our internal controls in future annual reports on Form 10-K as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December 31, 2016, we had U.S. accumulated net operating losses, or NOLs, of approximately $37.7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and therefore our annual utilization of our NOLs is limited. In addition, should we experience additional ownership changes, our NOL carry forwards may be further limited.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exposed to risks and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26, 2017.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6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business operations conducted in China are critical to our success. A total of $57.4 million, $20.6 million and $22.0 million or 22.0%, 11.0% and 16.9%, of our revenue in the years ended December 31, 2016, 2015 and 2014 was attributable to our product manufacturing plants in China, respectively. Additionally, a substantial portion of our property, plant and equipment, 23% and 22% as of December 31,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2012 through 2016.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Chinese government in 2014 and received approval as a high-technology enterprise through September 2017. We have applied to extend this preferential tax treatment beyond September 2017, however this application is still under consideration by China’s tax authorities. Based on our prior experience, we believe that this preferential tax rate will be approved, but this is not certain at this time. Any future increase in the enterprise income tax rate applicable to us or the expiration or other limitation of preferential tax rates available to us could increase our tax liabilities and reduce our net income.</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We subsequently learned of potential class action litigation based on volatility in the market price for our stock. See “</w:t>
      </w:r>
      <w:r>
        <w:rPr>
          <w:rFonts w:ascii="Arial" w:cs="Arial" w:eastAsia="Arial" w:hAnsi="Arial"/>
          <w:sz w:val="16"/>
          <w:szCs w:val="16"/>
          <w:i w:val="1"/>
          <w:iCs w:val="1"/>
          <w:color w:val="auto"/>
        </w:rPr>
        <w:t>Item 1. Legal Proceedings.”</w:t>
      </w:r>
      <w:r>
        <w:rPr>
          <w:rFonts w:ascii="Arial" w:cs="Arial" w:eastAsia="Arial" w:hAnsi="Arial"/>
          <w:sz w:val="16"/>
          <w:szCs w:val="16"/>
          <w:color w:val="auto"/>
        </w:rPr>
        <w:t xml:space="preserv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Commencing December 31, 2017, we will be a "large accelerated filer" and, accordingly, will no longer qualify as an emerging growth company and will no longer be able to rely on certain exemptions that were available to us as an emerging growth company. Legal, accounting, administrative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other costs and expenses may increase in the future as we continue to incur both increased external audit fees as well as additional spending to ensure continued regulatory compliance.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300" w:hanging="329"/>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 of control provisions in our stock incentive plans, and the individual stock option agreements, which provide that a change of control may accelerate the vesting of the stock options issued under such plans.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utilize certain modified disclosure requirements, and we cannot be certain if these reduced requirements will make our common stock less attractive to investors.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currently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cease to be an “emerging growth company” on the date that we become a “large accelerated filer” as defined in Rule 12b-2 under the Exchange Act, which will occur on December 31, 2017 because the market value of our common stock that was held by non-affiliates exceeded $700 million as of the last business day of our most recently completed second fiscal quarter.</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140" w:type="dxa"/>
            <w:vAlign w:val="bottom"/>
            <w:gridSpan w:val="23"/>
          </w:tcPr>
          <w:p>
            <w:pPr>
              <w:jc w:val="center"/>
              <w:ind w:right="2940"/>
              <w:spacing w:after="0"/>
              <w:rPr>
                <w:sz w:val="20"/>
                <w:szCs w:val="20"/>
                <w:color w:val="auto"/>
              </w:rPr>
            </w:pPr>
            <w:r>
              <w:rPr>
                <w:rFonts w:ascii="Arial" w:cs="Arial" w:eastAsia="Arial" w:hAnsi="Arial"/>
                <w:sz w:val="18"/>
                <w:szCs w:val="18"/>
                <w:b w:val="1"/>
                <w:bCs w:val="1"/>
                <w:color w:val="auto"/>
              </w:rPr>
              <w:t>EXHIBIT INDEX</w:t>
            </w:r>
          </w:p>
        </w:tc>
      </w:tr>
      <w:tr>
        <w:trPr>
          <w:trHeight w:val="221"/>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7660" w:type="dxa"/>
            <w:vAlign w:val="bottom"/>
            <w:gridSpan w:val="24"/>
          </w:tcPr>
          <w:p>
            <w:pPr>
              <w:spacing w:after="0"/>
              <w:rPr>
                <w:sz w:val="20"/>
                <w:szCs w:val="20"/>
                <w:color w:val="auto"/>
              </w:rPr>
            </w:pPr>
            <w:r>
              <w:rPr>
                <w:rFonts w:ascii="Arial" w:cs="Arial" w:eastAsia="Arial" w:hAnsi="Arial"/>
                <w:sz w:val="18"/>
                <w:szCs w:val="18"/>
                <w:b w:val="1"/>
                <w:bCs w:val="1"/>
                <w:color w:val="auto"/>
              </w:rPr>
              <w:t>Description</w:t>
            </w:r>
          </w:p>
        </w:tc>
      </w:tr>
      <w:tr>
        <w:trPr>
          <w:trHeight w:val="156"/>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3"/>
                <w:szCs w:val="13"/>
                <w:color w:val="auto"/>
              </w:rPr>
            </w:pPr>
          </w:p>
        </w:tc>
        <w:tc>
          <w:tcPr>
            <w:tcW w:w="7600" w:type="dxa"/>
            <w:vAlign w:val="bottom"/>
            <w:tcBorders>
              <w:top w:val="single" w:sz="8" w:color="auto"/>
            </w:tcBorders>
            <w:gridSpan w:val="21"/>
          </w:tcPr>
          <w:p>
            <w:pPr>
              <w:spacing w:after="0" w:line="156"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Amended and Restated Certificate of Incorporation, as currently in effect (filed as Exhibit 3.1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9"/>
          </w:tcPr>
          <w:p>
            <w:pPr>
              <w:spacing w:after="0" w:line="170"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Registrant’s Quarterly Report on Form 10-Q filed with the Securities and Exchange Commission on</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0" w:type="dxa"/>
            <w:vAlign w:val="bottom"/>
            <w:gridSpan w:val="10"/>
          </w:tcPr>
          <w:p>
            <w:pPr>
              <w:spacing w:after="0" w:line="170" w:lineRule="exact"/>
              <w:rPr>
                <w:rFonts w:ascii="Arial" w:cs="Arial" w:eastAsia="Arial" w:hAnsi="Arial"/>
                <w:sz w:val="18"/>
                <w:szCs w:val="18"/>
                <w:color w:val="0000EE"/>
              </w:rPr>
            </w:pPr>
            <w:hyperlink r:id="rId58">
              <w:r>
                <w:rPr>
                  <w:rFonts w:ascii="Arial" w:cs="Arial" w:eastAsia="Arial" w:hAnsi="Arial"/>
                  <w:sz w:val="18"/>
                  <w:szCs w:val="18"/>
                  <w:color w:val="0000EE"/>
                </w:rPr>
                <w:t>November 14,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4"/>
              </w:rPr>
            </w:pPr>
            <w:hyperlink r:id="rId59">
              <w:r>
                <w:rPr>
                  <w:rFonts w:ascii="Arial" w:cs="Arial" w:eastAsia="Arial" w:hAnsi="Arial"/>
                  <w:sz w:val="18"/>
                  <w:szCs w:val="18"/>
                  <w:color w:val="0000EE"/>
                  <w:w w:val="94"/>
                </w:rPr>
                <w:t>Amended and Restated Bylaws, as currently in effect (filed as Exhibit 3.2 to the Registrant’s Quarterly</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4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Report on Form 10-Q filed with the Securities and Exchange Commission on November 14, 2013).</w:t>
              </w:r>
            </w:hyperlink>
          </w:p>
        </w:tc>
        <w:tc>
          <w:tcPr>
            <w:tcW w:w="24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3"/>
              </w:rPr>
            </w:pPr>
            <w:hyperlink r:id="rId60">
              <w:r>
                <w:rPr>
                  <w:rFonts w:ascii="Arial" w:cs="Arial" w:eastAsia="Arial" w:hAnsi="Arial"/>
                  <w:sz w:val="18"/>
                  <w:szCs w:val="18"/>
                  <w:color w:val="0000EE"/>
                  <w:w w:val="93"/>
                </w:rPr>
                <w:t>Common Stock Specimen (filed as Exhibit 4.1 to the Registrant’s Current Report on Form 8-K filed with</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560" w:type="dxa"/>
            <w:vAlign w:val="bottom"/>
            <w:tcBorders>
              <w:top w:val="single" w:sz="8" w:color="0000EE"/>
            </w:tcBorders>
            <w:gridSpan w:val="19"/>
          </w:tcPr>
          <w:p>
            <w:pPr>
              <w:spacing w:after="0" w:line="170" w:lineRule="exact"/>
              <w:rPr>
                <w:rFonts w:ascii="Arial" w:cs="Arial" w:eastAsia="Arial" w:hAnsi="Arial"/>
                <w:sz w:val="18"/>
                <w:szCs w:val="18"/>
                <w:color w:val="0000EE"/>
              </w:rPr>
            </w:pPr>
            <w:hyperlink r:id="rId60">
              <w:r>
                <w:rPr>
                  <w:rFonts w:ascii="Arial" w:cs="Arial" w:eastAsia="Arial" w:hAnsi="Arial"/>
                  <w:sz w:val="18"/>
                  <w:szCs w:val="18"/>
                  <w:color w:val="0000EE"/>
                </w:rPr>
                <w:t>the Securities and Exchange Commission on July 15, 2015).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7580" w:type="dxa"/>
            <w:vAlign w:val="bottom"/>
            <w:tcBorders>
              <w:bottom w:val="single" w:sz="8" w:color="0000EE"/>
            </w:tcBorders>
            <w:gridSpan w:val="20"/>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Promissory Note, dated September 28, 2017, between Applied Optoelectronics, Inc. and Branch Banking</w:t>
              </w:r>
            </w:hyperlink>
          </w:p>
        </w:tc>
        <w:tc>
          <w:tcPr>
            <w:tcW w:w="8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60" w:type="dxa"/>
            <w:vAlign w:val="bottom"/>
            <w:gridSpan w:val="24"/>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and Trust Company (filed as Exhibit 10.2 to the Registrant’s Current Report on Form 8-K filed with the</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Securities and Exchange Commission on October 4, 2017).</w:t>
              </w:r>
            </w:hyperlink>
          </w:p>
        </w:tc>
        <w:tc>
          <w:tcPr>
            <w:tcW w:w="3120" w:type="dxa"/>
            <w:vAlign w:val="bottom"/>
            <w:tcBorders>
              <w:top w:val="single" w:sz="8" w:color="0000EE"/>
            </w:tcBorders>
            <w:gridSpan w:val="13"/>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399"/>
        </w:trPr>
        <w:tc>
          <w:tcPr>
            <w:tcW w:w="98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Addendum to the Promissory Note, dated September 28, 2017, between Applied Optoelectronics, Inc. and</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40" w:type="dxa"/>
            <w:vAlign w:val="bottom"/>
            <w:tcBorders>
              <w:top w:val="single" w:sz="8" w:color="0000EE"/>
            </w:tcBorders>
            <w:gridSpan w:val="23"/>
          </w:tcPr>
          <w:p>
            <w:pPr>
              <w:spacing w:after="0" w:line="170"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Branch Banking and Trust Company. (filed as Exhibit 10.3 to the Registrant’s Current Report on Form 8-</w:t>
              </w:r>
            </w:hyperlink>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K filed with the Securities and Exchange Commission on October 4, 2017).</w:t>
              </w:r>
            </w:hyperlink>
          </w:p>
        </w:tc>
        <w:tc>
          <w:tcPr>
            <w:tcW w:w="214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85"/>
        </w:trPr>
        <w:tc>
          <w:tcPr>
            <w:tcW w:w="98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7"/>
              </w:rPr>
            </w:pPr>
            <w:hyperlink r:id="rId63">
              <w:r>
                <w:rPr>
                  <w:rFonts w:ascii="Arial" w:cs="Arial" w:eastAsia="Arial" w:hAnsi="Arial"/>
                  <w:sz w:val="18"/>
                  <w:szCs w:val="18"/>
                  <w:color w:val="0000EE"/>
                  <w:w w:val="97"/>
                </w:rPr>
                <w:t>BB&amp;T Security Agreement, dated September 28, 2017, between Applied Optoelectronics, Inc. and</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60" w:type="dxa"/>
            <w:vAlign w:val="bottom"/>
            <w:gridSpan w:val="24"/>
          </w:tcPr>
          <w:p>
            <w:pPr>
              <w:spacing w:after="0" w:line="170"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Branch Banking and Trust Company (filed as Exhibit 10.4 to the Registrant’s Current Report on Form 8-</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K filed with the Securities and Exchange Commission on October 4, 2017).</w:t>
              </w:r>
            </w:hyperlink>
          </w:p>
        </w:tc>
        <w:tc>
          <w:tcPr>
            <w:tcW w:w="2100" w:type="dxa"/>
            <w:vAlign w:val="bottom"/>
            <w:tcBorders>
              <w:top w:val="single" w:sz="8" w:color="0000EE"/>
            </w:tcBorders>
            <w:gridSpan w:val="1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Trademark Security Agreement, dated September 28, 2017, between Applied Optoelectronics, Inc. and</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0" w:type="dxa"/>
            <w:vAlign w:val="bottom"/>
            <w:tcBorders>
              <w:top w:val="single" w:sz="8" w:color="0000EE"/>
            </w:tcBorders>
            <w:gridSpan w:val="14"/>
          </w:tcPr>
          <w:p>
            <w:pPr>
              <w:spacing w:after="0" w:line="170"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Branch Banking and Trust Company (filed as Exhibit 10.5 to the Registrant’s Current Report on Form</w:t>
              </w:r>
            </w:hyperlink>
          </w:p>
        </w:tc>
        <w:tc>
          <w:tcPr>
            <w:tcW w:w="220" w:type="dxa"/>
            <w:vAlign w:val="bottom"/>
            <w:gridSpan w:val="8"/>
          </w:tcPr>
          <w:p>
            <w:pPr>
              <w:jc w:val="right"/>
              <w:ind w:right="80"/>
              <w:spacing w:after="0" w:line="170" w:lineRule="exact"/>
              <w:rPr>
                <w:rFonts w:ascii="Arial" w:cs="Arial" w:eastAsia="Arial" w:hAnsi="Arial"/>
                <w:sz w:val="18"/>
                <w:szCs w:val="18"/>
                <w:color w:val="0000EE"/>
                <w:w w:val="74"/>
              </w:rPr>
            </w:pPr>
            <w:hyperlink r:id="rId64">
              <w:r>
                <w:rPr>
                  <w:rFonts w:ascii="Arial" w:cs="Arial" w:eastAsia="Arial" w:hAnsi="Arial"/>
                  <w:sz w:val="18"/>
                  <w:szCs w:val="18"/>
                  <w:color w:val="0000EE"/>
                  <w:w w:val="74"/>
                </w:rPr>
                <w:t>8-</w:t>
              </w:r>
            </w:hyperlink>
          </w:p>
        </w:tc>
        <w:tc>
          <w:tcPr>
            <w:tcW w:w="40" w:type="dxa"/>
            <w:vAlign w:val="bottom"/>
            <w:gridSpan w:val="2"/>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K filed with the Securities and Exchange Commission on October 4, 2017).</w:t>
              </w:r>
            </w:hyperlink>
          </w:p>
        </w:tc>
        <w:tc>
          <w:tcPr>
            <w:tcW w:w="2100" w:type="dxa"/>
            <w:vAlign w:val="bottom"/>
            <w:tcBorders>
              <w:top w:val="single" w:sz="8" w:color="0000EE"/>
            </w:tcBorders>
            <w:gridSpan w:val="1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72"/>
        </w:trPr>
        <w:tc>
          <w:tcPr>
            <w:tcW w:w="980" w:type="dxa"/>
            <w:vAlign w:val="bottom"/>
            <w:gridSpan w:val="2"/>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Patent Security Agreement, dated September 28, 2017, between Applied Optoelectronics, Inc. and Branch</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Banking and Trust Company (filed as Exhibit 10.6 to the Registrant’s Current Report on Form 8-K filed</w:t>
              </w:r>
            </w:hyperlink>
          </w:p>
        </w:tc>
        <w:tc>
          <w:tcPr>
            <w:tcW w:w="120" w:type="dxa"/>
            <w:vAlign w:val="bottom"/>
            <w:tcBorders>
              <w:top w:val="single" w:sz="8" w:color="0000EE"/>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60" w:type="dxa"/>
            <w:vAlign w:val="bottom"/>
            <w:gridSpan w:val="2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with the Securities and Exchange Commission on October 4, 2017).</w:t>
              </w:r>
            </w:hyperlink>
          </w:p>
        </w:tc>
      </w:tr>
      <w:tr>
        <w:trPr>
          <w:trHeight w:val="20"/>
        </w:trPr>
        <w:tc>
          <w:tcPr>
            <w:tcW w:w="98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399"/>
        </w:trPr>
        <w:tc>
          <w:tcPr>
            <w:tcW w:w="980" w:type="dxa"/>
            <w:vAlign w:val="bottom"/>
            <w:gridSpan w:val="2"/>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Chief Executive Officer pursuant to Exchange Act Rule, 13a-14(a) and 15d-14(a), as</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adopted pursuant to Section 302 of the Sarbanes-Oxley Act of 2002.</w:t>
              </w:r>
            </w:hyperlink>
          </w:p>
        </w:tc>
        <w:tc>
          <w:tcPr>
            <w:tcW w:w="2320" w:type="dxa"/>
            <w:vAlign w:val="bottom"/>
            <w:tcBorders>
              <w:top w:val="single" w:sz="8" w:color="0000EE"/>
            </w:tcBorders>
            <w:gridSpan w:val="7"/>
          </w:tcPr>
          <w:p>
            <w:pPr>
              <w:spacing w:after="0"/>
              <w:rPr>
                <w:sz w:val="14"/>
                <w:szCs w:val="14"/>
                <w:color w:val="auto"/>
              </w:rPr>
            </w:pPr>
          </w:p>
        </w:tc>
        <w:tc>
          <w:tcPr>
            <w:tcW w:w="240" w:type="dxa"/>
            <w:vAlign w:val="bottom"/>
            <w:gridSpan w:val="4"/>
          </w:tcPr>
          <w:p>
            <w:pPr>
              <w:spacing w:after="0"/>
              <w:rPr>
                <w:sz w:val="14"/>
                <w:szCs w:val="14"/>
                <w:color w:val="auto"/>
              </w:rPr>
            </w:pPr>
          </w:p>
        </w:tc>
        <w:tc>
          <w:tcPr>
            <w:tcW w:w="180" w:type="dxa"/>
            <w:vAlign w:val="bottom"/>
            <w:gridSpan w:val="8"/>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Certification of Chief Financial Officer pursuant to Exchange Act Rule, 13a-14(a) and 15d-14(a), as</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adopted pursuant to Section 302 of the Sarbanes-Oxley Act of 2002.</w:t>
              </w:r>
            </w:hyperlink>
          </w:p>
        </w:tc>
        <w:tc>
          <w:tcPr>
            <w:tcW w:w="2300" w:type="dxa"/>
            <w:vAlign w:val="bottom"/>
            <w:tcBorders>
              <w:top w:val="single" w:sz="8" w:color="0000EE"/>
            </w:tcBorders>
            <w:gridSpan w:val="6"/>
          </w:tcPr>
          <w:p>
            <w:pPr>
              <w:spacing w:after="0"/>
              <w:rPr>
                <w:sz w:val="14"/>
                <w:szCs w:val="14"/>
                <w:color w:val="auto"/>
              </w:rPr>
            </w:pPr>
          </w:p>
        </w:tc>
        <w:tc>
          <w:tcPr>
            <w:tcW w:w="260" w:type="dxa"/>
            <w:vAlign w:val="bottom"/>
            <w:gridSpan w:val="5"/>
          </w:tcPr>
          <w:p>
            <w:pPr>
              <w:spacing w:after="0"/>
              <w:rPr>
                <w:sz w:val="14"/>
                <w:szCs w:val="14"/>
                <w:color w:val="auto"/>
              </w:rPr>
            </w:pPr>
          </w:p>
        </w:tc>
        <w:tc>
          <w:tcPr>
            <w:tcW w:w="180" w:type="dxa"/>
            <w:vAlign w:val="bottom"/>
            <w:gridSpan w:val="8"/>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7660" w:type="dxa"/>
            <w:vAlign w:val="bottom"/>
            <w:gridSpan w:val="24"/>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pursuant to 18 U.S.C. 1350, adopted pursuant to Section 906 of the Sarbanes-Oxley Act of</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80" w:type="dxa"/>
            <w:vAlign w:val="bottom"/>
            <w:tcBorders>
              <w:top w:val="single" w:sz="8" w:color="0000EE"/>
            </w:tcBorders>
            <w:gridSpan w:val="16"/>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2002, by Chief Executive Officer and Chief Financial Officer.</w:t>
              </w:r>
            </w:hyperlink>
          </w:p>
        </w:tc>
        <w:tc>
          <w:tcPr>
            <w:tcW w:w="180" w:type="dxa"/>
            <w:vAlign w:val="bottom"/>
            <w:gridSpan w:val="8"/>
          </w:tcPr>
          <w:p>
            <w:pPr>
              <w:spacing w:after="0"/>
              <w:rPr>
                <w:sz w:val="14"/>
                <w:szCs w:val="14"/>
                <w:color w:val="auto"/>
              </w:rPr>
            </w:pPr>
          </w:p>
        </w:tc>
      </w:tr>
      <w:tr>
        <w:trPr>
          <w:trHeight w:val="399"/>
        </w:trPr>
        <w:tc>
          <w:tcPr>
            <w:tcW w:w="14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220" w:type="dxa"/>
            <w:vAlign w:val="bottom"/>
            <w:gridSpan w:val="21"/>
          </w:tcPr>
          <w:p>
            <w:pPr>
              <w:spacing w:after="0"/>
              <w:rPr>
                <w:sz w:val="24"/>
                <w:szCs w:val="24"/>
                <w:color w:val="auto"/>
              </w:rPr>
            </w:pPr>
          </w:p>
        </w:tc>
      </w:tr>
      <w:tr>
        <w:trPr>
          <w:trHeight w:val="378"/>
        </w:trPr>
        <w:tc>
          <w:tcPr>
            <w:tcW w:w="14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6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4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4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14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6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14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6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gridSpan w:val="2"/>
          </w:tcPr>
          <w:p>
            <w:pPr>
              <w:jc w:val="right"/>
              <w:ind w:right="10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-513715</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0" w:hanging="53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herein by reference to the indicated filing.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APPLIED OPTOELECTRONICS, INC.</w:t>
      </w:r>
    </w:p>
    <w:p>
      <w:pPr>
        <w:spacing w:after="0" w:line="17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7"/>
          <w:szCs w:val="17"/>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6350</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Stefan J. Murry</w:t>
      </w:r>
    </w:p>
    <w:p>
      <w:pPr>
        <w:ind w:left="4880"/>
        <w:spacing w:after="0" w:line="219" w:lineRule="auto"/>
        <w:rPr>
          <w:sz w:val="20"/>
          <w:szCs w:val="20"/>
          <w:color w:val="auto"/>
        </w:rPr>
      </w:pPr>
      <w:r>
        <w:rPr>
          <w:rFonts w:ascii="Arial" w:cs="Arial" w:eastAsia="Arial" w:hAnsi="Arial"/>
          <w:sz w:val="18"/>
          <w:szCs w:val="18"/>
          <w:color w:val="auto"/>
        </w:rPr>
        <w:t>Chief Financial Officer</w:t>
      </w:r>
    </w:p>
    <w:p>
      <w:pPr>
        <w:ind w:left="4880"/>
        <w:spacing w:after="0" w:line="220" w:lineRule="auto"/>
        <w:rPr>
          <w:sz w:val="20"/>
          <w:szCs w:val="20"/>
          <w:color w:val="auto"/>
        </w:rPr>
      </w:pPr>
      <w:r>
        <w:rPr>
          <w:rFonts w:ascii="Arial" w:cs="Arial" w:eastAsia="Arial" w:hAnsi="Arial"/>
          <w:sz w:val="18"/>
          <w:szCs w:val="18"/>
          <w:i w:val="1"/>
          <w:iCs w:val="1"/>
          <w:color w:val="auto"/>
        </w:rPr>
        <w:t>(principal financial officer and principal accounting</w:t>
      </w:r>
    </w:p>
    <w:p>
      <w:pPr>
        <w:ind w:left="48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54" w:lineRule="exact"/>
        <w:rPr>
          <w:sz w:val="20"/>
          <w:szCs w:val="20"/>
          <w:color w:val="auto"/>
        </w:rPr>
      </w:pPr>
    </w:p>
    <w:p>
      <w:pPr>
        <w:jc w:val="both"/>
        <w:ind w:left="780" w:hanging="453"/>
        <w:spacing w:after="0" w:line="26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2017, to which this Certification is attached as Exhibit 32.1 (the “Quarterly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780" w:hanging="453"/>
        <w:spacing w:after="0" w:line="27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8</w:t>
      </w:r>
      <w:r>
        <w:rPr>
          <w:rFonts w:ascii="Arial" w:cs="Arial" w:eastAsia="Arial" w:hAnsi="Arial"/>
          <w:sz w:val="8"/>
          <w:szCs w:val="8"/>
          <w:color w:val="auto"/>
        </w:rPr>
        <w:t>th</w:t>
      </w:r>
      <w:r>
        <w:rPr>
          <w:rFonts w:ascii="Arial" w:cs="Arial" w:eastAsia="Arial" w:hAnsi="Arial"/>
          <w:sz w:val="18"/>
          <w:szCs w:val="18"/>
          <w:color w:val="auto"/>
        </w:rPr>
        <w:t xml:space="preserve"> day of November, 2017.</w:t>
      </w:r>
    </w:p>
    <w:p>
      <w:pPr>
        <w:sectPr>
          <w:pgSz w:w="11900" w:h="16838" w:orient="portrait"/>
          <w:cols w:equalWidth="0" w:num="1">
            <w:col w:w="9060"/>
          </w:cols>
          <w:pgMar w:left="1420" w:top="121" w:right="1419" w:bottom="1440" w:gutter="0" w:footer="0" w:header="0"/>
        </w:sectPr>
      </w:pPr>
    </w:p>
    <w:p>
      <w:pPr>
        <w:spacing w:after="0" w:line="225" w:lineRule="exact"/>
        <w:rPr>
          <w:sz w:val="20"/>
          <w:szCs w:val="20"/>
          <w:color w:val="auto"/>
        </w:rPr>
      </w:pPr>
    </w:p>
    <w:p>
      <w:pPr>
        <w:ind w:right="1060"/>
        <w:spacing w:after="0" w:line="295" w:lineRule="auto"/>
        <w:rPr>
          <w:sz w:val="20"/>
          <w:szCs w:val="20"/>
          <w:color w:val="auto"/>
        </w:rPr>
      </w:pPr>
      <w:r>
        <w:rPr>
          <w:rFonts w:ascii="Arial" w:cs="Arial" w:eastAsia="Arial" w:hAnsi="Arial"/>
          <w:sz w:val="17"/>
          <w:szCs w:val="17"/>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2795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65"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81"/>
    </w:lvl>
  </w:abstractNum>
  <w:abstractNum w:abstractNumId="3">
    <w:nsid w:val="1190CDE7"/>
    <w:multiLevelType w:val="hybridMultilevel"/>
    <w:lvl w:ilvl="0">
      <w:lvlJc w:val="left"/>
      <w:lvlText w:val="(%1)"/>
      <w:numFmt w:val="decimal"/>
      <w:start w:val="66"/>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58" Type="http://schemas.openxmlformats.org/officeDocument/2006/relationships/hyperlink" Target="http://www.sec.gov/Archives/edgar/data/1158114/000101968713004306/aaoi_10q-ex0301.htm" TargetMode="External"/><Relationship Id="rId59" Type="http://schemas.openxmlformats.org/officeDocument/2006/relationships/hyperlink" Target="http://www.sec.gov/Archives/edgar/data/1158114/000101968713004306/aaoi_10q-ex0302.htm" TargetMode="External"/><Relationship Id="rId60" Type="http://schemas.openxmlformats.org/officeDocument/2006/relationships/hyperlink" Target="http://www.sec.gov/Archives/edgar/data/1158114/000110465915051289/a15-15715_1ex4d1.htm" TargetMode="External"/><Relationship Id="rId61" Type="http://schemas.openxmlformats.org/officeDocument/2006/relationships/hyperlink" Target="http://www.sec.gov/Archives/edgar/data/1158114/000168316817002573/ao_ex1002.htm" TargetMode="External"/><Relationship Id="rId62" Type="http://schemas.openxmlformats.org/officeDocument/2006/relationships/hyperlink" Target="http://www.sec.gov/Archives/edgar/data/1158114/000168316817002573/ao_ex1003.htm" TargetMode="External"/><Relationship Id="rId63" Type="http://schemas.openxmlformats.org/officeDocument/2006/relationships/hyperlink" Target="http://www.sec.gov/Archives/edgar/data/1158114/000168316817002573/ao_ex1004.htm" TargetMode="External"/><Relationship Id="rId64" Type="http://schemas.openxmlformats.org/officeDocument/2006/relationships/hyperlink" Target="http://www.sec.gov/Archives/edgar/data/1158114/000168316817002573/ao_ex1005.htm" TargetMode="External"/><Relationship Id="rId65" Type="http://schemas.openxmlformats.org/officeDocument/2006/relationships/hyperlink" Target="http://www.sec.gov/Archives/edgar/data/1158114/000168316817002573/ao_ex10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2019-12-29T03:08:29Z</dcterms:created>
  <dcterms:modified xsi:type="dcterms:W3CDTF">2019-12-29T03:08:29Z</dcterms:modified>
</cp:coreProperties>
</file>