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020" w:right="2260" w:hanging="4012"/>
        <w:spacing w:after="0" w:line="490" w:lineRule="auto"/>
        <w:tabs>
          <w:tab w:leader="none" w:pos="36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2015</w:t>
      </w: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60" w:hanging="352"/>
        <w:spacing w:after="0"/>
        <w:tabs>
          <w:tab w:leader="none" w:pos="3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001-36083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342" w:right="239" w:bottom="943" w:gutter="0" w:footer="0" w:header="0"/>
        </w:sectPr>
      </w:pPr>
    </w:p>
    <w:p>
      <w:pPr>
        <w:spacing w:after="0" w:line="20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4220"/>
          </w:cols>
          <w:pgMar w:left="240" w:top="342" w:right="239" w:bottom="943"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13115 Jess Pirtle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ind w:left="5580" w:hanging="428"/>
        <w:spacing w:after="0"/>
        <w:tabs>
          <w:tab w:leader="none" w:pos="5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7" w:lineRule="exact"/>
        <w:rPr>
          <w:rFonts w:ascii="Arial" w:cs="Arial" w:eastAsia="Arial" w:hAnsi="Arial"/>
          <w:sz w:val="18"/>
          <w:szCs w:val="18"/>
          <w:b w:val="1"/>
          <w:bCs w:val="1"/>
          <w:color w:val="auto"/>
        </w:rPr>
      </w:pPr>
    </w:p>
    <w:p>
      <w:pPr>
        <w:ind w:left="4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820" w:type="dxa"/>
            <w:vAlign w:val="bottom"/>
            <w:gridSpan w:val="2"/>
          </w:tcPr>
          <w:p>
            <w:pPr>
              <w:ind w:left="400"/>
              <w:spacing w:after="0"/>
              <w:rPr>
                <w:sz w:val="20"/>
                <w:szCs w:val="20"/>
                <w:color w:val="auto"/>
              </w:rPr>
            </w:pPr>
            <w:r>
              <w:rPr>
                <w:rFonts w:ascii="Arial" w:cs="Arial" w:eastAsia="Arial" w:hAnsi="Arial"/>
                <w:sz w:val="18"/>
                <w:szCs w:val="18"/>
                <w:color w:val="auto"/>
              </w:rPr>
              <w:t>Securities registered pursuant to Section 12(b) of the Act:</w:t>
            </w:r>
          </w:p>
        </w:tc>
        <w:tc>
          <w:tcPr>
            <w:tcW w:w="5600" w:type="dxa"/>
            <w:vAlign w:val="bottom"/>
          </w:tcPr>
          <w:p>
            <w:pPr>
              <w:spacing w:after="0"/>
              <w:rPr>
                <w:sz w:val="20"/>
                <w:szCs w:val="20"/>
                <w:color w:val="auto"/>
              </w:rPr>
            </w:pPr>
          </w:p>
        </w:tc>
      </w:tr>
      <w:tr>
        <w:trPr>
          <w:trHeight w:val="432"/>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(Title of each class)</w:t>
            </w: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Global Market</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8" w:lineRule="exact"/>
        <w:rPr>
          <w:sz w:val="24"/>
          <w:szCs w:val="24"/>
          <w:color w:val="auto"/>
        </w:rPr>
      </w:pPr>
    </w:p>
    <w:p>
      <w:pPr>
        <w:ind w:left="400" w:right="940"/>
        <w:spacing w:after="0" w:line="22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of 1933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ind w:right="120" w:firstLine="396"/>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 w:lineRule="exact"/>
        <w:rPr>
          <w:sz w:val="24"/>
          <w:szCs w:val="24"/>
          <w:color w:val="auto"/>
        </w:rPr>
      </w:pPr>
    </w:p>
    <w:p>
      <w:pPr>
        <w:ind w:right="220" w:firstLine="396"/>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 w:lineRule="exact"/>
        <w:rPr>
          <w:sz w:val="24"/>
          <w:szCs w:val="24"/>
          <w:color w:val="auto"/>
        </w:rPr>
      </w:pPr>
    </w:p>
    <w:p>
      <w:pPr>
        <w:ind w:right="40" w:firstLine="396"/>
        <w:spacing w:after="0" w:line="21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ind w:left="4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one):</w:t>
      </w:r>
    </w:p>
    <w:p>
      <w:pPr>
        <w:sectPr>
          <w:pgSz w:w="11900" w:h="16838" w:orient="portrait"/>
          <w:cols w:equalWidth="0" w:num="1">
            <w:col w:w="11420"/>
          </w:cols>
          <w:pgMar w:left="240" w:top="342" w:right="239" w:bottom="943" w:gutter="0" w:footer="0" w:header="0"/>
          <w:type w:val="continuous"/>
        </w:sectPr>
      </w:pPr>
    </w:p>
    <w:p>
      <w:pPr>
        <w:spacing w:after="0" w:line="23" w:lineRule="exact"/>
        <w:rPr>
          <w:sz w:val="24"/>
          <w:szCs w:val="24"/>
          <w:color w:val="auto"/>
        </w:rPr>
      </w:pPr>
    </w:p>
    <w:p>
      <w:pPr>
        <w:ind w:right="660"/>
        <w:spacing w:after="0" w:line="323"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4" w:lineRule="exact"/>
        <w:rPr>
          <w:sz w:val="24"/>
          <w:szCs w:val="24"/>
          <w:color w:val="auto"/>
        </w:rPr>
      </w:pPr>
    </w:p>
    <w:p>
      <w:pPr>
        <w:sectPr>
          <w:pgSz w:w="11900" w:h="16838" w:orient="portrait"/>
          <w:cols w:equalWidth="0" w:num="4">
            <w:col w:w="2280" w:space="720"/>
            <w:col w:w="4180" w:space="720"/>
            <w:col w:w="2240" w:space="720"/>
            <w:col w:w="560"/>
          </w:cols>
          <w:pgMar w:left="240" w:top="342" w:right="239" w:bottom="943" w:gutter="0" w:footer="0" w:header="0"/>
          <w:type w:val="continuous"/>
        </w:sectPr>
      </w:pPr>
    </w:p>
    <w:p>
      <w:pPr>
        <w:ind w:left="4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right="140" w:firstLine="396"/>
        <w:spacing w:after="0" w:line="253" w:lineRule="auto"/>
        <w:rPr>
          <w:sz w:val="20"/>
          <w:szCs w:val="20"/>
          <w:color w:val="auto"/>
        </w:rPr>
      </w:pPr>
      <w:r>
        <w:rPr>
          <w:rFonts w:ascii="Arial" w:cs="Arial" w:eastAsia="Arial" w:hAnsi="Arial"/>
          <w:sz w:val="18"/>
          <w:szCs w:val="18"/>
          <w:color w:val="auto"/>
        </w:rPr>
        <w:t>As of June 30, 2015, the aggregate market value of the voting common stock held by non-affiliates of the Registrant was approximately $250.6 million based upon the closing sales price of the Registrant’s common stock as reported on the NASDAQ Global Markets on June 30, 2015 of $17.36 per share. Shares of common stock held by officers, directors and holders of more than ten percent of the outstanding common stock have been excluded from this calculation because such persons may be deemed to be affiliates. This determination of affiliate status is not necessarily a conclusive determination for other purposes.</w:t>
      </w:r>
    </w:p>
    <w:p>
      <w:pPr>
        <w:spacing w:after="0" w:line="4" w:lineRule="exact"/>
        <w:rPr>
          <w:sz w:val="24"/>
          <w:szCs w:val="24"/>
          <w:color w:val="auto"/>
        </w:rPr>
      </w:pPr>
    </w:p>
    <w:p>
      <w:pPr>
        <w:ind w:left="400"/>
        <w:spacing w:after="0"/>
        <w:rPr>
          <w:sz w:val="20"/>
          <w:szCs w:val="20"/>
          <w:color w:val="auto"/>
        </w:rPr>
      </w:pPr>
      <w:r>
        <w:rPr>
          <w:rFonts w:ascii="Arial" w:cs="Arial" w:eastAsia="Arial" w:hAnsi="Arial"/>
          <w:sz w:val="18"/>
          <w:szCs w:val="18"/>
          <w:color w:val="auto"/>
        </w:rPr>
        <w:t>As of March 7, 2016, the Registrant had 17,055,597 outstanding shares of Common Stock.</w:t>
      </w:r>
    </w:p>
    <w:p>
      <w:pPr>
        <w:spacing w:after="0" w:line="211"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DOCUMENTS INCORPORATED BY REFERENCE</w:t>
      </w:r>
    </w:p>
    <w:p>
      <w:pPr>
        <w:spacing w:after="0" w:line="23" w:lineRule="exact"/>
        <w:rPr>
          <w:sz w:val="24"/>
          <w:szCs w:val="24"/>
          <w:color w:val="auto"/>
        </w:rPr>
      </w:pPr>
    </w:p>
    <w:p>
      <w:pPr>
        <w:jc w:val="both"/>
        <w:ind w:right="120" w:firstLine="162"/>
        <w:spacing w:after="0" w:line="255" w:lineRule="auto"/>
        <w:rPr>
          <w:sz w:val="20"/>
          <w:szCs w:val="20"/>
          <w:color w:val="auto"/>
        </w:rPr>
      </w:pPr>
      <w:r>
        <w:rPr>
          <w:rFonts w:ascii="Arial" w:cs="Arial" w:eastAsia="Arial" w:hAnsi="Arial"/>
          <w:sz w:val="18"/>
          <w:szCs w:val="18"/>
          <w:color w:val="auto"/>
        </w:rPr>
        <w:t>Portions of the Registrant’s definitive Proxy Statement for the Registrant’s 2016 Annual Meeting of Stockholders are incorporated by reference in Part III of this Annual Report on Form 10-K to the extent stated herein. The Proxy Statement will be filed with the Securities and Exchange Commission pursuant to Regulation 14A not later than 120 days of the Registrant’s fiscal year ended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2" w:right="239" w:bottom="94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Applied Optoelectronics, Inc.</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12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Table of Contents</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1340" w:type="dxa"/>
            <w:vAlign w:val="bottom"/>
          </w:tcPr>
          <w:p>
            <w:pPr>
              <w:ind w:left="8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Part I</w:t>
            </w:r>
          </w:p>
        </w:tc>
        <w:tc>
          <w:tcPr>
            <w:tcW w:w="9120" w:type="dxa"/>
            <w:vAlign w:val="bottom"/>
            <w:shd w:val="clear" w:color="auto" w:fill="EEEEEE"/>
          </w:tcPr>
          <w:p>
            <w:pPr>
              <w:spacing w:after="0"/>
              <w:rPr>
                <w:sz w:val="18"/>
                <w:szCs w:val="18"/>
                <w:color w:val="auto"/>
              </w:rPr>
            </w:pPr>
          </w:p>
        </w:tc>
        <w:tc>
          <w:tcPr>
            <w:tcW w:w="1340" w:type="dxa"/>
            <w:vAlign w:val="bottom"/>
            <w:shd w:val="clear" w:color="auto" w:fill="EEEEEE"/>
          </w:tcPr>
          <w:p>
            <w:pPr>
              <w:jc w:val="center"/>
              <w:ind w:left="57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Business</w:t>
            </w:r>
          </w:p>
        </w:tc>
        <w:tc>
          <w:tcPr>
            <w:tcW w:w="1340" w:type="dxa"/>
            <w:vAlign w:val="bottom"/>
            <w:shd w:val="clear" w:color="auto" w:fill="EEEEEE"/>
          </w:tcPr>
          <w:p>
            <w:pPr>
              <w:jc w:val="center"/>
              <w:ind w:left="57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1A.</w:t>
            </w:r>
          </w:p>
        </w:tc>
        <w:tc>
          <w:tcPr>
            <w:tcW w:w="9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Risk Factors</w:t>
            </w: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1B.</w:t>
            </w:r>
          </w:p>
        </w:tc>
        <w:tc>
          <w:tcPr>
            <w:tcW w:w="9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Unresolved Staff Comments</w:t>
            </w: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Properties</w:t>
            </w: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3.</w:t>
            </w:r>
          </w:p>
        </w:tc>
        <w:tc>
          <w:tcPr>
            <w:tcW w:w="9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Legal Proceedings</w:t>
            </w: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9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Mine Safety Disclosure</w:t>
            </w: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Part II</w:t>
            </w:r>
          </w:p>
        </w:tc>
        <w:tc>
          <w:tcPr>
            <w:tcW w:w="9120" w:type="dxa"/>
            <w:vAlign w:val="bottom"/>
            <w:shd w:val="clear" w:color="auto" w:fill="EEEEEE"/>
          </w:tcPr>
          <w:p>
            <w:pPr>
              <w:spacing w:after="0"/>
              <w:rPr>
                <w:sz w:val="18"/>
                <w:szCs w:val="18"/>
                <w:color w:val="auto"/>
              </w:rPr>
            </w:pP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5.</w:t>
            </w:r>
          </w:p>
        </w:tc>
        <w:tc>
          <w:tcPr>
            <w:tcW w:w="9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6.</w:t>
            </w:r>
          </w:p>
        </w:tc>
        <w:tc>
          <w:tcPr>
            <w:tcW w:w="9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Selected Financial Data</w:t>
            </w: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7.</w:t>
            </w:r>
          </w:p>
        </w:tc>
        <w:tc>
          <w:tcPr>
            <w:tcW w:w="9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7A.</w:t>
            </w:r>
          </w:p>
        </w:tc>
        <w:tc>
          <w:tcPr>
            <w:tcW w:w="9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8.</w:t>
            </w:r>
          </w:p>
        </w:tc>
        <w:tc>
          <w:tcPr>
            <w:tcW w:w="9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Financial Statements and Supplementary Data</w:t>
            </w: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9.</w:t>
            </w:r>
          </w:p>
        </w:tc>
        <w:tc>
          <w:tcPr>
            <w:tcW w:w="9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9A.</w:t>
            </w:r>
          </w:p>
        </w:tc>
        <w:tc>
          <w:tcPr>
            <w:tcW w:w="9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Controls and Procedures</w:t>
            </w: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9B.</w:t>
            </w:r>
          </w:p>
        </w:tc>
        <w:tc>
          <w:tcPr>
            <w:tcW w:w="9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Other Information</w:t>
            </w: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Part III</w:t>
            </w:r>
          </w:p>
        </w:tc>
        <w:tc>
          <w:tcPr>
            <w:tcW w:w="9120" w:type="dxa"/>
            <w:vAlign w:val="bottom"/>
            <w:shd w:val="clear" w:color="auto" w:fill="EEEEEE"/>
          </w:tcPr>
          <w:p>
            <w:pPr>
              <w:spacing w:after="0"/>
              <w:rPr>
                <w:sz w:val="18"/>
                <w:szCs w:val="18"/>
                <w:color w:val="auto"/>
              </w:rPr>
            </w:pP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10.</w:t>
            </w:r>
          </w:p>
        </w:tc>
        <w:tc>
          <w:tcPr>
            <w:tcW w:w="9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Directors, Executive Officers and Corporate Governance</w:t>
            </w: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11.</w:t>
            </w:r>
          </w:p>
        </w:tc>
        <w:tc>
          <w:tcPr>
            <w:tcW w:w="9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Executive Compensation</w:t>
            </w: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12.</w:t>
            </w:r>
          </w:p>
        </w:tc>
        <w:tc>
          <w:tcPr>
            <w:tcW w:w="9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13.</w:t>
            </w:r>
          </w:p>
        </w:tc>
        <w:tc>
          <w:tcPr>
            <w:tcW w:w="9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14.</w:t>
            </w:r>
          </w:p>
        </w:tc>
        <w:tc>
          <w:tcPr>
            <w:tcW w:w="9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Principal Accounting Fees and Services</w:t>
            </w: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Part IV</w:t>
            </w:r>
          </w:p>
        </w:tc>
        <w:tc>
          <w:tcPr>
            <w:tcW w:w="9120" w:type="dxa"/>
            <w:vAlign w:val="bottom"/>
            <w:shd w:val="clear" w:color="auto" w:fill="EEEEEE"/>
          </w:tcPr>
          <w:p>
            <w:pPr>
              <w:spacing w:after="0"/>
              <w:rPr>
                <w:sz w:val="18"/>
                <w:szCs w:val="18"/>
                <w:color w:val="auto"/>
              </w:rPr>
            </w:pP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Item 15.</w:t>
            </w:r>
          </w:p>
        </w:tc>
        <w:tc>
          <w:tcPr>
            <w:tcW w:w="91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Exhibits, Financial Statements Schedules</w:t>
            </w: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EEEEEE"/>
          </w:tcPr>
          <w:p>
            <w:pPr>
              <w:spacing w:after="0"/>
              <w:rPr>
                <w:sz w:val="20"/>
                <w:szCs w:val="20"/>
                <w:color w:val="auto"/>
              </w:rPr>
            </w:pPr>
            <w:r>
              <w:rPr>
                <w:rFonts w:ascii="Arial" w:cs="Arial" w:eastAsia="Arial" w:hAnsi="Arial"/>
                <w:sz w:val="18"/>
                <w:szCs w:val="18"/>
                <w:color w:val="auto"/>
              </w:rPr>
              <w:t>Signatures</w:t>
            </w:r>
          </w:p>
        </w:tc>
        <w:tc>
          <w:tcPr>
            <w:tcW w:w="9120" w:type="dxa"/>
            <w:vAlign w:val="bottom"/>
            <w:shd w:val="clear" w:color="auto" w:fill="EEEEEE"/>
          </w:tcPr>
          <w:p>
            <w:pPr>
              <w:spacing w:after="0"/>
              <w:rPr>
                <w:sz w:val="18"/>
                <w:szCs w:val="18"/>
                <w:color w:val="auto"/>
              </w:rPr>
            </w:pPr>
          </w:p>
        </w:tc>
        <w:tc>
          <w:tcPr>
            <w:tcW w:w="1340" w:type="dxa"/>
            <w:vAlign w:val="bottom"/>
            <w:shd w:val="clear" w:color="auto" w:fill="EEEEEE"/>
          </w:tcPr>
          <w:p>
            <w:pPr>
              <w:jc w:val="center"/>
              <w:ind w:left="590"/>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756"/>
        </w:trPr>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79"/>
              </w:rPr>
              <w:t>2</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This report contains forward-looking statements. These forward-looking statements involve risks and uncertainties, as well as assumptions and current expectations, which could cause the company’s actual results to differ materially from those anticipated in such forward-looking statements. These risks and uncertainties include but are not limited to: reduction in the size or quantity of customer orders; change in demand for the company’s products due to industry conditions; changes in manufacturing operations; volatility in manufacturing costs; delays in shipments of products; disruptions in the supply chain; change in the rate of design wins or the rate of customer acceptance of new products; the company’s reliance on a small number of customers for a substantial portion of its revenues; potential pricing pressure; a decline in demand for our customers products or their rate of deployment of their products; general conditions in the CATV, internet data center or FTTH markets; changes in the world economy (particularly in the United States and China); the negative effects of seasonality; and other risks and uncertainties described more fully in the company’s documents filed with or furnished to the Securities and Exchange Commission. More information about these and other risks that may impact the company’s business are set forth in the Section titled “Risk Factors”. In some cases, you can identify forward-looking statements by terminology such as ‘‘may,’’ ‘‘will,’’ ‘‘should,’’ ‘‘expects,’’ ‘‘plans,’’ ‘‘anticipates,’’ ‘‘believes,’’ or ‘‘estimates” or by other similar expressions that convey uncertainty of future events or outcomes. You should not rely on forward-looking statements as predictions of future events. All forward-looking statements in this press release are based upon information available to us as of the date hereof, and qualified in their entirety by this cautionary statement. Except as required by law, we assume no obligation to update forward-looking statements for any reason after the date of this report to conform these statements to actual results or to changes in the company’s expectations.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are a leading, vertically integrated provider of fiber-optic networking products, primarily for three networking end-markets: internet data center, cable television, or CATV, and fiber-to-the-home, or FTTH. We design and manufacture a range of optical communications products at varying levels of integration, from components, subassemblies and modules to complete turn-key equipment.</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three of our target markets, which increasingly demand faster connectivity and innovation.</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three end markets we target are all driven by significant bandwidth demand fueled by the growth of network-connected devices, video traffic, cloud computing and online social networking. To address this increased bandwidth demand, CATV and telecommunications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three of our target markets, as it is often the only economic way to deliver the desired bandwidth.</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internet data center market is our largest and fastest growing market. Our customers in this market are generally large internet-based (“Web</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 data center operators, to whom we supply optical transceivers that plug into switches and servers within the data center and allow these network devices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send and receive data over fiber optic cables. The majority of the data center optical transceivers that we sell utilize our own lasers and subassemblies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 to the transceivers subassemblies as “light engines”), and we believe that our in-house technology and manufacturing capability for these lasers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subassemblies gives us an advantage over many of our competitors who often lack either development or manufacturing capabilities for these advanced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optical modules.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CATV market is our most established market, for which we supply a broad array of products including lasers, transmitters and turn-key equipment. Sales of headend, node and distribution equipment have contributed significantly to our revenue in recent years as a result of our ability to meet the needs of CATV equipment vendors who have continued to outsource both the design and manufacturing of this equipment. While equipment vendors have relied upon third parties to assemble portions of their products, within the past six years certain of our customers have accelerated the outsourcing of the design and manufacturing of both headend equipment and node equipment to third parties. The shift is due in part to the sophisticated engineering expertise needed to perform this work. We believe that our extensive high-speed optical, mixed-signal semiconductor and mechanical engineering capabilities position us well to benefit from these industry dynamics.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ind w:right="40" w:firstLine="648"/>
        <w:spacing w:after="0" w:line="255" w:lineRule="auto"/>
        <w:rPr>
          <w:sz w:val="20"/>
          <w:szCs w:val="20"/>
          <w:color w:val="auto"/>
        </w:rPr>
      </w:pPr>
      <w:r>
        <w:rPr>
          <w:rFonts w:ascii="Arial" w:cs="Arial" w:eastAsia="Arial" w:hAnsi="Arial"/>
          <w:sz w:val="18"/>
          <w:szCs w:val="18"/>
          <w:color w:val="auto"/>
        </w:rPr>
        <w:t>Our vertically integrated manufacturing model provides us several advantages, including rapid product development, fast response times to customer requests and control over product quality and manufacturing costs. We design, manufacture and integrate our own analog and digital lasers using a combination of Metal Organic Chemical Vapor Deposition, or MOCVD, and our proprietary Molecular Beam Epitaxy, or MBE, fabrication process, which we believe is unique in our industry. We manufacture the majority of the laser chips and optical components that are used in our products. The lasers we manufacture are proven to be reliable over time and highly tolerant of changes in temperature and humidity, making them well-suited to the CATV and FTTH markets where networking equipment is often installed outdoors.</w:t>
      </w:r>
    </w:p>
    <w:p>
      <w:pPr>
        <w:spacing w:after="0" w:line="193"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In 2015, our revenue was $189.9 million and our gross margin was 31.8%. We have grown our annual revenue at a compound annual growth rate, or CAGR, of 33.6% between 2009 and 2015. In the year ended December 31, 2013, we incurred losses of $1.4 million. In the years ended December 31, 2015 and 2014, we had a net income of $ 10.8 million and $4.3 million, respectively, and our accumulated deficit at December 31, 2014 and December 31, 2015 was $79.0 million and $68.2 million, respectively. In 2015, we earned 64.9% of our total revenue from the internet data center market, and 28.3% of our total revenue from the CATV market. In 2015, our key customers in the CATV market included Cisco Systems and Biogenomics Corp., a distributor. In 2015, 2014 and 2013, Cisco Systems accounted for 10.4%, 8.9%, and 21.8%, respectively, of our revenue and Biogenomics Corp. accounted for 2.9%, 6.2% and</w:t>
      </w:r>
    </w:p>
    <w:p>
      <w:pPr>
        <w:spacing w:after="0" w:line="5"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8.7%, respectively, of our revenue. In 2015, our key customers in the data center market included Amazon and Microsoft. In 2015, 2014, and 2013, Amazon accounted for 52.5%, 45.8%, and 18.2% of our revenue, respectively, and Microsoft accounted for 11.6%, 3.6%, and 6.1% of our revenue,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2015, our three target markets, internet data centers, CATV and FTTH, experienced a significant growth in bandwidth consumption and the corresponding need for network infrastructure improvement to support this growth.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prevailing trends in our target markets include:</w:t>
      </w:r>
    </w:p>
    <w:p>
      <w:pPr>
        <w:spacing w:after="0" w:line="225" w:lineRule="exact"/>
        <w:rPr>
          <w:sz w:val="20"/>
          <w:szCs w:val="20"/>
          <w:color w:val="auto"/>
        </w:rPr>
      </w:pPr>
    </w:p>
    <w:p>
      <w:pPr>
        <w:ind w:left="980" w:right="40" w:hanging="324"/>
        <w:spacing w:after="0" w:line="270"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Trends in the Internet Data Center Market. </w:t>
      </w:r>
      <w:r>
        <w:rPr>
          <w:rFonts w:ascii="Arial" w:cs="Arial" w:eastAsia="Arial" w:hAnsi="Arial"/>
          <w:sz w:val="17"/>
          <w:szCs w:val="17"/>
          <w:color w:val="auto"/>
        </w:rPr>
        <w:t>To support the substantial increase in bandwidth consumption, internet data center operators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 the scale of their internet data centers and accelerating data transmission rates. As a result, there is an ongoing transition from the use of copper cable, typically at speeds up to 1 gigabit per second, to optical fiber as a transport medium, typically providing speeds from 10 gigabits per second to 100 gigabits per second. In recent years, a number of leading internet companies have adopted more open internet data center architectures, using a mix of systems and components from a variety of vendors, and in some cases designing their own equipment. For these companies, compatibility of new networking equipment with legacy infrastructure is not as important, and as a consequence, these companies are more willing to work with non-traditional equipment vendors, which we believe creates an open and growing opportunity for optical device vendors. Moreover, transmission speeds have continued to increase among the companies who have previously transitioned from copper-based to fiber-based infrastructure, resulting in opportunities for optical device vendors to supply new optical transceivers capable of operating at these higher data rates.</w:t>
      </w:r>
    </w:p>
    <w:p>
      <w:pPr>
        <w:spacing w:after="0" w:line="177" w:lineRule="exact"/>
        <w:rPr>
          <w:rFonts w:ascii="Arial" w:cs="Arial" w:eastAsia="Arial" w:hAnsi="Arial"/>
          <w:sz w:val="17"/>
          <w:szCs w:val="17"/>
          <w:color w:val="auto"/>
        </w:rPr>
      </w:pPr>
    </w:p>
    <w:p>
      <w:pPr>
        <w:ind w:left="980" w:right="20" w:hanging="324"/>
        <w:spacing w:after="0" w:line="25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Trends in the CATV Market. </w:t>
      </w:r>
      <w:r>
        <w:rPr>
          <w:rFonts w:ascii="Arial" w:cs="Arial" w:eastAsia="Arial" w:hAnsi="Arial"/>
          <w:sz w:val="18"/>
          <w:szCs w:val="18"/>
          <w:color w:val="auto"/>
        </w:rPr>
        <w:t>In recent years, CATV service providers have invested extensively to support high speed, two-way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and we expect that they will continue to do so. In North America, in particular, CATV service providers have expressed interest in emerging new technologies like DOCSIS 3.1, which will enable them to offer higher speed connections to their customers. In order to increase available bandwidth for their customers beyond the bandwidth possible with the introduction of DOCSIS 3.1, cable MSOs have been reducing the number of customers that are connected to a single node. By reducing the number of “homes per node,” the average bandwidth available to each customer is increased. Other new technologies, such as Converged Cable Access Platform (CCAP) and “Remote PHY” are under development by cable equipment suppliers. These technologies are being developed to be a cost-effective solution to provide higher available bandwidth to CATV customers.</w:t>
      </w:r>
    </w:p>
    <w:p>
      <w:pPr>
        <w:spacing w:after="0" w:line="192" w:lineRule="exact"/>
        <w:rPr>
          <w:rFonts w:ascii="Arial" w:cs="Arial" w:eastAsia="Arial" w:hAnsi="Arial"/>
          <w:sz w:val="18"/>
          <w:szCs w:val="18"/>
          <w:color w:val="auto"/>
        </w:rPr>
      </w:pPr>
    </w:p>
    <w:p>
      <w:pPr>
        <w:ind w:left="980"/>
        <w:spacing w:after="0" w:line="259" w:lineRule="auto"/>
        <w:rPr>
          <w:rFonts w:ascii="Arial" w:cs="Arial" w:eastAsia="Arial" w:hAnsi="Arial"/>
          <w:sz w:val="18"/>
          <w:szCs w:val="18"/>
          <w:color w:val="auto"/>
        </w:rPr>
      </w:pPr>
      <w:r>
        <w:rPr>
          <w:rFonts w:ascii="Arial" w:cs="Arial" w:eastAsia="Arial" w:hAnsi="Arial"/>
          <w:sz w:val="18"/>
          <w:szCs w:val="18"/>
          <w:color w:val="auto"/>
        </w:rPr>
        <w:t>While equipment vendors have historically relied upon third parties only to assemble portions of their products, within the past six years, certain of our customers have accelerated the outsourcing of both the design and manufacturing of both headend equipment and node equipment to third parties. The shift is due in part to the sophisticated engineering expertise needed to perform this work, along with the proliferation of new equipment designs needed to support DOCSIS 3.1.</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 w:name="page5"/>
    <w:bookmarkEnd w:id="4"/>
    <w:p>
      <w:pPr>
        <w:ind w:left="980" w:hanging="324"/>
        <w:spacing w:after="0" w:line="276"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Trends in the FTTH Market. </w:t>
      </w:r>
      <w:r>
        <w:rPr>
          <w:rFonts w:ascii="Arial" w:cs="Arial" w:eastAsia="Arial" w:hAnsi="Arial"/>
          <w:sz w:val="17"/>
          <w:szCs w:val="17"/>
          <w:color w:val="auto"/>
        </w:rPr>
        <w:t>The FTTH market generally refers to the Passive Optical Networks, or PONs, that telecommunications 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providers deploy. The most commonly deployed PON technology is Gigabit PON, or GPON, which delivers up to 2.5 gigabits per second (Gbps) of data, but due to the splitting of the bandwidth among multiple users, the actual bandwidth delivered to an individual subscriber is far less than 2.5 Gbps. One approach that does support true 1 Gbps service to the home is wavelength division multiplexing PON, or WDM-PON, a technology that enables the transmission of multiple wavelengths of data over a single fiber-optic strand.</w:t>
      </w:r>
    </w:p>
    <w:p>
      <w:pPr>
        <w:spacing w:after="0" w:line="200"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We experience certain challenges within our target markets, including continuous pressure to innovate and deliver highly integrated products that perform reliably in harsh, demanding environments and to produce high-quality devices in large volumes at competitive prices.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addressing the challenges in our target markets, we provide the following benefits to our customers:</w:t>
      </w:r>
    </w:p>
    <w:p>
      <w:pPr>
        <w:spacing w:after="0" w:line="225" w:lineRule="exact"/>
        <w:rPr>
          <w:sz w:val="20"/>
          <w:szCs w:val="20"/>
          <w:color w:val="auto"/>
        </w:rPr>
      </w:pPr>
    </w:p>
    <w:p>
      <w:pPr>
        <w:jc w:val="both"/>
        <w:ind w:left="980" w:right="16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Enable customers to deliver innovative products. </w:t>
      </w:r>
      <w:r>
        <w:rPr>
          <w:rFonts w:ascii="Arial" w:cs="Arial" w:eastAsia="Arial" w:hAnsi="Arial"/>
          <w:sz w:val="18"/>
          <w:szCs w:val="18"/>
          <w:color w:val="auto"/>
        </w:rPr>
        <w:t>We leverage our extensive expertise in high-speed optical, mixed-signal semiconductor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mechanical engineering, and MOCVD and our proprietary MBE laser fabrication process to deliver technologically advanced products to our customers.</w:t>
      </w:r>
    </w:p>
    <w:p>
      <w:pPr>
        <w:spacing w:after="0" w:line="208" w:lineRule="exact"/>
        <w:rPr>
          <w:rFonts w:ascii="Arial" w:cs="Arial" w:eastAsia="Arial" w:hAnsi="Arial"/>
          <w:sz w:val="18"/>
          <w:szCs w:val="18"/>
          <w:color w:val="auto"/>
        </w:rPr>
      </w:pPr>
    </w:p>
    <w:p>
      <w:pPr>
        <w:ind w:left="980" w:right="40" w:hanging="324"/>
        <w:spacing w:after="0" w:line="34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Enhance efficiency and cost effectiveness of our customers’ supply chains. </w:t>
      </w:r>
      <w:r>
        <w:rPr>
          <w:rFonts w:ascii="Arial" w:cs="Arial" w:eastAsia="Arial" w:hAnsi="Arial"/>
          <w:sz w:val="16"/>
          <w:szCs w:val="16"/>
          <w:color w:val="auto"/>
        </w:rPr>
        <w:t>We design and sell products at the level of integration desired by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from components to turn-key equipment, providing our customers a dependable, cost-effective and simplified supply chain.</w:t>
      </w:r>
    </w:p>
    <w:p>
      <w:pPr>
        <w:spacing w:after="0" w:line="150" w:lineRule="exact"/>
        <w:rPr>
          <w:rFonts w:ascii="Arial" w:cs="Arial" w:eastAsia="Arial" w:hAnsi="Arial"/>
          <w:sz w:val="16"/>
          <w:szCs w:val="16"/>
          <w:color w:val="auto"/>
        </w:rPr>
      </w:pPr>
    </w:p>
    <w:p>
      <w:pPr>
        <w:ind w:left="980" w:right="120" w:hanging="324"/>
        <w:spacing w:after="0" w:line="31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Deliver high quality, reliable products in high volume. </w:t>
      </w:r>
      <w:r>
        <w:rPr>
          <w:rFonts w:ascii="Arial" w:cs="Arial" w:eastAsia="Arial" w:hAnsi="Arial"/>
          <w:sz w:val="16"/>
          <w:szCs w:val="16"/>
          <w:color w:val="auto"/>
        </w:rPr>
        <w:t>As a vertically integrated supplier, we are able to monitor and maintain quality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throughout the production process, using our internally produced components where possible for our final products. With manufacturing facilities in the U.S., Taiwan and China, we can support high volume production and timely delivery for our customers around the world.</w:t>
      </w:r>
    </w:p>
    <w:p>
      <w:pPr>
        <w:spacing w:after="0" w:line="173" w:lineRule="exact"/>
        <w:rPr>
          <w:rFonts w:ascii="Arial" w:cs="Arial" w:eastAsia="Arial" w:hAnsi="Arial"/>
          <w:sz w:val="16"/>
          <w:szCs w:val="16"/>
          <w:color w:val="auto"/>
        </w:rPr>
      </w:pPr>
    </w:p>
    <w:p>
      <w:pPr>
        <w:ind w:left="980" w:right="460" w:hanging="324"/>
        <w:spacing w:after="0" w:line="381" w:lineRule="auto"/>
        <w:tabs>
          <w:tab w:leader="none" w:pos="98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Provide sophisticated design solutions to our customers. </w:t>
      </w:r>
      <w:r>
        <w:rPr>
          <w:rFonts w:ascii="Arial" w:cs="Arial" w:eastAsia="Arial" w:hAnsi="Arial"/>
          <w:sz w:val="15"/>
          <w:szCs w:val="15"/>
          <w:color w:val="auto"/>
        </w:rPr>
        <w:t>We believe our in-house expertise in both analog and digital optical engineering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enables us to design comprehensive solutions that meet many of the different network architectures and protocols used by our customers.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key competitive strengths include the following:</w:t>
      </w:r>
    </w:p>
    <w:p>
      <w:pPr>
        <w:spacing w:after="0" w:line="225" w:lineRule="exact"/>
        <w:rPr>
          <w:sz w:val="20"/>
          <w:szCs w:val="20"/>
          <w:color w:val="auto"/>
        </w:rPr>
      </w:pPr>
    </w:p>
    <w:p>
      <w:pPr>
        <w:ind w:left="980" w:right="9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technological expertise and track record of innovation. </w:t>
      </w:r>
      <w:r>
        <w:rPr>
          <w:rFonts w:ascii="Arial" w:cs="Arial" w:eastAsia="Arial" w:hAnsi="Arial"/>
          <w:sz w:val="18"/>
          <w:szCs w:val="18"/>
          <w:color w:val="auto"/>
        </w:rPr>
        <w:t>We continue to develop innovative products by leveraging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technological expertise, including our proprietary MBE and MOCVD laser fabrication process.</w:t>
      </w:r>
    </w:p>
    <w:p>
      <w:pPr>
        <w:spacing w:after="0" w:line="197" w:lineRule="exact"/>
        <w:rPr>
          <w:rFonts w:ascii="Arial" w:cs="Arial" w:eastAsia="Arial" w:hAnsi="Arial"/>
          <w:sz w:val="18"/>
          <w:szCs w:val="18"/>
          <w:color w:val="auto"/>
        </w:rPr>
      </w:pPr>
    </w:p>
    <w:p>
      <w:pPr>
        <w:ind w:left="980" w:right="140" w:hanging="324"/>
        <w:spacing w:after="0" w:line="286"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Innovative light engine design and manufacturing. </w:t>
      </w:r>
      <w:r>
        <w:rPr>
          <w:rFonts w:ascii="Arial" w:cs="Arial" w:eastAsia="Arial" w:hAnsi="Arial"/>
          <w:sz w:val="17"/>
          <w:szCs w:val="17"/>
          <w:color w:val="auto"/>
        </w:rPr>
        <w:t>High-speed data center interconnect transceivers increasingly rely on multiple parallel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optical signals. Our expertise in designing and manufacturing light engines, which combine lasers and photodiodes with channel multiplexing and de-multiplexing elements, gives us the ability to quickly develop new products for our data center customers.</w:t>
      </w:r>
    </w:p>
    <w:p>
      <w:pPr>
        <w:spacing w:after="0" w:line="165" w:lineRule="exact"/>
        <w:rPr>
          <w:rFonts w:ascii="Arial" w:cs="Arial" w:eastAsia="Arial" w:hAnsi="Arial"/>
          <w:sz w:val="17"/>
          <w:szCs w:val="17"/>
          <w:color w:val="auto"/>
        </w:rPr>
      </w:pPr>
    </w:p>
    <w:p>
      <w:pPr>
        <w:ind w:left="980" w:right="32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Proven system design capabilities. </w:t>
      </w:r>
      <w:r>
        <w:rPr>
          <w:rFonts w:ascii="Arial" w:cs="Arial" w:eastAsia="Arial" w:hAnsi="Arial"/>
          <w:sz w:val="18"/>
          <w:szCs w:val="18"/>
          <w:color w:val="auto"/>
        </w:rPr>
        <w:t>We have extensive expertise and proven design capabilities in high-speed optical, mixed-signal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semiconductor and mechanical engineering, which we believe position us to take advantage of the continuing shift to outsourced design and manufacturing among CATV equipment vendors.</w:t>
      </w:r>
    </w:p>
    <w:p>
      <w:pPr>
        <w:spacing w:after="0" w:line="208" w:lineRule="exact"/>
        <w:rPr>
          <w:rFonts w:ascii="Arial" w:cs="Arial" w:eastAsia="Arial" w:hAnsi="Arial"/>
          <w:sz w:val="18"/>
          <w:szCs w:val="18"/>
          <w:color w:val="auto"/>
        </w:rPr>
      </w:pPr>
    </w:p>
    <w:p>
      <w:pPr>
        <w:ind w:left="980" w:right="200" w:hanging="324"/>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customized products. </w:t>
      </w:r>
      <w:r>
        <w:rPr>
          <w:rFonts w:ascii="Arial" w:cs="Arial" w:eastAsia="Arial" w:hAnsi="Arial"/>
          <w:sz w:val="16"/>
          <w:szCs w:val="16"/>
          <w:color w:val="auto"/>
        </w:rPr>
        <w:t>Most of our products have some level of customization, making it more difficult for our customers to switch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rapidly to another supplier. We believe this element of customization contributes to longer product lifecycles and more stable product pricing.</w:t>
      </w:r>
    </w:p>
    <w:p>
      <w:pPr>
        <w:spacing w:after="0" w:line="150" w:lineRule="exact"/>
        <w:rPr>
          <w:rFonts w:ascii="Arial" w:cs="Arial" w:eastAsia="Arial" w:hAnsi="Arial"/>
          <w:sz w:val="16"/>
          <w:szCs w:val="16"/>
          <w:color w:val="auto"/>
        </w:rPr>
      </w:pPr>
    </w:p>
    <w:p>
      <w:pPr>
        <w:ind w:left="980" w:right="240" w:hanging="324"/>
        <w:spacing w:after="0" w:line="31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Industry-leading position in the CATV market. </w:t>
      </w:r>
      <w:r>
        <w:rPr>
          <w:rFonts w:ascii="Arial" w:cs="Arial" w:eastAsia="Arial" w:hAnsi="Arial"/>
          <w:sz w:val="16"/>
          <w:szCs w:val="16"/>
          <w:color w:val="auto"/>
        </w:rPr>
        <w:t>We have continued to be awarded new design and manufacturing opportunities for CATV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components and equipment. We serve a majority of the largest CATV equipment manufacturers in the world and our knowledge of both their requirements and the needs of their customers (the CATV network operators) allows us to access these new opportunities.</w:t>
      </w:r>
    </w:p>
    <w:p>
      <w:pPr>
        <w:spacing w:after="0" w:line="173" w:lineRule="exact"/>
        <w:rPr>
          <w:rFonts w:ascii="Arial" w:cs="Arial" w:eastAsia="Arial" w:hAnsi="Arial"/>
          <w:sz w:val="16"/>
          <w:szCs w:val="16"/>
          <w:color w:val="auto"/>
        </w:rPr>
      </w:pPr>
    </w:p>
    <w:p>
      <w:pPr>
        <w:ind w:left="980" w:right="20" w:hanging="324"/>
        <w:spacing w:after="0" w:line="279"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Vertically integrated, geographically distributed manufacturing model. </w:t>
      </w:r>
      <w:r>
        <w:rPr>
          <w:rFonts w:ascii="Arial" w:cs="Arial" w:eastAsia="Arial" w:hAnsi="Arial"/>
          <w:sz w:val="17"/>
          <w:szCs w:val="17"/>
          <w:color w:val="auto"/>
        </w:rPr>
        <w:t>Our vertically integrated design and manufacturing process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encompasses various steps from laser design and fabrication to complete optical system design and assembly. Furthermore, we have geographically distributed our manufacturing by strategically locating our operations in the U.S., China and Taiwan to reduce development time and production costs, to better support our customers and to help protect our intellectual property.</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04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seek to be the leading global provider of optical components, modules and equipment for each of our three target markets, internet data centers,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CATV, and FTTH. Our strategy includes the following key elements:</w:t>
      </w:r>
    </w:p>
    <w:p>
      <w:pPr>
        <w:spacing w:after="0" w:line="211" w:lineRule="exact"/>
        <w:rPr>
          <w:sz w:val="20"/>
          <w:szCs w:val="20"/>
          <w:color w:val="auto"/>
        </w:rPr>
      </w:pPr>
    </w:p>
    <w:p>
      <w:pPr>
        <w:ind w:left="980" w:right="6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penetrate the internet data center market. </w:t>
      </w:r>
      <w:r>
        <w:rPr>
          <w:rFonts w:ascii="Arial" w:cs="Arial" w:eastAsia="Arial" w:hAnsi="Arial"/>
          <w:sz w:val="18"/>
          <w:szCs w:val="18"/>
          <w:color w:val="auto"/>
        </w:rPr>
        <w:t>In the internet data center market, we primarily target internet data center operators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adopted an open system architecture—one in which the optical connectivity solutions can be provided by a different vendor than the vendor which provides their servers and switches.</w:t>
      </w:r>
    </w:p>
    <w:p>
      <w:pPr>
        <w:spacing w:after="0" w:line="181" w:lineRule="exact"/>
        <w:rPr>
          <w:rFonts w:ascii="Arial" w:cs="Arial" w:eastAsia="Arial" w:hAnsi="Arial"/>
          <w:sz w:val="18"/>
          <w:szCs w:val="18"/>
          <w:color w:val="auto"/>
        </w:rPr>
      </w:pPr>
    </w:p>
    <w:p>
      <w:pPr>
        <w:jc w:val="both"/>
        <w:ind w:left="980" w:right="18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Extend our leadership in CATV networking. </w:t>
      </w:r>
      <w:r>
        <w:rPr>
          <w:rFonts w:ascii="Arial" w:cs="Arial" w:eastAsia="Arial" w:hAnsi="Arial"/>
          <w:sz w:val="18"/>
          <w:szCs w:val="18"/>
          <w:color w:val="auto"/>
        </w:rPr>
        <w:t>We intend to maintain our position as the leading producer of optical components used in CATV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networks, and to capture an increasing share of the CATV equipment market as the major equipment vendors continue to outsource the design and manufacturing of such products.</w:t>
      </w:r>
    </w:p>
    <w:p>
      <w:pPr>
        <w:spacing w:after="0" w:line="208"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penetrate the FTTH market. </w:t>
      </w:r>
      <w:r>
        <w:rPr>
          <w:rFonts w:ascii="Arial" w:cs="Arial" w:eastAsia="Arial" w:hAnsi="Arial"/>
          <w:sz w:val="18"/>
          <w:szCs w:val="18"/>
          <w:color w:val="auto"/>
        </w:rPr>
        <w:t>We believe our WDM-PON technology is a cost-effective solution for delivering 1 Gbps bandwidth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home. We intend to capture an increasing share of the FTTH market by delivering optical modules enabling 1 Gbps synchronous service to the home through our customers, who are either internet service providers or manufacturers of networking equipment supplying internet service providers.</w:t>
      </w:r>
    </w:p>
    <w:p>
      <w:pPr>
        <w:spacing w:after="0" w:line="186"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invest in our capabilities and infrastructure. </w:t>
      </w:r>
      <w:r>
        <w:rPr>
          <w:rFonts w:ascii="Arial" w:cs="Arial" w:eastAsia="Arial" w:hAnsi="Arial"/>
          <w:sz w:val="18"/>
          <w:szCs w:val="18"/>
          <w:color w:val="auto"/>
        </w:rPr>
        <w:t>We intend to continue to invest in new products, new technology and our production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infrastructure and facilities to maintain and strengthen our competitive position. We engage in an active research and development program to develop new products and enhance existing products.</w:t>
      </w:r>
    </w:p>
    <w:p>
      <w:pPr>
        <w:spacing w:after="0" w:line="208" w:lineRule="exact"/>
        <w:rPr>
          <w:rFonts w:ascii="Arial" w:cs="Arial" w:eastAsia="Arial" w:hAnsi="Arial"/>
          <w:sz w:val="18"/>
          <w:szCs w:val="18"/>
          <w:color w:val="auto"/>
        </w:rPr>
      </w:pPr>
    </w:p>
    <w:p>
      <w:pPr>
        <w:ind w:left="980" w:right="200" w:hanging="324"/>
        <w:spacing w:after="0" w:line="31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Selectively pursue other opportunities that leverage our existing expertise. </w:t>
      </w:r>
      <w:r>
        <w:rPr>
          <w:rFonts w:ascii="Arial" w:cs="Arial" w:eastAsia="Arial" w:hAnsi="Arial"/>
          <w:sz w:val="16"/>
          <w:szCs w:val="16"/>
          <w:color w:val="auto"/>
        </w:rPr>
        <w:t>Our expertise in designing and manufacturing outdoor equipment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CATV industry positions us well to pursue applications that are also characterized by having varying and demanding environments, including wireless and wireline telecom infrastructure, industrial robotics, aerospace and defense, and oil and gas exploration.</w:t>
      </w:r>
    </w:p>
    <w:p>
      <w:pPr>
        <w:spacing w:after="0" w:line="173" w:lineRule="exact"/>
        <w:rPr>
          <w:rFonts w:ascii="Arial" w:cs="Arial" w:eastAsia="Arial" w:hAnsi="Arial"/>
          <w:sz w:val="16"/>
          <w:szCs w:val="16"/>
          <w:color w:val="auto"/>
        </w:rPr>
      </w:pPr>
    </w:p>
    <w:p>
      <w:pPr>
        <w:ind w:left="980" w:right="8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complementary acquisition and strategic alliance opportunities. </w:t>
      </w:r>
      <w:r>
        <w:rPr>
          <w:rFonts w:ascii="Arial" w:cs="Arial" w:eastAsia="Arial" w:hAnsi="Arial"/>
          <w:sz w:val="18"/>
          <w:szCs w:val="18"/>
          <w:color w:val="auto"/>
        </w:rPr>
        <w:t>We evaluate and selectively pursue acquisition opportunities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alliances that we believe will enhance or complement our current product offerings, augment our technology roadmap, or diversify our revenue base.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believe that we have technology leadership in four key areas: semiconductor laser manufacturing, electronic technologies that enhance the performance of our lasers, optical hybrid integration and mixed-signal semiconductor design.</w:t>
      </w:r>
    </w:p>
    <w:p>
      <w:pPr>
        <w:spacing w:after="0" w:line="170" w:lineRule="exact"/>
        <w:rPr>
          <w:sz w:val="20"/>
          <w:szCs w:val="20"/>
          <w:color w:val="auto"/>
        </w:rPr>
      </w:pPr>
    </w:p>
    <w:p>
      <w:pPr>
        <w:ind w:left="980" w:right="100" w:hanging="324"/>
        <w:spacing w:after="0" w:line="286"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semiconductor laser manufacturing. </w:t>
      </w:r>
      <w:r>
        <w:rPr>
          <w:rFonts w:ascii="Arial" w:cs="Arial" w:eastAsia="Arial" w:hAnsi="Arial"/>
          <w:sz w:val="16"/>
          <w:szCs w:val="16"/>
          <w:color w:val="auto"/>
        </w:rPr>
        <w:t>We use a combination of MBE and MOCVD processes in the fabrication of our lasers.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that the combination of these two epitaxial processes allows our products to benefit from the advantages afforded by each of these techniques. Among the differentiators of MBE relative to MOCVD fabrication are a lower process temperature and the use of solid phase materials rather than gaseous sources to grow wafers and the growth of more highly strained crystals. These factors contribute to longer operating lives of our lasers, improved laser efficiency and threshold current, among other performance attributes that make them well-suited to our target markets. While we believe that these advantages of MBE are important, MBE does have disadvantages including the inability to use certain dopant materials (for example Iron), difficulty in certain types of regrowth, and the necessity to maintain complex ultra-high vacuum equipment. By utilizing MOCVD in a portion of our production process, we are able to ameliorate some of these disadvantages. However, the epitaxial and processing steps required in the fabrication of our devices are very complex, with numerous critical steps requiring highly precise control. As a result of some of these challenges, production yields and the performance attributes of laser devices are highly variable and optimizing these characteristics requires numerous enhancements and modifications to standard MBE equipment and the MBE process. To our knowledge, we are unique in incorporating MBE processes in the production of communications lasers in high volume, and believe it would be difficult and time-consuming for other vendors to replicate our production technology.</w:t>
      </w:r>
    </w:p>
    <w:p>
      <w:pPr>
        <w:spacing w:after="0" w:line="201" w:lineRule="exact"/>
        <w:rPr>
          <w:rFonts w:ascii="Arial" w:cs="Arial" w:eastAsia="Arial" w:hAnsi="Arial"/>
          <w:sz w:val="16"/>
          <w:szCs w:val="16"/>
          <w:color w:val="auto"/>
        </w:rPr>
      </w:pPr>
    </w:p>
    <w:p>
      <w:pPr>
        <w:ind w:left="980" w:right="40" w:hanging="324"/>
        <w:spacing w:after="0" w:line="25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Laser enhancement technology. </w:t>
      </w:r>
      <w:r>
        <w:rPr>
          <w:rFonts w:ascii="Arial" w:cs="Arial" w:eastAsia="Arial" w:hAnsi="Arial"/>
          <w:sz w:val="18"/>
          <w:szCs w:val="18"/>
          <w:color w:val="auto"/>
        </w:rPr>
        <w:t>Certain properties of the semiconductor lasers predominantly used in traditional communications devices,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chirp and wavelength drift, negatively affect their ability to transmit signals over long fiber distances or prevent them from transmitting signals with acceptable fidelity in certain applications. We have developed laser enhancement circuitry that can correct many of these deficiencies. We believe that our technology will become more essential with wider deployment of higher capacity CATV and FTTH systems, which place more stringent demands on laser performance.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 w:name="page7"/>
    <w:bookmarkEnd w:id="6"/>
    <w:p>
      <w:pPr>
        <w:ind w:left="980" w:right="60" w:hanging="324"/>
        <w:spacing w:after="0" w:line="270"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Optical hybrid-integration technology. </w:t>
      </w:r>
      <w:r>
        <w:rPr>
          <w:rFonts w:ascii="Arial" w:cs="Arial" w:eastAsia="Arial" w:hAnsi="Arial"/>
          <w:sz w:val="17"/>
          <w:szCs w:val="17"/>
          <w:color w:val="auto"/>
        </w:rPr>
        <w:t>Reducing the size, power consumption and complexity of optical devices is essential for achieving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price and performance targets of our customers. Our ability to integrate multiple optical networking functions into a single device and to co-package multiple devices into smaller form factors helps us meet customer requirements, and we believe can also create new opportunities. For instance, the transmission speed between network elements (switches and servers, for example) within the data center has continued to increase. However, the rate at which this data can be converted from electrical signals to optical signals by laser diodes has not increased at the same pace. Therefore, to achieve data rates of 40 Gbps and above, many customers utilize multiple lower data rate lasers co-packaged together into a single optical module, which we refer to as a light engine. The technology required to cost-effectively and reliably co-package these lasers and the associated electronic control circuitry is complex. Our extensive experience with the processes and the manufacturing technologies required to produce these devices gives us a competitive advantage.</w:t>
      </w:r>
    </w:p>
    <w:p>
      <w:pPr>
        <w:spacing w:after="0" w:line="208" w:lineRule="exact"/>
        <w:rPr>
          <w:rFonts w:ascii="Arial" w:cs="Arial" w:eastAsia="Arial" w:hAnsi="Arial"/>
          <w:sz w:val="17"/>
          <w:szCs w:val="17"/>
          <w:color w:val="auto"/>
        </w:rPr>
      </w:pPr>
    </w:p>
    <w:p>
      <w:pPr>
        <w:ind w:left="980" w:right="200"/>
        <w:spacing w:after="0" w:line="255" w:lineRule="auto"/>
        <w:rPr>
          <w:rFonts w:ascii="Arial" w:cs="Arial" w:eastAsia="Arial" w:hAnsi="Arial"/>
          <w:sz w:val="17"/>
          <w:szCs w:val="17"/>
          <w:color w:val="auto"/>
        </w:rPr>
      </w:pPr>
      <w:r>
        <w:rPr>
          <w:rFonts w:ascii="Arial" w:cs="Arial" w:eastAsia="Arial" w:hAnsi="Arial"/>
          <w:sz w:val="18"/>
          <w:szCs w:val="18"/>
          <w:color w:val="auto"/>
        </w:rPr>
        <w:t>Similarly, in FTTH networks, installing new fiber-optic cable is expensive and difficult, and in some situations prohibitively so for a network service provider. As a consequence, network operators seek to maximize the utilization of their installed fiber plant. In long-haul and metropolitan networks, the number of service providers who deployed WDM technology as fiber utilization rose. Fiber utilization in access networks is rising, but the use of WDM technology in the access segment has been problematic due to the relatively high cost and power consumption of the requisite optical devices. We have developed proprietary miniaturized optical packaging, electronic control circuitry and testing algorithms to create a hybrid WDM-PON solution that addresses these historical impediments that we believe will make WDM-PON a cost-effective alternative for deployment.</w:t>
      </w:r>
    </w:p>
    <w:p>
      <w:pPr>
        <w:spacing w:after="0" w:line="189" w:lineRule="exact"/>
        <w:rPr>
          <w:rFonts w:ascii="Arial" w:cs="Arial" w:eastAsia="Arial" w:hAnsi="Arial"/>
          <w:sz w:val="17"/>
          <w:szCs w:val="17"/>
          <w:color w:val="auto"/>
        </w:rPr>
      </w:pPr>
    </w:p>
    <w:p>
      <w:pPr>
        <w:ind w:left="980" w:right="60" w:hanging="324"/>
        <w:spacing w:after="0" w:line="270"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Mixed-signal design. </w:t>
      </w:r>
      <w:r>
        <w:rPr>
          <w:rFonts w:ascii="Arial" w:cs="Arial" w:eastAsia="Arial" w:hAnsi="Arial"/>
          <w:sz w:val="17"/>
          <w:szCs w:val="17"/>
          <w:color w:val="auto"/>
        </w:rPr>
        <w:t>As CATV providers continue to evolve from primarily broadcast-video content providers to a mixture of HD video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content together with data-connectivity providers, the networks they utilize to offer these services must evolve as well. Older analog networks are giving way to hybrid networks that incorporate both analog and digital signals. For example, many newer networks are being designed with “digital return-path” capabilities. In this type of network, signals traveling from the headend to the residence are transported as analog signals, whereas signals traveling in the opposite direction (that is, originating at the residence and being transmitted towards the headend) are carried as digital signals. This combination of analog and digital signaling creates unique design challenges. Our engineers have many years of experience in developing equipment, modules and components that are well suited to these sorts of mixed-signal architectures. We believe that having deep experience in both digital and analog signaling allows us to offer superior solutions to our customers, compared with companies who have expertise in only one of these signal types.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products include an array of optical communications solutions at varying levels of integration. We begin from the fundamental building blocks of lasers and laser components. From these foundational products, we design and manufacture a wide range of products from optical modules to complete turn-key equipment. We design our products to target customers in our identified markets to meet their needs and specifications.</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components often incorporate one or more of our optical laser chips inside a precision housing that provides mechanical protection as well as standardized electrical contacts. More complex optical components may also include optical filters (for example, for use in WDM) or other optical elements by which optical signals are routed internally within the component. These more advanced components may also include coolers, heaters and sensors that allow the temperature of the laser chip to be measured and controlled. We manufacture the majority of the laser chips and optical components that are used in our own products.</w:t>
      </w:r>
    </w:p>
    <w:p>
      <w:pPr>
        <w:spacing w:after="0" w:line="188"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At the next level of integration, our module or sub-assembly products typically contain one or more of our optical components and some additional control circuitry. Examples of modules include our transceiver line primarily used in internet data center markets and FTTH markets.</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the highest level of integration and complexity, our equipment products typically contain one or more optical components, modules and additional electronic control circuitry required to enable these subsystems to operate independently. For example, our CATV transmitter equipment requires utilization of our optical components and assembly onto a circuit board and to an external housing. Examples of equipment include our CATV transmitter and CATV nodes.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We rely on a combination of patent, copyright, trademark and trade secret laws, as well as confidentiality and licensing arrangements, to establish and protect our intellectual property. We employ various methods to protect these intellectual property rights, including maintaining a technological infrastructure with significant security measures, limiting disclosure and restricting access to only those individuals with an operational need for such information, and having employees, consultants and suppliers execute confidentiality agreements with us. While we expect our intellectual property to provide competitive advantages, we also find meaningful value from unpatented proprietary process knowledge, know-how and trade secrets.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December 31, 2015, we owned a total of 74 U.S. issued patents and 104 patents issued in China and Taiwan, plus a number of pending US and foreign/international patent applications. Our issued US and foreign patents will expire between 2016 and 2034.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of patents and patent applications covers several different technology families including:</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laser structure and design;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optical signal conditioning and laser control;.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laser fabrication;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photodiode and optical receiver design and fabrication;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optical device and module designs;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optical device packaging equipment and techniques;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optical network enhancements.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We have registered the trademarks APPLIED OPTOELECTRONICS, INC., AOI and our logo with the U.S. Patent and Trademark Office on the Principal Register. These marks are also registered in, or have applications for registration pending in, various foreign trademark offices.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500" w:firstLine="648"/>
        <w:spacing w:after="0" w:line="312" w:lineRule="auto"/>
        <w:rPr>
          <w:sz w:val="20"/>
          <w:szCs w:val="20"/>
          <w:color w:val="auto"/>
        </w:rPr>
      </w:pPr>
      <w:r>
        <w:rPr>
          <w:rFonts w:ascii="Arial" w:cs="Arial" w:eastAsia="Arial" w:hAnsi="Arial"/>
          <w:sz w:val="16"/>
          <w:szCs w:val="16"/>
          <w:color w:val="auto"/>
        </w:rPr>
        <w:t>To maintain our growth and competitiveness, we engage in an active research and development program to develop new products and enhance existing products. As a result of these efforts, we anticipate releasing various new or enhanced products over the next several years. Our research and development expenses were approximately $20.9 million, $16.0 million, and $8.5 million for the years 2015, 2014 and 2013, respectively.</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December 31, 2015, we had a total of 268 employees working in the R&amp;D department, including 18 with Ph.D. degrees. We continue to recruit talented engineers to further enhance our research and development capabilities. We have research and development departments in our facilities in Texas, Georgia, China and Taiwan. Our research and development teams collaborate on joint projects, and by co-locating with our manufacturing operations enable us to achieve an efficient cost structure and improve our time to market.</w:t>
      </w:r>
    </w:p>
    <w:p>
      <w:pPr>
        <w:spacing w:after="0" w:line="187"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A key factor in our research and development success is our highly collaborative process for new product development. Particularly in our equipment and module businesses, we often collaborate very closely with our customers from a very early stage in product development. By purposefully fostering this close collaboration, we believe that we can more rapidly develop leading solutions meeting the needs of our customers.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Manufacturing and Operations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three manufacturing sites: Sugar Land, Texas, Ningbo, China and Taipei, Taiwan. Our research and development functions are generally partnered with our manufacturing locations. In our U.S. facility, we manufacture laser chips (utilizing our MBE and MOCVD process), subassemblies and components. The subassemblies are used in the manufacture of components by our other manufacturing facilities or sold to third parties as modules. We manufacture our laser chips only within our U.S. facility, where our laser design team is located. In our Taiwan location, we manufacture optical components, such as our butterfly lasers, which incorporate laser chips, subassemblies and components manufactured within our U.S. facility. In addition, in our Taiwan location, we manufacture transceivers for the internet data center, FTTH, and other markets. In our China facility, we take advantage of lower labor costs and manufacture certain more labor intensive components and optical equipment systems, such as optical subassemblies for the internet data center market, CATV transmitters (at the headend) and CATV outdoor equipment (at the node). Each facility conducts testing on the components, modules or subsystems it manufactures and each facility is certified to ISO 9001:2008.</w:t>
      </w:r>
    </w:p>
    <w:p>
      <w:pPr>
        <w:spacing w:after="0" w:line="18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products are sold to our customers worldwide and also supply our internal component needs for the transceivers and equipment we manufacture. With a vertically integrated manufacturing process, we produce many of our own laser chips and other parts required to manufacture our optical components. Through this model, we are able to reduce development time and product costs as well as enhance quality control. We incorporate our own components into our transceivers, subsystems and equipment products wherever possible. In instances where we do not produce components ourselves, we source them from external suppliers and regularly evaluate these relationships in an attempt to reduce risk and lower cost.</w:t>
      </w:r>
    </w:p>
    <w:p>
      <w:pPr>
        <w:spacing w:after="0" w:line="173"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We depend on a limited number of suppliers for certain raw materials and components used in our products. We regularly review our vendor relationships in an attempt to mitigate risks and lower costs, especially where we depend on one or two vendors for critical components or raw materials. While maintaining inventories that we believe are sufficient to meet our near-term needs, we strive not to carry significant inventories of externally sourced raw materials. Accordingly, we maintain ongoing communications with our vendors in order to help prevent any interruptions in supply, and have implemented a supply-chain management program to maintain quality and lower purchase prices through standardized purchasing efficiencies and design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Our customers are primarily internet data center operators, CATV and telecommunications equipment manufacturers, and internet service providers. We generally employ a direct sales model in North America and in the rest of the world we use both direct and indirect sales channels. In 2015, 2014 and 2013, we obtained 95.7%, 92.6% and 88.4% of our revenue, respectively, through our direct sales efforts and the remainder of our revenue through our indirect sales channels. Our sales channel partners provide logistical services and day-to-day customer support. Where we sell through an indirect sales channel, we work with the end customer to establish technological specifications for our products. Our equipment customers typically offer our equipment under their brand-name and our equipment is often customized with unique design or performance criteria by each of these customers. We also from time to time offer design or manufacturing services to customers to assist them in more effectively using our products and realizing time-to-market advantages.</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2015, the two customers who contributed most to our data center revenue were Amazon.com and Microsoft. Our CATV products were used by the three largest CATV OEMs, consisting of Cisco Systems, Inc., Arris Group Inc. (which acquired the Motorola Home Business in 2013) and Aurora Networks, a subsidiary of Pace plc (which acquired Harmonic Inc.’s optical business in 2013 and itself being acquired by Pace plc subsequently). In 2016, Arris Group Inc. completed its purchase of Pace plc, making the combined company one of our largest CATV customers. The two customers that contributed most to our revenue in the FTTH market in 2015 were Genexis B.V. and a leading internet service provider. In 2015, revenue from the internet data center market, CATV market, FTTH market and other markets provided 64.9%, 28.3%, 1.3%, and 5.5% of our revenue, respectively, compared to 49.4%, 36.9%, 10.4%, and 3.8%, respectively, in 2014.</w:t>
      </w:r>
    </w:p>
    <w:p>
      <w:pPr>
        <w:spacing w:after="0" w:line="18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to our three main target markets, we also manufacture and sell optical products designed for telecommunications. These products include optical products designed to transmit signals used in 4G Long Term Evolution, or LTE, mobile networks, and various products targeted at the metro-scale telecommunications networking market. We have various other products designed for diverse applications, both inside and outside of communications technology, which generally are derivatives of products developed for our three target markets.</w:t>
      </w:r>
    </w:p>
    <w:p>
      <w:pPr>
        <w:spacing w:after="0" w:line="187"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We support our sales efforts by attendance at industry trade shows, technical conferences, advertising in various trade journals and magazines and other promotional efforts. These efforts are aimed at attracting new customers and enhancing our existing customer relationships.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We generally make sales pursuant to short-term purchase orders without deposits and subject to rescheduling, revision or cancellation on short notice. We accordingly believe that purchase orders are not an accurate indicator of our future sales and any backlog of purchase orders is not a reliable indicator of our future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by Geographic Region</w:t>
      </w:r>
    </w:p>
    <w:p>
      <w:pPr>
        <w:spacing w:after="0" w:line="229"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For information regarding our revenue and long-lived assets by geographic region, see Note N to the Consolidated Financial Statements. For risks relating to our operations see “Item 1A. Risk Factors” and particularly the risks under the caption “Risks related to our operations in China.”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optical networking market is intensely competitive. Because of the broad nature of our product offerings, we do not believe that we face a single major competitor across all of our markets. We do, however, experience intense competition in each product area from a number of manufacturers and we anticipate that competition will increase. Our major competitors in one or more of our markets include EMCORE Corporation, Finisar Corporation, Foxconn Interconnect Technology Ltd., Lumentum Holding, Inc., Mitsubishi, Molex, LLC, Oclaro, Inc., Source Photonics, and Sumitomo Electric Industries, Ltd.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competitors are larger than we are and have significantly greater financial, marketing and other resources.</w:t>
      </w:r>
    </w:p>
    <w:p>
      <w:pPr>
        <w:spacing w:after="0" w:line="225"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In addition, several of our competitors have large market capitalizations or cash reserves and are much better positioned to acquire other companies to gain new technologies or products that may displace our products. Network equipment providers, who are our customers, and network service providers, who are supplied by our customers, may decide to manufacture the optical subsystems incorporated into their network systems in-house. We also encounter potential customers that, because of existing relationships, are committed to the products offered by these competitors.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principal competitive factors in our target markets include the following:</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of internally manufactured components;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breadth and functionality;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and pace of new product development;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breadth of customer base;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expertise;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reliability of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efficiency.</w:t>
      </w:r>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believe that we compete favorably with respect to the above factors based on our MBE and MOCVD processes, our vertically integrated model, the performance and reliability of our product offerings, and our technical expertise in light engine design and manufacture.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December 31, 2015, we employed 2,513 full-time employees, of which 34 held Ph.D. degrees in a science or engineering field. Of our employees 257 are located in the U.S., 1,186 are located in Taiwan, and 1,070 are located in China. None of our employees are represented by any collective bargaining agreement, but certain employees of our China subsidiary are members of a trade union. We have never suffered any work stoppage and believe that we have satisfactory relations with our employees.</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research and development and manufacturing operations and our products are subject to a variety of federal, state, local and foreign environmental, health and safety laws and regulations, including those governing discharges of pollutants to air and water, the use, storage, handling and disposal of hazardous materials, employee health and safety, and the hazardous material content in our products. Our environmental management systems in our facilities in Sugar Land, TX, Ningbo, China and Taipei, Taiwan are all certified to meet the requirements of ISO14001:2004. However, there can be no assurance that violations of applicable laws at any of our facilities will not occur in the future as a result of human error, accident, equipment failure or other causes. We use, store and dispose of hazardous materials in our manufacturing operations and hazardous materials are present in our products. We incur costs to comply with environmental, health and safety requirements, and any failure to comply, or the identification of contamination for which we are found liable, could cause us to incur substantial costs, including cleanup costs, monetary fines, or civil or criminal penalties, and subject us to property damage and personal injury claims, and result in the suspension of production, alteration of our manufacturing processes, redesign of our products, or curtailment of sales and adverse publicity.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w:t>
      </w:r>
    </w:p>
    <w:p>
      <w:pPr>
        <w:spacing w:after="0" w:line="17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expect that our operations and products will be affected by new environmental requirements on an ongoing basis. Environmental, health and safety requirements have become more stringent over time, and changes to existing requirements could restrict our ability to expand our facilities, require us to acquire costly pollution control equipment, or cause us to incur other significant expenses or to modify our manufacturing processes or the hazardous material content of our products.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face increasing complexity in our product design and procurement operations as we adjust to new and upcoming requirements relating to the materials composition of our products. Some jurisdictions in which our products are sold have enacted requirements regarding the hazardous material content of certain products. For example, member states of the European Union and China are among a growing number of jurisdictions that have placed restrictions on the use of lead, among other chemicals, in electronic products, which affect the composition and packaging of our products. The passage of such requirements in additional jurisdictions, or the tightening of standards or elimination of certain exemptions in jurisdictions where our products are already subject to such requirements, could cause us to incur significant expenditures to make our products compliant with new requirements, or could limit the markets into which we may sell our products. Other governmental regulations may require us to reengineer our products to use components that are more environmentally compatible, resulting in additional costs to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Raw Materials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depend on a limited number of suppliers for certain raw materials, components, and equipment used in our products. We continually review our supplier relationships to mitigate risks and lower costs, especially where we depend on one or two suppliers for critical components or raw materials. While maintaining inventories that we believe are sufficient to meet our near-term needs, we strive not to carry significant inventories of raw materials. Accordingly, we maintain ongoing communications with our suppliers in order to prevent any interruptions in supply, and have implemented a supply-chain management program to maintain quality and lower purchase prices through standardized purchasing efficiencies and design requirements. To date, we generally have been able to obtain sufficient quantities of critical supplies in a timely manner.</w:t>
      </w:r>
    </w:p>
    <w:p>
      <w:pPr>
        <w:spacing w:after="0" w:line="17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are subject to rules promulgated by the SEC pursuant to the Dodd-Frank Wall Street Reform and Consumer Protection Act regarding the use of "conflict minerals". These rules have imposed and will continue to impose additional costs and may introduce new risks related to our ability to verify the origin of any "conflict minerals" used in our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Export Regulations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Bureau of Industry and Security (BIS) of the U.S. Department of Commerce is responsible for regulating the export of most commercial items that are classified as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ECCN change, then the export of our products to certain countries would be restricted. However, we currently do not export our products to any countries on the restricted list, and therefore a change in the ECCN would not materially impact our business.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were incorporated in the State of Texas in 1997. In March 2013, Applied Optoelectronics, Inc., a Texas corporation, converted into a Delaware corporation. Prime World International Holdings, Ltd. (“Prime World”) is a wholly-owned subsidiary of the Company incorporated in the British Virgin Islands on January 13, 2006. Prime World is the parent company of Global Technology, Inc. (“Global”). Global was established in June 2002 in the People’s Republic of China (“PRC”) and was acquired by Prime World on March 30, 2006. The Company also operates a division, AOI—Taiwan, which is qualified to do business in Taiwan and primarily manufactures transceivers and performs research and development activities.</w:t>
      </w:r>
    </w:p>
    <w:p>
      <w:pPr>
        <w:spacing w:after="0" w:line="173"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Our principal executive offices are located at 13115 Jess Pirtle Blvd., Sugar Land, TX 77478, and our telephone number is (281) 295-1800. Our website address is www.ao-inc.com. Information contained on our website is not incorporated by reference into this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file electronically with the United States Securities and Exchange Commission, or SEC, our annual reports on Form 10-K, quarterly reports on Form 10-Q, current reports on Form 8-K, and amendments to those reports filed or furnished pursuant to Section 13(a) or 15(d) of the Securities Exchange Act of 1934, as amended. We make available on our website at www.ao-inc.com free of charge, copies of these reports as soon as reasonably practicable after filing these reports with, or furnishing them to, the SEC.</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 factors and all other information contained in this Annual Report on Form 10-K,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generate much of our revenue from a limited number of customers. In 2015, 2014 and 2013, our top ten customers represented 88.7%, 87.2% and 76.9% of our revenue, respectively. In 2015, Amazon represented 52.5% of our revenue and Microsoft represented 11.6%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If our key customers do not continue to purchase our existing products or fail to purchase additional products from us, our revenue would decline and our results of operations would be adversely affected.</w:t>
      </w:r>
    </w:p>
    <w:p>
      <w:pPr>
        <w:spacing w:after="0" w:line="158"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For example, in January 2016, Arris Group Inc. (“Arris”) completed plans to purchase Pace Plc (“Pace”). Pace and Arris have historically been our customers, and if we fail to achieve historical levels of sales of our products to the new entity, the loss or reduction in sales could have an adverse effect on our business, financial condition, results of operations, and cash flows.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customers do not qualify our products for use on a timely basis, our results of operations may suffer.</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Prior to the sale of new products, our customers typically require us to “qualify” our products for use in their applications. At the successful completion of this qualification process,we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Customer demand is difficult to forecast accurately and, as a result, we may be unable to match production with customer demand.</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negatively impact our results of operations and market share.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are subject to the cyclical nature of the markets in which we compete and any future downturn will likely reduce demand for our products and revenue.</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of these fluctuations may have on our revenue and operating results.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54"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25" w:lineRule="exact"/>
        <w:rPr>
          <w:sz w:val="20"/>
          <w:szCs w:val="20"/>
          <w:color w:val="auto"/>
        </w:rPr>
      </w:pPr>
    </w:p>
    <w:p>
      <w:pPr>
        <w:ind w:left="980" w:hanging="18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modification of product specifications and customer requirements;</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engineering complexities;</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reallocating engineering resources and overcoming resource limitations; and</w:t>
      </w:r>
    </w:p>
    <w:p>
      <w:pPr>
        <w:spacing w:after="0" w:line="225" w:lineRule="exact"/>
        <w:rPr>
          <w:rFonts w:ascii="Arial" w:cs="Arial" w:eastAsia="Arial" w:hAnsi="Arial"/>
          <w:sz w:val="18"/>
          <w:szCs w:val="18"/>
          <w:color w:val="auto"/>
        </w:rPr>
      </w:pPr>
    </w:p>
    <w:p>
      <w:pPr>
        <w:ind w:left="980" w:hanging="18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rapidly changing technology or competitive product requirements.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CATV market does not continue to develop as we expect, or if there is any downturn in this market, our business would be adversely affected.</w:t>
      </w:r>
    </w:p>
    <w:p>
      <w:pPr>
        <w:spacing w:after="0" w:line="24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Historically, we have generated much of our revenue from the CATV market. In 2015, 2014 and 2013, the CATV market represented 28.3%, 36.3% and 60.4%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CATV network operators may reduce or forego equipment purchases in anticipation of the availability of next generation DOCSIS 3.1 solutions that are expected to be available soon, which may adversely affect our sales.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or results of operations will be adversely affected.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will be expanding to new facilities in our Sugar Land, TX location. These facilities will add significant additional costs and if we fail to adequately utilize the additional production capacity, our results of operations will suffer.</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2015, we began construction of two new buildings located immediately adjacent to our existing headquarters building in Sugar Land, TX. The projected cost of construction for these new facilities is approximately $33 million, and we expect to invest significant additional resources to add production equipment to the new facilities. Much of this equipment must be ordered far in advance of its delivery date, and accordingly we must make the decision to purchase equipment long before we see additional orders for our products. While we endeavor to order equipment that is flexible in utilization, if we over-estimate aggregate demand for our products, or if we fail to accurately predict the types of products that customers will demand in the future, we may be forced to under-utilize this equipment, which could result in asset impairment charges, additional costs to reconfigure equipment to be used in other production, or other charges that would negatively affect our results of operations.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i w:val="1"/>
          <w:iCs w:val="1"/>
          <w:color w:val="auto"/>
        </w:rPr>
        <w:t>Our new factory in Sugar Land, TX may experience unforeseen difficulties in commencing operations, or may cost more than we expect to bring online.</w:t>
      </w:r>
    </w:p>
    <w:p>
      <w:pPr>
        <w:spacing w:after="0" w:line="26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expect to complete our new facility in Sugar Land, TX in the second quarter of 2016. However, construction delays or difficulties that may arise in the new facility may result in delays to the commencement of operations in the new facility, or may cause us to incur additional costs to fix any deficiencies in the new facility. We expect to begin utilizing the additional production capacity from the new facility in 2016, and any delay to our start-up schedule could cause us to have insufficient production capacity to meet customer orders. If we are unable to produce sufficient products to meet customer demand, it would negatively affect our sales, competitive position and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operating history in the FTTH market, and our business could be harmed if this market does not develop as we expect.</w:t>
      </w:r>
    </w:p>
    <w:p>
      <w:pPr>
        <w:spacing w:after="0" w:line="23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For 2014 and 2015, respectively, we generated 10.4%, and 1.3% of our revenue from the FTTH market. We have only recently begun offering products to the FTTH market, and our WDM-PON products designed for this market have not yet, and may never, gain widespread acceptance by large internet service providers. Our business in this market is dependent on the deployment of our optical components, modules and subassemblies. We are relying on increasing demand for bandwidth-intensive services and telecommunications service providers’ acceptance and deployment of WDM-PON as a technology supporting 1 gigabit per second service to the home.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or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may experience delays, disruptions or quality control problems in our manufacturing operations. These and other factors may cause less than acceptable yields at our wafer fabrication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an MBE fabrication process to make our lasers, in addition to Metal Organic Chemical Vapor Deposition, or MOCVD, the technique most commonly used in optical manufacturing by communications optics vendors, and our Molecular Beam Epitaxy, or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Chinese New Year holiday when our facilities in China and Taiwan are closed.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1,960 of our employees as of December 31, 2015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We have a history of losses and have a substantial accumulated deficit.</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a history of losses and have a substantial accumulated deficit. In the years ended December 31, 2013 and 2012, we experienced net losses of $1.4 million and $0.9 million, respectively. In 2014 and 2015, we experienced profit of $4.3 million and $10.8 million, respectively. As of December 31, 2015 and 2014, our accumulated deficit was $68.2 million and $79.0 million, respectively. Our losses in past years were due to expenditures made to expand our business, including expenditures for hiring additional research and development, and sales and marketing personnel, and expenditures to expand and maintain our manufacturing facilities and research and development operations. We expect to continue to make significant expenditures related to our business, including expenditures for hiring additional research and development, and sales and marketing personnel, and expenditures to maintain and expand our manufacturing facilities and research and development operations. In addition, we have incurred significant additional time demands and legal, accounting and other expenses since we became a public company in September 2013. Our management and other personnel devote a substantial amount of time to complying with the applicable rules and requirements of being a public company.</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results may vary significantly from quarter-to-quarter due to a number of factors, which may lead to volatility in our stock price.</w:t>
      </w:r>
    </w:p>
    <w:p>
      <w:pPr>
        <w:spacing w:after="0" w:line="24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81" w:lineRule="exact"/>
        <w:rPr>
          <w:sz w:val="20"/>
          <w:szCs w:val="20"/>
          <w:color w:val="auto"/>
        </w:rPr>
      </w:pPr>
    </w:p>
    <w:p>
      <w:pPr>
        <w:ind w:left="980" w:hanging="18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size and mix of sales of our products;</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fluctuations in demand for our products, including the increase, decrease, rescheduling or cancellation of significant customer orders;</w:t>
      </w:r>
    </w:p>
    <w:p>
      <w:pPr>
        <w:spacing w:after="0" w:line="263" w:lineRule="exact"/>
        <w:rPr>
          <w:rFonts w:ascii="Arial" w:cs="Arial" w:eastAsia="Arial" w:hAnsi="Arial"/>
          <w:sz w:val="17"/>
          <w:szCs w:val="17"/>
          <w:color w:val="auto"/>
        </w:rPr>
      </w:pPr>
    </w:p>
    <w:p>
      <w:pPr>
        <w:ind w:left="980" w:hanging="18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which meet customer requirements in a timely and cost-effective manner;</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product introductions and enhancements by us or our competitors;</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gain or loss of key customers;</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at which our present and potential customers and end users adopt our technologies;</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225" w:lineRule="exact"/>
        <w:rPr>
          <w:rFonts w:ascii="Arial" w:cs="Arial" w:eastAsia="Arial" w:hAnsi="Arial"/>
          <w:sz w:val="18"/>
          <w:szCs w:val="18"/>
          <w:color w:val="auto"/>
        </w:rPr>
      </w:pPr>
    </w:p>
    <w:p>
      <w:pPr>
        <w:ind w:left="980" w:hanging="18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supply disruption for certain raw materials and components used in our products;</w:t>
      </w:r>
    </w:p>
    <w:p>
      <w:pPr>
        <w:spacing w:after="0" w:line="225" w:lineRule="exact"/>
        <w:rPr>
          <w:rFonts w:ascii="Arial" w:cs="Arial" w:eastAsia="Arial" w:hAnsi="Arial"/>
          <w:sz w:val="18"/>
          <w:szCs w:val="18"/>
          <w:color w:val="auto"/>
        </w:rPr>
      </w:pPr>
    </w:p>
    <w:p>
      <w:pPr>
        <w:ind w:left="980" w:hanging="18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capacity constraints of our outside contract manufacturers for a portion of the manufacturing process for some of our products;</w:t>
      </w:r>
    </w:p>
    <w:p>
      <w:pPr>
        <w:spacing w:after="0" w:line="225" w:lineRule="exact"/>
        <w:rPr>
          <w:rFonts w:ascii="Arial" w:cs="Arial" w:eastAsia="Arial" w:hAnsi="Arial"/>
          <w:sz w:val="18"/>
          <w:szCs w:val="18"/>
          <w:color w:val="auto"/>
        </w:rPr>
      </w:pPr>
    </w:p>
    <w:p>
      <w:pPr>
        <w:ind w:left="980" w:hanging="18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length and variability of the sales cycles of our products;</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capital expenditure and budget cycles for our customers, affecting the timing of their spending for our products;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7" w:name="page18"/>
    <w:bookmarkEnd w:id="17"/>
    <w:p>
      <w:pPr>
        <w:ind w:left="980" w:hanging="18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stability in the areas of the world in which we operate;</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evolving and unpredictable nature of the markets for products incorporating our solutions; and</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and changes in such conditions specific to our target markets.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of Network Equipment Module Business Unit, Senior Vice President of Optical Module Division and Asia General Manager, may resign at any time. We do not have key person life insurance policies covering any of our employees. To implement our business plan, we also intend to hire additional employees, particularly in the areas of engineering, manufacturing and sales.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suppliers and any supply interruption could have an adverse effect on our business.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w:t>
      </w:r>
    </w:p>
    <w:p>
      <w:pPr>
        <w:spacing w:after="0" w:line="18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outside contract manufacturers for a portion of the manufacturing process for some of our products.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Almost all of our products are manufactured internally. However we also rely upon manufacturers in China, Taiwan and other Asia locations to provide back-end manufacturing and produce the finished portion of a few of our products. Our reliance on a contract manufacturer for these products makes us vulnerable to possible capacity constraints and reduced control over delivery schedules, manufacturing yields, manufacturing quality/controls and costs. If one of our contract manufacturers is unable to meet all of our customer demand in a timely fashion, this could have a material adverse effect on the revenue from our products. If the contract manufacturer for one of our products was unable or unwilling to manufacture such product in required volumes and at high quality levels or to continue our existing supply arrangement, we would have to identify, qualify and select an acceptable alternative contract manufacturer or move these manufacturing operations to our internal manufacturing facilities. An alternative contract manufacturer may not be available to us when needed or may not be in a position to satisfy our quality or production requirements on commercially reasonable terms, including price. Any significant interruption in manufacturing our products would require us to reduce our supply of products to our customers, which in turn, would reduce our revenue, harm our relationships with the customer of these products and cause us to forego potential revenue opportunities.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27"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Our products could contain defects that may cause us to incur significant costs or result in a loss of customers.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currently derive, and expect to continue to derive, a significant portion of our revenue from sales to international customers. In 2015, 2014 and 2013, 19.0%, 29.5% and 41.0% of our revenue was derived from sales that 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87" w:lineRule="exact"/>
        <w:rPr>
          <w:sz w:val="20"/>
          <w:szCs w:val="20"/>
          <w:color w:val="auto"/>
        </w:rPr>
      </w:pPr>
    </w:p>
    <w:p>
      <w:pPr>
        <w:ind w:left="980" w:hanging="18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staffing, managing and supporting operations in more than one country;</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fewer legal protections for intellectual property in foreign jurisdictions;</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and U.S. taxation issues and international trade barriers;</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obtaining any necessary governmental authorizations for the export of our products to certain foreign jurisdictions;</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foreign economies;</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252" w:lineRule="exact"/>
        <w:rPr>
          <w:rFonts w:ascii="Arial" w:cs="Arial" w:eastAsia="Arial" w:hAnsi="Arial"/>
          <w:sz w:val="18"/>
          <w:szCs w:val="18"/>
          <w:color w:val="auto"/>
        </w:rPr>
      </w:pPr>
    </w:p>
    <w:p>
      <w:pPr>
        <w:ind w:left="980" w:hanging="18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and travel restrictions;</w:t>
      </w:r>
    </w:p>
    <w:p>
      <w:pPr>
        <w:spacing w:after="0" w:line="252" w:lineRule="exact"/>
        <w:rPr>
          <w:rFonts w:ascii="Arial" w:cs="Arial" w:eastAsia="Arial" w:hAnsi="Arial"/>
          <w:sz w:val="18"/>
          <w:szCs w:val="18"/>
          <w:color w:val="auto"/>
        </w:rPr>
      </w:pPr>
    </w:p>
    <w:p>
      <w:pPr>
        <w:ind w:left="980" w:right="60" w:hanging="18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spacing w:after="0" w:line="197" w:lineRule="exact"/>
        <w:rPr>
          <w:rFonts w:ascii="Arial" w:cs="Arial" w:eastAsia="Arial" w:hAnsi="Arial"/>
          <w:sz w:val="18"/>
          <w:szCs w:val="18"/>
          <w:color w:val="auto"/>
        </w:rPr>
      </w:pPr>
    </w:p>
    <w:p>
      <w:pPr>
        <w:ind w:left="980" w:right="120" w:hanging="18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w:t>
      </w:r>
    </w:p>
    <w:p>
      <w:pPr>
        <w:spacing w:after="0" w:line="197" w:lineRule="exact"/>
        <w:rPr>
          <w:rFonts w:ascii="Arial" w:cs="Arial" w:eastAsia="Arial" w:hAnsi="Arial"/>
          <w:sz w:val="18"/>
          <w:szCs w:val="18"/>
          <w:color w:val="auto"/>
        </w:rPr>
      </w:pPr>
    </w:p>
    <w:p>
      <w:pPr>
        <w:ind w:left="980" w:hanging="18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different and changing legal and regulatory requirements in the jurisdictions in which we currently operate or may operate in the future.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9" w:name="page20"/>
    <w:bookmarkEnd w:id="19"/>
    <w:p>
      <w:pPr>
        <w:ind w:right="40" w:firstLine="648"/>
        <w:spacing w:after="0" w:line="257" w:lineRule="auto"/>
        <w:rPr>
          <w:sz w:val="20"/>
          <w:szCs w:val="20"/>
          <w:color w:val="auto"/>
        </w:rPr>
      </w:pPr>
      <w:r>
        <w:rPr>
          <w:rFonts w:ascii="Arial" w:cs="Arial" w:eastAsia="Arial" w:hAnsi="Arial"/>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manage our growth effectively may adversely affect our financial condition and results of operations.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Successful implementation of our business plan in our target markets requires effective planning and management. Our production volumes are increasing significantly and we have announced plans to increase our production capacity in response to demand for our products, adding both personnel as well as expanding our physical manufacturing facilities. We currently operate facilities in Sugar Land, Texas, Ningbo, China, Taipei, Taiwan, and Duluth, Georgia.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agreements contain restrictive covenants that may adversely affect our ability to conduct our business.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lending arrangements with several financial institutions, including loan agreements with East West Bank and Comerica Bank in the U.S., and our Taiwan location and China subsidiary have several lines of credit arrangements.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pay dividends,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loan agreements with East West Bank and Comerica Bank are secured by substantially all of our U.S. assets.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27"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1" w:lineRule="exact"/>
        <w:rPr>
          <w:sz w:val="20"/>
          <w:szCs w:val="20"/>
          <w:color w:val="auto"/>
        </w:rPr>
      </w:pPr>
    </w:p>
    <w:p>
      <w:pPr>
        <w:ind w:left="980" w:hanging="18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expansion of research and development;</w:t>
      </w:r>
    </w:p>
    <w:p>
      <w:pPr>
        <w:spacing w:after="0" w:line="23" w:lineRule="exact"/>
        <w:rPr>
          <w:rFonts w:ascii="Arial" w:cs="Arial" w:eastAsia="Arial" w:hAnsi="Arial"/>
          <w:sz w:val="18"/>
          <w:szCs w:val="18"/>
          <w:color w:val="auto"/>
        </w:rPr>
      </w:pPr>
    </w:p>
    <w:p>
      <w:pPr>
        <w:ind w:left="980" w:hanging="18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expansion of manufacturing capabilities;</w:t>
      </w:r>
    </w:p>
    <w:p>
      <w:pPr>
        <w:spacing w:after="0" w:line="9" w:lineRule="exact"/>
        <w:rPr>
          <w:rFonts w:ascii="Arial" w:cs="Arial" w:eastAsia="Arial" w:hAnsi="Arial"/>
          <w:sz w:val="18"/>
          <w:szCs w:val="18"/>
          <w:color w:val="auto"/>
        </w:rPr>
      </w:pPr>
    </w:p>
    <w:p>
      <w:pPr>
        <w:ind w:left="980" w:hanging="18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hiring of additional technical, sales and other personnel; and</w:t>
      </w:r>
    </w:p>
    <w:p>
      <w:pPr>
        <w:spacing w:after="0" w:line="9" w:lineRule="exact"/>
        <w:rPr>
          <w:rFonts w:ascii="Arial" w:cs="Arial" w:eastAsia="Arial" w:hAnsi="Arial"/>
          <w:sz w:val="18"/>
          <w:szCs w:val="18"/>
          <w:color w:val="auto"/>
        </w:rPr>
      </w:pPr>
    </w:p>
    <w:p>
      <w:pPr>
        <w:ind w:left="980" w:hanging="18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 of complementary businesses.</w:t>
      </w:r>
    </w:p>
    <w:p>
      <w:pPr>
        <w:spacing w:after="0" w:line="21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we may be unable to meet the demands of existing and prospective customers, adversely affecting our sales and market opportunities and consequently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1" w:lineRule="exact"/>
        <w:rPr>
          <w:sz w:val="20"/>
          <w:szCs w:val="20"/>
          <w:color w:val="auto"/>
        </w:rPr>
      </w:pPr>
    </w:p>
    <w:p>
      <w:pPr>
        <w:ind w:left="980" w:hanging="18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integrating the acquired business;</w:t>
      </w:r>
    </w:p>
    <w:p>
      <w:pPr>
        <w:spacing w:after="0" w:line="23" w:lineRule="exact"/>
        <w:rPr>
          <w:rFonts w:ascii="Arial" w:cs="Arial" w:eastAsia="Arial" w:hAnsi="Arial"/>
          <w:sz w:val="18"/>
          <w:szCs w:val="18"/>
          <w:color w:val="auto"/>
        </w:rPr>
      </w:pPr>
    </w:p>
    <w:p>
      <w:pPr>
        <w:ind w:left="980" w:hanging="18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spacing w:after="0" w:line="9" w:lineRule="exact"/>
        <w:rPr>
          <w:rFonts w:ascii="Arial" w:cs="Arial" w:eastAsia="Arial" w:hAnsi="Arial"/>
          <w:sz w:val="18"/>
          <w:szCs w:val="18"/>
          <w:color w:val="auto"/>
        </w:rPr>
      </w:pPr>
    </w:p>
    <w:p>
      <w:pPr>
        <w:ind w:left="980" w:hanging="18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our existing business;</w:t>
      </w:r>
    </w:p>
    <w:p>
      <w:pPr>
        <w:spacing w:after="0" w:line="9" w:lineRule="exact"/>
        <w:rPr>
          <w:rFonts w:ascii="Arial" w:cs="Arial" w:eastAsia="Arial" w:hAnsi="Arial"/>
          <w:sz w:val="18"/>
          <w:szCs w:val="18"/>
          <w:color w:val="auto"/>
        </w:rPr>
      </w:pPr>
    </w:p>
    <w:p>
      <w:pPr>
        <w:ind w:left="980" w:hanging="18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difficulties integrating the business relationships with suppliers and customers of the acquired business with our existing business relationships;</w:t>
      </w:r>
    </w:p>
    <w:p>
      <w:pPr>
        <w:spacing w:after="0" w:line="32" w:lineRule="exact"/>
        <w:rPr>
          <w:rFonts w:ascii="Arial" w:cs="Arial" w:eastAsia="Arial" w:hAnsi="Arial"/>
          <w:sz w:val="16"/>
          <w:szCs w:val="16"/>
          <w:color w:val="auto"/>
        </w:rPr>
      </w:pPr>
    </w:p>
    <w:p>
      <w:pPr>
        <w:ind w:left="980" w:hanging="18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9" w:lineRule="exact"/>
        <w:rPr>
          <w:rFonts w:ascii="Arial" w:cs="Arial" w:eastAsia="Arial" w:hAnsi="Arial"/>
          <w:sz w:val="18"/>
          <w:szCs w:val="18"/>
          <w:color w:val="auto"/>
        </w:rPr>
      </w:pPr>
    </w:p>
    <w:p>
      <w:pPr>
        <w:ind w:left="980" w:hanging="18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1" w:name="page22"/>
    <w:bookmarkEnd w:id="21"/>
    <w:p>
      <w:pPr>
        <w:ind w:right="20" w:firstLine="648"/>
        <w:spacing w:after="0" w:line="302" w:lineRule="auto"/>
        <w:rPr>
          <w:sz w:val="20"/>
          <w:szCs w:val="20"/>
          <w:color w:val="auto"/>
        </w:rPr>
      </w:pPr>
      <w:r>
        <w:rPr>
          <w:rFonts w:ascii="Arial" w:cs="Arial" w:eastAsia="Arial" w:hAnsi="Arial"/>
          <w:sz w:val="16"/>
          <w:szCs w:val="16"/>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5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6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2" w:name="page23"/>
    <w:bookmarkEnd w:id="22"/>
    <w:p>
      <w:pPr>
        <w:ind w:right="100" w:firstLine="648"/>
        <w:spacing w:after="0" w:line="257"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93" w:lineRule="exact"/>
        <w:rPr>
          <w:sz w:val="20"/>
          <w:szCs w:val="20"/>
          <w:color w:val="auto"/>
        </w:rPr>
      </w:pPr>
    </w:p>
    <w:p>
      <w:pPr>
        <w:ind w:left="980" w:hanging="18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obtain from a third party claiming infringement a license to the relevant technology, which may not be available on reasonable terms, or at all;</w:t>
      </w:r>
    </w:p>
    <w:p>
      <w:pPr>
        <w:spacing w:after="0" w:line="46" w:lineRule="exact"/>
        <w:rPr>
          <w:rFonts w:ascii="Arial" w:cs="Arial" w:eastAsia="Arial" w:hAnsi="Arial"/>
          <w:sz w:val="16"/>
          <w:szCs w:val="16"/>
          <w:color w:val="auto"/>
        </w:rPr>
      </w:pPr>
    </w:p>
    <w:p>
      <w:pPr>
        <w:ind w:left="980" w:hanging="18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use the challenged intellectual property;</w:t>
      </w:r>
    </w:p>
    <w:p>
      <w:pPr>
        <w:spacing w:after="0" w:line="9" w:lineRule="exact"/>
        <w:rPr>
          <w:rFonts w:ascii="Arial" w:cs="Arial" w:eastAsia="Arial" w:hAnsi="Arial"/>
          <w:sz w:val="18"/>
          <w:szCs w:val="18"/>
          <w:color w:val="auto"/>
        </w:rPr>
      </w:pPr>
    </w:p>
    <w:p>
      <w:pPr>
        <w:ind w:left="980" w:hanging="18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monetary damages; or</w:t>
      </w:r>
    </w:p>
    <w:p>
      <w:pPr>
        <w:spacing w:after="0" w:line="9" w:lineRule="exact"/>
        <w:rPr>
          <w:rFonts w:ascii="Arial" w:cs="Arial" w:eastAsia="Arial" w:hAnsi="Arial"/>
          <w:sz w:val="18"/>
          <w:szCs w:val="18"/>
          <w:color w:val="auto"/>
        </w:rPr>
      </w:pPr>
    </w:p>
    <w:p>
      <w:pPr>
        <w:ind w:left="980" w:hanging="18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in the future, the accuracy and timing of our financial reporting may be adversely affected.</w:t>
      </w:r>
    </w:p>
    <w:p>
      <w:pPr>
        <w:spacing w:after="0" w:line="17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The Sarbanes-Oxley Act requires, among other things, that as a publicly-traded company we disclose whether our internal control over financial reporting and disclosure controls and procedures are effective. In addition, for so long as we qualify as an “emerging growth company” under the JOBS Act, which may be up to five years following our initial public offering in September 2013, we will not have to provide an auditor’s attestation report on our internal controls in future annual reports on Form 10-K as otherwise required by</w:t>
      </w:r>
    </w:p>
    <w:p>
      <w:pPr>
        <w:spacing w:after="0" w:line="5" w:lineRule="exact"/>
        <w:rPr>
          <w:sz w:val="20"/>
          <w:szCs w:val="20"/>
          <w:color w:val="auto"/>
        </w:rPr>
      </w:pPr>
    </w:p>
    <w:p>
      <w:pPr>
        <w:ind w:right="600"/>
        <w:spacing w:after="0" w:line="255" w:lineRule="auto"/>
        <w:rPr>
          <w:sz w:val="20"/>
          <w:szCs w:val="20"/>
          <w:color w:val="auto"/>
        </w:rPr>
      </w:pPr>
      <w:r>
        <w:rPr>
          <w:rFonts w:ascii="Arial" w:cs="Arial" w:eastAsia="Arial" w:hAnsi="Arial"/>
          <w:sz w:val="18"/>
          <w:szCs w:val="18"/>
          <w:color w:val="auto"/>
        </w:rPr>
        <w:t>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3" w:name="page24"/>
    <w:bookmarkEnd w:id="23"/>
    <w:p>
      <w:pPr>
        <w:ind w:firstLine="648"/>
        <w:spacing w:after="0" w:line="291" w:lineRule="auto"/>
        <w:rPr>
          <w:sz w:val="20"/>
          <w:szCs w:val="20"/>
          <w:color w:val="auto"/>
        </w:rPr>
      </w:pPr>
      <w:r>
        <w:rPr>
          <w:rFonts w:ascii="Arial" w:cs="Arial" w:eastAsia="Arial" w:hAnsi="Arial"/>
          <w:sz w:val="16"/>
          <w:szCs w:val="16"/>
          <w:color w:val="auto"/>
        </w:rPr>
        <w:t>We have implemented internal controls that we believe provide reasonable assurance that we will be able to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effective internal control over financial reporting, our ability to accurately and timely report our financial results could be adversely impacted. This could result in late filings of our annual and quarterly reports under the Securities Exchange Act of 1934, or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of December 31, 2015, we had U.S. accumulated net operating losses, or NOLs, of approximately $50.3 million for U.S. federal income tax purposes. Under Section 382 of the Internal Revenue Code of 1986, as amended, if a corporation undergoes an “ownership change,” the corporation’s ability to use its pre-change NOLs, R&amp;D credits and other pre-change tax attributes to offset its post-change income may be limited. An ownership change is generally defined as a greater than 50% change in equity ownership by value over a 3-year period. Based upon an analysis of our equity ownership, we have experienced an ownership change and our NOL is limited in dollar amount. The amount of NOL available each year may decrease by the amount of NOL utilized and may increase by the amount of any operating losses incurred. Should we experience additional ownership changes, our NOL carry forwards may be further limited.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affect our results of operation and our business.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are subject to income taxes in the U.S. and other foreign jurisdictions, including China. We base our tax position on the anticipated nature and conduct of our business and our understanding of the tax laws of the countries in which we have assets or conduct activities. Our tax position may be reviewed or challenged by tax authorities. Moreover, the tax laws currently in effect may change, and such changes may have retroactive effect.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risks and increased expenses and business risk as a result of Restriction on Hazardous Substances, or RoHS directives.</w:t>
      </w:r>
    </w:p>
    <w:p>
      <w:pPr>
        <w:spacing w:after="0" w:line="23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Following the lead of the European Union, or EU, various governmental agencies have either already put into place or are planning to introduce regulations that regulate the permissible levels of hazardous substances in products sold in various regions of the world. For example, the RoHS directive for EU took effect on July 1, 2006. The labeling provisions of similar legislation in China went into effect on March 1, 2007. Consequently, many suppliers of products sold into the EU have required their suppliers to be compliant with the new directive. Many of our customers have adopted this approach and have required our full compliance. Though we have devoted a significant amount of resources and effort in planning and executing our RoHS program, it is possible that some of our products might be incompatible with such regulations. In such events, we could experience the following consequences: loss of revenue, damages reputation, diversion of resources, monetary penalties, and legal action.</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Failure to comply with the U.S. Foreign Corrupt Practices Act could subject us to penalties and other adverse consequences.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Rapidly changing standards and regulations could make our products obsolete, which would cause our revenue and results of operations to suffer.</w:t>
      </w:r>
    </w:p>
    <w:p>
      <w:pPr>
        <w:spacing w:after="0" w:line="248"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regulations related to conflict minerals could increase costs and affect the manufacturing and sale of our products.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Public companies are required to disclose the use of tin, tantalum, tungsten and gold (collectively, “conflict minerals”) mined from the Democratic Republic of the Congo and adjoining countries (the “covered countries”) if a conflict mineral(s) is necessary to the functionality of a product manufactured, or contracted to be manufactured, by the company. We may determine, as part of our compliance efforts, that certain products or components we obtain from our suppliers contain conflict minerals. If we are unable to conclude that all our products are free from conflict minerals originating from covered countries, this could have a negative impact on our business, reputation and/or results of operations. We may also encounter challenges to satisfy customers who require that our products be certified as conflict free, which could place us at a competitive disadvantage if we are unable to substantiate such a claim. Compliance with these rules could also affect the sourcing and availability of some of the minerals used in the manufacture of products or components we obtain from our suppliers, including our ability to obtain products or components in sufficient quantities and/or at competitive prices.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Risks Related to Our Operations in China</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Our business operations conducted in China are critical to our success. A total of $20.6 million, $22.0 million and $31.9 million or 11% 16.9% and 40.6%, of our revenue in the years ended December 31, 2015, 2014 and 2013 was attributable to our product manufacturing plants in China, respectively. Additionally, a substantial portion of our property, plant and equipment, 22% and 26% as of December 31, 2015 and 2014,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70"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termination and expiration or unavailability of our preferential tax treatments in China may have a material adverse effect on our operating results.</w:t>
      </w:r>
    </w:p>
    <w:p>
      <w:pPr>
        <w:spacing w:after="0" w:line="26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Currently, we have qualified for a preferential 15% tax rate that is available for state-encouraged new high technology enterprises. The preferential rate has applied to calendar years 2015, 2014, 2013 and 2012. We have not yet realized any benefit from the 10% reduction in income tax rate due to losses incurred by our China subsidiary; however, if we fail to continue to qualify for this preferential rate in the future, we may incur higher tax rates on our income in China. In order to retain the preferential tax rate, we must meet certain operating conditions, satisfy certain product requirements, meet certain headcount requirements and maintain certain levels of research expenditures. We applied for an additional three years of preferential status with the Chinese government in 2014 and received approval as a high-technology enterprise through September 2017. Any future increase in the enterprise income tax rate applicable to us or the expiration or other limitation of preferential tax rates available to us could increase our tax liabilities and reduce our net income.</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China regulation of loans to and direct investment by offshore holding companies in China entities may delay or prevent us from making loans or additional capital contributions to our China subsidiary.</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Any loans that we wish to make to our China subsidiary are subject to China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26" w:name="page27"/>
    <w:bookmarkEnd w:id="26"/>
    <w:p>
      <w:pPr>
        <w:ind w:right="100" w:firstLine="648"/>
        <w:spacing w:after="0" w:line="286" w:lineRule="auto"/>
        <w:rPr>
          <w:sz w:val="20"/>
          <w:szCs w:val="20"/>
          <w:color w:val="auto"/>
        </w:rPr>
      </w:pPr>
      <w:r>
        <w:rPr>
          <w:rFonts w:ascii="Arial" w:cs="Arial" w:eastAsia="Arial" w:hAnsi="Arial"/>
          <w:sz w:val="17"/>
          <w:szCs w:val="17"/>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China subsidiary is subject to Chinese labor laws and regulations and Chinese labor laws may increase our operating costs in China.</w:t>
      </w:r>
    </w:p>
    <w:p>
      <w:pPr>
        <w:spacing w:after="0" w:line="23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China Labor Contract Law, together with its implementing rules, provides increased rights to Chinese employees. Previously, an employer had discretionary power in deciding the probation period, not to exceed six months. Additionally, the employment contract could only be terminated for cause. Under these rules,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These laws may increase our costs and reduce our flexibility.</w:t>
      </w:r>
    </w:p>
    <w:p>
      <w:pPr>
        <w:spacing w:after="0" w:line="16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Employee turnover of direct labor in the manufacturing sector in China is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labor costs in China may adversely affect our business and our profitability.</w:t>
      </w:r>
    </w:p>
    <w:p>
      <w:pPr>
        <w:spacing w:after="0" w:line="225"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establishing and maintaining adequate management and financial controls over our China operations.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market price of our common stock has been and is likely to be subject to wide fluctuations in response to, among other things, the risk factors described in this section of this Annual Report on Form 10-K, and other factors beyond our control, such as fluctuations in the valuation of companies perceived by investors to be comparable to us.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7" w:name="page28"/>
    <w:bookmarkEnd w:id="27"/>
    <w:p>
      <w:pPr>
        <w:jc w:val="both"/>
        <w:ind w:right="14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expenses and administrative burdens as a public company, which could have a material adverse effect on our operations and financial results.</w:t>
      </w:r>
    </w:p>
    <w:p>
      <w:pPr>
        <w:spacing w:after="0" w:line="170"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We face increased legal, accounting, administrative and other costs and expenses as a public company that we did not incur as a private company, and greater expenditures may be necessary in the future with the advent of new laws, regulations and stock exchange listing requirements pertaining to public companies. These increased costs will require us to divert a significant amount of money that we could otherwise use to expand our business and achieve our strategic objectives. The Sarbanes-Oxley Act, including the requirements of Section 404, as well as rules and regulations subsequently implemented by the SEC, the Public Company Accounting Oversight Board and the NASDAQ Global Market, impose additional reporting and other obligations on public companies. Compliance with public company requirements has increased our costs and made some activities more time-consuming. For example, we have created board committees and adopted internal controls and disclosure controls and procedures. In addition, we will have incurred and will continue to incur additional expenses associated with our SEC reporting requirements. Furthermore, if we identify any issues in complying with those requirements (for example, if we or our auditors identify a material weakness or significant deficiency in our internal control over financial reporting), we could incur additional costs rectifying those issues, and the existence of those issues could adversely affect us, our reputation or investor perceptions of us. Advocacy efforts by stockholders and third parties may also prompt additional changes in governance and reporting requirements, which could further increase our costs.</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We currently do not plan to declare or pay dividends on shares of our common stock in the foreseeable future. In addition, the terms of our loan and security agreement with East West Bank and Comerica Bank restrict our ability to pay dividends. Consequently, your only opportunity to achieve a return on any shares of our common stock that you may acquire will be if the market price of our common stock appreciates and you sell your shares at a profit. There is no guarantee that the price of our common stock in the market will ever exceed the price that you pay.</w:t>
      </w:r>
    </w:p>
    <w:p>
      <w:pPr>
        <w:spacing w:after="0" w:line="171"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8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and</w:t>
      </w:r>
    </w:p>
    <w:p>
      <w:pPr>
        <w:spacing w:after="0" w:line="252"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of control provisions in our stock incentive plans, and the individual stock option agreements, which provide that a change of control may accelerate the vesting of the stock options issued under such plans.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8" w:name="page29"/>
    <w:bookmarkEnd w:id="28"/>
    <w:p>
      <w:pPr>
        <w:ind w:firstLine="648"/>
        <w:spacing w:after="0" w:line="264" w:lineRule="auto"/>
        <w:rPr>
          <w:sz w:val="20"/>
          <w:szCs w:val="20"/>
          <w:color w:val="auto"/>
        </w:rPr>
      </w:pPr>
      <w:r>
        <w:rPr>
          <w:rFonts w:ascii="Arial" w:cs="Arial" w:eastAsia="Arial" w:hAnsi="Arial"/>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trading market for our common stock will depend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As an “emerging growth company” within the meaning of the Securities Act, we will utilize certain modified disclosure requirements, and we cannot be certain if these reduced requirements will make our common stock less attractive to investors.</w:t>
      </w:r>
    </w:p>
    <w:p>
      <w:pPr>
        <w:spacing w:after="0" w:line="170"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We are an emerging growth company within the meaning of the rules under the Securities Act. We have in this Annual Report on Form 10-K utilized, and we plan in future filings with the SEC to continue to utilize, the modified disclosure requirements available to emerging growth companies, including reduced disclosure about our executive compensation and omission of compensation discussion and analysis, and an exemption from the requirement of holding a nonbinding advisory vote on executive compensation and an exemption from the requirement that outside auditors attest as to our internal control over financial reporting. As a result, our stockholders may not have access to certain information they may deem important.</w:t>
      </w:r>
    </w:p>
    <w:p>
      <w:pPr>
        <w:spacing w:after="0" w:line="15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addition, Section 107 of the JOBS Act also provides that an emerging growth company can utilize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utilize this extended transition period. Our financial statements may therefore not be comparable to those of companies that comply with such new or revised accounting standards as they become applicable to public companies.</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could remain an “emerging growth company” for up to five years, or until the earliest of (i) the last day of the first fiscal year in which our annual gross revenue exceed $1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1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5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9" w:name="page30"/>
    <w:bookmarkEnd w:id="29"/>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maintain manufacturing, research and development, sales and administrative offices in the U.S., China and Taiwan. Our corporate headquarters is located at our facility in Sugar Land, Texas. The table below provides information regarding our facilities.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Owned or Lease</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Approximate</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2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Expiration Date</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Square Footage</w:t>
            </w:r>
          </w:p>
        </w:tc>
        <w:tc>
          <w:tcPr>
            <w:tcW w:w="4780" w:type="dxa"/>
            <w:vAlign w:val="bottom"/>
            <w:gridSpan w:val="2"/>
          </w:tcPr>
          <w:p>
            <w:pPr>
              <w:ind w:left="2200"/>
              <w:spacing w:after="0"/>
              <w:rPr>
                <w:sz w:val="20"/>
                <w:szCs w:val="20"/>
                <w:color w:val="auto"/>
              </w:rPr>
            </w:pPr>
            <w:r>
              <w:rPr>
                <w:rFonts w:ascii="Arial" w:cs="Arial" w:eastAsia="Arial" w:hAnsi="Arial"/>
                <w:sz w:val="18"/>
                <w:szCs w:val="18"/>
                <w:b w:val="1"/>
                <w:bCs w:val="1"/>
                <w:color w:val="auto"/>
              </w:rPr>
              <w:t>Use</w:t>
            </w:r>
          </w:p>
        </w:tc>
      </w:tr>
      <w:tr>
        <w:trPr>
          <w:trHeight w:val="195"/>
        </w:trPr>
        <w:tc>
          <w:tcPr>
            <w:tcW w:w="2300" w:type="dxa"/>
            <w:vAlign w:val="bottom"/>
            <w:tcBorders>
              <w:top w:val="single" w:sz="8" w:color="auto"/>
            </w:tcBorders>
            <w:shd w:val="clear" w:color="auto" w:fill="EEEEEE"/>
          </w:tcPr>
          <w:p>
            <w:pPr>
              <w:spacing w:after="0"/>
              <w:rPr>
                <w:sz w:val="16"/>
                <w:szCs w:val="16"/>
                <w:color w:val="auto"/>
              </w:rPr>
            </w:pPr>
          </w:p>
        </w:tc>
        <w:tc>
          <w:tcPr>
            <w:tcW w:w="120" w:type="dxa"/>
            <w:vAlign w:val="bottom"/>
            <w:tcBorders>
              <w:top w:val="single" w:sz="8" w:color="EEEEEE"/>
            </w:tcBorders>
            <w:shd w:val="clear" w:color="auto" w:fill="EEEEEE"/>
          </w:tcPr>
          <w:p>
            <w:pPr>
              <w:spacing w:after="0"/>
              <w:rPr>
                <w:sz w:val="16"/>
                <w:szCs w:val="16"/>
                <w:color w:val="auto"/>
              </w:rPr>
            </w:pPr>
          </w:p>
        </w:tc>
        <w:tc>
          <w:tcPr>
            <w:tcW w:w="2300" w:type="dxa"/>
            <w:vAlign w:val="bottom"/>
            <w:tcBorders>
              <w:top w:val="single" w:sz="8" w:color="auto"/>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1720" w:type="dxa"/>
            <w:vAlign w:val="bottom"/>
            <w:tcBorders>
              <w:top w:val="single" w:sz="8" w:color="auto"/>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4680" w:type="dxa"/>
            <w:vAlign w:val="bottom"/>
            <w:tcBorders>
              <w:top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Administration, sales, manufacturing, research and</w:t>
            </w:r>
          </w:p>
        </w:tc>
        <w:tc>
          <w:tcPr>
            <w:tcW w:w="100" w:type="dxa"/>
            <w:vAlign w:val="bottom"/>
            <w:tcBorders>
              <w:top w:val="single" w:sz="8" w:color="EEEEEE"/>
            </w:tcBorders>
            <w:shd w:val="clear" w:color="auto" w:fill="EEEEEE"/>
          </w:tcPr>
          <w:p>
            <w:pPr>
              <w:spacing w:after="0"/>
              <w:rPr>
                <w:sz w:val="16"/>
                <w:szCs w:val="16"/>
                <w:color w:val="auto"/>
              </w:rPr>
            </w:pPr>
          </w:p>
        </w:tc>
      </w:tr>
      <w:tr>
        <w:trPr>
          <w:trHeight w:val="230"/>
        </w:trPr>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Sugar Land, Texas</w:t>
            </w:r>
          </w:p>
        </w:tc>
        <w:tc>
          <w:tcPr>
            <w:tcW w:w="240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2"/>
              </w:rPr>
              <w:t>Owned (1)</w:t>
            </w:r>
          </w:p>
        </w:tc>
        <w:tc>
          <w:tcPr>
            <w:tcW w:w="18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139,450</w:t>
            </w:r>
          </w:p>
        </w:tc>
        <w:tc>
          <w:tcPr>
            <w:tcW w:w="478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development</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Sugar Land, Texas</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30, 2016 (5)</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7,066</w:t>
            </w:r>
          </w:p>
        </w:tc>
        <w:tc>
          <w:tcPr>
            <w:tcW w:w="4780" w:type="dxa"/>
            <w:vAlign w:val="bottom"/>
            <w:gridSpan w:val="2"/>
          </w:tcPr>
          <w:p>
            <w:pPr>
              <w:ind w:left="100"/>
              <w:spacing w:after="0"/>
              <w:rPr>
                <w:sz w:val="20"/>
                <w:szCs w:val="20"/>
                <w:color w:val="auto"/>
              </w:rPr>
            </w:pPr>
            <w:r>
              <w:rPr>
                <w:rFonts w:ascii="Arial" w:cs="Arial" w:eastAsia="Arial" w:hAnsi="Arial"/>
                <w:sz w:val="18"/>
                <w:szCs w:val="18"/>
                <w:color w:val="auto"/>
              </w:rPr>
              <w:t>Research and development</w:t>
            </w:r>
          </w:p>
        </w:tc>
      </w:tr>
      <w:tr>
        <w:trPr>
          <w:trHeight w:val="216"/>
        </w:trPr>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Lawrenceville, Georgia</w:t>
            </w:r>
          </w:p>
        </w:tc>
        <w:tc>
          <w:tcPr>
            <w:tcW w:w="240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0"/>
              </w:rPr>
              <w:t>February 29, 2016 (2)</w:t>
            </w:r>
          </w:p>
        </w:tc>
        <w:tc>
          <w:tcPr>
            <w:tcW w:w="18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386</w:t>
            </w:r>
          </w:p>
        </w:tc>
        <w:tc>
          <w:tcPr>
            <w:tcW w:w="478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Research and development</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Duluth, Georgia</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November 30, 2018 (2)</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2,983</w:t>
            </w:r>
          </w:p>
        </w:tc>
        <w:tc>
          <w:tcPr>
            <w:tcW w:w="4780" w:type="dxa"/>
            <w:vAlign w:val="bottom"/>
            <w:gridSpan w:val="2"/>
          </w:tcPr>
          <w:p>
            <w:pPr>
              <w:ind w:left="100"/>
              <w:spacing w:after="0"/>
              <w:rPr>
                <w:sz w:val="20"/>
                <w:szCs w:val="20"/>
                <w:color w:val="auto"/>
              </w:rPr>
            </w:pPr>
            <w:r>
              <w:rPr>
                <w:rFonts w:ascii="Arial" w:cs="Arial" w:eastAsia="Arial" w:hAnsi="Arial"/>
                <w:sz w:val="18"/>
                <w:szCs w:val="18"/>
                <w:color w:val="auto"/>
              </w:rPr>
              <w:t>Research and development</w:t>
            </w:r>
          </w:p>
        </w:tc>
      </w:tr>
      <w:tr>
        <w:trPr>
          <w:trHeight w:val="202"/>
        </w:trPr>
        <w:tc>
          <w:tcPr>
            <w:tcW w:w="23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3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4780" w:type="dxa"/>
            <w:vAlign w:val="bottom"/>
            <w:gridSpan w:val="2"/>
            <w:shd w:val="clear" w:color="auto" w:fill="EEEEEE"/>
          </w:tcPr>
          <w:p>
            <w:pPr>
              <w:ind w:left="100"/>
              <w:spacing w:after="0" w:line="201" w:lineRule="exact"/>
              <w:rPr>
                <w:sz w:val="20"/>
                <w:szCs w:val="20"/>
                <w:color w:val="auto"/>
              </w:rPr>
            </w:pPr>
            <w:r>
              <w:rPr>
                <w:rFonts w:ascii="Arial" w:cs="Arial" w:eastAsia="Arial" w:hAnsi="Arial"/>
                <w:sz w:val="18"/>
                <w:szCs w:val="18"/>
                <w:color w:val="auto"/>
              </w:rPr>
              <w:t>Administration, sales, manufacturing, research and</w:t>
            </w:r>
          </w:p>
        </w:tc>
      </w:tr>
      <w:tr>
        <w:trPr>
          <w:trHeight w:val="230"/>
        </w:trPr>
        <w:tc>
          <w:tcPr>
            <w:tcW w:w="24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Ningbo, China</w:t>
            </w:r>
          </w:p>
        </w:tc>
        <w:tc>
          <w:tcPr>
            <w:tcW w:w="240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2"/>
              </w:rPr>
              <w:t>Owned (3)</w:t>
            </w:r>
          </w:p>
        </w:tc>
        <w:tc>
          <w:tcPr>
            <w:tcW w:w="18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458,849</w:t>
            </w:r>
          </w:p>
        </w:tc>
        <w:tc>
          <w:tcPr>
            <w:tcW w:w="478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development</w:t>
            </w:r>
          </w:p>
        </w:tc>
      </w:tr>
      <w:tr>
        <w:trPr>
          <w:trHeight w:val="202"/>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Administration, sales, manufacturing, research and</w:t>
            </w:r>
          </w:p>
        </w:tc>
      </w:tr>
      <w:tr>
        <w:trPr>
          <w:trHeight w:val="209"/>
        </w:trPr>
        <w:tc>
          <w:tcPr>
            <w:tcW w:w="2420" w:type="dxa"/>
            <w:vAlign w:val="bottom"/>
            <w:gridSpan w:val="2"/>
          </w:tcPr>
          <w:p>
            <w:pPr>
              <w:spacing w:after="0"/>
              <w:rPr>
                <w:sz w:val="20"/>
                <w:szCs w:val="20"/>
                <w:color w:val="auto"/>
              </w:rPr>
            </w:pPr>
            <w:r>
              <w:rPr>
                <w:rFonts w:ascii="Arial" w:cs="Arial" w:eastAsia="Arial" w:hAnsi="Arial"/>
                <w:sz w:val="18"/>
                <w:szCs w:val="18"/>
                <w:color w:val="auto"/>
              </w:rPr>
              <w:t>Taipei, Taiwan</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May 31, 2029 (4)</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268,797</w:t>
            </w:r>
          </w:p>
        </w:tc>
        <w:tc>
          <w:tcPr>
            <w:tcW w:w="4780" w:type="dxa"/>
            <w:vAlign w:val="bottom"/>
            <w:gridSpan w:val="2"/>
          </w:tcPr>
          <w:p>
            <w:pPr>
              <w:ind w:left="100"/>
              <w:spacing w:after="0"/>
              <w:rPr>
                <w:sz w:val="20"/>
                <w:szCs w:val="20"/>
                <w:color w:val="auto"/>
              </w:rPr>
            </w:pPr>
            <w:r>
              <w:rPr>
                <w:rFonts w:ascii="Arial" w:cs="Arial" w:eastAsia="Arial" w:hAnsi="Arial"/>
                <w:sz w:val="18"/>
                <w:szCs w:val="18"/>
                <w:color w:val="auto"/>
              </w:rPr>
              <w:t>development</w:t>
            </w:r>
          </w:p>
        </w:tc>
      </w:tr>
      <w:tr>
        <w:trPr>
          <w:trHeight w:val="266"/>
        </w:trPr>
        <w:tc>
          <w:tcPr>
            <w:tcW w:w="2300" w:type="dxa"/>
            <w:vAlign w:val="bottom"/>
          </w:tcPr>
          <w:p>
            <w:pPr>
              <w:spacing w:after="0"/>
              <w:rPr>
                <w:sz w:val="20"/>
                <w:szCs w:val="20"/>
                <w:color w:val="auto"/>
              </w:rPr>
            </w:pPr>
            <w:r>
              <w:rPr>
                <w:rFonts w:ascii="Arial" w:cs="Arial" w:eastAsia="Arial" w:hAnsi="Arial"/>
                <w:sz w:val="22"/>
                <w:szCs w:val="22"/>
                <w:color w:val="auto"/>
              </w:rPr>
              <w:t>____________</w:t>
            </w:r>
          </w:p>
        </w:tc>
        <w:tc>
          <w:tcPr>
            <w:tcW w:w="1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ind w:left="520" w:right="60" w:hanging="512"/>
        <w:spacing w:after="0" w:line="276"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property is subject to a mortgage in favor of East West Bank and Comerica bank, securing our long-term debt obligations. Construction began in January 2015 on new facilities to expand our laser fabrication facilities and office space in Sugar Land, Texas. These facilities add 115,600 square feet of additional space to our original facility. We expect to fully occupy these new facilities by April 2016.</w:t>
      </w:r>
    </w:p>
    <w:p>
      <w:pPr>
        <w:spacing w:after="0" w:line="173" w:lineRule="exact"/>
        <w:rPr>
          <w:rFonts w:ascii="Arial" w:cs="Arial" w:eastAsia="Arial" w:hAnsi="Arial"/>
          <w:sz w:val="17"/>
          <w:szCs w:val="17"/>
          <w:color w:val="auto"/>
        </w:rPr>
      </w:pPr>
    </w:p>
    <w:p>
      <w:pPr>
        <w:ind w:left="520" w:right="80" w:hanging="512"/>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opened a new research and development office in November 2015 and moved from our temporary location in Lawrenceville, Georgia to the office in Duluth, Georgia at the end of February 2016.</w:t>
      </w:r>
    </w:p>
    <w:p>
      <w:pPr>
        <w:spacing w:after="0" w:line="170" w:lineRule="exact"/>
        <w:rPr>
          <w:rFonts w:ascii="Arial" w:cs="Arial" w:eastAsia="Arial" w:hAnsi="Arial"/>
          <w:sz w:val="18"/>
          <w:szCs w:val="18"/>
          <w:color w:val="auto"/>
        </w:rPr>
      </w:pPr>
    </w:p>
    <w:p>
      <w:pPr>
        <w:ind w:left="520" w:right="100" w:hanging="512"/>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China subsidiary acquired the land use rights to the real property on which our new facility is located from the Chinese government. The land use rights expire on October 7, 2054. Our China subsidiary owns the facility located on the property.</w:t>
      </w:r>
    </w:p>
    <w:p>
      <w:pPr>
        <w:spacing w:after="0" w:line="170" w:lineRule="exact"/>
        <w:rPr>
          <w:rFonts w:ascii="Arial" w:cs="Arial" w:eastAsia="Arial" w:hAnsi="Arial"/>
          <w:sz w:val="18"/>
          <w:szCs w:val="18"/>
          <w:color w:val="auto"/>
        </w:rPr>
      </w:pPr>
    </w:p>
    <w:p>
      <w:pPr>
        <w:ind w:left="520" w:right="340" w:hanging="512"/>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Taiwan subsidiary relocated its entire operation to this new facility in November 2014. Lease covering the new facility commenced on June 1, 2014 and expires on May 31, 2029.</w:t>
      </w:r>
    </w:p>
    <w:p>
      <w:pPr>
        <w:spacing w:after="0" w:line="170" w:lineRule="exact"/>
        <w:rPr>
          <w:rFonts w:ascii="Arial" w:cs="Arial" w:eastAsia="Arial" w:hAnsi="Arial"/>
          <w:sz w:val="18"/>
          <w:szCs w:val="18"/>
          <w:color w:val="auto"/>
        </w:rPr>
      </w:pPr>
    </w:p>
    <w:p>
      <w:pPr>
        <w:ind w:left="520" w:right="20" w:hanging="512"/>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expect to vacate our leased R&amp;D facility in Sugar Land upon the completion of our new owned facility in Sugar Land, which we anticipate to be in April 2016. Accordingly, we do not expect to renew the lease for the current leased facility in Sugar Land.</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anticipate that we will from time to time be subject to various claims and legal actions during the ordinary course of our business. We are not aware of any material claims or legal actions to which we, our properties or our officers or directors are subject.</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5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0" w:name="page31"/>
    <w:bookmarkEnd w:id="30"/>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September 26, 2013, our common stock began to trade on the NASDAQ Global Market under the symbol “AAOI”. Prior to that time, there was no public market for our common stock. As of March 4, 2016 there were 75 holders of record of our common stock (not including beneficial holders of our common stock holder in street name). The following table sets forth, for the periods indicated, the high and low sales prices of our common stock as reported by the NASDAQ Global Market.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Low</w:t>
            </w:r>
          </w:p>
        </w:tc>
        <w:tc>
          <w:tcPr>
            <w:tcW w:w="18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High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Fiscal Year 2013:</w:t>
            </w:r>
          </w:p>
        </w:tc>
        <w:tc>
          <w:tcPr>
            <w:tcW w:w="180" w:type="dxa"/>
            <w:vAlign w:val="bottom"/>
            <w:tcBorders>
              <w:top w:val="single" w:sz="8" w:color="auto"/>
            </w:tcBorders>
            <w:shd w:val="clear" w:color="auto" w:fill="EEEEEE"/>
          </w:tcPr>
          <w:p>
            <w:pPr>
              <w:spacing w:after="0"/>
              <w:rPr>
                <w:sz w:val="18"/>
                <w:szCs w:val="18"/>
                <w:color w:val="auto"/>
              </w:rPr>
            </w:pPr>
          </w:p>
        </w:tc>
        <w:tc>
          <w:tcPr>
            <w:tcW w:w="7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76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Third Quarter</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9.37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Fourth Quarter</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9.07</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Fiscal Year 2014:</w:t>
            </w: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First Quarter</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11.19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Second Quarter</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15.52</w:t>
            </w:r>
          </w:p>
        </w:tc>
        <w:tc>
          <w:tcPr>
            <w:tcW w:w="560" w:type="dxa"/>
            <w:vAlign w:val="bottom"/>
            <w:shd w:val="clear" w:color="auto" w:fill="EEEEEE"/>
          </w:tcPr>
          <w:p>
            <w:pPr>
              <w:spacing w:after="0"/>
              <w:rPr>
                <w:sz w:val="18"/>
                <w:szCs w:val="18"/>
                <w:color w:val="auto"/>
              </w:rPr>
            </w:pP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Third Quarter</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15.61</w:t>
            </w:r>
          </w:p>
        </w:tc>
        <w:tc>
          <w:tcPr>
            <w:tcW w:w="5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Fourth Quarter</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9.26</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Fiscal Year 2015:</w:t>
            </w: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First Quarter</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8.38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Second Quarter</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13.02</w:t>
            </w:r>
          </w:p>
        </w:tc>
        <w:tc>
          <w:tcPr>
            <w:tcW w:w="560" w:type="dxa"/>
            <w:vAlign w:val="bottom"/>
            <w:shd w:val="clear" w:color="auto" w:fill="EEEEEE"/>
          </w:tcPr>
          <w:p>
            <w:pPr>
              <w:spacing w:after="0"/>
              <w:rPr>
                <w:sz w:val="18"/>
                <w:szCs w:val="18"/>
                <w:color w:val="auto"/>
              </w:rPr>
            </w:pP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Third Quarter</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16.05</w:t>
            </w:r>
          </w:p>
        </w:tc>
        <w:tc>
          <w:tcPr>
            <w:tcW w:w="5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Fourth Quarter</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16.11</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796" w:right="319" w:bottom="1440" w:gutter="0" w:footer="0" w:header="0"/>
        </w:sectPr>
      </w:pPr>
    </w:p>
    <w:bookmarkStart w:id="31" w:name="page32"/>
    <w:bookmarkEnd w:id="31"/>
    <w:p>
      <w:pPr>
        <w:ind w:right="140" w:firstLine="648"/>
        <w:spacing w:after="0" w:line="255" w:lineRule="auto"/>
        <w:rPr>
          <w:sz w:val="20"/>
          <w:szCs w:val="20"/>
          <w:color w:val="auto"/>
        </w:rPr>
      </w:pPr>
      <w:r>
        <w:rPr>
          <w:rFonts w:ascii="Arial" w:cs="Arial" w:eastAsia="Arial" w:hAnsi="Arial"/>
          <w:sz w:val="18"/>
          <w:szCs w:val="18"/>
          <w:color w:val="auto"/>
        </w:rPr>
        <w:t>The graph below shows the cumulative total stockholder return of an investment of $100 (and the reinvestment of any dividends thereafter) on September 26, 2013 (the first trading day of our common stock) in (i) our common stock, (ii) the NASDAQ Composite Index and (iii) the NASDAQ Telecommunications Index. Our stock price performance shown in the graph below is not indicative of future stock price performance. The following graph and related information shall not be deemed “soliciting material” or be deemed to be “filed” with the SEC, nor shall such information be incorporated by reference into any future filing, except to the extent that we specifically state that such graph and related information are incorporated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131445</wp:posOffset>
            </wp:positionV>
            <wp:extent cx="5360035" cy="32848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60035" cy="328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PERCENT CHANGE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7"/>
              </w:rPr>
              <w:t>NASDAQ</w:t>
            </w:r>
          </w:p>
        </w:tc>
        <w:tc>
          <w:tcPr>
            <w:tcW w:w="2060" w:type="dxa"/>
            <w:vAlign w:val="bottom"/>
            <w:tcBorders>
              <w:top w:val="single" w:sz="8" w:color="auto"/>
            </w:tcBorders>
          </w:tcPr>
          <w:p>
            <w:pPr>
              <w:ind w:left="620"/>
              <w:spacing w:after="0" w:line="191" w:lineRule="exact"/>
              <w:rPr>
                <w:sz w:val="20"/>
                <w:szCs w:val="20"/>
                <w:color w:val="auto"/>
              </w:rPr>
            </w:pPr>
            <w:r>
              <w:rPr>
                <w:rFonts w:ascii="Arial" w:cs="Arial" w:eastAsia="Arial" w:hAnsi="Arial"/>
                <w:sz w:val="18"/>
                <w:szCs w:val="18"/>
                <w:b w:val="1"/>
                <w:bCs w:val="1"/>
                <w:color w:val="auto"/>
              </w:rPr>
              <w:t>NASDAQ</w:t>
            </w:r>
          </w:p>
        </w:tc>
      </w:tr>
      <w:tr>
        <w:trPr>
          <w:trHeight w:val="234"/>
        </w:trPr>
        <w:tc>
          <w:tcPr>
            <w:tcW w:w="2160" w:type="dxa"/>
            <w:vAlign w:val="bottom"/>
            <w:gridSpan w:val="2"/>
          </w:tcPr>
          <w:p>
            <w:pPr>
              <w:ind w:left="860"/>
              <w:spacing w:after="0"/>
              <w:rPr>
                <w:sz w:val="20"/>
                <w:szCs w:val="20"/>
                <w:color w:val="auto"/>
              </w:rPr>
            </w:pPr>
            <w:r>
              <w:rPr>
                <w:rFonts w:ascii="Arial" w:cs="Arial" w:eastAsia="Arial" w:hAnsi="Arial"/>
                <w:sz w:val="18"/>
                <w:szCs w:val="18"/>
                <w:b w:val="1"/>
                <w:bCs w:val="1"/>
                <w:color w:val="auto"/>
              </w:rPr>
              <w:t>Date</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AAOI</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Telecom</w:t>
            </w:r>
          </w:p>
        </w:tc>
        <w:tc>
          <w:tcPr>
            <w:tcW w:w="2060" w:type="dxa"/>
            <w:vAlign w:val="bottom"/>
          </w:tcPr>
          <w:p>
            <w:pPr>
              <w:ind w:left="620"/>
              <w:spacing w:after="0"/>
              <w:rPr>
                <w:sz w:val="20"/>
                <w:szCs w:val="20"/>
                <w:color w:val="auto"/>
              </w:rPr>
            </w:pPr>
            <w:r>
              <w:rPr>
                <w:rFonts w:ascii="Arial" w:cs="Arial" w:eastAsia="Arial" w:hAnsi="Arial"/>
                <w:sz w:val="18"/>
                <w:szCs w:val="18"/>
                <w:b w:val="1"/>
                <w:bCs w:val="1"/>
                <w:color w:val="auto"/>
              </w:rPr>
              <w:t>Composite</w:t>
            </w:r>
          </w:p>
        </w:tc>
      </w:tr>
      <w:tr>
        <w:trPr>
          <w:trHeight w:val="210"/>
        </w:trPr>
        <w:tc>
          <w:tcPr>
            <w:tcW w:w="20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2"/>
              </w:rPr>
              <w:t>9/26/2013</w:t>
            </w:r>
          </w:p>
        </w:tc>
        <w:tc>
          <w:tcPr>
            <w:tcW w:w="100" w:type="dxa"/>
            <w:vAlign w:val="bottom"/>
            <w:tcBorders>
              <w:top w:val="single" w:sz="8" w:color="EEEEEE"/>
            </w:tcBorders>
            <w:shd w:val="clear" w:color="auto" w:fill="EEEEEE"/>
          </w:tcPr>
          <w:p>
            <w:pPr>
              <w:spacing w:after="0"/>
              <w:rPr>
                <w:sz w:val="18"/>
                <w:szCs w:val="18"/>
                <w:color w:val="auto"/>
              </w:rPr>
            </w:pPr>
          </w:p>
        </w:tc>
        <w:tc>
          <w:tcPr>
            <w:tcW w:w="20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100.00%</w:t>
            </w:r>
          </w:p>
        </w:tc>
        <w:tc>
          <w:tcPr>
            <w:tcW w:w="100" w:type="dxa"/>
            <w:vAlign w:val="bottom"/>
            <w:tcBorders>
              <w:top w:val="single" w:sz="8" w:color="EEEEEE"/>
            </w:tcBorders>
            <w:shd w:val="clear" w:color="auto" w:fill="EEEEEE"/>
          </w:tcPr>
          <w:p>
            <w:pPr>
              <w:spacing w:after="0"/>
              <w:rPr>
                <w:sz w:val="18"/>
                <w:szCs w:val="18"/>
                <w:color w:val="auto"/>
              </w:rPr>
            </w:pPr>
          </w:p>
        </w:tc>
        <w:tc>
          <w:tcPr>
            <w:tcW w:w="20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100.00%</w:t>
            </w:r>
          </w:p>
        </w:tc>
        <w:tc>
          <w:tcPr>
            <w:tcW w:w="120" w:type="dxa"/>
            <w:vAlign w:val="bottom"/>
            <w:tcBorders>
              <w:top w:val="single" w:sz="8" w:color="EEEEEE"/>
            </w:tcBorders>
            <w:shd w:val="clear" w:color="auto" w:fill="EEEEEE"/>
          </w:tcPr>
          <w:p>
            <w:pPr>
              <w:spacing w:after="0"/>
              <w:rPr>
                <w:sz w:val="18"/>
                <w:szCs w:val="18"/>
                <w:color w:val="auto"/>
              </w:rPr>
            </w:pPr>
          </w:p>
        </w:tc>
        <w:tc>
          <w:tcPr>
            <w:tcW w:w="20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100.00%</w:t>
            </w: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2"/>
              </w:rPr>
              <w:t>9/30/2013</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100.40%</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99.42%</w:t>
            </w: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99.58%</w:t>
            </w:r>
          </w:p>
        </w:tc>
      </w:tr>
      <w:tr>
        <w:trPr>
          <w:trHeight w:val="216"/>
        </w:trPr>
        <w:tc>
          <w:tcPr>
            <w:tcW w:w="2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12/31/2013</w:t>
            </w:r>
          </w:p>
        </w:tc>
        <w:tc>
          <w:tcPr>
            <w:tcW w:w="100" w:type="dxa"/>
            <w:vAlign w:val="bottom"/>
            <w:shd w:val="clear" w:color="auto" w:fill="EEEEEE"/>
          </w:tcPr>
          <w:p>
            <w:pPr>
              <w:spacing w:after="0"/>
              <w:rPr>
                <w:sz w:val="18"/>
                <w:szCs w:val="18"/>
                <w:color w:val="auto"/>
              </w:rPr>
            </w:pPr>
          </w:p>
        </w:tc>
        <w:tc>
          <w:tcPr>
            <w:tcW w:w="2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150.70%</w:t>
            </w:r>
          </w:p>
        </w:tc>
        <w:tc>
          <w:tcPr>
            <w:tcW w:w="100" w:type="dxa"/>
            <w:vAlign w:val="bottom"/>
            <w:shd w:val="clear" w:color="auto" w:fill="EEEEEE"/>
          </w:tcPr>
          <w:p>
            <w:pPr>
              <w:spacing w:after="0"/>
              <w:rPr>
                <w:sz w:val="18"/>
                <w:szCs w:val="18"/>
                <w:color w:val="auto"/>
              </w:rPr>
            </w:pPr>
          </w:p>
        </w:tc>
        <w:tc>
          <w:tcPr>
            <w:tcW w:w="2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102.48%</w:t>
            </w:r>
          </w:p>
        </w:tc>
        <w:tc>
          <w:tcPr>
            <w:tcW w:w="120" w:type="dxa"/>
            <w:vAlign w:val="bottom"/>
            <w:shd w:val="clear" w:color="auto" w:fill="EEEEEE"/>
          </w:tcPr>
          <w:p>
            <w:pPr>
              <w:spacing w:after="0"/>
              <w:rPr>
                <w:sz w:val="18"/>
                <w:szCs w:val="18"/>
                <w:color w:val="auto"/>
              </w:rPr>
            </w:pPr>
          </w:p>
        </w:tc>
        <w:tc>
          <w:tcPr>
            <w:tcW w:w="2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110.28%</w:t>
            </w: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2"/>
              </w:rPr>
              <w:t>3/31/2014</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247.69%</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102.84%</w:t>
            </w: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110.87%</w:t>
            </w:r>
          </w:p>
        </w:tc>
      </w:tr>
      <w:tr>
        <w:trPr>
          <w:trHeight w:val="216"/>
        </w:trPr>
        <w:tc>
          <w:tcPr>
            <w:tcW w:w="2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6/30/2014</w:t>
            </w:r>
          </w:p>
        </w:tc>
        <w:tc>
          <w:tcPr>
            <w:tcW w:w="100" w:type="dxa"/>
            <w:vAlign w:val="bottom"/>
            <w:shd w:val="clear" w:color="auto" w:fill="EEEEEE"/>
          </w:tcPr>
          <w:p>
            <w:pPr>
              <w:spacing w:after="0"/>
              <w:rPr>
                <w:sz w:val="18"/>
                <w:szCs w:val="18"/>
                <w:color w:val="auto"/>
              </w:rPr>
            </w:pPr>
          </w:p>
        </w:tc>
        <w:tc>
          <w:tcPr>
            <w:tcW w:w="2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232.93%</w:t>
            </w:r>
          </w:p>
        </w:tc>
        <w:tc>
          <w:tcPr>
            <w:tcW w:w="100" w:type="dxa"/>
            <w:vAlign w:val="bottom"/>
            <w:shd w:val="clear" w:color="auto" w:fill="EEEEEE"/>
          </w:tcPr>
          <w:p>
            <w:pPr>
              <w:spacing w:after="0"/>
              <w:rPr>
                <w:sz w:val="18"/>
                <w:szCs w:val="18"/>
                <w:color w:val="auto"/>
              </w:rPr>
            </w:pPr>
          </w:p>
        </w:tc>
        <w:tc>
          <w:tcPr>
            <w:tcW w:w="2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107.30%</w:t>
            </w:r>
          </w:p>
        </w:tc>
        <w:tc>
          <w:tcPr>
            <w:tcW w:w="120" w:type="dxa"/>
            <w:vAlign w:val="bottom"/>
            <w:shd w:val="clear" w:color="auto" w:fill="EEEEEE"/>
          </w:tcPr>
          <w:p>
            <w:pPr>
              <w:spacing w:after="0"/>
              <w:rPr>
                <w:sz w:val="18"/>
                <w:szCs w:val="18"/>
                <w:color w:val="auto"/>
              </w:rPr>
            </w:pPr>
          </w:p>
        </w:tc>
        <w:tc>
          <w:tcPr>
            <w:tcW w:w="2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116.39%</w:t>
            </w: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2"/>
              </w:rPr>
              <w:t>9/30/2014</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161.65%</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106.44%</w:t>
            </w: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118.64%</w:t>
            </w:r>
          </w:p>
        </w:tc>
      </w:tr>
      <w:tr>
        <w:trPr>
          <w:trHeight w:val="216"/>
        </w:trPr>
        <w:tc>
          <w:tcPr>
            <w:tcW w:w="2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12/31/2014</w:t>
            </w:r>
          </w:p>
        </w:tc>
        <w:tc>
          <w:tcPr>
            <w:tcW w:w="100" w:type="dxa"/>
            <w:vAlign w:val="bottom"/>
            <w:shd w:val="clear" w:color="auto" w:fill="EEEEEE"/>
          </w:tcPr>
          <w:p>
            <w:pPr>
              <w:spacing w:after="0"/>
              <w:rPr>
                <w:sz w:val="18"/>
                <w:szCs w:val="18"/>
                <w:color w:val="auto"/>
              </w:rPr>
            </w:pPr>
          </w:p>
        </w:tc>
        <w:tc>
          <w:tcPr>
            <w:tcW w:w="2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112.65%</w:t>
            </w:r>
          </w:p>
        </w:tc>
        <w:tc>
          <w:tcPr>
            <w:tcW w:w="100" w:type="dxa"/>
            <w:vAlign w:val="bottom"/>
            <w:shd w:val="clear" w:color="auto" w:fill="EEEEEE"/>
          </w:tcPr>
          <w:p>
            <w:pPr>
              <w:spacing w:after="0"/>
              <w:rPr>
                <w:sz w:val="18"/>
                <w:szCs w:val="18"/>
                <w:color w:val="auto"/>
              </w:rPr>
            </w:pPr>
          </w:p>
        </w:tc>
        <w:tc>
          <w:tcPr>
            <w:tcW w:w="2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111.61%</w:t>
            </w:r>
          </w:p>
        </w:tc>
        <w:tc>
          <w:tcPr>
            <w:tcW w:w="120" w:type="dxa"/>
            <w:vAlign w:val="bottom"/>
            <w:shd w:val="clear" w:color="auto" w:fill="EEEEEE"/>
          </w:tcPr>
          <w:p>
            <w:pPr>
              <w:spacing w:after="0"/>
              <w:rPr>
                <w:sz w:val="18"/>
                <w:szCs w:val="18"/>
                <w:color w:val="auto"/>
              </w:rPr>
            </w:pPr>
          </w:p>
        </w:tc>
        <w:tc>
          <w:tcPr>
            <w:tcW w:w="2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125.05%</w:t>
            </w: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2"/>
              </w:rPr>
              <w:t>3/31/2015</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139.36%</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110.59%</w:t>
            </w: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129.40%</w:t>
            </w:r>
          </w:p>
        </w:tc>
      </w:tr>
      <w:tr>
        <w:trPr>
          <w:trHeight w:val="216"/>
        </w:trPr>
        <w:tc>
          <w:tcPr>
            <w:tcW w:w="2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6/30/2015</w:t>
            </w:r>
          </w:p>
        </w:tc>
        <w:tc>
          <w:tcPr>
            <w:tcW w:w="100" w:type="dxa"/>
            <w:vAlign w:val="bottom"/>
            <w:shd w:val="clear" w:color="auto" w:fill="EEEEEE"/>
          </w:tcPr>
          <w:p>
            <w:pPr>
              <w:spacing w:after="0"/>
              <w:rPr>
                <w:sz w:val="18"/>
                <w:szCs w:val="18"/>
                <w:color w:val="auto"/>
              </w:rPr>
            </w:pPr>
          </w:p>
        </w:tc>
        <w:tc>
          <w:tcPr>
            <w:tcW w:w="2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174.30%</w:t>
            </w:r>
          </w:p>
        </w:tc>
        <w:tc>
          <w:tcPr>
            <w:tcW w:w="100" w:type="dxa"/>
            <w:vAlign w:val="bottom"/>
            <w:shd w:val="clear" w:color="auto" w:fill="EEEEEE"/>
          </w:tcPr>
          <w:p>
            <w:pPr>
              <w:spacing w:after="0"/>
              <w:rPr>
                <w:sz w:val="18"/>
                <w:szCs w:val="18"/>
                <w:color w:val="auto"/>
              </w:rPr>
            </w:pPr>
          </w:p>
        </w:tc>
        <w:tc>
          <w:tcPr>
            <w:tcW w:w="2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109.10%</w:t>
            </w:r>
          </w:p>
        </w:tc>
        <w:tc>
          <w:tcPr>
            <w:tcW w:w="120" w:type="dxa"/>
            <w:vAlign w:val="bottom"/>
            <w:shd w:val="clear" w:color="auto" w:fill="EEEEEE"/>
          </w:tcPr>
          <w:p>
            <w:pPr>
              <w:spacing w:after="0"/>
              <w:rPr>
                <w:sz w:val="18"/>
                <w:szCs w:val="18"/>
                <w:color w:val="auto"/>
              </w:rPr>
            </w:pPr>
          </w:p>
        </w:tc>
        <w:tc>
          <w:tcPr>
            <w:tcW w:w="2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131.67%</w:t>
            </w: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2"/>
              </w:rPr>
              <w:t>9/30/2015</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188.55%</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100.38%</w:t>
            </w:r>
          </w:p>
        </w:tc>
        <w:tc>
          <w:tcPr>
            <w:tcW w:w="1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121.99%</w:t>
            </w:r>
          </w:p>
        </w:tc>
      </w:tr>
      <w:tr>
        <w:trPr>
          <w:trHeight w:val="216"/>
        </w:trPr>
        <w:tc>
          <w:tcPr>
            <w:tcW w:w="2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12/31/2015</w:t>
            </w:r>
          </w:p>
        </w:tc>
        <w:tc>
          <w:tcPr>
            <w:tcW w:w="100" w:type="dxa"/>
            <w:vAlign w:val="bottom"/>
            <w:shd w:val="clear" w:color="auto" w:fill="EEEEEE"/>
          </w:tcPr>
          <w:p>
            <w:pPr>
              <w:spacing w:after="0"/>
              <w:rPr>
                <w:sz w:val="18"/>
                <w:szCs w:val="18"/>
                <w:color w:val="auto"/>
              </w:rPr>
            </w:pPr>
          </w:p>
        </w:tc>
        <w:tc>
          <w:tcPr>
            <w:tcW w:w="2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172.29%</w:t>
            </w:r>
          </w:p>
        </w:tc>
        <w:tc>
          <w:tcPr>
            <w:tcW w:w="100" w:type="dxa"/>
            <w:vAlign w:val="bottom"/>
            <w:shd w:val="clear" w:color="auto" w:fill="EEEEEE"/>
          </w:tcPr>
          <w:p>
            <w:pPr>
              <w:spacing w:after="0"/>
              <w:rPr>
                <w:sz w:val="18"/>
                <w:szCs w:val="18"/>
                <w:color w:val="auto"/>
              </w:rPr>
            </w:pPr>
          </w:p>
        </w:tc>
        <w:tc>
          <w:tcPr>
            <w:tcW w:w="2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103.25%</w:t>
            </w:r>
          </w:p>
        </w:tc>
        <w:tc>
          <w:tcPr>
            <w:tcW w:w="120" w:type="dxa"/>
            <w:vAlign w:val="bottom"/>
            <w:shd w:val="clear" w:color="auto" w:fill="EEEEEE"/>
          </w:tcPr>
          <w:p>
            <w:pPr>
              <w:spacing w:after="0"/>
              <w:rPr>
                <w:sz w:val="18"/>
                <w:szCs w:val="18"/>
                <w:color w:val="auto"/>
              </w:rPr>
            </w:pPr>
          </w:p>
        </w:tc>
        <w:tc>
          <w:tcPr>
            <w:tcW w:w="20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132.21%</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equity compensation plan information refer to Item 12 of this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 Policy</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have never declared or paid any cash dividends on our capital stock, and we do not anticipate paying any cash dividends on our common stock for the foreseeable future. We currently intend to retain all available funds and future earnings for use in the operation and expansion of our business. Any future determination to pay cash dividends will be at the discretion of our board of directors and will depend upon our financial condition, results of operations, terms of financing arrangements, applicable Delaware law, capital requirements and such other factors as our board of directors deems relevant. In addition, the terms of our loan agreements governing our long-term debt obligations restricts us from paying dividends.</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Selected Financial Data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200" w:firstLine="648"/>
        <w:spacing w:after="0" w:line="290" w:lineRule="auto"/>
        <w:rPr>
          <w:sz w:val="20"/>
          <w:szCs w:val="20"/>
          <w:color w:val="auto"/>
        </w:rPr>
      </w:pPr>
      <w:r>
        <w:rPr>
          <w:rFonts w:ascii="Arial" w:cs="Arial" w:eastAsia="Arial" w:hAnsi="Arial"/>
          <w:sz w:val="16"/>
          <w:szCs w:val="16"/>
          <w:color w:val="auto"/>
        </w:rPr>
        <w:t>The selected consolidated financial data in this section is not intended to replace our consolidated financial statements and the related notes. You should read this summary consolidated financial data together with the sections titled “Management’s Discussion and Analysis of Financial Condition and Results of Operations” and our audited consolidated financial statements and related notes, all included elsewhere in this Annual Report on Form 10-K. We derived the consolidated statements of operations data for the years ended December 31, 2015, 2014 and 2013 and the consolidated balance sheet data as of December 31, 2015 and 2014 from our consolidated financial statements appearing elsewhere in this Annual Report on Form 10-K. The consolidated statement of operations data for the years ended December 31, 2012 and 2011 and the consolidated balance sheet data as of December 31, 2013, 2012 and 2011 are derived from our audited consolidated financial statements that have previously been filed with the SEC. Our historical results are not necessarily indicative of the results to be expected in the future and results of interim periods are not necessarily indicative of results for the entire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0" w:type="dxa"/>
            <w:vAlign w:val="bottom"/>
            <w:gridSpan w:val="7"/>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4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80" w:type="dxa"/>
            <w:vAlign w:val="bottom"/>
            <w:gridSpan w:val="10"/>
          </w:tcPr>
          <w:p>
            <w:pPr>
              <w:jc w:val="right"/>
              <w:ind w:right="200"/>
              <w:spacing w:after="0"/>
              <w:rPr>
                <w:sz w:val="20"/>
                <w:szCs w:val="20"/>
                <w:color w:val="auto"/>
              </w:rPr>
            </w:pPr>
            <w:r>
              <w:rPr>
                <w:rFonts w:ascii="Arial" w:cs="Arial" w:eastAsia="Arial" w:hAnsi="Arial"/>
                <w:sz w:val="18"/>
                <w:szCs w:val="18"/>
                <w:b w:val="1"/>
                <w:bCs w:val="1"/>
                <w:color w:val="auto"/>
                <w:w w:val="89"/>
              </w:rPr>
              <w:t>(in thousands, except share and per share data)</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28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189,903</w:t>
            </w:r>
          </w:p>
        </w:tc>
        <w:tc>
          <w:tcPr>
            <w:tcW w:w="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130,449</w:t>
            </w:r>
          </w:p>
        </w:tc>
        <w:tc>
          <w:tcPr>
            <w:tcW w:w="32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78,424</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63,421</w:t>
            </w:r>
          </w:p>
        </w:tc>
        <w:tc>
          <w:tcPr>
            <w:tcW w:w="32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47,840</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Cost of goods sold (1)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129,450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86,203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55,396</w:t>
            </w:r>
          </w:p>
        </w:tc>
        <w:tc>
          <w:tcPr>
            <w:tcW w:w="3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44,492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34,468</w:t>
            </w:r>
          </w:p>
        </w:tc>
        <w:tc>
          <w:tcPr>
            <w:tcW w:w="0" w:type="dxa"/>
            <w:vAlign w:val="bottom"/>
          </w:tcPr>
          <w:p>
            <w:pPr>
              <w:spacing w:after="0"/>
              <w:rPr>
                <w:sz w:val="1"/>
                <w:szCs w:val="1"/>
                <w:color w:val="auto"/>
              </w:rPr>
            </w:pPr>
          </w:p>
        </w:tc>
      </w:tr>
      <w:tr>
        <w:trPr>
          <w:trHeight w:val="210"/>
        </w:trPr>
        <w:tc>
          <w:tcPr>
            <w:tcW w:w="4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spacing w:after="0"/>
              <w:rPr>
                <w:sz w:val="18"/>
                <w:szCs w:val="18"/>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60,453</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spacing w:after="0"/>
              <w:rPr>
                <w:sz w:val="18"/>
                <w:szCs w:val="18"/>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44,246</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23,028</w:t>
            </w:r>
          </w:p>
        </w:tc>
        <w:tc>
          <w:tcPr>
            <w:tcW w:w="2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18,929</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13,372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Research and development (1)</w:t>
            </w: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20,852</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15,970</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8,512</w:t>
            </w:r>
          </w:p>
        </w:tc>
        <w:tc>
          <w:tcPr>
            <w:tcW w:w="3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7,603</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Sales and marketing (1)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6,381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6,043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4,191</w:t>
            </w:r>
          </w:p>
        </w:tc>
        <w:tc>
          <w:tcPr>
            <w:tcW w:w="3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3,135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30"/>
        </w:trPr>
        <w:tc>
          <w:tcPr>
            <w:tcW w:w="4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General and administrative (1)</w:t>
            </w:r>
          </w:p>
        </w:tc>
        <w:tc>
          <w:tcPr>
            <w:tcW w:w="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19,771</w:t>
            </w:r>
          </w:p>
        </w:tc>
        <w:tc>
          <w:tcPr>
            <w:tcW w:w="1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17,095</w:t>
            </w:r>
          </w:p>
        </w:tc>
        <w:tc>
          <w:tcPr>
            <w:tcW w:w="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10,632</w:t>
            </w:r>
          </w:p>
        </w:tc>
        <w:tc>
          <w:tcPr>
            <w:tcW w:w="30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8,012</w:t>
            </w:r>
          </w:p>
        </w:tc>
        <w:tc>
          <w:tcPr>
            <w:tcW w:w="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EEEEEE"/>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47,004</w:t>
            </w:r>
          </w:p>
        </w:tc>
        <w:tc>
          <w:tcPr>
            <w:tcW w:w="1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39,108</w:t>
            </w:r>
          </w:p>
        </w:tc>
        <w:tc>
          <w:tcPr>
            <w:tcW w:w="1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23,335</w:t>
            </w:r>
          </w:p>
        </w:tc>
        <w:tc>
          <w:tcPr>
            <w:tcW w:w="20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18,750</w:t>
            </w:r>
          </w:p>
        </w:tc>
        <w:tc>
          <w:tcPr>
            <w:tcW w:w="1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17,106</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13,449</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5,138</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(307)</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(3,734)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Interest income</w:t>
            </w: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(1,125)</w:t>
            </w: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30"/>
        </w:trPr>
        <w:tc>
          <w:tcPr>
            <w:tcW w:w="4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Other income (expense), net</w:t>
            </w:r>
          </w:p>
        </w:tc>
        <w:tc>
          <w:tcPr>
            <w:tcW w:w="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(699)</w:t>
            </w:r>
          </w:p>
        </w:tc>
        <w:tc>
          <w:tcPr>
            <w:tcW w:w="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231</w:t>
            </w:r>
          </w:p>
        </w:tc>
        <w:tc>
          <w:tcPr>
            <w:tcW w:w="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 interest and other income (expense), net</w:t>
            </w:r>
          </w:p>
        </w:tc>
        <w:tc>
          <w:tcPr>
            <w:tcW w:w="60" w:type="dxa"/>
            <w:vAlign w:val="bottom"/>
            <w:tcBorders>
              <w:bottom w:val="single" w:sz="8" w:color="EEEEEE"/>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160" w:type="dxa"/>
            <w:vAlign w:val="bottom"/>
            <w:tcBorders>
              <w:bottom w:val="single" w:sz="8" w:color="EEEEEE"/>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4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Income (loss) before income taxes</w:t>
            </w: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11,168</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4,482</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(1,406)</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(945)</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(5,328)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 (loss) attributable to common stockholders</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10,793</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4,283</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(1,406</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(945</w:t>
            </w:r>
          </w:p>
        </w:tc>
        <w:tc>
          <w:tcPr>
            <w:tcW w:w="14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(5,328</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line="195" w:lineRule="exact"/>
              <w:rPr>
                <w:sz w:val="20"/>
                <w:szCs w:val="20"/>
                <w:color w:val="auto"/>
              </w:rPr>
            </w:pPr>
            <w:r>
              <w:rPr>
                <w:rFonts w:ascii="Arial" w:cs="Arial" w:eastAsia="Arial" w:hAnsi="Arial"/>
                <w:sz w:val="18"/>
                <w:szCs w:val="18"/>
                <w:color w:val="auto"/>
              </w:rPr>
              <w:t>Net income (loss) per share attributable to common</w:t>
            </w: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0.69</w:t>
            </w:r>
          </w:p>
        </w:tc>
        <w:tc>
          <w:tcPr>
            <w:tcW w:w="3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0.30</w:t>
            </w:r>
          </w:p>
        </w:tc>
        <w:tc>
          <w:tcPr>
            <w:tcW w:w="32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(0.14)</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(3.56)</w:t>
            </w:r>
          </w:p>
        </w:tc>
        <w:tc>
          <w:tcPr>
            <w:tcW w:w="32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
        </w:trPr>
        <w:tc>
          <w:tcPr>
            <w:tcW w:w="4640" w:type="dxa"/>
            <w:vAlign w:val="bottom"/>
            <w:tcBorders>
              <w:top w:val="single" w:sz="8" w:color="EEEEEE"/>
              <w:bottom w:val="single" w:sz="8" w:color="EEEEEE"/>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60" w:type="dxa"/>
            <w:vAlign w:val="bottom"/>
            <w:tcBorders>
              <w:top w:val="single" w:sz="8" w:color="EEEEEE"/>
              <w:bottom w:val="single" w:sz="8" w:color="EEEEEE"/>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bottom w:val="single" w:sz="8" w:color="EEEEEE"/>
            </w:tcBorders>
            <w:vMerge w:val="restart"/>
          </w:tcPr>
          <w:p>
            <w:pPr>
              <w:spacing w:after="0" w:line="20" w:lineRule="exact"/>
              <w:rPr>
                <w:sz w:val="1"/>
                <w:szCs w:val="1"/>
                <w:color w:val="auto"/>
              </w:rPr>
            </w:pPr>
          </w:p>
        </w:tc>
        <w:tc>
          <w:tcPr>
            <w:tcW w:w="100" w:type="dxa"/>
            <w:vAlign w:val="bottom"/>
            <w:tcBorders>
              <w:top w:val="single" w:sz="8" w:color="EEEEEE"/>
              <w:bottom w:val="single" w:sz="8" w:color="EEEEEE"/>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bottom w:val="single" w:sz="8" w:color="EEEEEE"/>
            </w:tcBorders>
            <w:vMerge w:val="restart"/>
          </w:tcPr>
          <w:p>
            <w:pPr>
              <w:spacing w:after="0" w:line="20" w:lineRule="exact"/>
              <w:rPr>
                <w:sz w:val="1"/>
                <w:szCs w:val="1"/>
                <w:color w:val="auto"/>
              </w:rPr>
            </w:pPr>
          </w:p>
        </w:tc>
        <w:tc>
          <w:tcPr>
            <w:tcW w:w="80" w:type="dxa"/>
            <w:vAlign w:val="bottom"/>
            <w:tcBorders>
              <w:top w:val="single" w:sz="8" w:color="EEEEEE"/>
              <w:bottom w:val="single" w:sz="8" w:color="EEEEEE"/>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bottom w:val="single" w:sz="8" w:color="EEEEEE"/>
            </w:tcBorders>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bottom w:val="single" w:sz="8" w:color="EEEEEE"/>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EEEEEE"/>
              <w:bottom w:val="single" w:sz="8" w:color="EEEEEE"/>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bottom w:val="single" w:sz="8" w:color="EEEEEE"/>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640" w:type="dxa"/>
            <w:vAlign w:val="bottom"/>
            <w:tcBorders>
              <w:bottom w:val="single" w:sz="8" w:color="EEEEEE"/>
            </w:tcBorders>
            <w:vMerge w:val="continue"/>
          </w:tcPr>
          <w:p>
            <w:pPr>
              <w:spacing w:after="0"/>
              <w:rPr>
                <w:sz w:val="20"/>
                <w:szCs w:val="20"/>
                <w:color w:val="auto"/>
              </w:rPr>
            </w:pPr>
          </w:p>
        </w:tc>
        <w:tc>
          <w:tcPr>
            <w:tcW w:w="60" w:type="dxa"/>
            <w:vAlign w:val="bottom"/>
            <w:tcBorders>
              <w:bottom w:val="single" w:sz="8" w:color="EEEEEE"/>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0.65</w:t>
            </w:r>
          </w:p>
        </w:tc>
        <w:tc>
          <w:tcPr>
            <w:tcW w:w="160" w:type="dxa"/>
            <w:vAlign w:val="bottom"/>
            <w:tcBorders>
              <w:bottom w:val="single" w:sz="8" w:color="EEEEEE"/>
            </w:tcBorders>
            <w:vMerge w:val="continue"/>
          </w:tcPr>
          <w:p>
            <w:pPr>
              <w:spacing w:after="0"/>
              <w:rPr>
                <w:sz w:val="20"/>
                <w:szCs w:val="20"/>
                <w:color w:val="auto"/>
              </w:rPr>
            </w:pPr>
          </w:p>
        </w:tc>
        <w:tc>
          <w:tcPr>
            <w:tcW w:w="100" w:type="dxa"/>
            <w:vAlign w:val="bottom"/>
            <w:tcBorders>
              <w:bottom w:val="single" w:sz="8" w:color="EEEEEE"/>
            </w:tcBorders>
            <w:vMerge w:val="continue"/>
          </w:tcPr>
          <w:p>
            <w:pPr>
              <w:spacing w:after="0"/>
              <w:rPr>
                <w:sz w:val="20"/>
                <w:szCs w:val="20"/>
                <w:color w:val="auto"/>
              </w:rPr>
            </w:pP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0.28</w:t>
            </w:r>
          </w:p>
        </w:tc>
        <w:tc>
          <w:tcPr>
            <w:tcW w:w="140" w:type="dxa"/>
            <w:vAlign w:val="bottom"/>
            <w:tcBorders>
              <w:bottom w:val="single" w:sz="8" w:color="EEEEEE"/>
            </w:tcBorders>
            <w:vMerge w:val="continue"/>
          </w:tcPr>
          <w:p>
            <w:pPr>
              <w:spacing w:after="0"/>
              <w:rPr>
                <w:sz w:val="20"/>
                <w:szCs w:val="20"/>
                <w:color w:val="auto"/>
              </w:rPr>
            </w:pPr>
          </w:p>
        </w:tc>
        <w:tc>
          <w:tcPr>
            <w:tcW w:w="80" w:type="dxa"/>
            <w:vAlign w:val="bottom"/>
            <w:tcBorders>
              <w:bottom w:val="single" w:sz="8" w:color="EEEEEE"/>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(0.14</w:t>
            </w:r>
          </w:p>
        </w:tc>
        <w:tc>
          <w:tcPr>
            <w:tcW w:w="200" w:type="dxa"/>
            <w:vAlign w:val="bottom"/>
            <w:tcBorders>
              <w:bottom w:val="single" w:sz="8" w:color="EEEEEE"/>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(3.56</w:t>
            </w:r>
          </w:p>
        </w:tc>
        <w:tc>
          <w:tcPr>
            <w:tcW w:w="140" w:type="dxa"/>
            <w:vAlign w:val="bottom"/>
            <w:tcBorders>
              <w:bottom w:val="single" w:sz="8" w:color="EEEEEE"/>
            </w:tcBorders>
            <w:vMerge w:val="continue"/>
          </w:tcPr>
          <w:p>
            <w:pPr>
              <w:spacing w:after="0"/>
              <w:rPr>
                <w:sz w:val="20"/>
                <w:szCs w:val="20"/>
                <w:color w:val="auto"/>
              </w:rPr>
            </w:pPr>
          </w:p>
        </w:tc>
        <w:tc>
          <w:tcPr>
            <w:tcW w:w="80" w:type="dxa"/>
            <w:vAlign w:val="bottom"/>
            <w:tcBorders>
              <w:bottom w:val="single" w:sz="8" w:color="EEEEEE"/>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(20.21</w:t>
            </w:r>
          </w:p>
        </w:tc>
        <w:tc>
          <w:tcPr>
            <w:tcW w:w="100" w:type="dxa"/>
            <w:vAlign w:val="bottom"/>
            <w:tcBorders>
              <w:bottom w:val="single" w:sz="8" w:color="EEEEEE"/>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640" w:type="dxa"/>
            <w:vAlign w:val="bottom"/>
            <w:shd w:val="clear" w:color="auto" w:fill="EEEEEE"/>
          </w:tcPr>
          <w:p>
            <w:pPr>
              <w:spacing w:after="0" w:line="156" w:lineRule="exact"/>
              <w:rPr>
                <w:sz w:val="20"/>
                <w:szCs w:val="20"/>
                <w:color w:val="auto"/>
              </w:rPr>
            </w:pPr>
            <w:r>
              <w:rPr>
                <w:rFonts w:ascii="Arial" w:cs="Arial" w:eastAsia="Arial" w:hAnsi="Arial"/>
                <w:sz w:val="18"/>
                <w:szCs w:val="18"/>
                <w:color w:val="auto"/>
                <w:w w:val="89"/>
              </w:rPr>
              <w:t>Weighted average shares used to compute net income (loss) per</w:t>
            </w:r>
          </w:p>
        </w:tc>
        <w:tc>
          <w:tcPr>
            <w:tcW w:w="60" w:type="dxa"/>
            <w:vAlign w:val="bottom"/>
            <w:shd w:val="clear" w:color="auto" w:fill="EEEEEE"/>
          </w:tcPr>
          <w:p>
            <w:pPr>
              <w:spacing w:after="0"/>
              <w:rPr>
                <w:sz w:val="13"/>
                <w:szCs w:val="13"/>
                <w:color w:val="auto"/>
              </w:rPr>
            </w:pPr>
          </w:p>
        </w:tc>
        <w:tc>
          <w:tcPr>
            <w:tcW w:w="220" w:type="dxa"/>
            <w:vAlign w:val="bottom"/>
            <w:shd w:val="clear" w:color="auto" w:fill="EEEEEE"/>
          </w:tcPr>
          <w:p>
            <w:pPr>
              <w:spacing w:after="0"/>
              <w:rPr>
                <w:sz w:val="13"/>
                <w:szCs w:val="13"/>
                <w:color w:val="auto"/>
              </w:rPr>
            </w:pPr>
          </w:p>
        </w:tc>
        <w:tc>
          <w:tcPr>
            <w:tcW w:w="940" w:type="dxa"/>
            <w:vAlign w:val="bottom"/>
            <w:shd w:val="clear" w:color="auto" w:fill="EEEEEE"/>
          </w:tcPr>
          <w:p>
            <w:pPr>
              <w:spacing w:after="0"/>
              <w:rPr>
                <w:sz w:val="13"/>
                <w:szCs w:val="13"/>
                <w:color w:val="auto"/>
              </w:rPr>
            </w:pPr>
          </w:p>
        </w:tc>
        <w:tc>
          <w:tcPr>
            <w:tcW w:w="16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9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900" w:type="dxa"/>
            <w:vAlign w:val="bottom"/>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84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40" w:type="dxa"/>
            <w:vAlign w:val="bottom"/>
            <w:shd w:val="clear" w:color="auto" w:fill="EEEEEE"/>
          </w:tcPr>
          <w:p>
            <w:pPr>
              <w:spacing w:after="0"/>
              <w:rPr>
                <w:sz w:val="13"/>
                <w:szCs w:val="13"/>
                <w:color w:val="auto"/>
              </w:rPr>
            </w:pPr>
          </w:p>
        </w:tc>
        <w:tc>
          <w:tcPr>
            <w:tcW w:w="900" w:type="dxa"/>
            <w:vAlign w:val="bottom"/>
            <w:shd w:val="clear" w:color="auto" w:fill="EEEEEE"/>
          </w:tcPr>
          <w:p>
            <w:pPr>
              <w:spacing w:after="0"/>
              <w:rPr>
                <w:sz w:val="13"/>
                <w:szCs w:val="13"/>
                <w:color w:val="auto"/>
              </w:rPr>
            </w:pPr>
          </w:p>
        </w:tc>
        <w:tc>
          <w:tcPr>
            <w:tcW w:w="10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share attributable to common stockholders:</w:t>
            </w:r>
          </w:p>
        </w:tc>
        <w:tc>
          <w:tcPr>
            <w:tcW w:w="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640" w:type="dxa"/>
            <w:vAlign w:val="bottom"/>
          </w:tcPr>
          <w:p>
            <w:pPr>
              <w:ind w:left="360"/>
              <w:spacing w:after="0"/>
              <w:rPr>
                <w:sz w:val="20"/>
                <w:szCs w:val="20"/>
                <w:color w:val="auto"/>
              </w:rPr>
            </w:pPr>
            <w:r>
              <w:rPr>
                <w:rFonts w:ascii="Arial" w:cs="Arial" w:eastAsia="Arial" w:hAnsi="Arial"/>
                <w:sz w:val="18"/>
                <w:szCs w:val="18"/>
                <w:color w:val="auto"/>
              </w:rPr>
              <w:t>Basic</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15,626,753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14,307,477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9,964,955</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265,576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263,658</w:t>
            </w:r>
          </w:p>
        </w:tc>
        <w:tc>
          <w:tcPr>
            <w:tcW w:w="0" w:type="dxa"/>
            <w:vAlign w:val="bottom"/>
          </w:tcPr>
          <w:p>
            <w:pPr>
              <w:spacing w:after="0"/>
              <w:rPr>
                <w:sz w:val="1"/>
                <w:szCs w:val="1"/>
                <w:color w:val="auto"/>
              </w:rPr>
            </w:pPr>
          </w:p>
        </w:tc>
      </w:tr>
      <w:tr>
        <w:trPr>
          <w:trHeight w:val="197"/>
        </w:trPr>
        <w:tc>
          <w:tcPr>
            <w:tcW w:w="4640" w:type="dxa"/>
            <w:vAlign w:val="bottom"/>
            <w:tcBorders>
              <w:top w:val="single" w:sz="8" w:color="EEEEEE"/>
              <w:bottom w:val="single" w:sz="8" w:color="EEEEEE"/>
            </w:tcBorders>
            <w:shd w:val="clear" w:color="auto" w:fill="EEEEEE"/>
          </w:tcPr>
          <w:p>
            <w:pPr>
              <w:ind w:left="360"/>
              <w:spacing w:after="0" w:line="190" w:lineRule="exact"/>
              <w:rPr>
                <w:sz w:val="20"/>
                <w:szCs w:val="20"/>
                <w:color w:val="auto"/>
              </w:rPr>
            </w:pPr>
            <w:r>
              <w:rPr>
                <w:rFonts w:ascii="Arial" w:cs="Arial" w:eastAsia="Arial" w:hAnsi="Arial"/>
                <w:sz w:val="18"/>
                <w:szCs w:val="18"/>
                <w:color w:val="auto"/>
              </w:rPr>
              <w:t>Diluted</w:t>
            </w:r>
          </w:p>
        </w:tc>
        <w:tc>
          <w:tcPr>
            <w:tcW w:w="60" w:type="dxa"/>
            <w:vAlign w:val="bottom"/>
            <w:tcBorders>
              <w:top w:val="single" w:sz="8" w:color="EEEEEE"/>
              <w:bottom w:val="single" w:sz="8" w:color="EEEEEE"/>
            </w:tcBorders>
            <w:shd w:val="clear" w:color="auto" w:fill="EEEEEE"/>
          </w:tcPr>
          <w:p>
            <w:pPr>
              <w:spacing w:after="0"/>
              <w:rPr>
                <w:sz w:val="17"/>
                <w:szCs w:val="17"/>
                <w:color w:val="auto"/>
              </w:rPr>
            </w:pPr>
          </w:p>
        </w:tc>
        <w:tc>
          <w:tcPr>
            <w:tcW w:w="220" w:type="dxa"/>
            <w:vAlign w:val="bottom"/>
            <w:tcBorders>
              <w:top w:val="single" w:sz="8" w:color="auto"/>
              <w:bottom w:val="single" w:sz="8" w:color="auto"/>
            </w:tcBorders>
            <w:shd w:val="clear" w:color="auto" w:fill="EEEEEE"/>
          </w:tcPr>
          <w:p>
            <w:pPr>
              <w:spacing w:after="0"/>
              <w:rPr>
                <w:sz w:val="17"/>
                <w:szCs w:val="17"/>
                <w:color w:val="auto"/>
              </w:rPr>
            </w:pPr>
          </w:p>
        </w:tc>
        <w:tc>
          <w:tcPr>
            <w:tcW w:w="94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16,532,850</w:t>
            </w:r>
          </w:p>
        </w:tc>
        <w:tc>
          <w:tcPr>
            <w:tcW w:w="160" w:type="dxa"/>
            <w:vAlign w:val="bottom"/>
            <w:tcBorders>
              <w:top w:val="single" w:sz="8" w:color="EEEEEE"/>
              <w:bottom w:val="single" w:sz="8" w:color="EEEEEE"/>
            </w:tcBorders>
            <w:shd w:val="clear" w:color="auto" w:fill="EEEEEE"/>
          </w:tcPr>
          <w:p>
            <w:pPr>
              <w:spacing w:after="0"/>
              <w:rPr>
                <w:sz w:val="17"/>
                <w:szCs w:val="17"/>
                <w:color w:val="auto"/>
              </w:rPr>
            </w:pPr>
          </w:p>
        </w:tc>
        <w:tc>
          <w:tcPr>
            <w:tcW w:w="100" w:type="dxa"/>
            <w:vAlign w:val="bottom"/>
            <w:tcBorders>
              <w:top w:val="single" w:sz="8" w:color="EEEEEE"/>
              <w:bottom w:val="single" w:sz="8" w:color="EEEEEE"/>
            </w:tcBorders>
            <w:shd w:val="clear" w:color="auto" w:fill="EEEEEE"/>
          </w:tcPr>
          <w:p>
            <w:pPr>
              <w:spacing w:after="0"/>
              <w:rPr>
                <w:sz w:val="17"/>
                <w:szCs w:val="17"/>
                <w:color w:val="auto"/>
              </w:rPr>
            </w:pPr>
          </w:p>
        </w:tc>
        <w:tc>
          <w:tcPr>
            <w:tcW w:w="200" w:type="dxa"/>
            <w:vAlign w:val="bottom"/>
            <w:tcBorders>
              <w:top w:val="single" w:sz="8" w:color="auto"/>
              <w:bottom w:val="single" w:sz="8" w:color="auto"/>
            </w:tcBorders>
            <w:shd w:val="clear" w:color="auto" w:fill="EEEEEE"/>
          </w:tcPr>
          <w:p>
            <w:pPr>
              <w:spacing w:after="0"/>
              <w:rPr>
                <w:sz w:val="17"/>
                <w:szCs w:val="17"/>
                <w:color w:val="auto"/>
              </w:rPr>
            </w:pPr>
          </w:p>
        </w:tc>
        <w:tc>
          <w:tcPr>
            <w:tcW w:w="94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15,186,961</w:t>
            </w:r>
          </w:p>
        </w:tc>
        <w:tc>
          <w:tcPr>
            <w:tcW w:w="140" w:type="dxa"/>
            <w:vAlign w:val="bottom"/>
            <w:tcBorders>
              <w:top w:val="single" w:sz="8" w:color="EEEEEE"/>
              <w:bottom w:val="single" w:sz="8" w:color="EEEEEE"/>
            </w:tcBorders>
            <w:shd w:val="clear" w:color="auto" w:fill="EEEEEE"/>
          </w:tcPr>
          <w:p>
            <w:pPr>
              <w:spacing w:after="0"/>
              <w:rPr>
                <w:sz w:val="17"/>
                <w:szCs w:val="17"/>
                <w:color w:val="auto"/>
              </w:rPr>
            </w:pPr>
          </w:p>
        </w:tc>
        <w:tc>
          <w:tcPr>
            <w:tcW w:w="80" w:type="dxa"/>
            <w:vAlign w:val="bottom"/>
            <w:tcBorders>
              <w:top w:val="single" w:sz="8" w:color="EEEEEE"/>
              <w:bottom w:val="single" w:sz="8" w:color="EEEEEE"/>
            </w:tcBorders>
            <w:shd w:val="clear" w:color="auto" w:fill="EEEEEE"/>
          </w:tcPr>
          <w:p>
            <w:pPr>
              <w:spacing w:after="0"/>
              <w:rPr>
                <w:sz w:val="17"/>
                <w:szCs w:val="17"/>
                <w:color w:val="auto"/>
              </w:rPr>
            </w:pPr>
          </w:p>
        </w:tc>
        <w:tc>
          <w:tcPr>
            <w:tcW w:w="240" w:type="dxa"/>
            <w:vAlign w:val="bottom"/>
            <w:tcBorders>
              <w:top w:val="single" w:sz="8" w:color="auto"/>
              <w:bottom w:val="single" w:sz="8" w:color="auto"/>
            </w:tcBorders>
            <w:shd w:val="clear" w:color="auto" w:fill="EEEEEE"/>
          </w:tcPr>
          <w:p>
            <w:pPr>
              <w:spacing w:after="0"/>
              <w:rPr>
                <w:sz w:val="17"/>
                <w:szCs w:val="17"/>
                <w:color w:val="auto"/>
              </w:rPr>
            </w:pPr>
          </w:p>
        </w:tc>
        <w:tc>
          <w:tcPr>
            <w:tcW w:w="90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9,964,955</w:t>
            </w:r>
          </w:p>
        </w:tc>
        <w:tc>
          <w:tcPr>
            <w:tcW w:w="200" w:type="dxa"/>
            <w:vAlign w:val="bottom"/>
            <w:tcBorders>
              <w:top w:val="single" w:sz="8" w:color="EEEEEE"/>
              <w:bottom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84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265,576</w:t>
            </w:r>
          </w:p>
        </w:tc>
        <w:tc>
          <w:tcPr>
            <w:tcW w:w="140" w:type="dxa"/>
            <w:vAlign w:val="bottom"/>
            <w:tcBorders>
              <w:top w:val="single" w:sz="8" w:color="EEEEEE"/>
              <w:bottom w:val="single" w:sz="8" w:color="EEEEEE"/>
            </w:tcBorders>
            <w:shd w:val="clear" w:color="auto" w:fill="EEEEEE"/>
          </w:tcPr>
          <w:p>
            <w:pPr>
              <w:spacing w:after="0"/>
              <w:rPr>
                <w:sz w:val="17"/>
                <w:szCs w:val="17"/>
                <w:color w:val="auto"/>
              </w:rPr>
            </w:pPr>
          </w:p>
        </w:tc>
        <w:tc>
          <w:tcPr>
            <w:tcW w:w="80" w:type="dxa"/>
            <w:vAlign w:val="bottom"/>
            <w:tcBorders>
              <w:top w:val="single" w:sz="8" w:color="EEEEEE"/>
              <w:bottom w:val="single" w:sz="8" w:color="EEEEEE"/>
            </w:tcBorders>
            <w:shd w:val="clear" w:color="auto" w:fill="EEEEEE"/>
          </w:tcPr>
          <w:p>
            <w:pPr>
              <w:spacing w:after="0"/>
              <w:rPr>
                <w:sz w:val="17"/>
                <w:szCs w:val="17"/>
                <w:color w:val="auto"/>
              </w:rPr>
            </w:pPr>
          </w:p>
        </w:tc>
        <w:tc>
          <w:tcPr>
            <w:tcW w:w="240" w:type="dxa"/>
            <w:vAlign w:val="bottom"/>
            <w:tcBorders>
              <w:top w:val="single" w:sz="8" w:color="auto"/>
              <w:bottom w:val="single" w:sz="8" w:color="auto"/>
            </w:tcBorders>
            <w:shd w:val="clear" w:color="auto" w:fill="EEEEEE"/>
          </w:tcPr>
          <w:p>
            <w:pPr>
              <w:spacing w:after="0"/>
              <w:rPr>
                <w:sz w:val="17"/>
                <w:szCs w:val="17"/>
                <w:color w:val="auto"/>
              </w:rPr>
            </w:pPr>
          </w:p>
        </w:tc>
        <w:tc>
          <w:tcPr>
            <w:tcW w:w="90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263,658</w:t>
            </w:r>
          </w:p>
        </w:tc>
        <w:tc>
          <w:tcPr>
            <w:tcW w:w="100" w:type="dxa"/>
            <w:vAlign w:val="bottom"/>
            <w:tcBorders>
              <w:top w:val="single" w:sz="8" w:color="EEEEEE"/>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w:t>
      </w:r>
    </w:p>
    <w:p>
      <w:pPr>
        <w:spacing w:after="0" w:line="9" w:lineRule="exact"/>
        <w:rPr>
          <w:sz w:val="20"/>
          <w:szCs w:val="20"/>
          <w:color w:val="auto"/>
        </w:rPr>
      </w:pPr>
    </w:p>
    <w:p>
      <w:pPr>
        <w:ind w:left="820" w:right="80" w:hanging="688"/>
        <w:spacing w:after="0" w:line="254" w:lineRule="auto"/>
        <w:tabs>
          <w:tab w:leader="none" w:pos="8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These expenses include share-based compensation expense. Share-based compensation expense is accounted for at fair value, using the Black-Scholes option-pricing model for stock options and at the fair market value based on quoted market prices of the Company’s stock as of the grant date for restricted stock units and restricted stock awards. Share-based compensation expense is recognized over the vesting period of the stock options and was included in cost of goods sold and operating expenses as follows: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Total share-based compensation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0" w:type="dxa"/>
            <w:vAlign w:val="bottom"/>
            <w:gridSpan w:val="7"/>
          </w:tcPr>
          <w:p>
            <w:pPr>
              <w:jc w:val="right"/>
              <w:ind w:right="13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195"/>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380"/>
              <w:spacing w:after="0" w:line="195" w:lineRule="exact"/>
              <w:rPr>
                <w:sz w:val="20"/>
                <w:szCs w:val="20"/>
                <w:color w:val="auto"/>
              </w:rPr>
            </w:pPr>
            <w:r>
              <w:rPr>
                <w:rFonts w:ascii="Arial" w:cs="Arial" w:eastAsia="Arial" w:hAnsi="Arial"/>
                <w:sz w:val="18"/>
                <w:szCs w:val="18"/>
                <w:b w:val="1"/>
                <w:bCs w:val="1"/>
                <w:color w:val="auto"/>
                <w:w w:val="87"/>
              </w:rPr>
              <w:t>(in thousands)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1,760</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908</w:t>
            </w:r>
          </w:p>
        </w:tc>
      </w:t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-736600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-462280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-179705</wp:posOffset>
            </wp:positionV>
            <wp:extent cx="72466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40" w:space="720"/>
            <w:col w:w="4660"/>
          </w:cols>
          <w:pgMar w:left="240" w:top="823" w:right="239" w:bottom="1440" w:gutter="0" w:footer="0" w:header="0"/>
        </w:sect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4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w w:val="96"/>
              </w:rPr>
              <w:t>Total cash, cash equivalents and short-term investments</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40,679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40,873</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30,751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11,226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2,074</w:t>
            </w:r>
          </w:p>
        </w:tc>
      </w:tr>
      <w:tr>
        <w:trPr>
          <w:trHeight w:val="216"/>
        </w:trPr>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Working capital (1)</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79,848</w:t>
            </w: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64,638</w:t>
            </w: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38,879</w:t>
            </w:r>
          </w:p>
        </w:tc>
        <w:tc>
          <w:tcPr>
            <w:tcW w:w="3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13,669</w:t>
            </w:r>
          </w:p>
        </w:tc>
        <w:tc>
          <w:tcPr>
            <w:tcW w:w="3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(1,911)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273,475</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183,670</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111,057</w:t>
            </w:r>
          </w:p>
        </w:tc>
        <w:tc>
          <w:tcPr>
            <w:tcW w:w="3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65,748</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53,723</w:t>
            </w:r>
          </w:p>
        </w:tc>
      </w:tr>
      <w:tr>
        <w:trPr>
          <w:trHeight w:val="216"/>
        </w:trPr>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Total debt (2)</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67,903</w:t>
            </w: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29,919</w:t>
            </w: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28,455</w:t>
            </w:r>
          </w:p>
        </w:tc>
        <w:tc>
          <w:tcPr>
            <w:tcW w:w="3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24,584</w:t>
            </w:r>
          </w:p>
        </w:tc>
        <w:tc>
          <w:tcPr>
            <w:tcW w:w="3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22,597</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105,367</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94,373</w:t>
            </w:r>
          </w:p>
        </w:tc>
      </w:tr>
      <w:tr>
        <w:trPr>
          <w:trHeight w:val="216"/>
        </w:trPr>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Common stock and additional paid-in-capital</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233,353</w:t>
            </w:r>
          </w:p>
        </w:tc>
        <w:tc>
          <w:tcPr>
            <w:tcW w:w="34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192,127</w:t>
            </w: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144,036</w:t>
            </w:r>
          </w:p>
        </w:tc>
        <w:tc>
          <w:tcPr>
            <w:tcW w:w="3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5,542</w:t>
            </w:r>
          </w:p>
        </w:tc>
        <w:tc>
          <w:tcPr>
            <w:tcW w:w="3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5,303</w:t>
            </w: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rPr>
              <w:t>Total deficit</w:t>
            </w:r>
          </w:p>
        </w:tc>
        <w:tc>
          <w:tcPr>
            <w:tcW w:w="6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(68,247)</w:t>
            </w:r>
          </w:p>
        </w:tc>
        <w:tc>
          <w:tcPr>
            <w:tcW w:w="34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(79,040)</w:t>
            </w:r>
          </w:p>
        </w:tc>
        <w:tc>
          <w:tcPr>
            <w:tcW w:w="320" w:type="dxa"/>
            <w:vAlign w:val="bottom"/>
          </w:tcPr>
          <w:p>
            <w:pPr>
              <w:ind w:left="80"/>
              <w:spacing w:after="0" w:line="201"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(83,323)</w:t>
            </w:r>
          </w:p>
        </w:tc>
        <w:tc>
          <w:tcPr>
            <w:tcW w:w="38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(81,917)</w:t>
            </w:r>
          </w:p>
        </w:tc>
        <w:tc>
          <w:tcPr>
            <w:tcW w:w="32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(80,972)</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____________</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less total current liabilities.</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debt is defined as short-term loans, notes payable and total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type w:val="continuous"/>
        </w:sectPr>
      </w:pPr>
    </w:p>
    <w:bookmarkStart w:id="34" w:name="page35"/>
    <w:bookmarkEnd w:id="34"/>
    <w:p>
      <w:pPr>
        <w:spacing w:after="0"/>
        <w:tabs>
          <w:tab w:leader="none" w:pos="13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the accompanying notes appearing elsewhere in this Annual Report on Form 10-K. This discussion and other parts of this Annual Report on Form 10-K contain forward-looking statements that involve risks and uncertainties, such as statements of our plans, objectives, expectations and intentions. Our actual results could differ materially from those discussed in the forward-looking statements. Factors that could cause or contribute to such differences include, but are not limited to, those discussed in “Risk Factors.”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are a leading, vertically integrated provider of fiber-optic networking products. We target three networking end-markets: internet data centers, CATV and FTTH.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and FTTH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three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copper cables, particularly as speeds reach 10 gigabits per second and above, as well as the movement to open internet data center architectures and the increasing use of in-house equipment design among leading internet companies. Within the CATV market, we benefit from a number of ongoing trends including the global build-out of CATV infrastructure, the move to higher bandwidth networks among CATV service providers and the outsourcing of system design among CATV networking equipment companies. In the FTTH market, we benefit from continuing PON deployments and system upgrades among telecommunication service providers.</w:t>
      </w:r>
    </w:p>
    <w:p>
      <w:pPr>
        <w:spacing w:after="0" w:line="17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sell our products to leading original equipment manufacturers, or OEMs, in the CATV and FTTH markets as well as internet data center operators. In 2015, we earned 28.3% of our total revenue from the CATV market, and 64.9% of our total revenue from the data center market. In 2015, our key customers in the CATV market included Cisco Systems and Arris Group, Inc. In 2015, 2014 and 2013, Cisco Systems accounted for 10.4%, 8.9%, and 21.8%, respectively, of our revenue and Arris Group, Inc. accounted for 4.5%, 4.5% and 3.3%, respectively, of our revenue. In 2015, our key customers that contributed most to our FTTH revenue were a leading internet service provider and Genexis B.V., which accounted for 0.5% and less than one percent of our total revenue, respectively. In 2015, our key customers in the internet data center market included Amazon and Microsoft. In 2015 and 2014, Amazon accounted for 52.5% and 45.8% of our revenue, respectively, and Microsoft accounted for 11.6% and 3.6% of our revenue, respectively. In 2015, revenue from the CATV market, data center market, FTTH market and other markets provided 28.3%, 64.9%, 1.3%, and 5.5% of our revenue, respectively, compared to 36.3%, 49.4%, 10.4%, and 3.9% of our 2014 revenue, respectively.</w:t>
      </w:r>
    </w:p>
    <w:p>
      <w:pPr>
        <w:spacing w:after="0" w:line="182" w:lineRule="exact"/>
        <w:rPr>
          <w:sz w:val="20"/>
          <w:szCs w:val="20"/>
          <w:color w:val="auto"/>
        </w:rPr>
      </w:pPr>
    </w:p>
    <w:p>
      <w:pPr>
        <w:ind w:right="300" w:firstLine="468"/>
        <w:spacing w:after="0" w:line="277" w:lineRule="auto"/>
        <w:rPr>
          <w:sz w:val="20"/>
          <w:szCs w:val="20"/>
          <w:color w:val="auto"/>
        </w:rPr>
      </w:pPr>
      <w:r>
        <w:rPr>
          <w:rFonts w:ascii="Arial" w:cs="Arial" w:eastAsia="Arial" w:hAnsi="Arial"/>
          <w:sz w:val="18"/>
          <w:szCs w:val="18"/>
          <w:color w:val="auto"/>
        </w:rPr>
        <w:t>In 2015, our revenue growth of 45.6% over the prior-year was driven primarily by demand for our 40Gbps data center transceiver products, as large data center operators continued deployment of high capacity optical interconnect networks within their data centers.</w:t>
      </w:r>
    </w:p>
    <w:p>
      <w:pPr>
        <w:spacing w:after="0" w:line="170" w:lineRule="exact"/>
        <w:rPr>
          <w:sz w:val="20"/>
          <w:szCs w:val="20"/>
          <w:color w:val="auto"/>
        </w:rPr>
      </w:pPr>
    </w:p>
    <w:p>
      <w:pPr>
        <w:jc w:val="both"/>
        <w:ind w:right="140" w:firstLine="468"/>
        <w:spacing w:after="0" w:line="279" w:lineRule="auto"/>
        <w:rPr>
          <w:sz w:val="20"/>
          <w:szCs w:val="20"/>
          <w:color w:val="auto"/>
        </w:rPr>
      </w:pPr>
      <w:r>
        <w:rPr>
          <w:rFonts w:ascii="Arial" w:cs="Arial" w:eastAsia="Arial" w:hAnsi="Arial"/>
          <w:sz w:val="17"/>
          <w:szCs w:val="17"/>
          <w:color w:val="auto"/>
        </w:rPr>
        <w:t>We expect continued sales of our 40Gbps products in 2016, although we believe that many large data center operators will begin to move to 100Gbps products in 2016. Thus, quarter-to-quarter results may show considerable variability as is usual in a period of technology transition. Similar to revenue, our gross margins can fluctuate materially depending on a variety of factors including average selling price changes, product mix, raw material cost reduction or increase, volume, manufacturing utilization and ongoing manufacturing process improvements.</w:t>
      </w:r>
    </w:p>
    <w:p>
      <w:pPr>
        <w:spacing w:after="0" w:line="171" w:lineRule="exact"/>
        <w:rPr>
          <w:sz w:val="20"/>
          <w:szCs w:val="20"/>
          <w:color w:val="auto"/>
        </w:rPr>
      </w:pPr>
    </w:p>
    <w:p>
      <w:pPr>
        <w:ind w:right="60" w:firstLine="468"/>
        <w:spacing w:after="0" w:line="297" w:lineRule="auto"/>
        <w:rPr>
          <w:sz w:val="20"/>
          <w:szCs w:val="20"/>
          <w:color w:val="auto"/>
        </w:rPr>
      </w:pPr>
      <w:r>
        <w:rPr>
          <w:rFonts w:ascii="Arial" w:cs="Arial" w:eastAsia="Arial" w:hAnsi="Arial"/>
          <w:sz w:val="16"/>
          <w:szCs w:val="16"/>
          <w:color w:val="auto"/>
        </w:rPr>
        <w:t>Our sales model focuses on direct engagement and close coordination with our customers to determine product design, qualifications, performance and price. Our strategy is to use our direct sales force to sell to key accounts and to expand our use of distributors for increased coverage in certain international markets and certain domestic market segments. We have direct sales personnel that cover the U.S., Taiwan and China focusing primarily on major OEM customers and internet data center operators. Throughout our sales cycle, we work closely with our customers to qualify our products into their product lines. As a result, we strive to build strategic and long-lasting customer relationships and deliver products that are customized to our customers’ requirements.</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5" w:name="page36"/>
    <w:bookmarkEnd w:id="35"/>
    <w:p>
      <w:pPr>
        <w:ind w:right="60" w:firstLine="648"/>
        <w:spacing w:after="0" w:line="255" w:lineRule="auto"/>
        <w:rPr>
          <w:sz w:val="20"/>
          <w:szCs w:val="20"/>
          <w:color w:val="auto"/>
        </w:rPr>
      </w:pPr>
      <w:r>
        <w:rPr>
          <w:rFonts w:ascii="Arial" w:cs="Arial" w:eastAsia="Arial" w:hAnsi="Arial"/>
          <w:sz w:val="18"/>
          <w:szCs w:val="18"/>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all of whom purchase our products on a purchase order basis. Once one of our solutions is incorporated into a customer’s design, however, we believe that our solution is likely to continue to be purchased for that design throughout that product’s life cycle because of the time and expense associated with redesigning the product or substituting an alternative solution.</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2015, 2014 and 2013, we had 47, 15 and 17 design wins, respectively. We define a design win as the successful completion of the evaluation stage, where our customer has tested our product, verified that our product meets substantially all of their requirements and has informed us that they intend to purchase the product from us. Although we believe that our ability to obtain design wins is a key strength and can provide meaningful and recurring revenue, an increase or decrease in the mere number of design wins does not necessarily correlate to a likely increase or decrease in revenue, particularly in the short term. As such, the number of design wins we achieve on a quarterly or annual basis and any increase or decrease in design wins will not necessarily result in a corresponding increase or decrease in revenue in the same or immediately succeeding quarter or year. For example, if our total number of design wins in an annual or quarterly period increases or decreases compared to the total number of design wins in a prior period, this does not necessarily mean that our revenue in such period will be higher or lower than our revenue in the prior period. In fact, our experience is that some design wins result in significant revenue and some do not, and the timing of such revenue is difficult to predict as it depends on the success of the end customer’s product that uses our components. Thus, some design wins result in orders and significant revenue shortly after the design win is awarded and other design wins do not result in significant orders and revenue for several months or longer after the initial design win (if at all). We do believe that over a period of years the collective impact of design wins correlates to our overall revenue growth.</w:t>
      </w:r>
    </w:p>
    <w:p>
      <w:pPr>
        <w:spacing w:after="0" w:line="18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believe we have an attractive financial profile, with strong revenue performance and control over our manufacturing costs through our vertically integrated manufacturing model. While we have incurred substantial losses since our inception, and as of December 31, 2015 had an accumulated deficit of $68.2 million, we achieved profitability in 2014, and we continued to be profitable in 2015. We have grown our revenue at a 33.6% CAGR between 2009 and 2015, including 45.6% growth year-over-year from 2014 to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i w:val="1"/>
          <w:iCs w:val="1"/>
          <w:color w:val="auto"/>
        </w:rPr>
        <w:t xml:space="preserve">Increasing Consumer Demand for Bandwidth. </w:t>
      </w:r>
      <w:r>
        <w:rPr>
          <w:rFonts w:ascii="Arial" w:cs="Arial" w:eastAsia="Arial" w:hAnsi="Arial"/>
          <w:sz w:val="16"/>
          <w:szCs w:val="16"/>
          <w:color w:val="auto"/>
        </w:rPr>
        <w:t>Bandwidth demand in all of our target markets is driving service provider investment in new</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and in turn generating demand for our products. Increasingly, optical networking technologies are being incorporated into networking equipment, replacing legacy copper-based networking technologies. This shift to optical networking solutions benefits us as a provider of those solutions.</w:t>
      </w:r>
    </w:p>
    <w:p>
      <w:pPr>
        <w:spacing w:after="0" w:line="14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Pricing, Product Cost and Margins. </w:t>
      </w:r>
      <w:r>
        <w:rPr>
          <w:rFonts w:ascii="Arial" w:cs="Arial" w:eastAsia="Arial" w:hAnsi="Arial"/>
          <w:sz w:val="17"/>
          <w:szCs w:val="17"/>
          <w:color w:val="auto"/>
        </w:rPr>
        <w:t>Our solution pricing varies depending upon the end market, the complexity of the product and the level of</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competition. Our product costs also vary with complexity as well as the degree to which we can utilize components designed and manufactured ourselves. We tend to realize higher gross margins on products that incorporate a higher percentage of our own components. We often initially experience lower gross margins on new products, as our pricing is based upon anticipated volume-driven cost reductions over the life of the design win. Thus, if we are unable to realize our expected cost reductions, we may experience declining gross margins on such products.</w:t>
      </w:r>
    </w:p>
    <w:p>
      <w:pPr>
        <w:spacing w:after="0" w:line="17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Our product pricing is established when the product is initially introduced to the market, and thereafter through periodic negotiations with customers. We generally do not agree to periodic automatic price reductions. Furthermore, due to the dynamics in the CATV market and the value of our outsourced design services to our customers, we believe we face less downward price pressure than many of our competitors. We sell a wide variety of products among our three target markets and our gross margin is heavily dependent in any quarter on the product mix achieved during that period.</w:t>
      </w:r>
    </w:p>
    <w:p>
      <w:pPr>
        <w:spacing w:after="0" w:line="154"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 xml:space="preserve">Customer Concentration within End Markets. </w:t>
      </w:r>
      <w:r>
        <w:rPr>
          <w:rFonts w:ascii="Arial" w:cs="Arial" w:eastAsia="Arial" w:hAnsi="Arial"/>
          <w:sz w:val="17"/>
          <w:szCs w:val="17"/>
          <w:color w:val="auto"/>
        </w:rPr>
        <w:t>Historically, our revenue has been significantly concentrated, first within the CATV market and in</w:t>
      </w:r>
      <w:r>
        <w:rPr>
          <w:rFonts w:ascii="Arial" w:cs="Arial" w:eastAsia="Arial" w:hAnsi="Arial"/>
          <w:sz w:val="17"/>
          <w:szCs w:val="17"/>
          <w:i w:val="1"/>
          <w:iCs w:val="1"/>
          <w:color w:val="auto"/>
        </w:rPr>
        <w:t xml:space="preserve"> </w:t>
      </w:r>
      <w:r>
        <w:rPr>
          <w:rFonts w:ascii="Arial" w:cs="Arial" w:eastAsia="Arial" w:hAnsi="Arial"/>
          <w:sz w:val="17"/>
          <w:szCs w:val="17"/>
          <w:color w:val="auto"/>
        </w:rPr>
        <w:t>2014 and 2015 within the internet data center market. Moreover, within these markets, revenue tends to be concentrated among a small number of customers. In 2014 and 2015, we have taken several actions to increase the diversity of our customer base. These actions include the creation of a new sales incentive program, hiring additional sales staff to improve our ability to serve new customers, and additional customized design of products that we believe will appeal to new customers. Furthermore, we have developed additional original design manufacturer, or ODM, relationships with customers in each of our target markets which should enable us to diversify our revenue base. In 2015 we had three customers that each accounted for more than 10% of our revenue, compared with only two such customers in 2014.</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6" w:name="page37"/>
    <w:bookmarkEnd w:id="36"/>
    <w:p>
      <w:pPr>
        <w:ind w:right="320" w:firstLine="648"/>
        <w:spacing w:after="0" w:line="28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We invest heavily to develop new and innovative products. The majority of our research and development expense is</w:t>
      </w:r>
      <w:r>
        <w:rPr>
          <w:rFonts w:ascii="Arial" w:cs="Arial" w:eastAsia="Arial" w:hAnsi="Arial"/>
          <w:sz w:val="17"/>
          <w:szCs w:val="17"/>
          <w:i w:val="1"/>
          <w:iCs w:val="1"/>
          <w:color w:val="auto"/>
        </w:rPr>
        <w:t xml:space="preserve"> </w:t>
      </w:r>
      <w:r>
        <w:rPr>
          <w:rFonts w:ascii="Arial" w:cs="Arial" w:eastAsia="Arial" w:hAnsi="Arial"/>
          <w:sz w:val="17"/>
          <w:szCs w:val="17"/>
          <w:color w:val="auto"/>
        </w:rPr>
        <w:t>allocated to product development, usually with a specific customer and customer platform in mind. We believe our close coordination with our customers regarding their future product requirements enhances the efficiency of our research and development expenditures.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Financial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generate revenue through the sale of our products to equipment providers for the internet data center, CATV, FTTH and other markets. We derive a significant portion of our revenue from our top ten customers, and we anticipate that we will continue to do so for the foreseeable future. The following chart provides the revenue contribution from each of the markets we serve for the years 2015, 2014 and 2013, as well as the corresponding percentage of our total revenue for each period:</w:t>
      </w:r>
    </w:p>
    <w:p>
      <w:pPr>
        <w:spacing w:after="0" w:line="196" w:lineRule="exact"/>
        <w:rPr>
          <w:sz w:val="20"/>
          <w:szCs w:val="20"/>
          <w:color w:val="auto"/>
        </w:rPr>
      </w:pPr>
    </w:p>
    <w:tbl>
      <w:tblPr>
        <w:tblLayout w:type="fixed"/>
        <w:tblInd w:w="2060" w:type="dxa"/>
        <w:tblCellMar>
          <w:top w:w="0" w:type="dxa"/>
          <w:left w:w="0" w:type="dxa"/>
          <w:bottom w:w="0" w:type="dxa"/>
          <w:right w:w="0" w:type="dxa"/>
        </w:tblCellMar>
      </w:tblPr>
      <w:tr>
        <w:trPr>
          <w:trHeight w:val="234"/>
        </w:trPr>
        <w:tc>
          <w:tcPr>
            <w:tcW w:w="2260" w:type="dxa"/>
            <w:vAlign w:val="bottom"/>
            <w:gridSpan w:val="2"/>
            <w:vMerge w:val="restart"/>
          </w:tcPr>
          <w:p>
            <w:pPr>
              <w:spacing w:after="0"/>
              <w:rPr>
                <w:sz w:val="20"/>
                <w:szCs w:val="20"/>
                <w:color w:val="auto"/>
              </w:rPr>
            </w:pPr>
            <w:r>
              <w:rPr>
                <w:rFonts w:ascii="Arial" w:cs="Arial" w:eastAsia="Arial" w:hAnsi="Arial"/>
                <w:sz w:val="18"/>
                <w:szCs w:val="18"/>
                <w:color w:val="auto"/>
              </w:rPr>
              <w:t>Market</w:t>
            </w:r>
          </w:p>
        </w:tc>
        <w:tc>
          <w:tcPr>
            <w:tcW w:w="1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center"/>
              <w:ind w:left="490"/>
              <w:spacing w:after="0"/>
              <w:rPr>
                <w:sz w:val="20"/>
                <w:szCs w:val="20"/>
                <w:color w:val="auto"/>
              </w:rPr>
            </w:pPr>
            <w:r>
              <w:rPr>
                <w:rFonts w:ascii="Arial" w:cs="Arial" w:eastAsia="Arial" w:hAnsi="Arial"/>
                <w:sz w:val="18"/>
                <w:szCs w:val="18"/>
                <w:b w:val="1"/>
                <w:bCs w:val="1"/>
                <w:color w:val="auto"/>
                <w:w w:val="88"/>
              </w:rPr>
              <w:t>Years ended December 31,</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gridSpan w:val="2"/>
            <w:vMerge w:val="continue"/>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4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86"/>
              </w:rPr>
              <w:t>(in thousands, except percentages)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EEEEEE"/>
          </w:tcPr>
          <w:p>
            <w:pPr>
              <w:spacing w:after="0"/>
              <w:rPr>
                <w:sz w:val="20"/>
                <w:szCs w:val="20"/>
                <w:color w:val="auto"/>
              </w:rPr>
            </w:pPr>
            <w:r>
              <w:rPr>
                <w:rFonts w:ascii="Arial" w:cs="Arial" w:eastAsia="Arial" w:hAnsi="Arial"/>
                <w:sz w:val="18"/>
                <w:szCs w:val="18"/>
                <w:color w:val="auto"/>
              </w:rPr>
              <w:t>CATV</w:t>
            </w:r>
          </w:p>
        </w:tc>
        <w:tc>
          <w:tcPr>
            <w:tcW w:w="128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53,675</w:t>
            </w:r>
          </w:p>
        </w:tc>
        <w:tc>
          <w:tcPr>
            <w:tcW w:w="46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47,389</w:t>
            </w:r>
          </w:p>
        </w:tc>
        <w:tc>
          <w:tcPr>
            <w:tcW w:w="54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47,373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Data Center</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123,286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64,453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EEEEEE"/>
          </w:tcPr>
          <w:p>
            <w:pPr>
              <w:spacing w:after="0"/>
              <w:rPr>
                <w:sz w:val="20"/>
                <w:szCs w:val="20"/>
                <w:color w:val="auto"/>
              </w:rPr>
            </w:pPr>
            <w:r>
              <w:rPr>
                <w:rFonts w:ascii="Arial" w:cs="Arial" w:eastAsia="Arial" w:hAnsi="Arial"/>
                <w:sz w:val="18"/>
                <w:szCs w:val="18"/>
                <w:color w:val="auto"/>
              </w:rPr>
              <w:t>FTTH</w:t>
            </w:r>
          </w:p>
        </w:tc>
        <w:tc>
          <w:tcPr>
            <w:tcW w:w="10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2,458</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13,591</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4,377</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10,484</w:t>
            </w:r>
          </w:p>
        </w:tc>
        <w:tc>
          <w:tcPr>
            <w:tcW w:w="22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w:t>
            </w:r>
          </w:p>
        </w:tc>
        <w:tc>
          <w:tcPr>
            <w:tcW w:w="22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7,288</w:t>
            </w:r>
          </w:p>
        </w:tc>
        <w:tc>
          <w:tcPr>
            <w:tcW w:w="12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189,903</w:t>
            </w:r>
          </w:p>
        </w:tc>
        <w:tc>
          <w:tcPr>
            <w:tcW w:w="22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130,449</w:t>
            </w:r>
          </w:p>
        </w:tc>
        <w:tc>
          <w:tcPr>
            <w:tcW w:w="2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78,424</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900" w:type="dxa"/>
            <w:vAlign w:val="bottom"/>
            <w:gridSpan w:val="5"/>
            <w:shd w:val="clear" w:color="auto" w:fill="EEEEEE"/>
          </w:tcPr>
          <w:p>
            <w:pPr>
              <w:jc w:val="right"/>
              <w:ind w:right="125"/>
              <w:spacing w:after="0"/>
              <w:rPr>
                <w:sz w:val="20"/>
                <w:szCs w:val="20"/>
                <w:color w:val="auto"/>
              </w:rPr>
            </w:pPr>
            <w:r>
              <w:rPr>
                <w:rFonts w:ascii="Arial" w:cs="Arial" w:eastAsia="Arial" w:hAnsi="Arial"/>
                <w:sz w:val="18"/>
                <w:szCs w:val="18"/>
                <w:color w:val="auto"/>
                <w:w w:val="88"/>
              </w:rPr>
              <w:t>Percentage of Revenue</w:t>
            </w:r>
          </w:p>
        </w:tc>
        <w:tc>
          <w:tcPr>
            <w:tcW w:w="8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CATV</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EEEEEE"/>
          </w:tcPr>
          <w:p>
            <w:pPr>
              <w:spacing w:after="0"/>
              <w:rPr>
                <w:sz w:val="20"/>
                <w:szCs w:val="20"/>
                <w:color w:val="auto"/>
              </w:rPr>
            </w:pPr>
            <w:r>
              <w:rPr>
                <w:rFonts w:ascii="Arial" w:cs="Arial" w:eastAsia="Arial" w:hAnsi="Arial"/>
                <w:sz w:val="18"/>
                <w:szCs w:val="18"/>
                <w:color w:val="auto"/>
              </w:rPr>
              <w:t>Data Center</w:t>
            </w:r>
          </w:p>
        </w:tc>
        <w:tc>
          <w:tcPr>
            <w:tcW w:w="10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64.9%</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49.4%</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FTTH</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4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spacing w:after="0"/>
              <w:rPr>
                <w:sz w:val="19"/>
                <w:szCs w:val="19"/>
                <w:color w:val="auto"/>
              </w:rPr>
            </w:pPr>
          </w:p>
        </w:tc>
        <w:tc>
          <w:tcPr>
            <w:tcW w:w="8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2015, 2014 and 2013, our top ten customers represented 88.7%, 87.2% and 76.9% of our revenue, respectively. In 2015, our key customers in the CATV market included Cisco Systems, Arris Group, Inc. and Pace plc. In 2015, 2014 and 2013, Cisco Systems accounted for 10.4%, 8.9%, and 21.8%, respectively, of our revenue and Arris Group, Inc. accounted for 4.5%, 4.5% and 3.3%, respectively, of our revenue. In 2015, our key customers in the internet data center market included Amazon and Microsoft. In 2015 and 2014, Amazon accounted for 52.5% and 45.8% of our revenue, respectively, and Microsoft accounted for 11.6% and 3.6% of our revenue, respectively.</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2015, our key customers that contributed most to our FTTH revenue were a leading internet service provider and Genexis B.V., which accounted for less than one percent of our total revenue.</w:t>
      </w:r>
    </w:p>
    <w:p>
      <w:pPr>
        <w:spacing w:after="0" w:line="170"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Revenue is recognized when the product is shipped and title has transferred to the customer. We bear all costs and risks of loss or damage to the goods up to that point. On most orders, our terms of sale provide that title passes to the customer upon placement by us with a common carrier (upon shipment). A majority of our annual sales are denominated in U.S. dollars, but some sales from our Taiwan location and China-based subsidiary are denominated in NT dollars and RMB, respectively. For the year ended December 31, 2015, 10.9% of our total revenue was derived from our China-based subsidiary, with $3.3 million denominated in RMB and 60.9% of our total revenue was derived from our Taiwan-based facility with an immaterial amount denominated in NT dollars. We expect a similar portion of our sales to be denominated in foreign currencies in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cost of goods sold is impacted by variances arising from changes in yields and production volume, as well as increases or decreases in the cost of raw materials used in production. We typically experience lower yields and higher associated costs on new products. In general, our cost of goods sold for a particular product declines over time as a result of increasing efficiencies in the manufacturing processes, or supply cost declines, as well as yield improvements and testing enhancements.</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manufacture our products in all three of our facilities in the U.S., Taiwan and China. Generally, laser chips and optical components are manufactured in our U.S. facility, optical components and subassemblies are manufactured in our Taiwan facility, and optical components and optical equipment are manufactured in our China facility. Because of our vertical integration model, we generally utilize our own optical component products in our semi-finished and finished goods that we sell between and among our respective manufacturing operations. We base those internal sales upon established transfer pricing methodologies. However, we eliminate all of those internal sales, and cost of goods sold transactions, to arrive at total revenue and cost of goods sold on a consolidated basis.</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37" w:name="page38"/>
    <w:bookmarkEnd w:id="37"/>
    <w:p>
      <w:pPr>
        <w:ind w:right="280" w:firstLine="648"/>
        <w:spacing w:after="0" w:line="277" w:lineRule="auto"/>
        <w:rPr>
          <w:sz w:val="20"/>
          <w:szCs w:val="20"/>
          <w:color w:val="auto"/>
        </w:rPr>
      </w:pPr>
      <w:r>
        <w:rPr>
          <w:rFonts w:ascii="Arial" w:cs="Arial" w:eastAsia="Arial" w:hAnsi="Arial"/>
          <w:sz w:val="18"/>
          <w:szCs w:val="18"/>
          <w:color w:val="auto"/>
        </w:rPr>
        <w:t>We have a global set of suppliers to help balance considerations related to product availability, quality and cost. Components of our cost of goods sold are denominated in U.S. or NT dollars or RMB, depending upon the manufacturing location.</w:t>
      </w:r>
    </w:p>
    <w:p>
      <w:pPr>
        <w:spacing w:after="0" w:line="170"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Gross profit as a percentage of total revenue, or gross margin, has been and is expected to continue to be affected by a variety of factors, including the introduction of new products, production volumes, the mix of products sold, the geographic region in which products are sold, changes in the cost and volumes of materials purchased from our suppliers, changes in labor costs, changes in overhead costs, reserves for excess and obsolete inventories and changes in the average selling prices of our products. Although our overall gross margins over the past three years have been between 27.8% and 34.8%, our gross margins vary more broadly on a product-by-product basis. Our newer and more advanced products typically have higher average selling prices and higher gross margins; however, until the product volumes scale, the gross margin from newer and advanced products may initially be lower. Within our markets, we may sell similar products to different geographic regions at different prices, and therefore realize different gross margins among those similar products. We generally realize a lower gross margin in sales to Asian markets. Our strategy is to improve our gross margins through vertical integration such as utilization of our own laser chips and optical sub-components in our solutions. We expect that our gross margins are likely to continue to fluctuate from quarter to quarter because of the variety of products we sell and the relative product mix within a quarter.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 costs are the most significant component of operating expenses and include salaries, benefits, bonuses and share-based compensation. With regard to sales and marketing expense, personnel costs also include sales commissions.</w:t>
      </w:r>
    </w:p>
    <w:p>
      <w:pPr>
        <w:spacing w:after="0" w:line="18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or R&amp;D, expense consists primarily of personnel costs, including share-based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for R&amp;D personnel, and R&amp;D work orders (that include material, direct labor and allocated overhead), as well as allocated development costs, such as engineering services, software and hardware tools, depreciation of capital equipment and facility costs. We record all research and development expense as incurred. Customers rely upon us to assist them with the development of new products and modification of existing products because of our extensive optical design and manufacturing expertise. We work closely with our customers in the critical design phase of product development and are often reimbursed for those development efforts. By virtue of our overseas R&amp;D operations and by focusing on customer-specific projects, our research and development expenses have tended to represent a lower percentage of revenue compared to some of our competitors. In the future, we expect research and development expense to increase on a dollar basis, but continue to decline as a percentage of revenue, to the extent that our revenue increases over time.</w:t>
      </w:r>
    </w:p>
    <w:p>
      <w:pPr>
        <w:spacing w:after="0" w:line="16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 consists primarily of personnel costs, including share-based compensation for our sales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personnel, as well as travel and trade show expense, sales commissions and the allocation of overall corporate services and facility costs. We sell our products to customers who either incorporate our products into their offering or resell our products to end customers. Because we sell to a limited number of well-established customers, we employ a limited number of sales professionals who are able to cover large markets. We compensate our sales staff through base salary and commissions, with base salary being the largest component of overall compensation. Total sales commissions to employees amounted to less than one percent of our revenue in 2015. Additionally, we pay commissions to third parties on certain product lines and identified customers, which also amounted to less than one percent of our revenue in 2015. As such, our sales and marketing expense does not directly increase with revenue. In the future, we expect sales and marketing expense to increase on a dollar basis as we incrementally increase our overall sales activities, but expect our sales and marketing expense to decline as a percentage of revenue, to the extent our revenue increases over time.</w:t>
      </w:r>
    </w:p>
    <w:p>
      <w:pPr>
        <w:spacing w:after="0" w:line="16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 consists primarily of personnel costs, including share-based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for our finance, human resources, legal and information technology personnel and certain executive officers, as well as professional services costs related to accounting, tax, banking, legal and information technology services, depreciation of capital equipment and facility costs. We expect general and administrative expense to increase as we continue to grow in both size and complexity as a public company. We expect rising costs including increased audit and legal fees, costs to comply with the Sarbanes-Oxley Act and the rules and regulations applicable to companies listed on a national stock exchange, as well as investor relations expense and higher insurance premiums. In the future, we expect general and administrative expense to increase on a dollar basis but continue to decline as a percentage of revenue, to the extent that our revenue increases over time.</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Interest income consists of income earned on our cash, cash equivalents and short-term investments. Interest expense consists of amounts paid for interest on our short-term and long-term debt borrowings.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Other income (expense), net is primarily made up of foreign currency transaction gains and losses. The functional currency of our China subsidiary is the RMB and the foreign currency transaction gains and losses of our China subsidiary primarily result from their transactions in U.S. dollars. The functional currency of our Taiwan location is the NT dollar and the foreign currency transaction gains and losses of our Taiwan location primarily result from their transactions in U.S. dollars.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are a U.S. registered company and are subject to income taxes in the U.S. We also operate in a number of countries throughout the world, including Taiwan and China. Consequently, our effective tax rate is impacted by the geographic distribution of our earnings or losses and the tax laws and regulations in each geographical region. We expect that our income taxes will vary in relation to our profitability and the geographic distribution of our profits. In 2015 and 2014, our effective tax rate was 3.3% and 4.4%, respectively. Our effective U.S. federal income tax rate was 0% prior to 2014 as we incurred operating losses and have recorded a valuation allowance against those losses. At December 31, 2015, our U.S. accumulated net operating loss, or NOL, was $50.3 million. If we earn profits in the U.S., we expect to reduce our cash tax obligations by the utilization of NOL carry forwards. Our NOL benefits expire over the twelve-year period from 2021 to 2033. Under Section 382 of the Internal Revenue Code of 1986, as amended, if a corporation undergoes an “ownership change,” the corporation’s ability to use its pre-change NOLs, capital loss carry forwards and other pre-change tax attributes to offset its post-change income may be limited going forward. Based upon an analysis of our equity ownership, we have experienced an ownership change and our NOL carry forwards are limited in dollar amount. The amount of NOL available each year may decrease by the amount of NOL utilized and may increase by the amount of any operating losses incurred. Should we experience additional ownership changes our NOL carry forwards may be further limited.</w:t>
      </w:r>
    </w:p>
    <w:p>
      <w:pPr>
        <w:spacing w:after="0" w:line="173"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Our wholly owned subsidiary, Global Technology, Inc., has enjoyed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Technology, Inc. was recognized as a national high-tech enterprise in 2008 and was entitled to a 15% tax rate for a three year period from November 2008 to November 2011. In 2011, Global Technology, Inc. renewed its national high-tech enterprise certificate and therefore extended its three year tax preferential status from November 2011 to November 2014. In 2014, Global Technology, Inc. again renewed its national high-tech enterprise certificate and therefore extended its three year tax preferential status from November 2014 until September 2017.</w:t>
      </w:r>
    </w:p>
    <w:p>
      <w:pPr>
        <w:spacing w:after="0" w:line="18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the years ended December 31, 2015 and 2014, we had $1.8 million and $1.7 million, respectively, of unrecognized tax benefits related to U.S. tax benefits recognized for which do not meet the more likely than not threshold. We believe that it is reasonably possible that $0.3 million of our remaining unrecognized tax positions may be recognized by the end of 2016. If recognized, there would be no impact to our effective tax rate as a result of the full valuation allowance previously recognized.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 forth our results of operations for the periods presented and as a percentage of our revenue for those periods. The period-to-period comparison of our financial results is not necessarily indicative of our financial results to be achieved in future periods.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500" w:type="dxa"/>
            <w:vAlign w:val="bottom"/>
            <w:tcBorders>
              <w:bottom w:val="single" w:sz="8" w:color="auto"/>
            </w:tcBorders>
            <w:gridSpan w:val="5"/>
          </w:tcPr>
          <w:p>
            <w:pPr>
              <w:ind w:left="1260"/>
              <w:spacing w:after="0"/>
              <w:rPr>
                <w:sz w:val="20"/>
                <w:szCs w:val="20"/>
                <w:color w:val="auto"/>
              </w:rPr>
            </w:pPr>
            <w:r>
              <w:rPr>
                <w:rFonts w:ascii="Arial" w:cs="Arial" w:eastAsia="Arial" w:hAnsi="Arial"/>
                <w:sz w:val="18"/>
                <w:szCs w:val="18"/>
                <w:b w:val="1"/>
                <w:bCs w:val="1"/>
                <w:color w:val="auto"/>
                <w:w w:val="96"/>
              </w:rPr>
              <w:t>Years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EEEEEE"/>
            </w:tcBorders>
          </w:tcPr>
          <w:p>
            <w:pPr>
              <w:spacing w:after="0"/>
              <w:rPr>
                <w:sz w:val="19"/>
                <w:szCs w:val="19"/>
                <w:color w:val="auto"/>
              </w:rPr>
            </w:pPr>
          </w:p>
        </w:tc>
        <w:tc>
          <w:tcPr>
            <w:tcW w:w="2500" w:type="dxa"/>
            <w:vAlign w:val="bottom"/>
            <w:tcBorders>
              <w:bottom w:val="single" w:sz="8" w:color="EEEEEE"/>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EEEEEE"/>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Revenue, net</w:t>
            </w:r>
          </w:p>
        </w:tc>
        <w:tc>
          <w:tcPr>
            <w:tcW w:w="250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Cost of goods sold</w:t>
            </w:r>
          </w:p>
        </w:tc>
        <w:tc>
          <w:tcPr>
            <w:tcW w:w="4120" w:type="dxa"/>
            <w:vAlign w:val="bottom"/>
            <w:gridSpan w:val="3"/>
          </w:tcPr>
          <w:p>
            <w:pPr>
              <w:jc w:val="right"/>
              <w:ind w:right="240"/>
              <w:spacing w:after="0"/>
              <w:rPr>
                <w:sz w:val="20"/>
                <w:szCs w:val="20"/>
                <w:color w:val="auto"/>
              </w:rPr>
            </w:pPr>
            <w:r>
              <w:rPr>
                <w:rFonts w:ascii="Arial" w:cs="Arial" w:eastAsia="Arial" w:hAnsi="Arial"/>
                <w:sz w:val="18"/>
                <w:szCs w:val="18"/>
                <w:color w:val="auto"/>
              </w:rPr>
              <w:t>68.2%</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66.1%</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0"/>
        </w:trPr>
        <w:tc>
          <w:tcPr>
            <w:tcW w:w="42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2500" w:type="dxa"/>
            <w:vAlign w:val="bottom"/>
            <w:tcBorders>
              <w:top w:val="single" w:sz="8" w:color="EEEEEE"/>
            </w:tcBorders>
            <w:shd w:val="clear" w:color="auto" w:fill="EEEEEE"/>
          </w:tcPr>
          <w:p>
            <w:pPr>
              <w:spacing w:after="0"/>
              <w:rPr>
                <w:sz w:val="18"/>
                <w:szCs w:val="18"/>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Operating expenses</w:t>
            </w:r>
          </w:p>
        </w:tc>
        <w:tc>
          <w:tcPr>
            <w:tcW w:w="2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Research and development</w:t>
            </w:r>
          </w:p>
        </w:tc>
        <w:tc>
          <w:tcPr>
            <w:tcW w:w="412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11.0%</w:t>
            </w: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26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4120" w:type="dxa"/>
            <w:vAlign w:val="bottom"/>
            <w:gridSpan w:val="3"/>
          </w:tcPr>
          <w:p>
            <w:pPr>
              <w:jc w:val="right"/>
              <w:ind w:right="240"/>
              <w:spacing w:after="0"/>
              <w:rPr>
                <w:sz w:val="20"/>
                <w:szCs w:val="20"/>
                <w:color w:val="auto"/>
              </w:rPr>
            </w:pPr>
            <w:r>
              <w:rPr>
                <w:rFonts w:ascii="Arial" w:cs="Arial" w:eastAsia="Arial" w:hAnsi="Arial"/>
                <w:sz w:val="18"/>
                <w:szCs w:val="18"/>
                <w:color w:val="auto"/>
              </w:rPr>
              <w:t>3.4%</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4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General and administrative</w:t>
            </w:r>
          </w:p>
        </w:tc>
        <w:tc>
          <w:tcPr>
            <w:tcW w:w="412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10.3%</w:t>
            </w: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50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412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7.1%</w:t>
            </w:r>
          </w:p>
        </w:tc>
        <w:tc>
          <w:tcPr>
            <w:tcW w:w="15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3.9%</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4120" w:type="dxa"/>
            <w:vAlign w:val="bottom"/>
            <w:gridSpan w:val="3"/>
          </w:tcPr>
          <w:p>
            <w:pPr>
              <w:jc w:val="right"/>
              <w:ind w:right="240"/>
              <w:spacing w:after="0"/>
              <w:rPr>
                <w:sz w:val="20"/>
                <w:szCs w:val="20"/>
                <w:color w:val="auto"/>
              </w:rPr>
            </w:pPr>
            <w:r>
              <w:rPr>
                <w:rFonts w:ascii="Arial" w:cs="Arial" w:eastAsia="Arial" w:hAnsi="Arial"/>
                <w:sz w:val="18"/>
                <w:szCs w:val="18"/>
                <w:color w:val="auto"/>
              </w:rPr>
              <w:t>-1.2%</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42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Income (loss) before income taxes</w:t>
            </w:r>
          </w:p>
        </w:tc>
        <w:tc>
          <w:tcPr>
            <w:tcW w:w="2500" w:type="dxa"/>
            <w:vAlign w:val="bottom"/>
            <w:tcBorders>
              <w:top w:val="single" w:sz="8" w:color="EEEEEE"/>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Income taxes</w:t>
            </w:r>
          </w:p>
        </w:tc>
        <w:tc>
          <w:tcPr>
            <w:tcW w:w="4120" w:type="dxa"/>
            <w:vAlign w:val="bottom"/>
            <w:gridSpan w:val="3"/>
          </w:tcPr>
          <w:p>
            <w:pPr>
              <w:jc w:val="right"/>
              <w:ind w:right="240"/>
              <w:spacing w:after="0"/>
              <w:rPr>
                <w:sz w:val="20"/>
                <w:szCs w:val="20"/>
                <w:color w:val="auto"/>
              </w:rPr>
            </w:pPr>
            <w:r>
              <w:rPr>
                <w:rFonts w:ascii="Arial" w:cs="Arial" w:eastAsia="Arial" w:hAnsi="Arial"/>
                <w:sz w:val="18"/>
                <w:szCs w:val="18"/>
                <w:color w:val="auto"/>
              </w:rPr>
              <w:t>-0.2%</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42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2500" w:type="dxa"/>
            <w:vAlign w:val="bottom"/>
            <w:tcBorders>
              <w:top w:val="single" w:sz="8" w:color="EEEEEE"/>
              <w:bottom w:val="single" w:sz="8" w:color="EEEEEE"/>
            </w:tcBorders>
            <w:shd w:val="clear" w:color="auto" w:fill="EEEEEE"/>
          </w:tcPr>
          <w:p>
            <w:pPr>
              <w:spacing w:after="0"/>
              <w:rPr>
                <w:sz w:val="19"/>
                <w:szCs w:val="19"/>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500" w:type="dxa"/>
            <w:vAlign w:val="bottom"/>
            <w:vMerge w:val="restart"/>
          </w:tcPr>
          <w:p>
            <w:pPr>
              <w:jc w:val="right"/>
              <w:ind w:right="850"/>
              <w:spacing w:after="0"/>
              <w:rPr>
                <w:sz w:val="20"/>
                <w:szCs w:val="20"/>
                <w:color w:val="auto"/>
              </w:rPr>
            </w:pPr>
            <w:r>
              <w:rPr>
                <w:rFonts w:ascii="Arial" w:cs="Arial" w:eastAsia="Arial" w:hAnsi="Arial"/>
                <w:sz w:val="18"/>
                <w:szCs w:val="18"/>
                <w:color w:val="auto"/>
              </w:rPr>
              <w:t>39</w:t>
            </w: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2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Comparison of Years Ended December 31,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FTTH and other markets. We derive a significant portion of our revenue from our top ten customers, and we anticipate that we will continue to do so for the foreseeable future. We also anticipate that our revenue derived from the internet data center market will continue to increase as a percentage of our revenue as we further penetrate and extend our products into this market. The following charts provide the revenue contribution from each of the markets we served for the years ended December 31, 2015 and 2014: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8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Years ended December 31,</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60" w:type="dxa"/>
            <w:vAlign w:val="bottom"/>
            <w:gridSpan w:val="2"/>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CATV</w:t>
            </w: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28.3%</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Data Center</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64.9%</w:t>
            </w:r>
          </w:p>
        </w:tc>
        <w:tc>
          <w:tcPr>
            <w:tcW w:w="10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FTTH</w:t>
            </w: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0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top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Total Revenue</w:t>
            </w:r>
          </w:p>
        </w:tc>
        <w:tc>
          <w:tcPr>
            <w:tcW w:w="1020" w:type="dxa"/>
            <w:vAlign w:val="bottom"/>
            <w:tcBorders>
              <w:top w:val="single" w:sz="8" w:color="auto"/>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1"/>
              </w:rPr>
              <w:t>100.0%</w:t>
            </w:r>
          </w:p>
        </w:tc>
        <w:tc>
          <w:tcPr>
            <w:tcW w:w="2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200"/>
              <w:spacing w:after="0"/>
              <w:rPr>
                <w:sz w:val="20"/>
                <w:szCs w:val="20"/>
                <w:color w:val="auto"/>
              </w:rPr>
            </w:pPr>
            <w:r>
              <w:rPr>
                <w:rFonts w:ascii="Arial" w:cs="Arial" w:eastAsia="Arial" w:hAnsi="Arial"/>
                <w:sz w:val="18"/>
                <w:szCs w:val="18"/>
                <w:b w:val="1"/>
                <w:bCs w:val="1"/>
                <w:color w:val="auto"/>
              </w:rPr>
              <w:t>Years ended December 31,</w:t>
            </w:r>
          </w:p>
        </w:tc>
        <w:tc>
          <w:tcPr>
            <w:tcW w:w="22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gridSpan w:val="2"/>
          </w:tcPr>
          <w:p>
            <w:pPr>
              <w:jc w:val="right"/>
              <w:ind w:right="960"/>
              <w:spacing w:after="0"/>
              <w:rPr>
                <w:sz w:val="20"/>
                <w:szCs w:val="20"/>
                <w:color w:val="auto"/>
              </w:rPr>
            </w:pPr>
            <w:r>
              <w:rPr>
                <w:rFonts w:ascii="Arial" w:cs="Arial" w:eastAsia="Arial" w:hAnsi="Arial"/>
                <w:sz w:val="18"/>
                <w:szCs w:val="18"/>
                <w:b w:val="1"/>
                <w:bCs w:val="1"/>
                <w:color w:val="auto"/>
              </w:rPr>
              <w:t>Amount</w:t>
            </w:r>
          </w:p>
        </w:tc>
        <w:tc>
          <w:tcPr>
            <w:tcW w:w="9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w w:val="86"/>
              </w:rPr>
              <w:t>(in thousands, except percentages)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CATV</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53,675</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47,389</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6,286</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Data Center</w:t>
            </w: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123,286</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64,453</w:t>
            </w:r>
          </w:p>
        </w:tc>
        <w:tc>
          <w:tcPr>
            <w:tcW w:w="220" w:type="dxa"/>
            <w:vAlign w:val="bottom"/>
          </w:tcPr>
          <w:p>
            <w:pPr>
              <w:spacing w:after="0"/>
              <w:rPr>
                <w:sz w:val="18"/>
                <w:szCs w:val="18"/>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58,833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91.3%</w:t>
            </w:r>
          </w:p>
        </w:tc>
      </w:tr>
      <w:tr>
        <w:trPr>
          <w:trHeight w:val="216"/>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FTTH</w:t>
            </w:r>
          </w:p>
        </w:tc>
        <w:tc>
          <w:tcPr>
            <w:tcW w:w="2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2,458</w:t>
            </w:r>
          </w:p>
        </w:tc>
        <w:tc>
          <w:tcPr>
            <w:tcW w:w="12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13,591</w:t>
            </w:r>
          </w:p>
        </w:tc>
        <w:tc>
          <w:tcPr>
            <w:tcW w:w="22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(11,133)</w:t>
            </w:r>
          </w:p>
        </w:tc>
        <w:tc>
          <w:tcPr>
            <w:tcW w:w="10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(81.9%)</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10,484</w:t>
            </w:r>
          </w:p>
        </w:tc>
        <w:tc>
          <w:tcPr>
            <w:tcW w:w="12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5,016</w:t>
            </w:r>
          </w:p>
        </w:tc>
        <w:tc>
          <w:tcPr>
            <w:tcW w:w="220" w:type="dxa"/>
            <w:vAlign w:val="bottom"/>
          </w:tcPr>
          <w:p>
            <w:pPr>
              <w:spacing w:after="0"/>
              <w:rPr>
                <w:sz w:val="19"/>
                <w:szCs w:val="19"/>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5,468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109.0%</w:t>
            </w:r>
          </w:p>
        </w:tc>
      </w:tr>
      <w:tr>
        <w:trPr>
          <w:trHeight w:val="223"/>
        </w:trPr>
        <w:tc>
          <w:tcPr>
            <w:tcW w:w="516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189,903</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130,449</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59,454</w:t>
            </w:r>
          </w:p>
        </w:tc>
        <w:tc>
          <w:tcPr>
            <w:tcW w:w="600" w:type="dxa"/>
            <w:vAlign w:val="bottom"/>
            <w:tcBorders>
              <w:top w:val="single" w:sz="8" w:color="EEEEEE"/>
              <w:bottom w:val="single" w:sz="8" w:color="EEEEEE"/>
            </w:tcBorders>
            <w:shd w:val="clear" w:color="auto" w:fill="EEEEEE"/>
          </w:tcPr>
          <w:p>
            <w:pPr>
              <w:spacing w:after="0"/>
              <w:rPr>
                <w:sz w:val="19"/>
                <w:szCs w:val="19"/>
                <w:color w:val="auto"/>
              </w:rPr>
            </w:pPr>
          </w:p>
        </w:tc>
        <w:tc>
          <w:tcPr>
            <w:tcW w:w="1080" w:type="dxa"/>
            <w:vAlign w:val="bottom"/>
            <w:tcBorders>
              <w:top w:val="single" w:sz="8" w:color="EEEEEE"/>
              <w:bottom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45.6%</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Revenues in the internet data center market were driven primarily by increasing demand for our 40 gigabits per second transceivers as our customers continued to upgrade their technology infrastructure. The decrease in revenue in our FTTH market is due to decreased demand from our major FTTH customer as a result of their decision to continue using an existing technology in their deployments. The increase in revenues in the CATV market for the year was a result of revenue derived from newly-designed products that have begun to be sold in higher quantities by our customers, as well as increased demand for new and existing products in certain international markets, especially in Latin America earlier in the year.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years ended December 31, 2015 and 2014, our top ten customers represented 88.7% and 87.2% of our revenue,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i w:val="1"/>
                <w:iCs w:val="1"/>
                <w:color w:val="auto"/>
              </w:rPr>
              <w:t>Cost of goods sold and gross margin</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Years ended December 31,</w:t>
            </w:r>
          </w:p>
        </w:tc>
        <w:tc>
          <w:tcPr>
            <w:tcW w:w="12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2"/>
          </w:tcPr>
          <w:p>
            <w:pPr>
              <w:jc w:val="right"/>
              <w:ind w:right="101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2"/>
          </w:tcPr>
          <w:p>
            <w:pPr>
              <w:jc w:val="right"/>
              <w:ind w:right="9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of Revenue</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Amount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Revenue</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99"/>
              </w:rPr>
              <w:t>Amount</w:t>
            </w: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4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w w:val="88"/>
              </w:rPr>
              <w:t>(in thousands, except percentages)</w:t>
            </w:r>
          </w:p>
        </w:tc>
        <w:tc>
          <w:tcPr>
            <w:tcW w:w="1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129,450</w:t>
            </w:r>
          </w:p>
        </w:tc>
        <w:tc>
          <w:tcPr>
            <w:tcW w:w="1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68.2%</w:t>
            </w:r>
          </w:p>
        </w:tc>
        <w:tc>
          <w:tcPr>
            <w:tcW w:w="3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86,203</w:t>
            </w: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66.1%</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EEEEEE"/>
          </w:tcPr>
          <w:p>
            <w:pPr>
              <w:jc w:val="right"/>
              <w:ind w:right="450"/>
              <w:spacing w:after="0"/>
              <w:rPr>
                <w:sz w:val="20"/>
                <w:szCs w:val="20"/>
                <w:color w:val="auto"/>
              </w:rPr>
            </w:pPr>
            <w:r>
              <w:rPr>
                <w:rFonts w:ascii="Arial" w:cs="Arial" w:eastAsia="Arial" w:hAnsi="Arial"/>
                <w:sz w:val="18"/>
                <w:szCs w:val="18"/>
                <w:color w:val="auto"/>
              </w:rPr>
              <w:t>43,247</w:t>
            </w: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50.2%</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60,453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44,246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6"/>
        </w:trPr>
        <w:tc>
          <w:tcPr>
            <w:tcW w:w="3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40" w:name="page41"/>
    <w:bookmarkEnd w:id="40"/>
    <w:p>
      <w:pPr>
        <w:ind w:right="20" w:firstLine="648"/>
        <w:spacing w:after="0" w:line="257" w:lineRule="auto"/>
        <w:rPr>
          <w:sz w:val="20"/>
          <w:szCs w:val="20"/>
          <w:color w:val="auto"/>
        </w:rPr>
      </w:pPr>
      <w:r>
        <w:rPr>
          <w:rFonts w:ascii="Arial" w:cs="Arial" w:eastAsia="Arial" w:hAnsi="Arial"/>
          <w:sz w:val="18"/>
          <w:szCs w:val="18"/>
          <w:color w:val="auto"/>
        </w:rPr>
        <w:t>Cost of goods sold increased by $43.2 million, or 50.2%, from 2014 to 2015, primarily due to a 45.6% increase in sales over the prior year. Within our markets, we may sell similar products in different geographic regions at different prices, resulting in different gross margins among our products. Also, within our segments there are various different product types which may have different gross margins. The decrease in gross margin the year ended December 31, 2015 compared to the same period ended December 31, 2014 was primarily the result of a differing product mix in our internet data center and CATV products.</w:t>
      </w:r>
    </w:p>
    <w:p>
      <w:pPr>
        <w:sectPr>
          <w:pgSz w:w="11900" w:h="16838" w:orient="portrait"/>
          <w:cols w:equalWidth="0" w:num="1">
            <w:col w:w="11420"/>
          </w:cols>
          <w:pgMar w:left="240" w:top="800" w:right="2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Research and development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8"/>
                <w:szCs w:val="18"/>
                <w:b w:val="1"/>
                <w:bCs w:val="1"/>
                <w:color w:val="auto"/>
                <w:w w:val="94"/>
              </w:rPr>
              <w:t>Years ended December 31,</w:t>
            </w:r>
          </w:p>
        </w:tc>
        <w:tc>
          <w:tcPr>
            <w:tcW w:w="1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3"/>
        </w:trPr>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11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19"/>
                <w:szCs w:val="19"/>
                <w:color w:val="auto"/>
              </w:rPr>
            </w:pPr>
          </w:p>
        </w:tc>
      </w:tr>
      <w:tr>
        <w:trPr>
          <w:trHeight w:val="223"/>
        </w:trPr>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of revenue</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99"/>
              </w:rPr>
              <w:t>Amount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of revenue</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195"/>
        </w:trPr>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60" w:type="dxa"/>
            <w:vAlign w:val="bottom"/>
            <w:gridSpan w:val="6"/>
          </w:tcPr>
          <w:p>
            <w:pPr>
              <w:ind w:left="40"/>
              <w:spacing w:after="0" w:line="195" w:lineRule="exact"/>
              <w:rPr>
                <w:sz w:val="20"/>
                <w:szCs w:val="20"/>
                <w:color w:val="auto"/>
              </w:rPr>
            </w:pPr>
            <w:r>
              <w:rPr>
                <w:rFonts w:ascii="Arial" w:cs="Arial" w:eastAsia="Arial" w:hAnsi="Arial"/>
                <w:sz w:val="18"/>
                <w:szCs w:val="18"/>
                <w:b w:val="1"/>
                <w:bCs w:val="1"/>
                <w:color w:val="auto"/>
                <w:w w:val="92"/>
              </w:rPr>
              <w:t>(in thousands, except percentages)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20,852</w:t>
            </w:r>
          </w:p>
        </w:tc>
        <w:tc>
          <w:tcPr>
            <w:tcW w:w="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15,970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4,882</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1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6,381</w:t>
            </w:r>
          </w:p>
        </w:tc>
        <w:tc>
          <w:tcPr>
            <w:tcW w:w="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6,043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19,771</w:t>
            </w:r>
          </w:p>
        </w:tc>
        <w:tc>
          <w:tcPr>
            <w:tcW w:w="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17,095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2,676</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47,004</w:t>
            </w:r>
          </w:p>
        </w:tc>
        <w:tc>
          <w:tcPr>
            <w:tcW w:w="2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39,108</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7,896</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-599440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-325120</wp:posOffset>
            </wp:positionV>
            <wp:extent cx="72466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74" w:lineRule="exact"/>
        <w:rPr>
          <w:sz w:val="20"/>
          <w:szCs w:val="20"/>
          <w:color w:val="auto"/>
        </w:rPr>
      </w:pPr>
    </w:p>
    <w:p>
      <w:pPr>
        <w:sectPr>
          <w:pgSz w:w="11900" w:h="16838" w:orient="portrait"/>
          <w:cols w:equalWidth="0" w:num="2">
            <w:col w:w="2620" w:space="720"/>
            <w:col w:w="8080"/>
          </w:cols>
          <w:pgMar w:left="240" w:top="800" w:right="239" w:bottom="1440" w:gutter="0" w:footer="0" w:header="0"/>
          <w:type w:val="continuous"/>
        </w:sectPr>
      </w:pPr>
    </w:p>
    <w:p>
      <w:pPr>
        <w:spacing w:after="0" w:line="6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Research and development expense increased by $4.9 million, or 30.6%, from 2014 to 2015. This was primarily due to increases in personnel costs, rent and utilities, R&amp;D work orders and project costs related to 100G data center products, DOCSIS 3.1-capable CATV products, other new product development, increase in depreciation expense resulting from additional R&amp;D equipment investments, and costs associated with our new R&amp;D center in Lawrenceville, GA. The percentage of research and development expenses over sales decreased from 12.2% to 11.0%, from the year ended December 31, 2014 compared to the year ended December 31,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Sales and marketing expense increased by $0.3 million, or 5.6%, from 2014 to 2015. This was due to an increase in expenses for a new sales incentive program which was implemented in May, 2014, and an increase in sales commissions directly related to our revenue growth. The percentage of sales and marketing expenses over sales decreased from 4.6% to 3.4% from the year ended December 31, 2014 compared to the year ended December 31,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General and administrative expense increased by $2.7 million, or 15.7%, from 2014 to 2015. This was primarily due to an increase in payroll and benefits, professional fees associated with being a public company and depreciation expense related to relocation of our factory in Taiwan. The percentage of general and administrative expenses over sales decreased from 13.1 % to 10.3% from the year ended December 31, 2014 compared to the year ended December 31, 2015.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8"/>
                <w:szCs w:val="18"/>
                <w:b w:val="1"/>
                <w:bCs w:val="1"/>
                <w:color w:val="auto"/>
                <w:w w:val="94"/>
              </w:rPr>
              <w:t>Years ended December 31,</w:t>
            </w:r>
          </w:p>
        </w:tc>
        <w:tc>
          <w:tcPr>
            <w:tcW w:w="1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of revenue</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9"/>
              </w:rPr>
              <w:t>Amount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of revenue</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87"/>
              </w:rPr>
              <w:t>(in thousands, except percentages)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328</w:t>
            </w:r>
          </w:p>
        </w:tc>
        <w:tc>
          <w:tcPr>
            <w:tcW w:w="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369</w:t>
            </w: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(41)</w:t>
            </w: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c>
          <w:tcPr>
            <w:tcW w:w="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(326)</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(692)</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212.3%</w:t>
            </w:r>
          </w:p>
        </w:tc>
      </w:tr>
      <w:tr>
        <w:trPr>
          <w:trHeight w:val="230"/>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(1,591)</w:t>
            </w:r>
          </w:p>
        </w:tc>
        <w:tc>
          <w:tcPr>
            <w:tcW w:w="6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(699)</w:t>
            </w:r>
          </w:p>
        </w:tc>
        <w:tc>
          <w:tcPr>
            <w:tcW w:w="13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(892)</w:t>
            </w:r>
          </w:p>
        </w:tc>
        <w:tc>
          <w:tcPr>
            <w:tcW w:w="32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127.6%</w:t>
            </w:r>
          </w:p>
        </w:tc>
      </w:tr>
      <w:tr>
        <w:trPr>
          <w:trHeight w:val="223"/>
        </w:trPr>
        <w:tc>
          <w:tcPr>
            <w:tcW w:w="3340" w:type="dxa"/>
            <w:vAlign w:val="bottom"/>
          </w:tcPr>
          <w:p>
            <w:pPr>
              <w:ind w:left="180"/>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1"/>
        </w:trPr>
        <w:tc>
          <w:tcPr>
            <w:tcW w:w="3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type w:val="continuous"/>
        </w:sectPr>
      </w:pPr>
    </w:p>
    <w:bookmarkStart w:id="41" w:name="page42"/>
    <w:bookmarkEnd w:id="41"/>
    <w:p>
      <w:pPr>
        <w:ind w:left="660"/>
        <w:spacing w:after="0"/>
        <w:rPr>
          <w:sz w:val="20"/>
          <w:szCs w:val="20"/>
          <w:color w:val="auto"/>
        </w:rPr>
      </w:pPr>
      <w:r>
        <w:rPr>
          <w:rFonts w:ascii="Arial" w:cs="Arial" w:eastAsia="Arial" w:hAnsi="Arial"/>
          <w:sz w:val="18"/>
          <w:szCs w:val="18"/>
          <w:color w:val="auto"/>
        </w:rPr>
        <w:t>Interest income decreased over the same prior year periods due to lower cash and investment balances.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increased overall for the periods with additional borrowing activities during the year ended December 31, 2015 to fund expansion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projects.</w:t>
      </w:r>
    </w:p>
    <w:p>
      <w:pPr>
        <w:spacing w:after="0" w:line="21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Other expense, net increased by $0.9 million from 2014 to 2015 due to an increase in unrealized foreign exchange losses of $1.3 million resulting from the depreciation of the RMB and NTD currencies against the U.S. dollar compared to those losses in the same prior year period. These unrealized losses were offset by an increase in realized foreign exchange gains of $0.4 million compared to the same prior year period. We qualify as a high-tech enterprise in China, as determined by the Chinese government, and are paid subsidies from time to time by the Chinese government to foster local high-tech manufacturing, which are recorded as other income. We received $0.3 million in subsidy during the year ended December 31, 2015 compared to $0.2 million in the same prior year period.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ind w:left="660"/>
              <w:spacing w:after="0"/>
              <w:rPr>
                <w:sz w:val="20"/>
                <w:szCs w:val="20"/>
                <w:color w:val="auto"/>
              </w:rPr>
            </w:pPr>
            <w:r>
              <w:rPr>
                <w:rFonts w:ascii="Arial" w:cs="Arial" w:eastAsia="Arial" w:hAnsi="Arial"/>
                <w:sz w:val="18"/>
                <w:szCs w:val="18"/>
                <w:i w:val="1"/>
                <w:iCs w:val="1"/>
                <w:color w:val="auto"/>
              </w:rPr>
              <w:t>Provision for income taxes</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8"/>
              </w:rPr>
              <w:t>Years ended December 31,</w:t>
            </w:r>
          </w:p>
        </w:tc>
        <w:tc>
          <w:tcPr>
            <w:tcW w:w="1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b w:val="1"/>
                <w:bCs w:val="1"/>
                <w:color w:val="auto"/>
              </w:rPr>
              <w:t>2014</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gridSpan w:val="2"/>
          </w:tcPr>
          <w:p>
            <w:pPr>
              <w:jc w:val="center"/>
              <w:ind w:right="850"/>
              <w:spacing w:after="0"/>
              <w:rPr>
                <w:sz w:val="20"/>
                <w:szCs w:val="20"/>
                <w:color w:val="auto"/>
              </w:rPr>
            </w:pPr>
            <w:r>
              <w:rPr>
                <w:rFonts w:ascii="Arial" w:cs="Arial" w:eastAsia="Arial" w:hAnsi="Arial"/>
                <w:sz w:val="18"/>
                <w:szCs w:val="18"/>
                <w:b w:val="1"/>
                <w:bCs w:val="1"/>
                <w:color w:val="auto"/>
                <w:w w:val="86"/>
              </w:rPr>
              <w:t>(in thousands, except percentages)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(375)</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440" w:type="dxa"/>
            <w:vAlign w:val="bottom"/>
            <w:shd w:val="clear" w:color="auto" w:fill="EEEEEE"/>
          </w:tcPr>
          <w:p>
            <w:pPr>
              <w:jc w:val="right"/>
              <w:ind w:right="1030"/>
              <w:spacing w:after="0"/>
              <w:rPr>
                <w:sz w:val="20"/>
                <w:szCs w:val="20"/>
                <w:color w:val="auto"/>
              </w:rPr>
            </w:pPr>
            <w:r>
              <w:rPr>
                <w:rFonts w:ascii="Arial" w:cs="Arial" w:eastAsia="Arial" w:hAnsi="Arial"/>
                <w:sz w:val="18"/>
                <w:szCs w:val="18"/>
                <w:color w:val="auto"/>
              </w:rPr>
              <w:t>(199)</w:t>
            </w:r>
          </w:p>
        </w:tc>
        <w:tc>
          <w:tcPr>
            <w:tcW w:w="116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(176)</w:t>
            </w: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46.9%</w:t>
            </w:r>
          </w:p>
        </w:tc>
      </w:tr>
    </w:tbl>
    <w:p>
      <w:pPr>
        <w:spacing w:after="0" w:line="202"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Our income tax expense consists of U.S. alternative minimum tax, state taxes and Taiwan income tax recorded during the periods. Our effective tax rate is affected by recurring items, such as tax rates in state and foreign jurisdictions and the relative amounts of income we earn in those jurisdictions. It is also affected by the change in the valuation allowance, as our deferred tax assets are fully offset by a deferred tax valuation allowance.</w:t>
      </w:r>
    </w:p>
    <w:p>
      <w:pPr>
        <w:spacing w:after="0" w:line="14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recorded a valuation allowance against all of our deferred tax assets as of December 31, 2015, and 2014. We have determined a full valuation allowance on our deferred tax assets is required until there is sufficient evidence to support that our deferred taxes are realizable. However, given our recent two years of earnings and uncertainty of anticipated future earnings, we believe that there is a reasonable possibility that within the next 12 months, sufficient positive evidence may become available to allow us to reach a conclusion that a significant portion of the valuation allowance will no longer be needed. Release of the valuation allowance would result in the recognition of certain deferred tax assets and a decrease to income tax expense for the period the release is recorded. However, the exact timing and amount of the valuation allowance release are subject to change on the basis of the level of profitability that we are able to actually achieve.</w:t>
      </w:r>
    </w:p>
    <w:p>
      <w:pPr>
        <w:spacing w:after="0" w:line="189"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In considering whether or not to continue to maintain the valuation allowance, we consider all available positive and negative evidence, including: historical profits and losses, forecasts of future profits or losses, and trends in the industries that we serve that may affect our ability to continue to generate profits. In projecting future taxable income, we begin with historical results adjusted for the results of discontinued operations and incorporate assumptions about the amount of future state, federal, and foreign pretax operating income adjusted for items that do not have tax consequences. The assumptions about future taxable income require the use of significant judgment and are consistent with the plans and estimates we are using to manage the underlying businesses. We currently have deferred tax assets in China, Taiwan, and the United states. When considering positive and negative evidence, we analyze positive and negative evidence in each jurisdiction independently.</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Comparison of Years Ended December 31,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charts provide the revenue contribution from each of the markets we served for the years ended December 31, 2014 and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8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Years ended December 31,</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60" w:type="dxa"/>
            <w:vAlign w:val="bottom"/>
            <w:gridSpan w:val="2"/>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CATV</w:t>
            </w: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36.3%</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Data Center</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49.4%</w:t>
            </w:r>
          </w:p>
        </w:tc>
        <w:tc>
          <w:tcPr>
            <w:tcW w:w="10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FTTH</w:t>
            </w: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10.4%</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0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 Revenue</w:t>
            </w:r>
          </w:p>
        </w:tc>
        <w:tc>
          <w:tcPr>
            <w:tcW w:w="1020" w:type="dxa"/>
            <w:vAlign w:val="bottom"/>
            <w:tcBorders>
              <w:top w:val="single" w:sz="8" w:color="auto"/>
              <w:bottom w:val="single" w:sz="8" w:color="auto"/>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1"/>
              </w:rPr>
              <w:t>100.0%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200"/>
              <w:spacing w:after="0"/>
              <w:rPr>
                <w:sz w:val="20"/>
                <w:szCs w:val="20"/>
                <w:color w:val="auto"/>
              </w:rPr>
            </w:pPr>
            <w:r>
              <w:rPr>
                <w:rFonts w:ascii="Arial" w:cs="Arial" w:eastAsia="Arial" w:hAnsi="Arial"/>
                <w:sz w:val="18"/>
                <w:szCs w:val="18"/>
                <w:b w:val="1"/>
                <w:bCs w:val="1"/>
                <w:color w:val="auto"/>
              </w:rPr>
              <w:t>Years ended December 31,</w:t>
            </w:r>
          </w:p>
        </w:tc>
        <w:tc>
          <w:tcPr>
            <w:tcW w:w="220" w:type="dxa"/>
            <w:vAlign w:val="bottom"/>
          </w:tcPr>
          <w:p>
            <w:pPr>
              <w:spacing w:after="0"/>
              <w:rPr>
                <w:sz w:val="20"/>
                <w:szCs w:val="20"/>
                <w:color w:val="auto"/>
              </w:rPr>
            </w:pPr>
          </w:p>
        </w:tc>
        <w:tc>
          <w:tcPr>
            <w:tcW w:w="1720" w:type="dxa"/>
            <w:vAlign w:val="bottom"/>
            <w:gridSpan w:val="3"/>
          </w:tcPr>
          <w:p>
            <w:pPr>
              <w:ind w:left="94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9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6"/>
          </w:tcPr>
          <w:p>
            <w:pPr>
              <w:ind w:left="20"/>
              <w:spacing w:after="0"/>
              <w:rPr>
                <w:sz w:val="20"/>
                <w:szCs w:val="20"/>
                <w:color w:val="auto"/>
              </w:rPr>
            </w:pPr>
            <w:r>
              <w:rPr>
                <w:rFonts w:ascii="Arial" w:cs="Arial" w:eastAsia="Arial" w:hAnsi="Arial"/>
                <w:sz w:val="18"/>
                <w:szCs w:val="18"/>
                <w:b w:val="1"/>
                <w:bCs w:val="1"/>
                <w:color w:val="auto"/>
              </w:rPr>
              <w:t>(in thousands, except percentages)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CATV</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47,389</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47,373</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w:t>
            </w:r>
          </w:p>
        </w:tc>
        <w:tc>
          <w:tcPr>
            <w:tcW w:w="3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Data Center</w:t>
            </w:r>
          </w:p>
        </w:tc>
        <w:tc>
          <w:tcPr>
            <w:tcW w:w="2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64,453</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19,386</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45,067</w:t>
            </w:r>
          </w:p>
        </w:tc>
        <w:tc>
          <w:tcPr>
            <w:tcW w:w="3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232.5%</w:t>
            </w:r>
          </w:p>
        </w:tc>
      </w:tr>
      <w:tr>
        <w:trPr>
          <w:trHeight w:val="216"/>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FTTH</w:t>
            </w:r>
          </w:p>
        </w:tc>
        <w:tc>
          <w:tcPr>
            <w:tcW w:w="2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13,591</w:t>
            </w:r>
          </w:p>
        </w:tc>
        <w:tc>
          <w:tcPr>
            <w:tcW w:w="12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4,377</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9,214</w:t>
            </w:r>
          </w:p>
        </w:tc>
        <w:tc>
          <w:tcPr>
            <w:tcW w:w="3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210.5%</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5,016</w:t>
            </w:r>
          </w:p>
        </w:tc>
        <w:tc>
          <w:tcPr>
            <w:tcW w:w="12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7,288</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(2,272)</w:t>
            </w:r>
          </w:p>
        </w:tc>
        <w:tc>
          <w:tcPr>
            <w:tcW w:w="3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r>
      <w:tr>
        <w:trPr>
          <w:trHeight w:val="223"/>
        </w:trPr>
        <w:tc>
          <w:tcPr>
            <w:tcW w:w="5160" w:type="dxa"/>
            <w:vAlign w:val="bottom"/>
            <w:tcBorders>
              <w:top w:val="single" w:sz="8" w:color="EEEEEE"/>
              <w:bottom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130,449</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78,424</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52,025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80" w:type="dxa"/>
            <w:vAlign w:val="bottom"/>
            <w:tcBorders>
              <w:top w:val="single" w:sz="8" w:color="auto"/>
              <w:bottom w:val="single" w:sz="8" w:color="auto"/>
            </w:tcBorders>
            <w:shd w:val="clear" w:color="auto" w:fill="EEEEEE"/>
          </w:tcPr>
          <w:p>
            <w:pPr>
              <w:spacing w:after="0"/>
              <w:rPr>
                <w:sz w:val="19"/>
                <w:szCs w:val="19"/>
                <w:color w:val="auto"/>
              </w:rPr>
            </w:pP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Of our total revenue in 2014, we generated $47.4 million, or 36.3%, from the CATV market, $64.5 million, or 49.4%, from the internet data center market, $13.6 million, or 10.4%, from the FTTH market, and $5.0 million, or 3.9%, from other markets. Total revenue increased by $52.0 million, or 66.3%, from 2013 to 2014.</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increase in revenue was attributable to a $45.1 million increase from the internet data center market, primarily driven by increasing demand for our 10 gigabits per second and 40 gigabits per second transceivers as our customers continued to upgrade their technology infrastructure. Revenues in the FTTH market increased by $9.2 million, primarily driven by increasing demand for our WDM-PON products to existing customers. CATV revenues were flat year over year due to a decline in sales in certain emerging markets, offset by increased sales for newly-designed products.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i w:val="1"/>
                <w:iCs w:val="1"/>
                <w:color w:val="auto"/>
              </w:rPr>
              <w:t>Cost of goods sold and gross margin</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w w:val="90"/>
              </w:rPr>
              <w:t>Years ended December 31,</w:t>
            </w:r>
          </w:p>
        </w:tc>
        <w:tc>
          <w:tcPr>
            <w:tcW w:w="9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9"/>
              </w:rPr>
              <w:t>% of</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4"/>
              </w:rPr>
              <w:t>% of</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Amount</w:t>
            </w: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Amount</w:t>
            </w: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7"/>
              </w:rPr>
              <w:t>Revenue</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99"/>
              </w:rPr>
              <w:t>Amount</w:t>
            </w: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4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w w:val="88"/>
              </w:rPr>
              <w:t>(in thousands, except percentages)</w:t>
            </w:r>
          </w:p>
        </w:tc>
        <w:tc>
          <w:tcPr>
            <w:tcW w:w="1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86,203</w:t>
            </w:r>
          </w:p>
        </w:tc>
        <w:tc>
          <w:tcPr>
            <w:tcW w:w="10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66.1%</w:t>
            </w:r>
          </w:p>
        </w:tc>
        <w:tc>
          <w:tcPr>
            <w:tcW w:w="3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55,396</w:t>
            </w: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70.6%</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EEEEEE"/>
          </w:tcPr>
          <w:p>
            <w:pPr>
              <w:jc w:val="right"/>
              <w:ind w:right="450"/>
              <w:spacing w:after="0"/>
              <w:rPr>
                <w:sz w:val="20"/>
                <w:szCs w:val="20"/>
                <w:color w:val="auto"/>
              </w:rPr>
            </w:pPr>
            <w:r>
              <w:rPr>
                <w:rFonts w:ascii="Arial" w:cs="Arial" w:eastAsia="Arial" w:hAnsi="Arial"/>
                <w:sz w:val="18"/>
                <w:szCs w:val="18"/>
                <w:color w:val="auto"/>
              </w:rPr>
              <w:t>30,807</w:t>
            </w: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55.6%</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20"/>
                <w:szCs w:val="20"/>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44,246</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23,028</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Cost of goods sold increased by $30.8 million, or 55.6%, from 2013 to 2014, primarily due to the combination of a $21.8 million increase in direct material costs and a $9.0 million increase in labor and overhead costs, both of which were associated with our increase in revenues. Different products within our portfolio may have gross margins that vary from other products. Moreover, among the markets that we serve, average gross margins vary. In general, products that incorporate newer technology or are more differentiated from our competitors generate higher gross margins, whereas products that are older or incorporate less differentiated technology generate lower gross margins. The increase in gross margin is primarily due to a larger percentage of sales of newer, more technologically differentiated products in 2014 compared with 2013 and an overall increase in revenue.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w w:val="90"/>
              </w:rPr>
              <w:t>Years ended December 31,</w:t>
            </w:r>
          </w:p>
        </w:tc>
        <w:tc>
          <w:tcPr>
            <w:tcW w:w="9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9"/>
              </w:rPr>
              <w:t>% of</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4"/>
              </w:rPr>
              <w:t>% of</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Amount</w:t>
            </w:r>
          </w:p>
        </w:tc>
        <w:tc>
          <w:tcPr>
            <w:tcW w:w="10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86"/>
              </w:rPr>
              <w:t>revenue</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Amount</w:t>
            </w:r>
          </w:p>
        </w:tc>
        <w:tc>
          <w:tcPr>
            <w:tcW w:w="1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6"/>
              </w:rPr>
              <w:t>revenue</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99"/>
              </w:rPr>
              <w:t>Amount</w:t>
            </w: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60" w:type="dxa"/>
            <w:vAlign w:val="bottom"/>
            <w:gridSpan w:val="5"/>
          </w:tcPr>
          <w:p>
            <w:pPr>
              <w:ind w:left="40"/>
              <w:spacing w:after="0"/>
              <w:rPr>
                <w:sz w:val="20"/>
                <w:szCs w:val="20"/>
                <w:color w:val="auto"/>
              </w:rPr>
            </w:pPr>
            <w:r>
              <w:rPr>
                <w:rFonts w:ascii="Arial" w:cs="Arial" w:eastAsia="Arial" w:hAnsi="Arial"/>
                <w:sz w:val="18"/>
                <w:szCs w:val="18"/>
                <w:b w:val="1"/>
                <w:bCs w:val="1"/>
                <w:color w:val="auto"/>
                <w:w w:val="92"/>
              </w:rPr>
              <w:t>(in thousands, except percentages)</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15,970</w:t>
            </w:r>
          </w:p>
        </w:tc>
        <w:tc>
          <w:tcPr>
            <w:tcW w:w="10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12.2%</w:t>
            </w:r>
          </w:p>
        </w:tc>
        <w:tc>
          <w:tcPr>
            <w:tcW w:w="3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8,512</w:t>
            </w: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EEEEEE"/>
          </w:tcPr>
          <w:p>
            <w:pPr>
              <w:jc w:val="right"/>
              <w:ind w:right="450"/>
              <w:spacing w:after="0"/>
              <w:rPr>
                <w:sz w:val="20"/>
                <w:szCs w:val="20"/>
                <w:color w:val="auto"/>
              </w:rPr>
            </w:pPr>
            <w:r>
              <w:rPr>
                <w:rFonts w:ascii="Arial" w:cs="Arial" w:eastAsia="Arial" w:hAnsi="Arial"/>
                <w:sz w:val="18"/>
                <w:szCs w:val="18"/>
                <w:color w:val="auto"/>
              </w:rPr>
              <w:t>7,458</w:t>
            </w: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87.6%</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6,043</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4,191</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color w:val="auto"/>
              </w:rPr>
              <w:t>1,852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r>
      <w:tr>
        <w:trPr>
          <w:trHeight w:val="216"/>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17,095</w:t>
            </w:r>
          </w:p>
        </w:tc>
        <w:tc>
          <w:tcPr>
            <w:tcW w:w="10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10,632</w:t>
            </w: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450"/>
              <w:spacing w:after="0"/>
              <w:rPr>
                <w:sz w:val="20"/>
                <w:szCs w:val="20"/>
                <w:color w:val="auto"/>
              </w:rPr>
            </w:pPr>
            <w:r>
              <w:rPr>
                <w:rFonts w:ascii="Arial" w:cs="Arial" w:eastAsia="Arial" w:hAnsi="Arial"/>
                <w:sz w:val="18"/>
                <w:szCs w:val="18"/>
                <w:color w:val="auto"/>
              </w:rPr>
              <w:t>6,463</w:t>
            </w: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60.8%</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39,108</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23,335</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29.8%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450"/>
              <w:spacing w:after="0"/>
              <w:rPr>
                <w:sz w:val="20"/>
                <w:szCs w:val="20"/>
                <w:color w:val="auto"/>
              </w:rPr>
            </w:pPr>
            <w:r>
              <w:rPr>
                <w:rFonts w:ascii="Arial" w:cs="Arial" w:eastAsia="Arial" w:hAnsi="Arial"/>
                <w:sz w:val="18"/>
                <w:szCs w:val="18"/>
                <w:color w:val="auto"/>
              </w:rPr>
              <w:t>15,773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r>
      <w:tr>
        <w:trPr>
          <w:trHeight w:val="526"/>
        </w:trPr>
        <w:tc>
          <w:tcPr>
            <w:tcW w:w="3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Research and development expense increased by $7.5 million, or 87.6%, from 2013 to 2014. This was primarily due to increases in personnel costs, rent and utilities, R&amp;D work orders and project costs related to FTTH WDM-PON products, 40G and 100G data center products and other new product development. Depreciation expense also increased due to additional R&amp;D equipment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Sales and marketing expense increased by $1.9 million, or 44.2%, from 2013 to 2014. This was due to an increase in personnel costs due to additional sales and marketing staff to better serve our customers, expenses for a new sales incentive program and an increase in sales commissions directly related to our revenue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General and administrative expense increased by $6.5 million, or 60.8%, from 2013 to 2014. This was primarily due to an increase in share-based compensation expense, personnel costs, various expenses incurred due to becoming a public company as well as non-recurring expenses related to relocation of our Taiwan plant and CFO separation costs.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8"/>
                <w:szCs w:val="18"/>
                <w:b w:val="1"/>
                <w:bCs w:val="1"/>
                <w:color w:val="auto"/>
                <w:w w:val="90"/>
              </w:rPr>
              <w:t>Years ended December 31,</w:t>
            </w:r>
          </w:p>
        </w:tc>
        <w:tc>
          <w:tcPr>
            <w:tcW w:w="9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2014</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2013</w:t>
            </w: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1"/>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revenue</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8"/>
                <w:szCs w:val="18"/>
                <w:b w:val="1"/>
                <w:bCs w:val="1"/>
                <w:color w:val="auto"/>
                <w:w w:val="99"/>
              </w:rPr>
              <w:t>Amount</w:t>
            </w:r>
          </w:p>
        </w:tc>
        <w:tc>
          <w:tcPr>
            <w:tcW w:w="11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8"/>
              </w:rPr>
              <w:t>revenue</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87"/>
              </w:rPr>
              <w:t>(in thousands, except percentages)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265</w:t>
            </w:r>
          </w:p>
        </w:tc>
        <w:tc>
          <w:tcPr>
            <w:tcW w:w="32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254.8%</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(1,125)</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799</w:t>
            </w:r>
          </w:p>
        </w:tc>
        <w:tc>
          <w:tcPr>
            <w:tcW w:w="3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(71.0%)</w:t>
            </w:r>
          </w:p>
        </w:tc>
      </w:tr>
      <w:tr>
        <w:trPr>
          <w:trHeight w:val="230"/>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(699)</w:t>
            </w:r>
          </w:p>
        </w:tc>
        <w:tc>
          <w:tcPr>
            <w:tcW w:w="1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(621)</w:t>
            </w:r>
          </w:p>
        </w:tc>
        <w:tc>
          <w:tcPr>
            <w:tcW w:w="320" w:type="dxa"/>
            <w:vAlign w:val="bottom"/>
            <w:shd w:val="clear" w:color="auto" w:fill="EEEEEE"/>
          </w:tcPr>
          <w:p>
            <w:pPr>
              <w:spacing w:after="0"/>
              <w:rPr>
                <w:sz w:val="19"/>
                <w:szCs w:val="19"/>
                <w:color w:val="auto"/>
              </w:rPr>
            </w:pPr>
          </w:p>
        </w:tc>
        <w:tc>
          <w:tcPr>
            <w:tcW w:w="9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796.2%</w:t>
            </w:r>
          </w:p>
        </w:tc>
      </w:tr>
      <w:tr>
        <w:trPr>
          <w:trHeight w:val="223"/>
        </w:trPr>
        <w:tc>
          <w:tcPr>
            <w:tcW w:w="3340" w:type="dxa"/>
            <w:vAlign w:val="bottom"/>
          </w:tcPr>
          <w:p>
            <w:pPr>
              <w:ind w:left="180"/>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3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increased over the same prior year periods due to higher cash and investment balances.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decreased overall for the periods due to the benefit of lower interest rates as well as lower loan balances.</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Other income (expense), net increased by $0.4 million from 2013 to 2014. Other net expense increased due to unrealized foreign exchange losses recognized resulting from the depreciation of the Asia currencies against the U.S. dollar compared to unrealized foreign exchange losses in the same prior year period. We have historically qualified as a high-tech enterprise in China, as determined by the Chinese government, and are paid subsidies from time to time by the Chinese government to foster local high-tech manufacturing. We received less subsidy in 2014 compared to 2013.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i w:val="1"/>
                <w:iCs w:val="1"/>
                <w:color w:val="auto"/>
              </w:rPr>
              <w:t>Provision for income taxes</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8"/>
              </w:rPr>
              <w:t>Years ended December 31,</w:t>
            </w:r>
          </w:p>
        </w:tc>
        <w:tc>
          <w:tcPr>
            <w:tcW w:w="1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b w:val="1"/>
                <w:bCs w:val="1"/>
                <w:color w:val="auto"/>
              </w:rPr>
              <w:t>2013</w:t>
            </w: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gridSpan w:val="2"/>
          </w:tcPr>
          <w:p>
            <w:pPr>
              <w:jc w:val="center"/>
              <w:ind w:right="810"/>
              <w:spacing w:after="0"/>
              <w:rPr>
                <w:sz w:val="20"/>
                <w:szCs w:val="20"/>
                <w:color w:val="auto"/>
              </w:rPr>
            </w:pPr>
            <w:r>
              <w:rPr>
                <w:rFonts w:ascii="Arial" w:cs="Arial" w:eastAsia="Arial" w:hAnsi="Arial"/>
                <w:sz w:val="18"/>
                <w:szCs w:val="18"/>
                <w:b w:val="1"/>
                <w:bCs w:val="1"/>
                <w:color w:val="auto"/>
                <w:w w:val="86"/>
              </w:rPr>
              <w:t>(in thousands, except percentages)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440" w:type="dxa"/>
            <w:vAlign w:val="bottom"/>
            <w:shd w:val="clear" w:color="auto" w:fill="EEEEEE"/>
          </w:tcPr>
          <w:p>
            <w:pPr>
              <w:jc w:val="right"/>
              <w:ind w:right="10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570"/>
              <w:spacing w:after="0"/>
              <w:rPr>
                <w:sz w:val="20"/>
                <w:szCs w:val="20"/>
                <w:color w:val="auto"/>
              </w:rPr>
            </w:pPr>
            <w:r>
              <w:rPr>
                <w:rFonts w:ascii="Arial" w:cs="Arial" w:eastAsia="Arial" w:hAnsi="Arial"/>
                <w:sz w:val="18"/>
                <w:szCs w:val="18"/>
                <w:color w:val="auto"/>
              </w:rPr>
              <w:t>(199)</w:t>
            </w: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Our income tax expense for 2014 consists of U.S. alternative minimum tax recorded during the period. Our effective tax rate is affected by recurring items, such as tax rates in state and foreign jurisdictions and the relative amounts of income we earn in those jurisdictions. It is also affected by the change in the valuation allowance, as our deferred tax assets are fully offset by a deferred tax valuation allowance.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From inception until our initial public offering, we financed our operations through private sales of equity securities, cash generated from operations and from various lending arrangements. In 2015, we entered into credit agreements with East West Bank and Comerica Bank totaling $62.0 million to finance our working capital, campus expansion and equipment investments. In addition, we also entered various credit agreements with several Taiwan banks through our Taiwan branch totaling $26.5 million. On June 3, 2015, we filed a Registration Statement on Form S-3 with the Securities and Exchange Commission effective June 23, 2015, providing for the public offer and sale of certain securities of the Company from time to time, at our discretion, up to an aggregate amount of $140 million. As of December 31, 2015, we have sold 1.9 million shares of common stock at a weighted average price of $21.54 per share, providing proceeds of $38.6 million, net of expenses and underwriting discounts and commissions. As of December 31, 2015, we had $37.7 million of unused borrowing capacity from all of our loan agreements. As of December 31, 2015, our cash, cash equivalents, restricted cash and short-term investments totaled $40.7 million. Cash and cash equivalents are held for working capital purposes and are invested primarily in money market or time deposit funds. We do not enter into investments for trading or speculative purposes.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0" w:type="dxa"/>
            <w:vAlign w:val="bottom"/>
            <w:gridSpan w:val="6"/>
          </w:tcPr>
          <w:p>
            <w:pPr>
              <w:jc w:val="right"/>
              <w:ind w:right="105"/>
              <w:spacing w:after="0"/>
              <w:rPr>
                <w:sz w:val="20"/>
                <w:szCs w:val="20"/>
                <w:color w:val="auto"/>
              </w:rPr>
            </w:pPr>
            <w:r>
              <w:rPr>
                <w:rFonts w:ascii="Arial" w:cs="Arial" w:eastAsia="Arial" w:hAnsi="Arial"/>
                <w:sz w:val="18"/>
                <w:szCs w:val="18"/>
                <w:b w:val="1"/>
                <w:bCs w:val="1"/>
                <w:color w:val="auto"/>
              </w:rPr>
              <w:t>Years Ended December 31,</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4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(in thousands)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(15,212)</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8,530</w:t>
            </w:r>
          </w:p>
        </w:tc>
        <w:tc>
          <w:tcPr>
            <w:tcW w:w="340" w:type="dxa"/>
            <w:vAlign w:val="bottom"/>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(6,190)</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(61,620)</w:t>
            </w: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(45,388)</w:t>
            </w:r>
          </w:p>
        </w:tc>
        <w:tc>
          <w:tcPr>
            <w:tcW w:w="3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(17,736)</w:t>
            </w:r>
          </w:p>
        </w:tc>
      </w:tr>
      <w:tr>
        <w:trPr>
          <w:trHeight w:val="216"/>
        </w:trPr>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73,114</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47,250</w:t>
            </w:r>
          </w:p>
        </w:tc>
        <w:tc>
          <w:tcPr>
            <w:tcW w:w="3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35,368</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3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14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3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r>
      <w:tr>
        <w:trPr>
          <w:trHeight w:val="223"/>
        </w:trPr>
        <w:tc>
          <w:tcPr>
            <w:tcW w:w="44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increase (decrease) in cash</w:t>
            </w: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(4,101</w:t>
            </w:r>
          </w:p>
        </w:tc>
        <w:tc>
          <w:tcPr>
            <w:tcW w:w="180" w:type="dxa"/>
            <w:vAlign w:val="bottom"/>
            <w:tcBorders>
              <w:top w:val="single" w:sz="8" w:color="EEEEEE"/>
              <w:bottom w:val="single" w:sz="8" w:color="EEEEEE"/>
            </w:tcBorders>
            <w:shd w:val="clear" w:color="auto" w:fill="EEEEEE"/>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10,169</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11,283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2015, net cash used in operating activities was $15.2 million. Cash used was primarily from an increase in inventories of $37.5 million to support revenue growth, an increase in accounts receivable from our customers of $7.5 million and a decrease in accounts payable to our vendors of $1.3 million. The cash used was offset by an increase in accrued liabilities of $5.0 million in 2015.</w:t>
      </w:r>
    </w:p>
    <w:p>
      <w:pPr>
        <w:spacing w:after="0" w:line="181"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In 2014, net cash provided by operating activities was $8.5 million. Accounts payable increases of $18.9 million were offset by an increase in accounts receivable from our customers of $9.7 million and an increase in inventories of $16.1 million to support revenue growth.</w:t>
      </w:r>
    </w:p>
    <w:p>
      <w:pPr>
        <w:spacing w:after="0" w:line="14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In 2013, net cash used in operating activities was $6.2 million. Cash used in operating activities primarily related to an increase in receivables from customers from the sale of our products in excess of cash paid to our suppliers. We also spent $7.5 million to increase our inventories to support increases in sales volumes, but this was offset by an increase in accounts payable.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investing activities consisted primarily of capital expenditures and purchases of intangible assets.</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 2015, net cash used in investing activities was $61.6 million for the purchase of additional machinery and equipment and for investment in the construction of our US and Taiwan plants. Deferred charges also increased associated with the purchase of new machinery and equipment as well as patent spending.</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2014, net cash used in investing activities was $45.4 million for the purchase of additional machinery and equipment, for investment in leasehold improvements for our Taiwan plant expansion and the payment for intellectual property licenses to support new product development efforts and manufacturing activities as well as an increase in deferred charges.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2013, we used $17.7 million of cash for investing activities, of which $9.3 million of cash was used for the purchase of additional machinery and equipment to support our research and development efforts and manufacturing activities and $8.0 million of cash was used for the purchase of short-term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Our financing activities have historically consisted primarily of proceeds from the issuance of common stock and arrangements with various commercial lenders.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5" w:name="page46"/>
    <w:bookmarkEnd w:id="45"/>
    <w:p>
      <w:pPr>
        <w:ind w:right="60" w:firstLine="648"/>
        <w:spacing w:after="0" w:line="312" w:lineRule="auto"/>
        <w:rPr>
          <w:sz w:val="20"/>
          <w:szCs w:val="20"/>
          <w:color w:val="auto"/>
        </w:rPr>
      </w:pPr>
      <w:r>
        <w:rPr>
          <w:rFonts w:ascii="Arial" w:cs="Arial" w:eastAsia="Arial" w:hAnsi="Arial"/>
          <w:sz w:val="16"/>
          <w:szCs w:val="16"/>
          <w:color w:val="auto"/>
        </w:rPr>
        <w:t>In 2015, our financing activities provided $73.1 million in cash. We received $37.5 million in net borrowings associated with our bank loans, $1.9 million in net proceeds from acceptance payable, offset by increased restricted cash of $4.4 million related to our bank loan requirements. We also received $38.6 million in net proceeds from the sale of our common stock pursuant to an at-the-market offering. See Note M to the Consolidated Financial Statements.</w:t>
      </w:r>
    </w:p>
    <w:p>
      <w:pPr>
        <w:spacing w:after="0" w:line="14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2014, our financing activities provided $47.3 million in cash. We received $45.7 million in net proceeds from a secondary offering of common stock. Net borrowings associated with our bank loans and bank acceptance payable provided $1.9 million in cash</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2013, our financing activities provided $35.4 million in cash. We received $31.5 million in net proceeds from our initial public offering. We received $3.5 million in net borrowings associated with our bank loans and $0.7 million from the exercise of stock options and warrants. These increases were offset by an increase in our restricted cash by $0.2 million, related to the compensating balances required by our loans in China. See Note B to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have lending arrangements with several financial institutions, including a revolving line of credit and a term loan with East West Bank and Comerica Bank in the U.S., lines of credit and financing agreements for our Taiwan branch and several lines of credit arrangements for our China subsidiary. As of December 31, 2015, we had $37.7 million of unused borrowing capacity.</w:t>
      </w:r>
    </w:p>
    <w:p>
      <w:pPr>
        <w:spacing w:after="0" w:line="18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 June 30, 2015, we entered into a credit agreement with East West Bank and Comerica Bank, a second lien deed of trust, multiple security agreements and promissory notes evidencing two credit facilities and a term loan. The credit agreement included a $25.0 million revolving line of credit which matures on June 30, 2018 and a $10 million term loan maturing on June 30, 2020. The interest rate on these loans is the LIBOR Borrowing Rate plus 2.75% or 3.0%. As of December 31, 2015, $23.0 million was outstanding under the revolving line of credit and $2.0 million was outstanding under the term loans.</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also have with East West Bank a term loan of $5 million with monthly payments of principal and interest that matures on July 31, 2019. As of December 31, 2015, the outstanding balance of such term loan was $4.2 million.</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January 26, 2015, we entered into a construction loan agreement with East West Bank for up to $22.0 million dollars to finance the construction of our campus expansion plan in Sugar Land, Texas. Upon signing the agreement, we deposited $11.0 million into a restricted bank account for owner’s contribution of construction costs. The loan will have a fifteen month draw down period with monthly interest payments commencing on February 26, 2015 and ending April 26, 2016. Thereafter, the entire outstanding principal balance shall be converted to a sixty-nine month term loan with principal and interest payments due monthly amortized over three hundred months. The first principal and interest payment is due on May 26, 2016 and will continue the same day of each month thereafter. The final principal and interest payment is due on January 26, 2022 and will include all unpaid principal and all accrued and unpaid interest. We may pay without penalty all or a portion of the amount owed earlier than due. Under the loan agreement, the loan bears interest, at an annual rate based on the one-month LIBOR Borrowing Rate plus 2.75%. As of December 31, 2015, there was $8.6 million outstanding under this loan agreement and there was zero balance in the restricted bank account.</w:t>
      </w:r>
    </w:p>
    <w:p>
      <w:pPr>
        <w:spacing w:after="0" w:line="18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loan and security agreements with East West Bank and Comerica Bank require us to maintain certain financial covenants, including a minimum current ratio and minimum annual EBITDA. As of December 31, 2015, we were in compliance with all covenants contained in these agreements.</w:t>
      </w:r>
    </w:p>
    <w:p>
      <w:pPr>
        <w:spacing w:after="0" w:line="12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On January 6, 2015, our Taiwan branch entered into a one-year revolving credit facility with CTBC Bank Co. Ltd. in Taipei, Taiwan for 90.0 million New Taiwan dollars, or approximately $3.0 million. Its obligations under the credit facility are unsecured. Borrowings under the credit facility bear interest at a rate based on the Bank’s corporate interest rate index plus 1.5%, adjusted monthly. As of the execution of the credit facility, the Bank’s corporate interest rate index is 0.91%. As of December 31, 2015, $2.6 million was outstanding under this credit facility.</w:t>
      </w:r>
    </w:p>
    <w:p>
      <w:pPr>
        <w:spacing w:after="0" w:line="17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On March 9, 2015, our Taiwan branch increased its $4.0 million credit facility with E. Sun Commercial Bank to $7.0 million. Its obligations under the credit facility are secured by our $4.0 million cash deposit in a one-year CD with such bank and mature on May 27, 2016. The $4.0 million revolving line of credit with CD security bears interest at a rate equal to Taiwan Deposit Index Rate plus 0.41% for New Taiwan dollar borrowings and a 0.1% service fee for U.S. dollar borrowings. The additional $3.0 million credit facility bears interest at a rate equal to LIBOR plus 1.7% divided by 0.946 and a 0.3% service fee for U.S. dollar borrowings. As of December 31, 2015 and 2014, $4.5 million and $3.6 million were outstanding under this credit facility.</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6" w:name="page47"/>
    <w:bookmarkEnd w:id="46"/>
    <w:p>
      <w:pPr>
        <w:ind w:right="140" w:firstLine="648"/>
        <w:spacing w:after="0" w:line="276" w:lineRule="auto"/>
        <w:rPr>
          <w:sz w:val="20"/>
          <w:szCs w:val="20"/>
          <w:color w:val="auto"/>
        </w:rPr>
      </w:pPr>
      <w:r>
        <w:rPr>
          <w:rFonts w:ascii="Arial" w:cs="Arial" w:eastAsia="Arial" w:hAnsi="Arial"/>
          <w:sz w:val="17"/>
          <w:szCs w:val="17"/>
          <w:color w:val="auto"/>
        </w:rPr>
        <w:t>On March 25, 2015, our Taiwan branch renewed its $4.0 million, one year revolving credit facility agreement, originally dated December 31, 2013, with Mega International Commercial Bank. Obligations under the credit facility are secured by a $4.0 million cash deposit in a CD with such bank. Borrowings under this credit facility bear interest at a rate not less than the LIBOR borrowing rate plus 1.0%, divided by 0.946 for U.S. and other currency borrowings, New Taiwan dollar borrowings bear interest at a rate equal to the Bank’s base lending rate plus 0.76%. The current effective interest rate is 1.77%. As of December 31, 2015 and 2014, $3.4 million and $3.5 million were outstanding under this credit facility.</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April 1, 2015, our Taiwan branch entered into a comprehensive credit line agreement with the Taipei branch of China Construction Bank, providing a revolving credit line of $10 million, maturing on April 1, 2016. Borrowings under the credit line agreement are secured by a standby letter of credit issued by the China branch of the bank under existing agreements between the bank and our China subsidiary. Borrowings under the credit line agreement reduce the amounts available under the existing credit line between the bank and our China subsidiary and cannot exceed 97% of the amount of the standby letter of credit issued by the China branch of the bank. Borrowings under the credit line agreement will bear interest at a rate not less than LIBOR plus 1.5% for US dollar borrowings and at a rate of not less than Taiwan Interbank Offered Rate plus 0.9% for New Taiwan dollar borrowings. As of December 31, 2015, $9.4 million was outstanding under this credit facility.</w:t>
      </w:r>
    </w:p>
    <w:p>
      <w:pPr>
        <w:spacing w:after="0" w:line="17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On June 30, 2015, our Taiwan branch entered into a purchase and sale contract and a finance lease agreement together with the sale contract with Chailease Finance Co, Ltd. in connection with certain equipment, structured as a sale lease-back transaction. Pursuant to the sale contract, we sold certain equipment to Chailease and simultaneously leased the equipment back from Chailease pursuant to the finance lease agreement. The finance lease agreement has a three year term, with monthly lease payments, maturing on May 27 and June 30, 2018 respectively. The title to the equipment will be transferred to us upon the expiration of the finance lease agreement. As of December 31, 2015 and 2014 , $4.8 million and $0.4 million were outstanding under this finance lease agreement.</w:t>
      </w:r>
    </w:p>
    <w:p>
      <w:pPr>
        <w:spacing w:after="0" w:line="19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As of December 31, 2015, our China subsidiary had credit facilities with China Construction Bank totaling $22.3 million, which can be drawn in U.S. currency, RMB currency, issuing bank acceptance notes to vendors with different interest rates or issuing standby letters of credit. As of December 31, 2015, our China subsidiary used $10 million of its credit facility and issued standby letters of credit as collateral for our Taiwan branch line of credit with China Construction Bank. As of December 31, 2015, we had a U.S. currency based loan of $2.4 million outstanding under various notes with three-month terms, maturing from January to March 2016 with effective interest rate of 3.15%. As of December 31, 2014, we had $1.1 million outstanding various notes with three-month terms. The outstanding balances of bank acceptance notes issued to vendors were $3.0 million and $1.3 million with zero interest rate as of December 31, 2015 and 2014 respectively.</w:t>
      </w:r>
    </w:p>
    <w:p>
      <w:pPr>
        <w:spacing w:after="0" w:line="18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December 31, 2015 and 2014, there were $12.6 million and $ 8.7 million of restricted cash, investments or security deposit associated mainly with the loan facilities.</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 customary business practice in China is for customers to exchange accounts receivable with notes receivable issued by their bank. From time to time we accept notes receivable from certain of our customers in China. These notes receivable are non-interest bearing and are generally due within nine months, and such notes receivable may be redeemed with the issuing bank prior to maturity at a discount. Historically, we have collected on the notes receivable in full at the time of maturity.</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Frequently, we also direct our banking partners to issue bank acceptance notes payable to our suppliers in China in exchange for accounts payable. Our China subsidiary’s banks issue the notes to vendors and issue payment to vendors upon redemption. We owe the payable balance to the issuing bank. The notes payable are non-interest bearing and are generally due within nine months of issuance. As a condition of the notes payable lending arrangements, we are required to keep a compensating balance at the issuing banks that is a percentage of the total notes payable balance until the notes payable are paid by our China subsidiary. These balances are classified as restricted cash on our consolidated balance sheets.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believe that our existing cash and cash equivalents, and cash flows from our operating activities,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expansion of our manufacturing capacity and the continuing market acceptance of our products. In the event that additional liquidity is required to meet our long-term investments, we may need to explore additional sources of liquidity by additional bank credit facilities or raising capital through additional equity or debt financing. The sale of additional equity or convertible securities could result in additional dilution to our stockholders, and the terms and prices of any such sale may not be acceptable to us. If we are unable to raise additional capital when desired, our business, operating results and financial condition would be adversely affected.</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Arial" w:cs="Arial" w:eastAsia="Arial" w:hAnsi="Arial"/>
                <w:sz w:val="18"/>
                <w:szCs w:val="18"/>
                <w:b w:val="1"/>
                <w:bCs w:val="1"/>
                <w:color w:val="auto"/>
              </w:rPr>
              <w:t>Contractual Obligations and Commitments</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60" w:type="dxa"/>
            <w:vAlign w:val="bottom"/>
            <w:gridSpan w:val="9"/>
          </w:tcPr>
          <w:p>
            <w:pPr>
              <w:ind w:left="660"/>
              <w:spacing w:after="0"/>
              <w:rPr>
                <w:sz w:val="20"/>
                <w:szCs w:val="20"/>
                <w:color w:val="auto"/>
              </w:rPr>
            </w:pPr>
            <w:r>
              <w:rPr>
                <w:rFonts w:ascii="Arial" w:cs="Arial" w:eastAsia="Arial" w:hAnsi="Arial"/>
                <w:sz w:val="18"/>
                <w:szCs w:val="18"/>
                <w:color w:val="auto"/>
              </w:rPr>
              <w:t>The following summarizes our contractual obligations as of December 31, 2015: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88"/>
              </w:rPr>
              <w:t>Less than 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1-3 Years</w:t>
            </w: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3-5 Years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Years</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EEEEEE"/>
          </w:tcPr>
          <w:p>
            <w:pPr>
              <w:spacing w:after="0" w:line="256" w:lineRule="exact"/>
              <w:rPr>
                <w:sz w:val="20"/>
                <w:szCs w:val="20"/>
                <w:color w:val="auto"/>
              </w:rPr>
            </w:pPr>
            <w:r>
              <w:rPr>
                <w:rFonts w:ascii="Arial" w:cs="Arial" w:eastAsia="Arial" w:hAnsi="Arial"/>
                <w:sz w:val="18"/>
                <w:szCs w:val="18"/>
                <w:color w:val="auto"/>
              </w:rPr>
              <w:t>Notes payable and long-term debt</w:t>
            </w:r>
            <w:r>
              <w:rPr>
                <w:rFonts w:ascii="Arial" w:cs="Arial" w:eastAsia="Arial" w:hAnsi="Arial"/>
                <w:sz w:val="29"/>
                <w:szCs w:val="29"/>
                <w:color w:val="auto"/>
                <w:vertAlign w:val="superscript"/>
              </w:rPr>
              <w:t>(1)</w:t>
            </w: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67,903</w:t>
            </w: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33,899</w:t>
            </w:r>
          </w:p>
        </w:tc>
        <w:tc>
          <w:tcPr>
            <w:tcW w:w="2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24,827</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2,192</w:t>
            </w: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6,985</w:t>
            </w:r>
          </w:p>
        </w:tc>
        <w:tc>
          <w:tcPr>
            <w:tcW w:w="0" w:type="dxa"/>
            <w:vAlign w:val="bottom"/>
          </w:tcPr>
          <w:p>
            <w:pPr>
              <w:spacing w:after="0"/>
              <w:rPr>
                <w:sz w:val="1"/>
                <w:szCs w:val="1"/>
                <w:color w:val="auto"/>
              </w:rPr>
            </w:pPr>
          </w:p>
        </w:tc>
      </w:tr>
      <w:tr>
        <w:trPr>
          <w:trHeight w:val="270"/>
        </w:trPr>
        <w:tc>
          <w:tcPr>
            <w:tcW w:w="4020" w:type="dxa"/>
            <w:vAlign w:val="bottom"/>
          </w:tcPr>
          <w:p>
            <w:pPr>
              <w:spacing w:after="0" w:line="269" w:lineRule="exact"/>
              <w:rPr>
                <w:sz w:val="20"/>
                <w:szCs w:val="20"/>
                <w:color w:val="auto"/>
              </w:rPr>
            </w:pPr>
            <w:r>
              <w:rPr>
                <w:rFonts w:ascii="Arial" w:cs="Arial" w:eastAsia="Arial" w:hAnsi="Arial"/>
                <w:sz w:val="18"/>
                <w:szCs w:val="18"/>
                <w:color w:val="auto"/>
              </w:rPr>
              <w:t>Operating leases</w:t>
            </w:r>
            <w:r>
              <w:rPr>
                <w:rFonts w:ascii="Arial" w:cs="Arial" w:eastAsia="Arial" w:hAnsi="Arial"/>
                <w:sz w:val="30"/>
                <w:szCs w:val="30"/>
                <w:color w:val="auto"/>
                <w:vertAlign w:val="superscript"/>
              </w:rPr>
              <w:t>(2)</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13,221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2,601</w:t>
            </w:r>
          </w:p>
        </w:tc>
        <w:tc>
          <w:tcPr>
            <w:tcW w:w="16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2,939</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6,673</w:t>
            </w:r>
          </w:p>
        </w:tc>
        <w:tc>
          <w:tcPr>
            <w:tcW w:w="0" w:type="dxa"/>
            <w:vAlign w:val="bottom"/>
          </w:tcPr>
          <w:p>
            <w:pPr>
              <w:spacing w:after="0"/>
              <w:rPr>
                <w:sz w:val="1"/>
                <w:szCs w:val="1"/>
                <w:color w:val="auto"/>
              </w:rPr>
            </w:pPr>
          </w:p>
        </w:tc>
      </w:tr>
      <w:tr>
        <w:trPr>
          <w:trHeight w:val="210"/>
        </w:trPr>
        <w:tc>
          <w:tcPr>
            <w:tcW w:w="4020" w:type="dxa"/>
            <w:vAlign w:val="bottom"/>
            <w:tcBorders>
              <w:top w:val="single" w:sz="8" w:color="EEEEEE"/>
            </w:tcBorders>
            <w:shd w:val="clear" w:color="auto" w:fill="EEEEEE"/>
          </w:tcPr>
          <w:p>
            <w:pPr>
              <w:spacing w:after="0"/>
              <w:rPr>
                <w:sz w:val="18"/>
                <w:szCs w:val="18"/>
                <w:color w:val="auto"/>
              </w:rPr>
            </w:pPr>
          </w:p>
        </w:tc>
        <w:tc>
          <w:tcPr>
            <w:tcW w:w="6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Total commitments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81,124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34,908</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27,428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13,657</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720" w:hanging="332"/>
        <w:spacing w:after="0" w:line="290"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have several loan and security agreements in China, Taiwan and the U.S. that provide various credit facilities, including lines of credit, bank acceptance payable and term loans. The amount presented in the table represents the principal portion of the obligations.</w:t>
      </w:r>
    </w:p>
    <w:p>
      <w:pPr>
        <w:spacing w:after="0" w:line="188" w:lineRule="exact"/>
        <w:rPr>
          <w:rFonts w:ascii="Arial" w:cs="Arial" w:eastAsia="Arial" w:hAnsi="Arial"/>
          <w:sz w:val="17"/>
          <w:szCs w:val="17"/>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entered into various non-cancellable operating lease agreements for our offices in Taiwan and the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We believe that the relatively low rate of inflation in the U.S. over the past few years has not had a significant impact on our sales or operating results or on the prices of raw materials. To the extent we expand our operations in China and Taiwan, such actions may result in inflation having a more significant impact on our operating results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color w:val="auto"/>
        </w:rPr>
        <w:t>During 2015, 2014 and 2013,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accordance with U.S. GAAP. These principles require us to make estimates and judgments that affect the reported amounts of assets, liabilities, revenue, expenses and cash flows, and related disclosure of contingent assets and liabilities. Our estimates include those related to revenue recognition, share-based compensation expense, impairment analysis of goodwill and long-lived assets,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8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believe that of our significant accounting policies, which are described in Note B to our consolidated financial statements appearing elsewhere in this prospectus, the following accounting policies involve a greater degree of judgment and complexity. Accordingly, we believe these are the most critical to fully understand and evaluate our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We generally employ a direct sales model in North America, and in the rest of the world we use both direct and indirect channels. Our revenue recognition policy is to recognize gross revenue whether our products are sold on a direct or indirect basis, because our reseller customers (indirect channel) take title to our products and honor the same terms and conditions as do our direct sales customers. We recognize revenue from the sale of our products provided that persuasive evidence of an arrangement exists, performance obligations have been satisfied, the price is fixed or determinable and collectability is reasonably assured. Contracts or customer purchase orders are used to determine the existence of an arrangement. Shipping documents are used to verify delivery. We assess whether the price is fixed or determinable based on the payment terms associated with the transaction. We assess collectability based primarily on the creditworthiness of the customer as determined by credit checks and the customer’s payment history. Customers are generally extended net 30 credit terms from the date of shipment, with some extensions for some more creditworthy customers.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8" w:name="page49"/>
    <w:bookmarkEnd w:id="48"/>
    <w:p>
      <w:pPr>
        <w:ind w:right="100" w:firstLine="648"/>
        <w:spacing w:after="0" w:line="270" w:lineRule="auto"/>
        <w:rPr>
          <w:sz w:val="20"/>
          <w:szCs w:val="20"/>
          <w:color w:val="auto"/>
        </w:rPr>
      </w:pPr>
      <w:r>
        <w:rPr>
          <w:rFonts w:ascii="Arial" w:cs="Arial" w:eastAsia="Arial" w:hAnsi="Arial"/>
          <w:sz w:val="17"/>
          <w:szCs w:val="17"/>
          <w:color w:val="auto"/>
        </w:rPr>
        <w:t>Whether our products are sold on a direct or indirect basis, revenue is recognized when the product is shipped and title has transferred to the customer. We bear all costs and risks of loss or damage to the goods up to that point. On most orders, our terms of sale provide that title passes to the customer upon placement by us with a common carrier (upon shipment). In some cases we may provide for title transfer to the customer upon delivery of the goods to the customer. We determine payments made to third party sales representatives are appropriately recorded to sales and marketing expense and not a reduction of revenue. Shipping and handling costs are included in cost of goods sold. We present revenue net of sales returns and allowances, sales taxes and any similar assessments. We provided a limited warranty as part of our standard terms and conditions of sale. This warranty provides for the repair or replacement of our products, at our discretion, that we determined (i) are defective in workmanship, material, or not in compliance with the mutually agreed written applicable specification and (ii) has in fact failed under normal use on or before one year from the date of original shipment of the products. Some of our customers are provided limited warranties between three to five years, on certain limited and identified products. Warranty costs associated with returned goods that are repaired or replaced are charged to cost of goods sold.</w:t>
      </w:r>
    </w:p>
    <w:p>
      <w:pPr>
        <w:spacing w:after="0" w:line="17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During our ordinary course of business, we may enter into new product development agreements to design, customize and develop new products for our customers. Such new product development agreements often involves material cost and engineering hours and therefore non-recurring engineering service (NRE) charges are agreed upon for the customer to reimburse our related costs. We adopt the milestone method in revenue recognition for NRE revenues by using cost-input measurement. We capitalize cost input up to the contractual agreement amount and recognize NRE revenues based upon the agreement schedule. Contracts or customer purchase orders are often used to determine the existence of service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Stock option fair value is calculated on the date of grant using the Black-Scholes valuation model. The compensation cost is then recognized on a straight-line basis over the requisite service period of the option, which is generally the option vesting term of four years. The Black-Scholes valuation model requires us to estimate key assumptions such as expected term, volatility, dividend yield and risk-free interest rates that determine the stock option fair value. In addition, we estimate forfeitures at the time of grant. As there had been no market for our common stock prior to our initial public offering, the expected volatility for options granted to date was derived from an analysis of reported data for a peer group of companies that issued options with similar terms. The expected volatility has been determined using an average of the expected volatility reported by this peer group of companies. We use a risk free interest rate based on the 10-year Treasury as reported during the period. The expected term of the options has been determined utilizing the simplified method which calculates a simple average based on vesting period and option life. We do not anticipate paying dividends in the near future. Estimated forfeitures are based on historical experience and future work force projections.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Depreciation and amortization of the intangible assets and other long-lived assets is provided using the straight-line method over their respective estimated useful lives, reflecting the pattern of economic benefits associated with these assets. Changes in circumstances such as technological advances, changes to our business model, or changes in our capital strategy could cause the actual useful lives of intangible assets or other long-lived assets to differ from initial estimates. In those cases where we determine that the useful life of an asset should be revised, we depreciate the remaining net book value over the new estimated useful life.</w:t>
      </w:r>
    </w:p>
    <w:p>
      <w:pPr>
        <w:spacing w:after="0" w:line="188"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Our long-lived assets are evaluated for impairment whenever events or changes in circumstances indicate that the carrying amount of such assets may not be recoverable. We value on an asset-by-asset basis our long-lived assets and will recognize an impairment loss when the sum of such valuation is less than the carrying amount of such assets. The values, based on reasonable and supportable assumptions and projections, require subjective judgments. Depending on the assumptions and estimates used, the values projected in the evaluation of long-lived assets can vary within a range of outcomes. We consider the likelihood of possible outcomes in determining the best estimate for the value of the assets. We did not record any asset impairment charges in 2015 or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inventories</w:t>
      </w:r>
    </w:p>
    <w:p>
      <w:pPr>
        <w:spacing w:after="0" w:line="225"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Inventories are stated at the lower of cost (average-cost method) or market. Work in process and finished goods includes materials, labor and allocated overhead. We assess the valuation of our inventory on a periodic basis and provide an allowance for the value of estimated excess and obsolete inventory based on estimates of future demand. During the years ended December 31, 2015, 2014 and 2013, we recorded excess and obsolete inventory charges of $2.8 million, $0.9 million, and $0.5 million, respectively.</w:t>
      </w:r>
    </w:p>
    <w:p>
      <w:pPr>
        <w:spacing w:after="0" w:line="187"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have an accounting policy to write down value of obsolescence inventory.We considered the following factors in our determination of the appropriate reserve level: how often we buy material in bulk; the overall market value of raw material, semi-finished goods and finished goods across our varied product lines and within markets; changes in expected demand for our products; the change in valuations historically; the determined safety stock for key customers; and the likelihood of postponement in delivery schedules for materials already placed in finished goods inventory.</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account for income taxes in accordance with the provisions of ASC 740, Income Taxes.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our tax returns.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211D1E"/>
        </w:rPr>
        <w:t>We record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spacing w:after="0" w:line="18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recognize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February 25, 2016, the FASB released ASU 2016-02, Leases to complete its project to overhaul lease accounting. The ASU codifies ASC 842, Leases, which will replace the guidance in ASC 840. The new guidance will require lessees to recognize most leases on the balance sheet for capital and operating leases. The new guidance is effective for public business entities in fiscal years beginning after December 15, 2018. We are evaluating the impact of the accounting standard on our financial statements.</w:t>
      </w:r>
    </w:p>
    <w:p>
      <w:pPr>
        <w:spacing w:after="0" w:line="18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The FASB has issued Accounting Standards Update (ASU) No. 2016-01, </w:t>
      </w:r>
      <w:r>
        <w:rPr>
          <w:rFonts w:ascii="Arial" w:cs="Arial" w:eastAsia="Arial" w:hAnsi="Arial"/>
          <w:sz w:val="18"/>
          <w:szCs w:val="18"/>
          <w:i w:val="1"/>
          <w:iCs w:val="1"/>
          <w:color w:val="auto"/>
        </w:rPr>
        <w:t>Financial Instruments – Overall (Subtopic 825-10): Recognition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of Financial Assets and Financial Liabilities. </w:t>
      </w:r>
      <w:r>
        <w:rPr>
          <w:rFonts w:ascii="Arial" w:cs="Arial" w:eastAsia="Arial" w:hAnsi="Arial"/>
          <w:sz w:val="18"/>
          <w:szCs w:val="18"/>
          <w:color w:val="auto"/>
        </w:rPr>
        <w:t>The new guidance is intended to improve the recognition and measurement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The ASU affects public and private companies, not-for-profit organizations, and employee benefit plans that hold financial assets or owe financial liabilities. The new guidance is effective for public companies for fiscal years beginning after December 15, 2017, including interim periods within those fiscal years. For private companies, not-for-profit organizations, and employee benefit plans, the new guidance becomes effective for fiscal years beginning after December 15, 2018, and for interim periods within fiscal years beginning after December 15, 2019. We are evaluating the impact of the accounting standard on our financial statements.</w:t>
      </w:r>
    </w:p>
    <w:p>
      <w:pPr>
        <w:spacing w:after="0" w:line="18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 xml:space="preserve">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during November 2015</w:t>
      </w:r>
      <w:r>
        <w:rPr>
          <w:rFonts w:ascii="Arial" w:cs="Arial" w:eastAsia="Arial" w:hAnsi="Arial"/>
          <w:sz w:val="16"/>
          <w:szCs w:val="16"/>
          <w:i w:val="1"/>
          <w:iCs w:val="1"/>
          <w:color w:val="auto"/>
        </w:rPr>
        <w:t>,</w:t>
      </w:r>
      <w:r>
        <w:rPr>
          <w:rFonts w:ascii="Arial" w:cs="Arial" w:eastAsia="Arial" w:hAnsi="Arial"/>
          <w:sz w:val="16"/>
          <w:szCs w:val="16"/>
          <w:color w:val="auto"/>
        </w:rPr>
        <w:t xml:space="preserve"> which simplifies the presentation of deferred income taxes. This ASU provides presentation requirements to classify deferred tax assets and liabilities as noncurrent in a statement of financial position. The standard is effective for fiscal years beginning after December 15, 2016, including interim periods within that reporting period. Early adoption is permitted for any interim and annual financial statements that have not yet been issued. The ASU may be applied either prospectively to all deferred tax liabilities and assets or retrospectively to all periods presented. We early adopted this standard effective December 31, 2015 on a retrospective basis which resulted in a reclassification of our net current deferred tax asset to the net non-current deferred tax asset as of December 31, 2015. The adoption of this ASU had no impact on the balance sheet or income statement as we had a full valuation allowance.</w:t>
      </w:r>
    </w:p>
    <w:p>
      <w:pPr>
        <w:spacing w:after="0" w:line="16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FASB has issued Accounting Standards Update (ASU) No. 2015-11, Inventory in July 2015 to require entity to measure inventory at the lower of cost or market. Market could be replacement cost, net realizable value, or net realizable value less an approximately normal profit margin. The Company adopted this ASU which had no material impact on our financial statements.</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Interest - Imputation of Interest (Subtopic 835-30): Simplifying the Presentation of Debt Issuance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Costs, </w:t>
      </w:r>
      <w:r>
        <w:rPr>
          <w:rFonts w:ascii="Arial" w:cs="Arial" w:eastAsia="Arial" w:hAnsi="Arial"/>
          <w:sz w:val="18"/>
          <w:szCs w:val="18"/>
          <w:color w:val="auto"/>
        </w:rPr>
        <w:t>which requires the presentation of debt issuance costs related to a recognized debt liability as a direct deduction from the carrying amount of that debt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ASU 2015-03 does not address presentation or subsequent measurement of debt issuance costs related to line-of-credit arrangements. Given the absence of authoritative guidance within ASU 2015-03 for debt issuance costs related to line-of-credit arrangements,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We are evaluating the impact of the accounting standard on our financial statements.</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50" w:name="page51"/>
    <w:bookmarkEnd w:id="50"/>
    <w:p>
      <w:pPr>
        <w:ind w:right="60" w:firstLine="648"/>
        <w:spacing w:after="0" w:line="257"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The amendments in ASU 2015-14 defer the effective date of ASU 2014-09 for all entities by one year. Public business entities should apply the guidance in ASU 2014-09 to annual reporting periods beginning after December 15, 2017, including interim reporting periods within that reporting period. Earlier application is permitted only as of annual reporting periods beginning after December 15, 2016, including interim reporting periods within that reporting period. We are evaluating the impact of the accounting standard on our financial statements.</w:t>
      </w:r>
    </w:p>
    <w:p>
      <w:pPr>
        <w:spacing w:after="0" w:line="184"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Market risk represents the risk of loss that may impact our financial statements through adverse changes in financial market prices and rates and inflation. Our market risk exposure results primarily from fluctuations in foreign exchange and interest rates. We manage our exposure to these market risks through our regular operating and financing activities. We have not historically attempted to reduce our market risks through hedging instruments; we may, however, do so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cash equivalents consisted primarily of money market funds, and interest and non-interest bearing bank deposits. Our primary objective is to maintain the security of our principal balances and ensure liquidity. We attempt to maximize the return on these balances without significantly increasing risk, but have little opportunity to do so given the short-term nature of our investments and current interest rate environments. We do not anticipate any material effect on our cash balances or investment portfolio due to fluctuations in interest rates.</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are exposed to market risk due to the possibility of changing interest rates associated with certain debt instruments. As of December 31, 2015, our U.S. debt bears a variable rate of interest that is based on LIBOR. The debt subject to variable rates is subject to fluctuation in the LIBOR. As of December 31, 2015, the interest on our China debt varied based on when each term loan is drawn. Once drawn the interest remains fixed for the term of that draw. As of December 31, 2015, we had not hedged our interest rate risk.</w:t>
      </w:r>
    </w:p>
    <w:p>
      <w:pPr>
        <w:spacing w:after="0" w:line="1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With respect to our interest expense for the three months ended December 31, 2015, an increase of 1.0% in each of our interest rates would have resulted in an increase of $0.6 million in our interest expense for such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operate on an international basis with a large portion of our business conducted in our Taiwan branch and China subsidiary. We use the U.S. dollar as our reporting currency for our consolidated financial statements. The financial records of our China subsidiary and our Taiwan branch are maintained in their respective local currencies, the RMB and the NT dollar, which are the functional currencies for our China subsidiary and our Taiwan branch, respectively. Assets and liabilities are translated at prevailing exchange rates at the balance sheet date, equity accounts are translated at historical exchange rates and revenues, expenses, gains and losses are translated using the average rate for the then current period using a monthly average. Translation adjustments are reported as cumulative translation adjustments and are shown as a separate component of accumulated other comprehensive income in our statement of stockholders’ equity (deficit) and comprehensive income.</w:t>
      </w:r>
    </w:p>
    <w:p>
      <w:pPr>
        <w:spacing w:after="0" w:line="17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All transactions in currencies other than their functional currencies during the year are subject to foreign exchange risk when the exchange rate fluctuates on the respective relevant dates of such transactions. Transaction gains and losses are recognized in our statements of operations in other income (expense). Monetary assets and liabilities existing at the balance sheet date denominated in currencies other than the functional currencies are re-measured at the exchange rates prevailing on the Balance Sheet date and unrealized exchange differences are recorded in our consolidated income statement. In October 2015, we determined that certain US loan to foreign subsidiaries are long-term investments. Therefore, exchange gain/(loss) arising from re-measurement of US loans were recorded in the Cumulative Translation Adjustment accounts.</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year ended December 31, 2015, we recognized $0.7 million of realized exchange gain arising from foreign currency transactions and $2.6 million of unrealized exchange losses arising from re-measurement of monetary assets and liabilities dominated in non-functional currency on balance sheet date.</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51" w:name="page52"/>
    <w:bookmarkEnd w:id="51"/>
    <w:p>
      <w:pPr>
        <w:ind w:firstLine="648"/>
        <w:spacing w:after="0" w:line="257" w:lineRule="auto"/>
        <w:rPr>
          <w:sz w:val="20"/>
          <w:szCs w:val="20"/>
          <w:color w:val="auto"/>
        </w:rPr>
      </w:pPr>
      <w:r>
        <w:rPr>
          <w:rFonts w:ascii="Arial" w:cs="Arial" w:eastAsia="Arial" w:hAnsi="Arial"/>
          <w:sz w:val="18"/>
          <w:szCs w:val="18"/>
          <w:color w:val="auto"/>
        </w:rPr>
        <w:t>During the year ended December 31, 2015, 1.75% of our revenue was denominated in RMB and less than 1% of revenue was denominated in NT dollars. In the year ended December 31, 2015, 17.4% of our operating expenses were denominated in RMB and 33.9% of our operating expenses were denominated in NT dollars. Accordingly, fluctuations in exchange rates directly affect our cost of goods sold and net income, and have a significant impact on our operating margins. If exchange rates of RMB and NT dollars for U.S. dollars were 1% higher during the year ended December 31, 2015, our operating expenses would have been higher by $0.2 million.</w:t>
      </w:r>
    </w:p>
    <w:p>
      <w:pPr>
        <w:spacing w:after="0" w:line="18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As of December 31, 2015, we held the U.S. dollar denominated liabilities net of assets of approximately $9.5 million in our China subsidiary and $4.75 million in our Taiwan branch. With respect these U.S. Dollar denominated net liabilities as of December 31, 2015, if exchange rates of RMB and NT dollars for U.S. dollars were 1.0% higher during the year ended December 31, 2015, our other operating expenses would have been $0.05 million and $0.09 million higher, respectively. Any significant revaluation of the RMB and NT dollars may materially and adversely affect the cash flows, revenues, and net income as reported in U.S. Dollars.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currently do not use derivative financial instruments to mitigate this exposure. We continue to review this issue and may consider hedging certain foreign exchange risks through the use of currency forwards or options in future years.</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consolidated financial statements and accompanying notes set forth on pages F-1 through F-27 of this Annual Report on Form 10-K</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ind w:left="1700" w:hanging="841"/>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5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7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December 31, 2015. Based upon that evaluation, our Chief Executive Officer and Chief Financial Officer concluded that, as of the end of the period covered in this report, our disclosure controls and procedures were effective.</w:t>
      </w:r>
    </w:p>
    <w:p>
      <w:pPr>
        <w:spacing w:after="0" w:line="181" w:lineRule="exact"/>
        <w:rPr>
          <w:sz w:val="20"/>
          <w:szCs w:val="20"/>
          <w:color w:val="auto"/>
        </w:rPr>
      </w:pPr>
    </w:p>
    <w:p>
      <w:pPr>
        <w:ind w:left="1700" w:hanging="841"/>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Management’s Annual Report on Internal Control Over Financial Reporting.</w:t>
      </w:r>
    </w:p>
    <w:p>
      <w:pPr>
        <w:spacing w:after="0" w:line="25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Exchange Act). Internal control over financial reporting is a process designed by, or under the supervision of, the issuer’s principal executive and principal financial officers, or persons performing similar functions, and effected by the issuer’s board of directors, management and other personnel,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our degree of compliance with the policies or procedures may deteriorate.</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52" w:name="page53"/>
    <w:bookmarkEnd w:id="52"/>
    <w:p>
      <w:pPr>
        <w:ind w:right="80" w:firstLine="648"/>
        <w:spacing w:after="0" w:line="259" w:lineRule="auto"/>
        <w:rPr>
          <w:sz w:val="20"/>
          <w:szCs w:val="20"/>
          <w:color w:val="auto"/>
        </w:rPr>
      </w:pPr>
      <w:r>
        <w:rPr>
          <w:rFonts w:ascii="Arial" w:cs="Arial" w:eastAsia="Arial" w:hAnsi="Arial"/>
          <w:sz w:val="18"/>
          <w:szCs w:val="18"/>
          <w:color w:val="auto"/>
        </w:rPr>
        <w:t xml:space="preserve">Our management conducted an evaluation of the effectiveness of our internal control over financial reporting as of the end of the period covered by this Annual Report on Form 10-K based on the framework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 of the Treadway Commission. Based on this evaluation, management concluded that our internal control over financial reporting was effective as of December 31, 2015.</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rules of the Securities and Exchange Commission that permit the Company to provide only management’s report in this annual report.</w:t>
      </w:r>
    </w:p>
    <w:p>
      <w:pPr>
        <w:spacing w:after="0" w:line="181" w:lineRule="exact"/>
        <w:rPr>
          <w:sz w:val="20"/>
          <w:szCs w:val="20"/>
          <w:color w:val="auto"/>
        </w:rPr>
      </w:pPr>
    </w:p>
    <w:p>
      <w:pPr>
        <w:ind w:left="1700" w:hanging="841"/>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5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 13a-15(f) under the Exchange Act)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00" w:right="299" w:bottom="1440" w:gutter="0" w:footer="0" w:header="0"/>
        </w:sectPr>
      </w:pPr>
    </w:p>
    <w:bookmarkStart w:id="53" w:name="page54"/>
    <w:bookmarkEnd w:id="53"/>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5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information required regarding our directors is incorporated herein by reference from the information contained in our definitive Proxy Statement for the 2016 Annual Meeting of Stockholders (our “Proxy Statement”), a copy of which will be filed with the Securities and Exchange Commission within 120 days after the end of our fiscal year ended December 31, 2015.</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information required regarding our executive officers is incorporated herein by reference from the information contained in the section entitled “Management” in our Proxy Statement.</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information required regarding Section 16(a) beneficial ownership reporting compliance is incorporated by reference from the information contained in our Proxy Statement.</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information required with respect to procedures by which security holders may recommend nominees to our board of directors, the composition of our Audit Committee, and whether the Company has an “audit committee financial expert”, is incorporated by reference from the information contained in our Proxy Statement.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Adoption of Code of Ethics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has adopted a Code of Business Conduct and Ethics (the “Code”) applicable to all of our board of director members, employees and executive officers, including our Chief Executive Officer (Principal Executive Officer), and Chief Financial Officer (Principal Financial Officer and Principal Accounting Officer). The Company has made the Code available on our website at http://www.ao-inc.com.</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intends to satisfy the public disclosure requirements regarding (1) any amendments to the Code, or (2) any waivers under the Code given to our Principal Executive Officer, Principal Financial Officer and Principal Accounting Officer by posting such information on our website at www.ao-inc.com. There were no amendments to the Code or waivers granted thereunder relating to the Principal Executive Officer, Principal Financial Officer or Principal Accounting Officer during 2015.</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5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regarding the compensation of our directors and executive officers is incorporated herein by reference from the information contained in the sections entitled “Executive Compensation,” and “Director Compensation,” “Compensation Committee Report” in our Proxy Statement.</w:t>
      </w:r>
    </w:p>
    <w:p>
      <w:pPr>
        <w:spacing w:after="0" w:line="12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5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information required regarding security ownership of our 5% or greater stockholders and of our directors and management is incorporated herein by reference from the information contained in the section entitled “Security Ownership of Certain Beneficial Owners and Management” in our Proxy Statement.</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information required regarding securities authorized for issuance our equity compensation plans is incorporated herein by reference from the information contained in the section entitled “Employee Benefit Plans” in our Proxy Statement.</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regarding related transactions is incorporated herein by reference from the information contained in our Proxy Statement.</w:t>
      </w:r>
    </w:p>
    <w:p>
      <w:pPr>
        <w:spacing w:after="0" w:line="24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5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information required by Part III, Item 14, regarding principal accounting fees and services is incorporated by reference from the information contained in our Proxy Statement, a copy of which will be filed with the Securities and Exchange Commission within 120 days after the end of our fiscal year ended December 31, 2015.</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54" w:name="page55"/>
    <w:bookmarkEnd w:id="54"/>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Statements Schedules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the Exhibit Index which follows the signature page of this Annual Report on Form 10-K, which is incorporated herein by reference.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Financial statement schedules have been omitted, as the information required to be set forth therein is included in the Consolidated Financial Statements or Notes thereto appearing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796" w:right="87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Form 10-K to be signed on its behalf by the undersigned, thereunto duly authorized, on March 14, 2016.</w:t>
      </w:r>
    </w:p>
    <w:p>
      <w:pPr>
        <w:spacing w:after="0" w:line="166"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APPLIED OPTOELECTRONICS, INC.</w:t>
      </w:r>
    </w:p>
    <w:p>
      <w:pPr>
        <w:spacing w:after="0" w:line="229" w:lineRule="exact"/>
        <w:rPr>
          <w:sz w:val="20"/>
          <w:szCs w:val="20"/>
          <w:color w:val="auto"/>
        </w:rPr>
      </w:pPr>
    </w:p>
    <w:tbl>
      <w:tblPr>
        <w:tblLayout w:type="fixed"/>
        <w:tblInd w:w="538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CHIH-HSIANG (THOMPSON) LIN</w:t>
            </w:r>
          </w:p>
        </w:tc>
      </w:tr>
      <w:tr>
        <w:trPr>
          <w:trHeight w:val="195"/>
        </w:trPr>
        <w:tc>
          <w:tcPr>
            <w:tcW w:w="34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9"/>
              </w:rPr>
              <w:t>C</w:t>
            </w:r>
            <w:r>
              <w:rPr>
                <w:rFonts w:ascii="Arial" w:cs="Arial" w:eastAsia="Arial" w:hAnsi="Arial"/>
                <w:sz w:val="12"/>
                <w:szCs w:val="12"/>
                <w:color w:val="auto"/>
                <w:w w:val="99"/>
              </w:rPr>
              <w:t>HIH</w:t>
            </w:r>
            <w:r>
              <w:rPr>
                <w:rFonts w:ascii="Arial" w:cs="Arial" w:eastAsia="Arial" w:hAnsi="Arial"/>
                <w:sz w:val="18"/>
                <w:szCs w:val="18"/>
                <w:color w:val="auto"/>
                <w:w w:val="99"/>
              </w:rPr>
              <w:t>-H</w:t>
            </w:r>
            <w:r>
              <w:rPr>
                <w:rFonts w:ascii="Arial" w:cs="Arial" w:eastAsia="Arial" w:hAnsi="Arial"/>
                <w:sz w:val="12"/>
                <w:szCs w:val="12"/>
                <w:color w:val="auto"/>
                <w:w w:val="99"/>
              </w:rPr>
              <w:t>SIANG</w:t>
            </w:r>
            <w:r>
              <w:rPr>
                <w:rFonts w:ascii="Arial" w:cs="Arial" w:eastAsia="Arial" w:hAnsi="Arial"/>
                <w:sz w:val="18"/>
                <w:szCs w:val="18"/>
                <w:color w:val="auto"/>
                <w:w w:val="99"/>
              </w:rPr>
              <w:t xml:space="preserve"> (T</w:t>
            </w:r>
            <w:r>
              <w:rPr>
                <w:rFonts w:ascii="Arial" w:cs="Arial" w:eastAsia="Arial" w:hAnsi="Arial"/>
                <w:sz w:val="12"/>
                <w:szCs w:val="12"/>
                <w:color w:val="auto"/>
                <w:w w:val="99"/>
              </w:rPr>
              <w:t>HOMPSON</w:t>
            </w:r>
            <w:r>
              <w:rPr>
                <w:rFonts w:ascii="Arial" w:cs="Arial" w:eastAsia="Arial" w:hAnsi="Arial"/>
                <w:sz w:val="18"/>
                <w:szCs w:val="18"/>
                <w:color w:val="auto"/>
                <w:w w:val="99"/>
              </w:rPr>
              <w:t>) L</w:t>
            </w:r>
            <w:r>
              <w:rPr>
                <w:rFonts w:ascii="Arial" w:cs="Arial" w:eastAsia="Arial" w:hAnsi="Arial"/>
                <w:sz w:val="12"/>
                <w:szCs w:val="12"/>
                <w:color w:val="auto"/>
                <w:w w:val="99"/>
              </w:rPr>
              <w:t>IN</w:t>
            </w:r>
            <w:r>
              <w:rPr>
                <w:rFonts w:ascii="Arial" w:cs="Arial" w:eastAsia="Arial" w:hAnsi="Arial"/>
                <w:sz w:val="18"/>
                <w:szCs w:val="18"/>
                <w:color w:val="auto"/>
                <w:w w:val="99"/>
              </w:rPr>
              <w:t>,</w:t>
            </w:r>
          </w:p>
        </w:tc>
      </w:tr>
      <w:tr>
        <w:trPr>
          <w:trHeight w:val="216"/>
        </w:trPr>
        <w:tc>
          <w:tcPr>
            <w:tcW w:w="34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 and</w:t>
            </w:r>
          </w:p>
        </w:tc>
      </w:tr>
      <w:tr>
        <w:trPr>
          <w:trHeight w:val="230"/>
        </w:trPr>
        <w:tc>
          <w:tcPr>
            <w:tcW w:w="34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of the Board of Directors</w:t>
            </w:r>
          </w:p>
        </w:tc>
      </w:tr>
    </w:tbl>
    <w:p>
      <w:pPr>
        <w:spacing w:after="0"/>
        <w:rPr>
          <w:sz w:val="20"/>
          <w:szCs w:val="20"/>
          <w:color w:val="auto"/>
        </w:rPr>
      </w:pPr>
      <w:r>
        <w:rPr>
          <w:rFonts w:ascii="Arial" w:cs="Arial" w:eastAsia="Arial" w:hAnsi="Arial"/>
          <w:sz w:val="18"/>
          <w:szCs w:val="18"/>
          <w:color w:val="auto"/>
        </w:rPr>
        <w:t>March 14, 2016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Chih-Hsiang (Thompson) Lin and Stefan J. Murry, and each of them, jointly and severally, his attorneys-in-fact, each with the power of 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Form 10-K has been signed by the following persons in the capacities and on the dates indicated.</w:t>
      </w:r>
    </w:p>
    <w:p>
      <w:pPr>
        <w:spacing w:after="0" w:line="166" w:lineRule="exact"/>
        <w:rPr>
          <w:sz w:val="20"/>
          <w:szCs w:val="20"/>
          <w:color w:val="auto"/>
        </w:rPr>
      </w:pPr>
    </w:p>
    <w:p>
      <w:pPr>
        <w:ind w:left="2400"/>
        <w:spacing w:after="0"/>
        <w:tabs>
          <w:tab w:leader="none" w:pos="838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Date</w:t>
      </w:r>
    </w:p>
    <w:p>
      <w:pPr>
        <w:spacing w:after="0" w:line="22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 C</w:t>
      </w:r>
      <w:r>
        <w:rPr>
          <w:rFonts w:ascii="Arial" w:cs="Arial" w:eastAsia="Arial" w:hAnsi="Arial"/>
          <w:sz w:val="12"/>
          <w:szCs w:val="12"/>
          <w:color w:val="auto"/>
        </w:rPr>
        <w:t>HIH</w:t>
      </w:r>
      <w:r>
        <w:rPr>
          <w:rFonts w:ascii="Arial" w:cs="Arial" w:eastAsia="Arial" w:hAnsi="Arial"/>
          <w:sz w:val="18"/>
          <w:szCs w:val="18"/>
          <w:color w:val="auto"/>
        </w:rPr>
        <w:t>-H</w:t>
      </w:r>
      <w:r>
        <w:rPr>
          <w:rFonts w:ascii="Arial" w:cs="Arial" w:eastAsia="Arial" w:hAnsi="Arial"/>
          <w:sz w:val="12"/>
          <w:szCs w:val="12"/>
          <w:color w:val="auto"/>
        </w:rPr>
        <w:t>SIANG</w:t>
      </w:r>
      <w:r>
        <w:rPr>
          <w:rFonts w:ascii="Arial" w:cs="Arial" w:eastAsia="Arial" w:hAnsi="Arial"/>
          <w:sz w:val="18"/>
          <w:szCs w:val="18"/>
          <w:color w:val="auto"/>
        </w:rPr>
        <w:t xml:space="preserve"> (T</w:t>
      </w:r>
      <w:r>
        <w:rPr>
          <w:rFonts w:ascii="Arial" w:cs="Arial" w:eastAsia="Arial" w:hAnsi="Arial"/>
          <w:sz w:val="12"/>
          <w:szCs w:val="12"/>
          <w:color w:val="auto"/>
        </w:rPr>
        <w:t>HOMPSON</w:t>
      </w:r>
      <w:r>
        <w:rPr>
          <w:rFonts w:ascii="Arial" w:cs="Arial" w:eastAsia="Arial" w:hAnsi="Arial"/>
          <w:sz w:val="18"/>
          <w:szCs w:val="18"/>
          <w:color w:val="auto"/>
        </w:rPr>
        <w:t>) L</w:t>
      </w:r>
      <w:r>
        <w:rPr>
          <w:rFonts w:ascii="Arial" w:cs="Arial" w:eastAsia="Arial" w:hAnsi="Arial"/>
          <w:sz w:val="12"/>
          <w:szCs w:val="12"/>
          <w:color w:val="auto"/>
        </w:rPr>
        <w:t>IN</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-130810</wp:posOffset>
            </wp:positionV>
            <wp:extent cx="35159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1660" w:right="2280" w:hanging="187"/>
        <w:spacing w:after="0" w:line="257" w:lineRule="auto"/>
        <w:rPr>
          <w:sz w:val="20"/>
          <w:szCs w:val="20"/>
          <w:color w:val="auto"/>
        </w:rPr>
      </w:pPr>
      <w:r>
        <w:rPr>
          <w:rFonts w:ascii="Arial" w:cs="Arial" w:eastAsia="Arial" w:hAnsi="Arial"/>
          <w:sz w:val="18"/>
          <w:szCs w:val="18"/>
          <w:i w:val="1"/>
          <w:iCs w:val="1"/>
          <w:color w:val="auto"/>
        </w:rPr>
        <w:t>President, Chief Executive Officer and</w:t>
      </w:r>
      <w:r>
        <w:rPr>
          <w:sz w:val="20"/>
          <w:szCs w:val="20"/>
          <w:color w:val="auto"/>
        </w:rPr>
        <w:t xml:space="preserve"> </w:t>
      </w:r>
      <w:r>
        <w:rPr>
          <w:rFonts w:ascii="Arial" w:cs="Arial" w:eastAsia="Arial" w:hAnsi="Arial"/>
          <w:sz w:val="18"/>
          <w:szCs w:val="18"/>
          <w:color w:val="auto"/>
        </w:rPr>
        <w:t xml:space="preserve">March 14, 2016 </w:t>
      </w:r>
      <w:r>
        <w:rPr>
          <w:rFonts w:ascii="Arial" w:cs="Arial" w:eastAsia="Arial" w:hAnsi="Arial"/>
          <w:sz w:val="18"/>
          <w:szCs w:val="18"/>
          <w:i w:val="1"/>
          <w:iCs w:val="1"/>
          <w:color w:val="auto"/>
        </w:rPr>
        <w:t>Chairman of the Board of Directors</w:t>
      </w:r>
    </w:p>
    <w:p>
      <w:pPr>
        <w:spacing w:after="0" w:line="216" w:lineRule="exact"/>
        <w:rPr>
          <w:sz w:val="20"/>
          <w:szCs w:val="20"/>
          <w:color w:val="auto"/>
        </w:rPr>
      </w:pPr>
    </w:p>
    <w:p>
      <w:pPr>
        <w:ind w:left="18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STEFAN J. MURRY</w:t>
      </w:r>
    </w:p>
    <w:p>
      <w:pPr>
        <w:spacing w:after="0" w:line="23"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-130810</wp:posOffset>
            </wp:positionV>
            <wp:extent cx="35159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ind w:left="1740" w:right="2280" w:firstLine="272"/>
        <w:spacing w:after="0" w:line="257" w:lineRule="auto"/>
        <w:rPr>
          <w:sz w:val="20"/>
          <w:szCs w:val="20"/>
          <w:color w:val="auto"/>
        </w:rPr>
      </w:pPr>
      <w:r>
        <w:rPr>
          <w:rFonts w:ascii="Arial" w:cs="Arial" w:eastAsia="Arial" w:hAnsi="Arial"/>
          <w:sz w:val="18"/>
          <w:szCs w:val="18"/>
          <w:i w:val="1"/>
          <w:iCs w:val="1"/>
          <w:color w:val="auto"/>
        </w:rPr>
        <w:t xml:space="preserve">Chief Financial Officer </w:t>
      </w:r>
      <w:r>
        <w:rPr>
          <w:rFonts w:ascii="Arial" w:cs="Arial" w:eastAsia="Arial" w:hAnsi="Arial"/>
          <w:sz w:val="18"/>
          <w:szCs w:val="18"/>
          <w:color w:val="auto"/>
        </w:rPr>
        <w:t>March 14, 2016</w:t>
      </w:r>
      <w:r>
        <w:rPr>
          <w:rFonts w:ascii="Arial" w:cs="Arial" w:eastAsia="Arial" w:hAnsi="Arial"/>
          <w:sz w:val="18"/>
          <w:szCs w:val="18"/>
          <w:i w:val="1"/>
          <w:iCs w:val="1"/>
          <w:color w:val="auto"/>
        </w:rPr>
        <w:t xml:space="preserve"> (principal financial officer and</w:t>
      </w:r>
    </w:p>
    <w:p>
      <w:pPr>
        <w:spacing w:after="0" w:line="222" w:lineRule="exact"/>
        <w:rPr>
          <w:sz w:val="20"/>
          <w:szCs w:val="20"/>
          <w:color w:val="auto"/>
        </w:rPr>
      </w:pPr>
    </w:p>
    <w:p>
      <w:pPr>
        <w:ind w:left="182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6" w:name="page57"/>
    <w:bookmarkEnd w:id="56"/>
    <w:p>
      <w:pPr>
        <w:spacing w:after="0" w:line="59"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 William H. Yeh</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William H. Yeh,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-130810</wp:posOffset>
            </wp:positionV>
            <wp:extent cx="35159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3"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2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 Richard B. Black</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Richard B.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-130810</wp:posOffset>
            </wp:positionV>
            <wp:extent cx="35159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3"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2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 Che-Wei Lin</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Che-Wei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-130810</wp:posOffset>
            </wp:positionV>
            <wp:extent cx="35159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3"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2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 Alex Ignatiev</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Alex Ignatiev,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-130810</wp:posOffset>
            </wp:positionV>
            <wp:extent cx="35159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3"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2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 Alan Moore</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Alan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-130810</wp:posOffset>
            </wp:positionV>
            <wp:extent cx="35159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3"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 Min-Chu (Mike) Chen</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Min-Chu (Mike)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-130810</wp:posOffset>
            </wp:positionV>
            <wp:extent cx="35159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3"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14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Date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March 14,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March 14,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March 14,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March 14,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March 14,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March 14, 2016</w:t>
      </w:r>
    </w:p>
    <w:p>
      <w:pPr>
        <w:sectPr>
          <w:pgSz w:w="11900" w:h="16838" w:orient="portrait"/>
          <w:cols w:equalWidth="0" w:num="2">
            <w:col w:w="6080" w:space="720"/>
            <w:col w:w="2219"/>
          </w:cols>
          <w:pgMar w:left="1440" w:top="1440"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550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1020" w:type="dxa"/>
            <w:vAlign w:val="bottom"/>
          </w:tcPr>
          <w:p>
            <w:pPr>
              <w:spacing w:after="0"/>
              <w:rPr>
                <w:sz w:val="20"/>
                <w:szCs w:val="20"/>
                <w:color w:val="auto"/>
              </w:rPr>
            </w:pPr>
          </w:p>
        </w:tc>
        <w:tc>
          <w:tcPr>
            <w:tcW w:w="386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16"/>
        </w:trPr>
        <w:tc>
          <w:tcPr>
            <w:tcW w:w="10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Number</w:t>
            </w:r>
          </w:p>
        </w:tc>
        <w:tc>
          <w:tcPr>
            <w:tcW w:w="5500" w:type="dxa"/>
            <w:vAlign w:val="bottom"/>
            <w:vMerge w:val="restart"/>
          </w:tcPr>
          <w:p>
            <w:pPr>
              <w:ind w:left="2000"/>
              <w:spacing w:after="0"/>
              <w:rPr>
                <w:sz w:val="20"/>
                <w:szCs w:val="20"/>
                <w:color w:val="auto"/>
              </w:rPr>
            </w:pPr>
            <w:r>
              <w:rPr>
                <w:rFonts w:ascii="Arial" w:cs="Arial" w:eastAsia="Arial" w:hAnsi="Arial"/>
                <w:sz w:val="18"/>
                <w:szCs w:val="18"/>
                <w:b w:val="1"/>
                <w:bCs w:val="1"/>
                <w:color w:val="auto"/>
              </w:rPr>
              <w:t>Exhibit Description</w:t>
            </w:r>
          </w:p>
        </w:tc>
        <w:tc>
          <w:tcPr>
            <w:tcW w:w="102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Borders>
              <w:bottom w:val="single" w:sz="8" w:color="auto"/>
            </w:tcBorders>
            <w:vMerge w:val="continue"/>
          </w:tcPr>
          <w:p>
            <w:pPr>
              <w:spacing w:after="0"/>
              <w:rPr>
                <w:sz w:val="18"/>
                <w:szCs w:val="18"/>
                <w:color w:val="auto"/>
              </w:rPr>
            </w:pPr>
          </w:p>
        </w:tc>
        <w:tc>
          <w:tcPr>
            <w:tcW w:w="55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3"/>
              </w:rPr>
              <w:t>Form</w:t>
            </w:r>
          </w:p>
        </w:tc>
        <w:tc>
          <w:tcPr>
            <w:tcW w:w="13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File No.</w:t>
            </w: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Exhibit</w:t>
            </w:r>
          </w:p>
        </w:tc>
        <w:tc>
          <w:tcPr>
            <w:tcW w:w="16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3"/>
              </w:rPr>
              <w:t>Filing Date</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shd w:val="clear" w:color="auto" w:fill="EEEEEE"/>
          </w:tcPr>
          <w:p>
            <w:pPr>
              <w:jc w:val="center"/>
              <w:ind w:left="490"/>
              <w:spacing w:after="0" w:line="201" w:lineRule="exact"/>
              <w:rPr>
                <w:sz w:val="20"/>
                <w:szCs w:val="20"/>
                <w:color w:val="auto"/>
              </w:rPr>
            </w:pPr>
            <w:r>
              <w:rPr>
                <w:rFonts w:ascii="Arial" w:cs="Arial" w:eastAsia="Arial" w:hAnsi="Arial"/>
                <w:sz w:val="18"/>
                <w:szCs w:val="18"/>
                <w:color w:val="auto"/>
                <w:w w:val="87"/>
              </w:rPr>
              <w:t>3.1</w:t>
            </w:r>
          </w:p>
        </w:tc>
        <w:tc>
          <w:tcPr>
            <w:tcW w:w="55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7"/>
              </w:rPr>
              <w:t>Amended and Restated Certificate of Incorporation of the registrant, as</w:t>
            </w:r>
          </w:p>
        </w:tc>
        <w:tc>
          <w:tcPr>
            <w:tcW w:w="102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89"/>
              </w:rPr>
              <w:t>10-Q</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5"/>
              </w:rPr>
              <w:t>3.1</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November 14, 2013</w:t>
            </w:r>
          </w:p>
        </w:tc>
        <w:tc>
          <w:tcPr>
            <w:tcW w:w="0" w:type="dxa"/>
            <w:vAlign w:val="bottom"/>
          </w:tcPr>
          <w:p>
            <w:pPr>
              <w:spacing w:after="0"/>
              <w:rPr>
                <w:sz w:val="1"/>
                <w:szCs w:val="1"/>
                <w:color w:val="auto"/>
              </w:rPr>
            </w:pPr>
          </w:p>
        </w:tc>
      </w:tr>
      <w:tr>
        <w:trPr>
          <w:trHeight w:val="230"/>
        </w:trPr>
        <w:tc>
          <w:tcPr>
            <w:tcW w:w="1040" w:type="dxa"/>
            <w:vAlign w:val="bottom"/>
            <w:shd w:val="clear" w:color="auto" w:fill="EEEEEE"/>
          </w:tcPr>
          <w:p>
            <w:pPr>
              <w:spacing w:after="0"/>
              <w:rPr>
                <w:sz w:val="20"/>
                <w:szCs w:val="20"/>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currently in effect</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jc w:val="center"/>
              <w:ind w:left="490"/>
              <w:spacing w:after="0"/>
              <w:rPr>
                <w:sz w:val="20"/>
                <w:szCs w:val="20"/>
                <w:color w:val="auto"/>
              </w:rPr>
            </w:pPr>
            <w:r>
              <w:rPr>
                <w:rFonts w:ascii="Arial" w:cs="Arial" w:eastAsia="Arial" w:hAnsi="Arial"/>
                <w:sz w:val="18"/>
                <w:szCs w:val="18"/>
                <w:color w:val="auto"/>
                <w:w w:val="87"/>
              </w:rPr>
              <w:t>3.2</w:t>
            </w: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w w:val="99"/>
              </w:rPr>
              <w:t>Amended and Restated Bylaws of the registrant, as currently in effect</w:t>
            </w:r>
          </w:p>
        </w:tc>
        <w:tc>
          <w:tcPr>
            <w:tcW w:w="102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9"/>
              </w:rPr>
              <w:t>10-Q</w:t>
            </w:r>
          </w:p>
        </w:tc>
        <w:tc>
          <w:tcPr>
            <w:tcW w:w="13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001-36083</w:t>
            </w:r>
          </w:p>
        </w:tc>
        <w:tc>
          <w:tcPr>
            <w:tcW w:w="9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5"/>
              </w:rPr>
              <w:t>3.2</w:t>
            </w:r>
          </w:p>
        </w:tc>
        <w:tc>
          <w:tcPr>
            <w:tcW w:w="16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1"/>
              </w:rPr>
              <w:t>November 14, 2013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jc w:val="center"/>
              <w:ind w:left="490"/>
              <w:spacing w:after="0"/>
              <w:rPr>
                <w:sz w:val="20"/>
                <w:szCs w:val="20"/>
                <w:color w:val="auto"/>
              </w:rPr>
            </w:pPr>
            <w:r>
              <w:rPr>
                <w:rFonts w:ascii="Arial" w:cs="Arial" w:eastAsia="Arial" w:hAnsi="Arial"/>
                <w:sz w:val="18"/>
                <w:szCs w:val="18"/>
                <w:color w:val="auto"/>
                <w:w w:val="87"/>
              </w:rPr>
              <w:t>4.1</w:t>
            </w: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Form of Registration Rights Agreement</w:t>
            </w:r>
          </w:p>
        </w:tc>
        <w:tc>
          <w:tcPr>
            <w:tcW w:w="10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5"/>
              </w:rPr>
              <w:t>4.1</w:t>
            </w:r>
          </w:p>
        </w:tc>
        <w:tc>
          <w:tcPr>
            <w:tcW w:w="16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jc w:val="center"/>
              <w:ind w:left="490"/>
              <w:spacing w:after="0"/>
              <w:rPr>
                <w:sz w:val="20"/>
                <w:szCs w:val="20"/>
                <w:color w:val="auto"/>
              </w:rPr>
            </w:pPr>
            <w:r>
              <w:rPr>
                <w:rFonts w:ascii="Arial" w:cs="Arial" w:eastAsia="Arial" w:hAnsi="Arial"/>
                <w:sz w:val="18"/>
                <w:szCs w:val="18"/>
                <w:color w:val="auto"/>
                <w:w w:val="87"/>
              </w:rPr>
              <w:t>4.2</w:t>
            </w: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Form of Shareholders’ Agreement</w:t>
            </w:r>
          </w:p>
        </w:tc>
        <w:tc>
          <w:tcPr>
            <w:tcW w:w="10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5"/>
              </w:rPr>
              <w:t>4.2</w:t>
            </w:r>
          </w:p>
        </w:tc>
        <w:tc>
          <w:tcPr>
            <w:tcW w:w="16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jc w:val="center"/>
              <w:ind w:left="490"/>
              <w:spacing w:after="0"/>
              <w:rPr>
                <w:sz w:val="20"/>
                <w:szCs w:val="20"/>
                <w:color w:val="auto"/>
              </w:rPr>
            </w:pPr>
            <w:r>
              <w:rPr>
                <w:rFonts w:ascii="Arial" w:cs="Arial" w:eastAsia="Arial" w:hAnsi="Arial"/>
                <w:sz w:val="18"/>
                <w:szCs w:val="18"/>
                <w:color w:val="auto"/>
                <w:w w:val="87"/>
              </w:rPr>
              <w:t>4.3</w:t>
            </w: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Common Stock Specimen</w:t>
            </w:r>
          </w:p>
        </w:tc>
        <w:tc>
          <w:tcPr>
            <w:tcW w:w="102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9"/>
              </w:rPr>
              <w:t>8-K</w:t>
            </w:r>
          </w:p>
        </w:tc>
        <w:tc>
          <w:tcPr>
            <w:tcW w:w="13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001-36083</w:t>
            </w:r>
          </w:p>
        </w:tc>
        <w:tc>
          <w:tcPr>
            <w:tcW w:w="9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5"/>
              </w:rPr>
              <w:t>4.1</w:t>
            </w:r>
          </w:p>
        </w:tc>
        <w:tc>
          <w:tcPr>
            <w:tcW w:w="1600" w:type="dxa"/>
            <w:vAlign w:val="bottom"/>
            <w:shd w:val="clear" w:color="auto" w:fill="EEEEEE"/>
          </w:tcPr>
          <w:p>
            <w:pPr>
              <w:jc w:val="center"/>
              <w:ind w:left="50"/>
              <w:spacing w:after="0"/>
              <w:rPr>
                <w:sz w:val="20"/>
                <w:szCs w:val="20"/>
                <w:color w:val="auto"/>
              </w:rPr>
            </w:pPr>
            <w:r>
              <w:rPr>
                <w:rFonts w:ascii="Arial" w:cs="Arial" w:eastAsia="Arial" w:hAnsi="Arial"/>
                <w:sz w:val="18"/>
                <w:szCs w:val="18"/>
                <w:color w:val="auto"/>
                <w:w w:val="91"/>
              </w:rPr>
              <w:t>July 15, 2015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40" w:type="dxa"/>
            <w:vAlign w:val="bottom"/>
            <w:shd w:val="clear" w:color="auto" w:fill="EEEEEE"/>
          </w:tcPr>
          <w:p>
            <w:pPr>
              <w:ind w:left="620"/>
              <w:spacing w:after="0" w:line="201" w:lineRule="exact"/>
              <w:rPr>
                <w:sz w:val="20"/>
                <w:szCs w:val="20"/>
                <w:color w:val="auto"/>
              </w:rPr>
            </w:pPr>
            <w:r>
              <w:rPr>
                <w:rFonts w:ascii="Arial" w:cs="Arial" w:eastAsia="Arial" w:hAnsi="Arial"/>
                <w:sz w:val="18"/>
                <w:szCs w:val="18"/>
                <w:color w:val="auto"/>
              </w:rPr>
              <w:t>10.1</w:t>
            </w:r>
          </w:p>
        </w:tc>
        <w:tc>
          <w:tcPr>
            <w:tcW w:w="55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9"/>
              </w:rPr>
              <w:t>Form of Indemnification Agreement between the registrant each of its</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10.1</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1040" w:type="dxa"/>
            <w:vAlign w:val="bottom"/>
            <w:shd w:val="clear" w:color="auto" w:fill="EEEEEE"/>
          </w:tcPr>
          <w:p>
            <w:pPr>
              <w:spacing w:after="0"/>
              <w:rPr>
                <w:sz w:val="20"/>
                <w:szCs w:val="20"/>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Directors and certain of its Executive Officers</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jc w:val="center"/>
              <w:ind w:left="510"/>
              <w:spacing w:after="0"/>
              <w:rPr>
                <w:sz w:val="20"/>
                <w:szCs w:val="20"/>
                <w:color w:val="auto"/>
              </w:rPr>
            </w:pPr>
            <w:r>
              <w:rPr>
                <w:rFonts w:ascii="Arial" w:cs="Arial" w:eastAsia="Arial" w:hAnsi="Arial"/>
                <w:sz w:val="18"/>
                <w:szCs w:val="18"/>
                <w:color w:val="auto"/>
                <w:w w:val="88"/>
              </w:rPr>
              <w:t>10.2†</w:t>
            </w: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1998 Incentive Share Plan</w:t>
            </w:r>
          </w:p>
        </w:tc>
        <w:tc>
          <w:tcPr>
            <w:tcW w:w="10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10.2</w:t>
            </w:r>
          </w:p>
        </w:tc>
        <w:tc>
          <w:tcPr>
            <w:tcW w:w="16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10.2.1† Form of Stock Option Agreement under 1998 Incentive Share Plan</w:t>
            </w:r>
          </w:p>
        </w:tc>
        <w:tc>
          <w:tcPr>
            <w:tcW w:w="10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10.2.1</w:t>
            </w:r>
          </w:p>
        </w:tc>
        <w:tc>
          <w:tcPr>
            <w:tcW w:w="16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10.2.2† Form of Stock Option Agreement under 1998 Incentive Share Plan</w:t>
            </w:r>
          </w:p>
        </w:tc>
        <w:tc>
          <w:tcPr>
            <w:tcW w:w="10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10.2.2</w:t>
            </w:r>
          </w:p>
        </w:tc>
        <w:tc>
          <w:tcPr>
            <w:tcW w:w="16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jc w:val="center"/>
              <w:ind w:left="510"/>
              <w:spacing w:after="0"/>
              <w:rPr>
                <w:sz w:val="20"/>
                <w:szCs w:val="20"/>
                <w:color w:val="auto"/>
              </w:rPr>
            </w:pPr>
            <w:r>
              <w:rPr>
                <w:rFonts w:ascii="Arial" w:cs="Arial" w:eastAsia="Arial" w:hAnsi="Arial"/>
                <w:sz w:val="18"/>
                <w:szCs w:val="18"/>
                <w:color w:val="auto"/>
                <w:w w:val="88"/>
              </w:rPr>
              <w:t>10.3†</w:t>
            </w: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2000 Incentive Share Plan</w:t>
            </w:r>
          </w:p>
        </w:tc>
        <w:tc>
          <w:tcPr>
            <w:tcW w:w="10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10.3</w:t>
            </w:r>
          </w:p>
        </w:tc>
        <w:tc>
          <w:tcPr>
            <w:tcW w:w="16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10.3.1† Form of Stock Option Agreement under 2000 Incentive Share Plan</w:t>
            </w:r>
          </w:p>
        </w:tc>
        <w:tc>
          <w:tcPr>
            <w:tcW w:w="10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10.3.1</w:t>
            </w:r>
          </w:p>
        </w:tc>
        <w:tc>
          <w:tcPr>
            <w:tcW w:w="16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10.3.2† Form of Stock Option Agreement under 2000 Incentive Share Plan</w:t>
            </w:r>
          </w:p>
        </w:tc>
        <w:tc>
          <w:tcPr>
            <w:tcW w:w="10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10.3.2</w:t>
            </w:r>
          </w:p>
        </w:tc>
        <w:tc>
          <w:tcPr>
            <w:tcW w:w="16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jc w:val="center"/>
              <w:ind w:left="510"/>
              <w:spacing w:after="0"/>
              <w:rPr>
                <w:sz w:val="20"/>
                <w:szCs w:val="20"/>
                <w:color w:val="auto"/>
              </w:rPr>
            </w:pPr>
            <w:r>
              <w:rPr>
                <w:rFonts w:ascii="Arial" w:cs="Arial" w:eastAsia="Arial" w:hAnsi="Arial"/>
                <w:sz w:val="18"/>
                <w:szCs w:val="18"/>
                <w:color w:val="auto"/>
                <w:w w:val="88"/>
              </w:rPr>
              <w:t>10.4†</w:t>
            </w: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2004 Incentive Share Plan</w:t>
            </w:r>
          </w:p>
        </w:tc>
        <w:tc>
          <w:tcPr>
            <w:tcW w:w="10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10.4</w:t>
            </w:r>
          </w:p>
        </w:tc>
        <w:tc>
          <w:tcPr>
            <w:tcW w:w="16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10.4.1† Form of Stock Option Agreement under 2004 Incentive Share Plan</w:t>
            </w:r>
          </w:p>
        </w:tc>
        <w:tc>
          <w:tcPr>
            <w:tcW w:w="10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10.4.1</w:t>
            </w:r>
          </w:p>
        </w:tc>
        <w:tc>
          <w:tcPr>
            <w:tcW w:w="16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jc w:val="center"/>
              <w:ind w:left="510"/>
              <w:spacing w:after="0"/>
              <w:rPr>
                <w:sz w:val="20"/>
                <w:szCs w:val="20"/>
                <w:color w:val="auto"/>
              </w:rPr>
            </w:pPr>
            <w:r>
              <w:rPr>
                <w:rFonts w:ascii="Arial" w:cs="Arial" w:eastAsia="Arial" w:hAnsi="Arial"/>
                <w:sz w:val="18"/>
                <w:szCs w:val="18"/>
                <w:color w:val="auto"/>
                <w:w w:val="88"/>
              </w:rPr>
              <w:t>10.5†</w:t>
            </w: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2006 Incentive Share Plan</w:t>
            </w:r>
          </w:p>
        </w:tc>
        <w:tc>
          <w:tcPr>
            <w:tcW w:w="10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10.5</w:t>
            </w:r>
          </w:p>
        </w:tc>
        <w:tc>
          <w:tcPr>
            <w:tcW w:w="16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10.5.1† First Amendment to 2006 Incentive Share Plan</w:t>
            </w:r>
          </w:p>
        </w:tc>
        <w:tc>
          <w:tcPr>
            <w:tcW w:w="10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3"/>
              </w:rPr>
              <w:t>S-1/A</w:t>
            </w:r>
          </w:p>
        </w:tc>
        <w:tc>
          <w:tcPr>
            <w:tcW w:w="13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10.5.1</w:t>
            </w:r>
          </w:p>
        </w:tc>
        <w:tc>
          <w:tcPr>
            <w:tcW w:w="16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1"/>
              </w:rPr>
              <w:t>August 27, 2013</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10.5.2† Form of Stock Option Agreement under 2006 Incentive Share Plan</w:t>
            </w:r>
          </w:p>
        </w:tc>
        <w:tc>
          <w:tcPr>
            <w:tcW w:w="102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3"/>
              </w:rPr>
              <w:t>S-1/A</w:t>
            </w:r>
          </w:p>
        </w:tc>
        <w:tc>
          <w:tcPr>
            <w:tcW w:w="13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10.5.2</w:t>
            </w:r>
          </w:p>
        </w:tc>
        <w:tc>
          <w:tcPr>
            <w:tcW w:w="16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1"/>
              </w:rPr>
              <w:t>August 27, 2013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EEEEEE"/>
          </w:tcPr>
          <w:p>
            <w:pPr>
              <w:jc w:val="center"/>
              <w:ind w:left="510"/>
              <w:spacing w:after="0"/>
              <w:rPr>
                <w:sz w:val="20"/>
                <w:szCs w:val="20"/>
                <w:color w:val="auto"/>
              </w:rPr>
            </w:pPr>
            <w:r>
              <w:rPr>
                <w:rFonts w:ascii="Arial" w:cs="Arial" w:eastAsia="Arial" w:hAnsi="Arial"/>
                <w:sz w:val="18"/>
                <w:szCs w:val="18"/>
                <w:color w:val="auto"/>
                <w:w w:val="88"/>
              </w:rPr>
              <w:t>10.6†</w:t>
            </w: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2013 Equity Incentive Plan</w:t>
            </w:r>
          </w:p>
        </w:tc>
        <w:tc>
          <w:tcPr>
            <w:tcW w:w="102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9"/>
              </w:rPr>
              <w:t>10-Q</w:t>
            </w:r>
          </w:p>
        </w:tc>
        <w:tc>
          <w:tcPr>
            <w:tcW w:w="13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001-36083</w:t>
            </w:r>
          </w:p>
        </w:tc>
        <w:tc>
          <w:tcPr>
            <w:tcW w:w="9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10.1</w:t>
            </w:r>
          </w:p>
        </w:tc>
        <w:tc>
          <w:tcPr>
            <w:tcW w:w="160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91"/>
              </w:rPr>
              <w:t>November 14, 2013</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gridSpan w:val="2"/>
            <w:shd w:val="clear" w:color="auto" w:fill="EEEEEE"/>
          </w:tcPr>
          <w:p>
            <w:pPr>
              <w:ind w:left="480"/>
              <w:spacing w:after="0" w:line="201" w:lineRule="exact"/>
              <w:rPr>
                <w:sz w:val="20"/>
                <w:szCs w:val="20"/>
                <w:color w:val="auto"/>
              </w:rPr>
            </w:pPr>
            <w:r>
              <w:rPr>
                <w:rFonts w:ascii="Arial" w:cs="Arial" w:eastAsia="Arial" w:hAnsi="Arial"/>
                <w:sz w:val="18"/>
                <w:szCs w:val="18"/>
                <w:color w:val="auto"/>
                <w:w w:val="94"/>
              </w:rPr>
              <w:t>10.6.1† Form of Restricted Stock Award Agreement under 2013 Equity Incentive</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7"/>
              </w:rPr>
              <w:t>10.6.1</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1040" w:type="dxa"/>
            <w:vAlign w:val="bottom"/>
            <w:shd w:val="clear" w:color="auto" w:fill="EEEEEE"/>
          </w:tcPr>
          <w:p>
            <w:pPr>
              <w:spacing w:after="0"/>
              <w:rPr>
                <w:sz w:val="20"/>
                <w:szCs w:val="20"/>
                <w:color w:val="auto"/>
              </w:rPr>
            </w:pPr>
          </w:p>
        </w:tc>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Plan</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9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5560" w:type="dxa"/>
            <w:vAlign w:val="bottom"/>
            <w:vMerge w:val="restart"/>
          </w:tcPr>
          <w:p>
            <w:pPr>
              <w:ind w:left="2060"/>
              <w:spacing w:after="0"/>
              <w:rPr>
                <w:sz w:val="20"/>
                <w:szCs w:val="20"/>
                <w:color w:val="auto"/>
              </w:rPr>
            </w:pPr>
            <w:r>
              <w:rPr>
                <w:rFonts w:ascii="Arial" w:cs="Arial" w:eastAsia="Arial" w:hAnsi="Arial"/>
                <w:sz w:val="18"/>
                <w:szCs w:val="18"/>
                <w:b w:val="1"/>
                <w:bCs w:val="1"/>
                <w:color w:val="auto"/>
              </w:rPr>
              <w:t>Exhibit Description</w:t>
            </w:r>
          </w:p>
        </w:tc>
        <w:tc>
          <w:tcPr>
            <w:tcW w:w="10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10"/>
        </w:trPr>
        <w:tc>
          <w:tcPr>
            <w:tcW w:w="980" w:type="dxa"/>
            <w:vAlign w:val="bottom"/>
            <w:tcBorders>
              <w:bottom w:val="single" w:sz="8" w:color="auto"/>
            </w:tcBorders>
            <w:vMerge w:val="continue"/>
          </w:tcPr>
          <w:p>
            <w:pPr>
              <w:spacing w:after="0"/>
              <w:rPr>
                <w:sz w:val="18"/>
                <w:szCs w:val="18"/>
                <w:color w:val="auto"/>
              </w:rPr>
            </w:pPr>
          </w:p>
        </w:tc>
        <w:tc>
          <w:tcPr>
            <w:tcW w:w="556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3"/>
              </w:rPr>
              <w:t>Form</w:t>
            </w:r>
          </w:p>
        </w:tc>
        <w:tc>
          <w:tcPr>
            <w:tcW w:w="13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File No.</w:t>
            </w: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Exhibit</w:t>
            </w:r>
          </w:p>
        </w:tc>
        <w:tc>
          <w:tcPr>
            <w:tcW w:w="16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3"/>
              </w:rPr>
              <w:t>Filing Date</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gridSpan w:val="2"/>
            <w:shd w:val="clear" w:color="auto" w:fill="EEEEEE"/>
          </w:tcPr>
          <w:p>
            <w:pPr>
              <w:ind w:left="480"/>
              <w:spacing w:after="0" w:line="201" w:lineRule="exact"/>
              <w:rPr>
                <w:sz w:val="20"/>
                <w:szCs w:val="20"/>
                <w:color w:val="auto"/>
              </w:rPr>
            </w:pPr>
            <w:r>
              <w:rPr>
                <w:rFonts w:ascii="Arial" w:cs="Arial" w:eastAsia="Arial" w:hAnsi="Arial"/>
                <w:sz w:val="18"/>
                <w:szCs w:val="18"/>
                <w:color w:val="auto"/>
              </w:rPr>
              <w:t>10.6.2† Form of Restricted Stock Unit Award Agreement under 2013 Equity</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7"/>
              </w:rPr>
              <w:t>10.6.2</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Incentive Plan</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gridSpan w:val="2"/>
            <w:shd w:val="clear" w:color="auto" w:fill="EEEEEE"/>
          </w:tcPr>
          <w:p>
            <w:pPr>
              <w:ind w:left="480"/>
              <w:spacing w:after="0" w:line="201" w:lineRule="exact"/>
              <w:rPr>
                <w:sz w:val="20"/>
                <w:szCs w:val="20"/>
                <w:color w:val="auto"/>
              </w:rPr>
            </w:pPr>
            <w:r>
              <w:rPr>
                <w:rFonts w:ascii="Arial" w:cs="Arial" w:eastAsia="Arial" w:hAnsi="Arial"/>
                <w:sz w:val="18"/>
                <w:szCs w:val="18"/>
                <w:color w:val="auto"/>
                <w:w w:val="95"/>
              </w:rPr>
              <w:t>10.6.3† Form of Stock Appreciation Right Award Agreement under 2013 Equity</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7"/>
              </w:rPr>
              <w:t>10.6.3</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Incentive Plan</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gridSpan w:val="2"/>
            <w:shd w:val="clear" w:color="auto" w:fill="EEEEEE"/>
          </w:tcPr>
          <w:p>
            <w:pPr>
              <w:ind w:left="480"/>
              <w:spacing w:after="0" w:line="201" w:lineRule="exact"/>
              <w:rPr>
                <w:sz w:val="20"/>
                <w:szCs w:val="20"/>
                <w:color w:val="auto"/>
              </w:rPr>
            </w:pPr>
            <w:r>
              <w:rPr>
                <w:rFonts w:ascii="Arial" w:cs="Arial" w:eastAsia="Arial" w:hAnsi="Arial"/>
                <w:sz w:val="18"/>
                <w:szCs w:val="18"/>
                <w:color w:val="auto"/>
              </w:rPr>
              <w:t>10.6.4† Form of Notice of Stock Option Award and Stock Option Award</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7"/>
              </w:rPr>
              <w:t>10.6.4</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Agreement under 2013 Equity Incentive Plan</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10.7</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2"/>
              </w:rPr>
              <w:t>Lease Agreement effective May 1, 2012 between the registrant and 12808</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10.7</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W. Airport, LLC</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10.7.1</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1"/>
              </w:rPr>
              <w:t>First Amendment to Lease Agreement effective June 15, 2012 between the</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7"/>
              </w:rPr>
              <w:t>10.7.1</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registrant and 12808 W. Airport, LLC</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10.7.2</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rPr>
              <w:t>Third Amendment to Office Lease Agreement between the Applied</w:t>
            </w:r>
          </w:p>
        </w:tc>
        <w:tc>
          <w:tcPr>
            <w:tcW w:w="102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9"/>
              </w:rPr>
              <w:t>8-K</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10.1</w:t>
            </w:r>
          </w:p>
        </w:tc>
        <w:tc>
          <w:tcPr>
            <w:tcW w:w="1600" w:type="dxa"/>
            <w:vAlign w:val="bottom"/>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1"/>
              </w:rPr>
              <w:t>July 25, 2014</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Optoelectronics, Inc. and 12808 Airport, LLC dated July 21, 2014</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10.8</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88"/>
              </w:rPr>
              <w:t>Translation of Chinese lease agreement dated January 10, 2012 between the</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10.8</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7"/>
              </w:rPr>
              <w:t>registrant and Admiral Overseas Corporation for space on 4F, NO.700,</w:t>
            </w:r>
          </w:p>
        </w:tc>
        <w:tc>
          <w:tcPr>
            <w:tcW w:w="10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1"/>
              </w:rPr>
              <w:t>Jhongjheng Rd., Jhonghe District, New Taipei City 23552, Taiwan (R.O.C.)</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10.8.1</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9"/>
              </w:rPr>
              <w:t>Translation of Chinese Amendment to Office Lease Agreement dated</w:t>
            </w:r>
          </w:p>
        </w:tc>
        <w:tc>
          <w:tcPr>
            <w:tcW w:w="102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89"/>
              </w:rPr>
              <w:t>10-Q</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10.4</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November 14, 2013</w:t>
            </w: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1"/>
              </w:rPr>
              <w:t>August 28, 2013 between the registrant and Admiral Overseas Corporation</w:t>
            </w:r>
          </w:p>
        </w:tc>
        <w:tc>
          <w:tcPr>
            <w:tcW w:w="10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6"/>
              </w:rPr>
              <w:t>for space on 4F, No.700, Jhongjheng Rd., Jhonghe District, New Taipei</w:t>
            </w:r>
          </w:p>
        </w:tc>
        <w:tc>
          <w:tcPr>
            <w:tcW w:w="10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City 23552, Taiwan (R.O.C.)</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10.9</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4"/>
              </w:rPr>
              <w:t>Translation of Chinese lease agreement dated April 1, 2012 between the</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10.9</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4"/>
              </w:rPr>
              <w:t>registrant and Admiral Overseas Corporation for space on 6-7F, NO.700,</w:t>
            </w:r>
          </w:p>
        </w:tc>
        <w:tc>
          <w:tcPr>
            <w:tcW w:w="10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1"/>
              </w:rPr>
              <w:t>Jhongjheng Rd., Jhonghe District, New Taipei City 23552, Taiwan (R.O.C.)</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10.9.1</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9"/>
              </w:rPr>
              <w:t>Translation of Chinese Amendment to Office Lease Agreement dated</w:t>
            </w:r>
          </w:p>
        </w:tc>
        <w:tc>
          <w:tcPr>
            <w:tcW w:w="102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89"/>
              </w:rPr>
              <w:t>10-Q</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10.5</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November 14, 2013</w:t>
            </w: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1"/>
              </w:rPr>
              <w:t>August 28, 2013 between the registrant and Admiral Overseas Corporation</w:t>
            </w:r>
          </w:p>
        </w:tc>
        <w:tc>
          <w:tcPr>
            <w:tcW w:w="10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3"/>
              </w:rPr>
              <w:t>for space on 6-7F, No.700, Jhongjheng Rd., Jhonghe District, New Taipei</w:t>
            </w:r>
          </w:p>
        </w:tc>
        <w:tc>
          <w:tcPr>
            <w:tcW w:w="10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City 23552, Taiwan (R.O.C.)</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9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5560" w:type="dxa"/>
            <w:vAlign w:val="bottom"/>
            <w:vMerge w:val="restart"/>
          </w:tcPr>
          <w:p>
            <w:pPr>
              <w:ind w:left="2060"/>
              <w:spacing w:after="0"/>
              <w:rPr>
                <w:sz w:val="20"/>
                <w:szCs w:val="20"/>
                <w:color w:val="auto"/>
              </w:rPr>
            </w:pPr>
            <w:r>
              <w:rPr>
                <w:rFonts w:ascii="Arial" w:cs="Arial" w:eastAsia="Arial" w:hAnsi="Arial"/>
                <w:sz w:val="18"/>
                <w:szCs w:val="18"/>
                <w:b w:val="1"/>
                <w:bCs w:val="1"/>
                <w:color w:val="auto"/>
              </w:rPr>
              <w:t>Exhibit Description</w:t>
            </w:r>
          </w:p>
        </w:tc>
        <w:tc>
          <w:tcPr>
            <w:tcW w:w="10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10"/>
        </w:trPr>
        <w:tc>
          <w:tcPr>
            <w:tcW w:w="980" w:type="dxa"/>
            <w:vAlign w:val="bottom"/>
            <w:tcBorders>
              <w:bottom w:val="single" w:sz="8" w:color="auto"/>
            </w:tcBorders>
            <w:vMerge w:val="continue"/>
          </w:tcPr>
          <w:p>
            <w:pPr>
              <w:spacing w:after="0"/>
              <w:rPr>
                <w:sz w:val="18"/>
                <w:szCs w:val="18"/>
                <w:color w:val="auto"/>
              </w:rPr>
            </w:pPr>
          </w:p>
        </w:tc>
        <w:tc>
          <w:tcPr>
            <w:tcW w:w="556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3"/>
              </w:rPr>
              <w:t>Form</w:t>
            </w:r>
          </w:p>
        </w:tc>
        <w:tc>
          <w:tcPr>
            <w:tcW w:w="13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File No.</w:t>
            </w: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Exhibit</w:t>
            </w:r>
          </w:p>
        </w:tc>
        <w:tc>
          <w:tcPr>
            <w:tcW w:w="16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3"/>
              </w:rPr>
              <w:t>Filing Date</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10.10</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89"/>
              </w:rPr>
              <w:t>Translation of Chinese lease agreement dated September 11, 2013 between</w:t>
            </w:r>
          </w:p>
        </w:tc>
        <w:tc>
          <w:tcPr>
            <w:tcW w:w="102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89"/>
              </w:rPr>
              <w:t>10-Q</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10.3</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November 14, 2013</w:t>
            </w: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2"/>
              </w:rPr>
              <w:t>the registrant and Admiral Overseas Corporation for space on 5F, No.700,</w:t>
            </w:r>
          </w:p>
        </w:tc>
        <w:tc>
          <w:tcPr>
            <w:tcW w:w="10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1"/>
              </w:rPr>
              <w:t>Jhongjheng Rd., Jhonghe District, New Taipei City 23552, Taiwan (R.O.C.)</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10.11</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5"/>
              </w:rPr>
              <w:t>Amended and Restated Loan and Security Agreement effective May 20,</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8"/>
              </w:rPr>
              <w:t>10.10</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2009 between registrant and United Commercial Bank</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10.11.1</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2"/>
              </w:rPr>
              <w:t>First Amendment to Amended and Restated Loan and Security Agreement</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10.10.1</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9"/>
              </w:rPr>
              <w:t>effective May 3, 2010 between the registrant and East West Bank (as</w:t>
            </w:r>
          </w:p>
        </w:tc>
        <w:tc>
          <w:tcPr>
            <w:tcW w:w="10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successor in interest to United Commercial Bank)</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10.11.2</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rPr>
              <w:t>Second Amendment to Amended and Restated Loan and Security</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10.10.2</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89"/>
              </w:rPr>
              <w:t>Agreement effective October 28, 2010 between the registrant and East West</w:t>
            </w:r>
          </w:p>
        </w:tc>
        <w:tc>
          <w:tcPr>
            <w:tcW w:w="10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Bank</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10.11.3</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1"/>
              </w:rPr>
              <w:t>Third Amendment to Amended and Restated Loan and Security Agreement</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10.10.3</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5"/>
              </w:rPr>
              <w:t>effective December 6, 2010 between the registrant and East West Bank</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10.11.4</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rPr>
              <w:t>Fourth Amendment to Amended and Restated Loan and Security</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10.10.4</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6"/>
              </w:rPr>
              <w:t>Agreement effective May 5, 2011 between the registrant and East West</w:t>
            </w:r>
          </w:p>
        </w:tc>
        <w:tc>
          <w:tcPr>
            <w:tcW w:w="10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Bank</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10.11.5</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2"/>
              </w:rPr>
              <w:t>Fifth Amendment to Amended and Restated Loan and Security Agreement</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10.10.5</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4"/>
              </w:rPr>
              <w:t>effective November 30, 2011 between the registrant and East West Bank</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10.11.6</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1"/>
              </w:rPr>
              <w:t>Sixth Amendment to Amended and Restated Loan and Security Agreement</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10.10.6</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9"/>
              </w:rPr>
              <w:t>effective March 29, 2012 between the registrant and East West Bank</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10.11.7</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rPr>
              <w:t>Seventh Amendment to Amended and Restated Loan and Security</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9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10.10.7</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3"/>
              </w:rPr>
              <w:t>Agreement effective June 29, 2012 between the registrant and East West</w:t>
            </w:r>
          </w:p>
        </w:tc>
        <w:tc>
          <w:tcPr>
            <w:tcW w:w="10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Bank</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4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9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5560" w:type="dxa"/>
            <w:vAlign w:val="bottom"/>
            <w:vMerge w:val="restart"/>
          </w:tcPr>
          <w:p>
            <w:pPr>
              <w:ind w:left="2060"/>
              <w:spacing w:after="0"/>
              <w:rPr>
                <w:sz w:val="20"/>
                <w:szCs w:val="20"/>
                <w:color w:val="auto"/>
              </w:rPr>
            </w:pPr>
            <w:r>
              <w:rPr>
                <w:rFonts w:ascii="Arial" w:cs="Arial" w:eastAsia="Arial" w:hAnsi="Arial"/>
                <w:sz w:val="18"/>
                <w:szCs w:val="18"/>
                <w:b w:val="1"/>
                <w:bCs w:val="1"/>
                <w:color w:val="auto"/>
              </w:rPr>
              <w:t>Exhibit Description</w:t>
            </w:r>
          </w:p>
        </w:tc>
        <w:tc>
          <w:tcPr>
            <w:tcW w:w="10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10"/>
        </w:trPr>
        <w:tc>
          <w:tcPr>
            <w:tcW w:w="980" w:type="dxa"/>
            <w:vAlign w:val="bottom"/>
            <w:tcBorders>
              <w:bottom w:val="single" w:sz="8" w:color="auto"/>
            </w:tcBorders>
            <w:vMerge w:val="continue"/>
          </w:tcPr>
          <w:p>
            <w:pPr>
              <w:spacing w:after="0"/>
              <w:rPr>
                <w:sz w:val="18"/>
                <w:szCs w:val="18"/>
                <w:color w:val="auto"/>
              </w:rPr>
            </w:pPr>
          </w:p>
        </w:tc>
        <w:tc>
          <w:tcPr>
            <w:tcW w:w="556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3"/>
              </w:rPr>
              <w:t>Form</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Exhibit</w:t>
            </w:r>
          </w:p>
        </w:tc>
        <w:tc>
          <w:tcPr>
            <w:tcW w:w="15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3"/>
              </w:rPr>
              <w:t>Filing Date</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10.11.8</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rPr>
              <w:t>Eighth Amendment to Amended and Restated Loan and Security</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9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10.10.8</w:t>
            </w:r>
          </w:p>
        </w:tc>
        <w:tc>
          <w:tcPr>
            <w:tcW w:w="158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5"/>
              </w:rPr>
              <w:t>Agreement effective November 2, 2012 between the registrant and East</w:t>
            </w:r>
          </w:p>
        </w:tc>
        <w:tc>
          <w:tcPr>
            <w:tcW w:w="10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West Bank</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5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10.11.9</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1"/>
              </w:rPr>
              <w:t>Ninth Amendment to Amended and Restated Loan and Security Agreement</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9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10.10.9</w:t>
            </w:r>
          </w:p>
        </w:tc>
        <w:tc>
          <w:tcPr>
            <w:tcW w:w="158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effective April 11, 2013 between the registrant and East West Bank</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5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10.11.10</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0"/>
              </w:rPr>
              <w:t>Tenth Amendment to Amended and Restated Loan and Security Agreement</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3"/>
              </w:rPr>
              <w:t>S-1/A</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9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10.10.10</w:t>
            </w:r>
          </w:p>
        </w:tc>
        <w:tc>
          <w:tcPr>
            <w:tcW w:w="158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88"/>
              </w:rPr>
              <w:t>September 11, 2013</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3"/>
              </w:rPr>
              <w:t>effective September 10, 2013 between the registrant and East West Bank</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5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10.11.11</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rPr>
              <w:t>Eleventh Amendment to Amended and Restated Loan and Security</w:t>
            </w:r>
          </w:p>
        </w:tc>
        <w:tc>
          <w:tcPr>
            <w:tcW w:w="102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9"/>
              </w:rPr>
              <w:t>8-K</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9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10.1</w:t>
            </w:r>
          </w:p>
        </w:tc>
        <w:tc>
          <w:tcPr>
            <w:tcW w:w="158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1"/>
              </w:rPr>
              <w:t>November 19, 2013</w:t>
            </w: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4"/>
              </w:rPr>
              <w:t>Agreement effective November 13, 2013 between the registrant and East</w:t>
            </w:r>
          </w:p>
        </w:tc>
        <w:tc>
          <w:tcPr>
            <w:tcW w:w="10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West Bank</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5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10.11.12</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rPr>
              <w:t>Twelfth Amendment to Amended and Restated Loan and Security</w:t>
            </w:r>
          </w:p>
        </w:tc>
        <w:tc>
          <w:tcPr>
            <w:tcW w:w="102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9"/>
              </w:rPr>
              <w:t>8-K</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9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10.1</w:t>
            </w:r>
          </w:p>
        </w:tc>
        <w:tc>
          <w:tcPr>
            <w:tcW w:w="158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89"/>
              </w:rPr>
              <w:t>December 17, 2013</w:t>
            </w: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4"/>
              </w:rPr>
              <w:t>Agreement effective December 11, 2013 between the registrant and East</w:t>
            </w:r>
          </w:p>
        </w:tc>
        <w:tc>
          <w:tcPr>
            <w:tcW w:w="10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West Bank</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5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10.11.13</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8"/>
              </w:rPr>
              <w:t>Translation of Chinese form of RMB Working Capital Loan Agreement</w:t>
            </w:r>
          </w:p>
        </w:tc>
        <w:tc>
          <w:tcPr>
            <w:tcW w:w="1020" w:type="dxa"/>
            <w:vAlign w:val="bottom"/>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99"/>
              </w:rPr>
              <w:t>10-K</w:t>
            </w:r>
          </w:p>
        </w:tc>
        <w:tc>
          <w:tcPr>
            <w:tcW w:w="132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0"/>
              </w:rPr>
              <w:t>001-36083</w:t>
            </w:r>
          </w:p>
        </w:tc>
        <w:tc>
          <w:tcPr>
            <w:tcW w:w="96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88"/>
              </w:rPr>
              <w:t>10.11.13</w:t>
            </w:r>
          </w:p>
        </w:tc>
        <w:tc>
          <w:tcPr>
            <w:tcW w:w="1580" w:type="dxa"/>
            <w:vAlign w:val="bottom"/>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92"/>
              </w:rPr>
              <w:t>March 6, 2014</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between the Global Technology Inc. and China Construction Bank</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5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10.12</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rPr>
              <w:t>Translation of Chinese form of USD Trust Receipt Loan Agreement</w:t>
            </w:r>
          </w:p>
        </w:tc>
        <w:tc>
          <w:tcPr>
            <w:tcW w:w="1020" w:type="dxa"/>
            <w:vAlign w:val="bottom"/>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99"/>
              </w:rPr>
              <w:t>10-K</w:t>
            </w:r>
          </w:p>
        </w:tc>
        <w:tc>
          <w:tcPr>
            <w:tcW w:w="132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0"/>
              </w:rPr>
              <w:t>001-36083</w:t>
            </w:r>
          </w:p>
        </w:tc>
        <w:tc>
          <w:tcPr>
            <w:tcW w:w="96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88"/>
              </w:rPr>
              <w:t>10.11.12</w:t>
            </w:r>
          </w:p>
        </w:tc>
        <w:tc>
          <w:tcPr>
            <w:tcW w:w="1580" w:type="dxa"/>
            <w:vAlign w:val="bottom"/>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92"/>
              </w:rPr>
              <w:t>March 6, 2014</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between Global Technology Inc. and China Construction Bank</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5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10.13</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0"/>
              </w:rPr>
              <w:t>Translation of Chinese Loan Agreement dated December 31, 2013 between</w:t>
            </w:r>
          </w:p>
        </w:tc>
        <w:tc>
          <w:tcPr>
            <w:tcW w:w="1020" w:type="dxa"/>
            <w:vAlign w:val="bottom"/>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99"/>
              </w:rPr>
              <w:t>10-K</w:t>
            </w:r>
          </w:p>
        </w:tc>
        <w:tc>
          <w:tcPr>
            <w:tcW w:w="132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0"/>
              </w:rPr>
              <w:t>001-36083</w:t>
            </w:r>
          </w:p>
        </w:tc>
        <w:tc>
          <w:tcPr>
            <w:tcW w:w="9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8"/>
              </w:rPr>
              <w:t>10.13</w:t>
            </w:r>
          </w:p>
        </w:tc>
        <w:tc>
          <w:tcPr>
            <w:tcW w:w="1580" w:type="dxa"/>
            <w:vAlign w:val="bottom"/>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92"/>
              </w:rPr>
              <w:t>March 6, 2014</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the registrant and E. Sun Commercial Bank Co., Ltd.</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5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10.14</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0"/>
              </w:rPr>
              <w:t>Translation of Chinese Loan Agreement dated December 20, 2013 between</w:t>
            </w:r>
          </w:p>
        </w:tc>
        <w:tc>
          <w:tcPr>
            <w:tcW w:w="1020" w:type="dxa"/>
            <w:vAlign w:val="bottom"/>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99"/>
              </w:rPr>
              <w:t>10-K</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9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8"/>
              </w:rPr>
              <w:t>10.14</w:t>
            </w:r>
          </w:p>
        </w:tc>
        <w:tc>
          <w:tcPr>
            <w:tcW w:w="1580" w:type="dxa"/>
            <w:vAlign w:val="bottom"/>
            <w:shd w:val="clear" w:color="auto" w:fill="EEEEEE"/>
          </w:tcPr>
          <w:p>
            <w:pPr>
              <w:jc w:val="center"/>
              <w:ind w:left="70"/>
              <w:spacing w:after="0" w:line="201" w:lineRule="exact"/>
              <w:rPr>
                <w:sz w:val="20"/>
                <w:szCs w:val="20"/>
                <w:color w:val="auto"/>
              </w:rPr>
            </w:pPr>
            <w:r>
              <w:rPr>
                <w:rFonts w:ascii="Arial" w:cs="Arial" w:eastAsia="Arial" w:hAnsi="Arial"/>
                <w:sz w:val="18"/>
                <w:szCs w:val="18"/>
                <w:color w:val="auto"/>
                <w:w w:val="92"/>
              </w:rPr>
              <w:t>March 6, 2014</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the registrant and Mega International Commercial Bank Co., Ltd.</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5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9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Number</w:t>
            </w:r>
          </w:p>
        </w:tc>
        <w:tc>
          <w:tcPr>
            <w:tcW w:w="5560" w:type="dxa"/>
            <w:vAlign w:val="bottom"/>
            <w:vMerge w:val="restart"/>
          </w:tcPr>
          <w:p>
            <w:pPr>
              <w:ind w:left="2060"/>
              <w:spacing w:after="0"/>
              <w:rPr>
                <w:sz w:val="20"/>
                <w:szCs w:val="20"/>
                <w:color w:val="auto"/>
              </w:rPr>
            </w:pPr>
            <w:r>
              <w:rPr>
                <w:rFonts w:ascii="Arial" w:cs="Arial" w:eastAsia="Arial" w:hAnsi="Arial"/>
                <w:sz w:val="18"/>
                <w:szCs w:val="18"/>
                <w:b w:val="1"/>
                <w:bCs w:val="1"/>
                <w:color w:val="auto"/>
              </w:rPr>
              <w:t>Exhibit Description</w:t>
            </w:r>
          </w:p>
        </w:tc>
        <w:tc>
          <w:tcPr>
            <w:tcW w:w="10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w w:val="91"/>
              </w:rPr>
              <w:t>Incorporated by Reference</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Borders>
              <w:bottom w:val="single" w:sz="8" w:color="auto"/>
            </w:tcBorders>
            <w:vMerge w:val="continue"/>
          </w:tcPr>
          <w:p>
            <w:pPr>
              <w:spacing w:after="0"/>
              <w:rPr>
                <w:sz w:val="18"/>
                <w:szCs w:val="18"/>
                <w:color w:val="auto"/>
              </w:rPr>
            </w:pPr>
          </w:p>
        </w:tc>
        <w:tc>
          <w:tcPr>
            <w:tcW w:w="556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3"/>
              </w:rPr>
              <w:t>Form</w:t>
            </w:r>
          </w:p>
        </w:tc>
        <w:tc>
          <w:tcPr>
            <w:tcW w:w="13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File No.</w:t>
            </w: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Exhibit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gridSpan w:val="2"/>
            <w:shd w:val="clear" w:color="auto" w:fill="EEEEEE"/>
          </w:tcPr>
          <w:p>
            <w:pPr>
              <w:ind w:left="520"/>
              <w:spacing w:after="0" w:line="201" w:lineRule="exact"/>
              <w:rPr>
                <w:sz w:val="20"/>
                <w:szCs w:val="20"/>
                <w:color w:val="auto"/>
              </w:rPr>
            </w:pPr>
            <w:r>
              <w:rPr>
                <w:rFonts w:ascii="Arial" w:cs="Arial" w:eastAsia="Arial" w:hAnsi="Arial"/>
                <w:sz w:val="18"/>
                <w:szCs w:val="18"/>
                <w:color w:val="auto"/>
                <w:w w:val="97"/>
              </w:rPr>
              <w:t>10.15† Employment Agreement regarding Change of Control or Separation of</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1160" w:type="dxa"/>
            <w:vAlign w:val="bottom"/>
            <w:shd w:val="clear" w:color="auto" w:fill="EEEEEE"/>
          </w:tcPr>
          <w:p>
            <w:pPr>
              <w:jc w:val="center"/>
              <w:ind w:right="70"/>
              <w:spacing w:after="0" w:line="201" w:lineRule="exact"/>
              <w:rPr>
                <w:sz w:val="20"/>
                <w:szCs w:val="20"/>
                <w:color w:val="auto"/>
              </w:rPr>
            </w:pPr>
            <w:r>
              <w:rPr>
                <w:rFonts w:ascii="Arial" w:cs="Arial" w:eastAsia="Arial" w:hAnsi="Arial"/>
                <w:sz w:val="18"/>
                <w:szCs w:val="18"/>
                <w:color w:val="auto"/>
                <w:w w:val="88"/>
              </w:rPr>
              <w:t>10.12</w:t>
            </w:r>
          </w:p>
        </w:tc>
        <w:tc>
          <w:tcPr>
            <w:tcW w:w="1380" w:type="dxa"/>
            <w:vAlign w:val="bottom"/>
            <w:shd w:val="clear" w:color="auto" w:fill="EEEEEE"/>
          </w:tcPr>
          <w:p>
            <w:pPr>
              <w:jc w:val="center"/>
              <w:ind w:right="1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6"/>
              </w:rPr>
              <w:t>Service between the registrant and Chih-Hsiang (Thompson) Lin, dated</w:t>
            </w:r>
          </w:p>
        </w:tc>
        <w:tc>
          <w:tcPr>
            <w:tcW w:w="10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January 28, 2007</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gridSpan w:val="2"/>
            <w:shd w:val="clear" w:color="auto" w:fill="EEEEEE"/>
          </w:tcPr>
          <w:p>
            <w:pPr>
              <w:ind w:left="380"/>
              <w:spacing w:after="0" w:line="201" w:lineRule="exact"/>
              <w:rPr>
                <w:sz w:val="20"/>
                <w:szCs w:val="20"/>
                <w:color w:val="auto"/>
              </w:rPr>
            </w:pPr>
            <w:r>
              <w:rPr>
                <w:rFonts w:ascii="Arial" w:cs="Arial" w:eastAsia="Arial" w:hAnsi="Arial"/>
                <w:sz w:val="18"/>
                <w:szCs w:val="18"/>
                <w:color w:val="auto"/>
                <w:w w:val="97"/>
              </w:rPr>
              <w:t>10.15.1† Amended and Restated Employment Agreement regarding Change of</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1160" w:type="dxa"/>
            <w:vAlign w:val="bottom"/>
            <w:shd w:val="clear" w:color="auto" w:fill="EEEEEE"/>
          </w:tcPr>
          <w:p>
            <w:pPr>
              <w:jc w:val="center"/>
              <w:ind w:right="50"/>
              <w:spacing w:after="0" w:line="201" w:lineRule="exact"/>
              <w:rPr>
                <w:sz w:val="20"/>
                <w:szCs w:val="20"/>
                <w:color w:val="auto"/>
              </w:rPr>
            </w:pPr>
            <w:r>
              <w:rPr>
                <w:rFonts w:ascii="Arial" w:cs="Arial" w:eastAsia="Arial" w:hAnsi="Arial"/>
                <w:sz w:val="18"/>
                <w:szCs w:val="18"/>
                <w:color w:val="auto"/>
                <w:w w:val="89"/>
              </w:rPr>
              <w:t>10.12.1</w:t>
            </w:r>
          </w:p>
        </w:tc>
        <w:tc>
          <w:tcPr>
            <w:tcW w:w="1380" w:type="dxa"/>
            <w:vAlign w:val="bottom"/>
            <w:shd w:val="clear" w:color="auto" w:fill="EEEEEE"/>
          </w:tcPr>
          <w:p>
            <w:pPr>
              <w:jc w:val="center"/>
              <w:ind w:right="1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4"/>
              </w:rPr>
              <w:t>Control or Separation of Service between the registrant and Chih-Hsiang</w:t>
            </w:r>
          </w:p>
        </w:tc>
        <w:tc>
          <w:tcPr>
            <w:tcW w:w="10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(Thompson) Lin, dated April 16, 2013</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gridSpan w:val="2"/>
            <w:shd w:val="clear" w:color="auto" w:fill="EEEEEE"/>
          </w:tcPr>
          <w:p>
            <w:pPr>
              <w:ind w:left="520"/>
              <w:spacing w:after="0" w:line="201" w:lineRule="exact"/>
              <w:rPr>
                <w:sz w:val="20"/>
                <w:szCs w:val="20"/>
                <w:color w:val="auto"/>
              </w:rPr>
            </w:pPr>
            <w:r>
              <w:rPr>
                <w:rFonts w:ascii="Arial" w:cs="Arial" w:eastAsia="Arial" w:hAnsi="Arial"/>
                <w:sz w:val="18"/>
                <w:szCs w:val="18"/>
                <w:color w:val="auto"/>
                <w:w w:val="97"/>
              </w:rPr>
              <w:t>10.15† Employment Agreement regarding Change of Control or Separation of</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1160" w:type="dxa"/>
            <w:vAlign w:val="bottom"/>
            <w:shd w:val="clear" w:color="auto" w:fill="EEEEEE"/>
          </w:tcPr>
          <w:p>
            <w:pPr>
              <w:jc w:val="center"/>
              <w:ind w:right="70"/>
              <w:spacing w:after="0" w:line="201" w:lineRule="exact"/>
              <w:rPr>
                <w:sz w:val="20"/>
                <w:szCs w:val="20"/>
                <w:color w:val="auto"/>
              </w:rPr>
            </w:pPr>
            <w:r>
              <w:rPr>
                <w:rFonts w:ascii="Arial" w:cs="Arial" w:eastAsia="Arial" w:hAnsi="Arial"/>
                <w:sz w:val="18"/>
                <w:szCs w:val="18"/>
                <w:color w:val="auto"/>
                <w:w w:val="88"/>
              </w:rPr>
              <w:t>10.13</w:t>
            </w:r>
          </w:p>
        </w:tc>
        <w:tc>
          <w:tcPr>
            <w:tcW w:w="1380" w:type="dxa"/>
            <w:vAlign w:val="bottom"/>
            <w:shd w:val="clear" w:color="auto" w:fill="EEEEEE"/>
          </w:tcPr>
          <w:p>
            <w:pPr>
              <w:jc w:val="center"/>
              <w:ind w:right="1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0"/>
              </w:rPr>
              <w:t>Service between the registrant and Stefan J. Murry, dated January 28, 2007</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gridSpan w:val="2"/>
            <w:shd w:val="clear" w:color="auto" w:fill="EEEEEE"/>
          </w:tcPr>
          <w:p>
            <w:pPr>
              <w:ind w:left="520"/>
              <w:spacing w:after="0" w:line="201" w:lineRule="exact"/>
              <w:rPr>
                <w:sz w:val="20"/>
                <w:szCs w:val="20"/>
                <w:color w:val="auto"/>
              </w:rPr>
            </w:pPr>
            <w:r>
              <w:rPr>
                <w:rFonts w:ascii="Arial" w:cs="Arial" w:eastAsia="Arial" w:hAnsi="Arial"/>
                <w:sz w:val="18"/>
                <w:szCs w:val="18"/>
                <w:color w:val="auto"/>
                <w:w w:val="97"/>
              </w:rPr>
              <w:t>10.16† Employment Agreement regarding Change of Control or Separation of</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1160" w:type="dxa"/>
            <w:vAlign w:val="bottom"/>
            <w:shd w:val="clear" w:color="auto" w:fill="EEEEEE"/>
          </w:tcPr>
          <w:p>
            <w:pPr>
              <w:jc w:val="center"/>
              <w:ind w:right="70"/>
              <w:spacing w:after="0" w:line="201" w:lineRule="exact"/>
              <w:rPr>
                <w:sz w:val="20"/>
                <w:szCs w:val="20"/>
                <w:color w:val="auto"/>
              </w:rPr>
            </w:pPr>
            <w:r>
              <w:rPr>
                <w:rFonts w:ascii="Arial" w:cs="Arial" w:eastAsia="Arial" w:hAnsi="Arial"/>
                <w:sz w:val="18"/>
                <w:szCs w:val="18"/>
                <w:color w:val="auto"/>
                <w:w w:val="88"/>
              </w:rPr>
              <w:t>10.14</w:t>
            </w:r>
          </w:p>
        </w:tc>
        <w:tc>
          <w:tcPr>
            <w:tcW w:w="1380" w:type="dxa"/>
            <w:vAlign w:val="bottom"/>
            <w:shd w:val="clear" w:color="auto" w:fill="EEEEEE"/>
          </w:tcPr>
          <w:p>
            <w:pPr>
              <w:jc w:val="center"/>
              <w:ind w:right="1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3"/>
              </w:rPr>
              <w:t>Service between the registrant and Shu-Hua (Joshua) Yeh, dated June 1,</w:t>
            </w:r>
          </w:p>
        </w:tc>
        <w:tc>
          <w:tcPr>
            <w:tcW w:w="10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2012</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gridSpan w:val="2"/>
            <w:shd w:val="clear" w:color="auto" w:fill="EEEEEE"/>
          </w:tcPr>
          <w:p>
            <w:pPr>
              <w:ind w:left="520"/>
              <w:spacing w:after="0" w:line="201" w:lineRule="exact"/>
              <w:rPr>
                <w:sz w:val="20"/>
                <w:szCs w:val="20"/>
                <w:color w:val="auto"/>
              </w:rPr>
            </w:pPr>
            <w:r>
              <w:rPr>
                <w:rFonts w:ascii="Arial" w:cs="Arial" w:eastAsia="Arial" w:hAnsi="Arial"/>
                <w:sz w:val="18"/>
                <w:szCs w:val="18"/>
                <w:color w:val="auto"/>
                <w:w w:val="94"/>
              </w:rPr>
              <w:t>10.17† Employment Agreement between the registrant and James L. Dunn, Jr.,</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1160" w:type="dxa"/>
            <w:vAlign w:val="bottom"/>
            <w:shd w:val="clear" w:color="auto" w:fill="EEEEEE"/>
          </w:tcPr>
          <w:p>
            <w:pPr>
              <w:jc w:val="center"/>
              <w:ind w:right="70"/>
              <w:spacing w:after="0" w:line="201" w:lineRule="exact"/>
              <w:rPr>
                <w:sz w:val="20"/>
                <w:szCs w:val="20"/>
                <w:color w:val="auto"/>
              </w:rPr>
            </w:pPr>
            <w:r>
              <w:rPr>
                <w:rFonts w:ascii="Arial" w:cs="Arial" w:eastAsia="Arial" w:hAnsi="Arial"/>
                <w:sz w:val="18"/>
                <w:szCs w:val="18"/>
                <w:color w:val="auto"/>
                <w:w w:val="88"/>
              </w:rPr>
              <w:t>10.15</w:t>
            </w:r>
          </w:p>
        </w:tc>
        <w:tc>
          <w:tcPr>
            <w:tcW w:w="1380" w:type="dxa"/>
            <w:vAlign w:val="bottom"/>
            <w:shd w:val="clear" w:color="auto" w:fill="EEEEEE"/>
          </w:tcPr>
          <w:p>
            <w:pPr>
              <w:jc w:val="center"/>
              <w:ind w:right="1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dated April 16, 2013</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40" w:type="dxa"/>
            <w:vAlign w:val="bottom"/>
            <w:gridSpan w:val="2"/>
            <w:shd w:val="clear" w:color="auto" w:fill="EEEEEE"/>
          </w:tcPr>
          <w:p>
            <w:pPr>
              <w:ind w:left="520"/>
              <w:spacing w:after="0" w:line="201" w:lineRule="exact"/>
              <w:rPr>
                <w:sz w:val="20"/>
                <w:szCs w:val="20"/>
                <w:color w:val="auto"/>
              </w:rPr>
            </w:pPr>
            <w:r>
              <w:rPr>
                <w:rFonts w:ascii="Arial" w:cs="Arial" w:eastAsia="Arial" w:hAnsi="Arial"/>
                <w:sz w:val="18"/>
                <w:szCs w:val="18"/>
                <w:color w:val="auto"/>
                <w:w w:val="98"/>
              </w:rPr>
              <w:t>10.18† Employment Agreement between the registrant and Hung-Lun (Fred)</w:t>
            </w:r>
          </w:p>
        </w:tc>
        <w:tc>
          <w:tcPr>
            <w:tcW w:w="102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2"/>
              </w:rPr>
              <w:t>S-1</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333-190591</w:t>
            </w:r>
          </w:p>
        </w:tc>
        <w:tc>
          <w:tcPr>
            <w:tcW w:w="1160" w:type="dxa"/>
            <w:vAlign w:val="bottom"/>
            <w:shd w:val="clear" w:color="auto" w:fill="EEEEEE"/>
          </w:tcPr>
          <w:p>
            <w:pPr>
              <w:jc w:val="center"/>
              <w:ind w:right="70"/>
              <w:spacing w:after="0" w:line="201" w:lineRule="exact"/>
              <w:rPr>
                <w:sz w:val="20"/>
                <w:szCs w:val="20"/>
                <w:color w:val="auto"/>
              </w:rPr>
            </w:pPr>
            <w:r>
              <w:rPr>
                <w:rFonts w:ascii="Arial" w:cs="Arial" w:eastAsia="Arial" w:hAnsi="Arial"/>
                <w:sz w:val="18"/>
                <w:szCs w:val="18"/>
                <w:color w:val="auto"/>
                <w:w w:val="88"/>
              </w:rPr>
              <w:t>10.16</w:t>
            </w:r>
          </w:p>
        </w:tc>
        <w:tc>
          <w:tcPr>
            <w:tcW w:w="1380" w:type="dxa"/>
            <w:vAlign w:val="bottom"/>
            <w:shd w:val="clear" w:color="auto" w:fill="EEEEEE"/>
          </w:tcPr>
          <w:p>
            <w:pPr>
              <w:jc w:val="center"/>
              <w:ind w:right="10"/>
              <w:spacing w:after="0" w:line="201" w:lineRule="exact"/>
              <w:rPr>
                <w:sz w:val="20"/>
                <w:szCs w:val="20"/>
                <w:color w:val="auto"/>
              </w:rPr>
            </w:pPr>
            <w:r>
              <w:rPr>
                <w:rFonts w:ascii="Arial" w:cs="Arial" w:eastAsia="Arial" w:hAnsi="Arial"/>
                <w:sz w:val="18"/>
                <w:szCs w:val="18"/>
                <w:color w:val="auto"/>
                <w:w w:val="91"/>
              </w:rPr>
              <w:t>August 13, 2013</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Chang, dated April 16, 2013</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10.19</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rPr>
              <w:t>Translation of Lease Agreement dated March 18, 2014 between the</w:t>
            </w:r>
          </w:p>
        </w:tc>
        <w:tc>
          <w:tcPr>
            <w:tcW w:w="102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9"/>
              </w:rPr>
              <w:t>8-K</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1160" w:type="dxa"/>
            <w:vAlign w:val="bottom"/>
            <w:shd w:val="clear" w:color="auto" w:fill="EEEEEE"/>
          </w:tcPr>
          <w:p>
            <w:pPr>
              <w:jc w:val="center"/>
              <w:ind w:right="70"/>
              <w:spacing w:after="0" w:line="201" w:lineRule="exact"/>
              <w:rPr>
                <w:sz w:val="20"/>
                <w:szCs w:val="20"/>
                <w:color w:val="auto"/>
              </w:rPr>
            </w:pPr>
            <w:r>
              <w:rPr>
                <w:rFonts w:ascii="Arial" w:cs="Arial" w:eastAsia="Arial" w:hAnsi="Arial"/>
                <w:sz w:val="18"/>
                <w:szCs w:val="18"/>
                <w:color w:val="auto"/>
                <w:w w:val="95"/>
              </w:rPr>
              <w:t>1.2</w:t>
            </w:r>
          </w:p>
        </w:tc>
        <w:tc>
          <w:tcPr>
            <w:tcW w:w="138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March 25, 2014</w:t>
            </w: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Company and Taiwan Furniture Manufacturers’ Association for office</w:t>
            </w:r>
          </w:p>
        </w:tc>
        <w:tc>
          <w:tcPr>
            <w:tcW w:w="10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4"/>
              </w:rPr>
              <w:t>space at 2F, No. 700, Jhongjheng Rd., Jhonghe District, New Taipei City</w:t>
            </w:r>
          </w:p>
        </w:tc>
        <w:tc>
          <w:tcPr>
            <w:tcW w:w="10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23552, Taiwan (R.O.C.).</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10.20</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1"/>
              </w:rPr>
              <w:t>Translation of Lease Agreement dated April 1, 2014 between the Company</w:t>
            </w:r>
          </w:p>
        </w:tc>
        <w:tc>
          <w:tcPr>
            <w:tcW w:w="102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9"/>
              </w:rPr>
              <w:t>8-K</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1160" w:type="dxa"/>
            <w:vAlign w:val="bottom"/>
            <w:shd w:val="clear" w:color="auto" w:fill="EEEEEE"/>
          </w:tcPr>
          <w:p>
            <w:pPr>
              <w:jc w:val="center"/>
              <w:ind w:right="70"/>
              <w:spacing w:after="0" w:line="201" w:lineRule="exact"/>
              <w:rPr>
                <w:sz w:val="20"/>
                <w:szCs w:val="20"/>
                <w:color w:val="auto"/>
              </w:rPr>
            </w:pPr>
            <w:r>
              <w:rPr>
                <w:rFonts w:ascii="Arial" w:cs="Arial" w:eastAsia="Arial" w:hAnsi="Arial"/>
                <w:sz w:val="18"/>
                <w:szCs w:val="18"/>
                <w:color w:val="auto"/>
                <w:w w:val="91"/>
              </w:rPr>
              <w:t>1.01</w:t>
            </w:r>
          </w:p>
        </w:tc>
        <w:tc>
          <w:tcPr>
            <w:tcW w:w="1380" w:type="dxa"/>
            <w:vAlign w:val="bottom"/>
            <w:shd w:val="clear" w:color="auto" w:fill="EEEEEE"/>
          </w:tcPr>
          <w:p>
            <w:pPr>
              <w:jc w:val="center"/>
              <w:ind w:right="10"/>
              <w:spacing w:after="0" w:line="201" w:lineRule="exact"/>
              <w:rPr>
                <w:sz w:val="20"/>
                <w:szCs w:val="20"/>
                <w:color w:val="auto"/>
              </w:rPr>
            </w:pPr>
            <w:r>
              <w:rPr>
                <w:rFonts w:ascii="Arial" w:cs="Arial" w:eastAsia="Arial" w:hAnsi="Arial"/>
                <w:sz w:val="18"/>
                <w:szCs w:val="18"/>
                <w:color w:val="auto"/>
                <w:w w:val="94"/>
              </w:rPr>
              <w:t>April 7, 2014</w:t>
            </w: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4"/>
              </w:rPr>
              <w:t>and Taiwan Asset Management Corporation for office and manufacturing</w:t>
            </w:r>
          </w:p>
        </w:tc>
        <w:tc>
          <w:tcPr>
            <w:tcW w:w="10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6"/>
              </w:rPr>
              <w:t>space at No. 18, Gong 4th Rd., Gong’er Industrial Park, Linkou District,</w:t>
            </w:r>
          </w:p>
        </w:tc>
        <w:tc>
          <w:tcPr>
            <w:tcW w:w="10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New Taipei City 244, Taiwan (R.O.C.)</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10.21</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rPr>
              <w:t>Business Loan Agreement, dated July 15, 2014, between Applied</w:t>
            </w:r>
          </w:p>
        </w:tc>
        <w:tc>
          <w:tcPr>
            <w:tcW w:w="1020" w:type="dxa"/>
            <w:vAlign w:val="bottom"/>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9"/>
              </w:rPr>
              <w:t>8-K</w:t>
            </w:r>
          </w:p>
        </w:tc>
        <w:tc>
          <w:tcPr>
            <w:tcW w:w="1320" w:type="dxa"/>
            <w:vAlign w:val="bottom"/>
            <w:shd w:val="clear" w:color="auto" w:fill="EEEEEE"/>
          </w:tcPr>
          <w:p>
            <w:pPr>
              <w:jc w:val="right"/>
              <w:ind w:right="130"/>
              <w:spacing w:after="0" w:line="201" w:lineRule="exact"/>
              <w:rPr>
                <w:sz w:val="20"/>
                <w:szCs w:val="20"/>
                <w:color w:val="auto"/>
              </w:rPr>
            </w:pPr>
            <w:r>
              <w:rPr>
                <w:rFonts w:ascii="Arial" w:cs="Arial" w:eastAsia="Arial" w:hAnsi="Arial"/>
                <w:sz w:val="18"/>
                <w:szCs w:val="18"/>
                <w:color w:val="auto"/>
              </w:rPr>
              <w:t>001-36083</w:t>
            </w:r>
          </w:p>
        </w:tc>
        <w:tc>
          <w:tcPr>
            <w:tcW w:w="1160" w:type="dxa"/>
            <w:vAlign w:val="bottom"/>
            <w:shd w:val="clear" w:color="auto" w:fill="EEEEEE"/>
          </w:tcPr>
          <w:p>
            <w:pPr>
              <w:jc w:val="right"/>
              <w:ind w:right="390"/>
              <w:spacing w:after="0" w:line="201" w:lineRule="exact"/>
              <w:rPr>
                <w:sz w:val="20"/>
                <w:szCs w:val="20"/>
                <w:color w:val="auto"/>
              </w:rPr>
            </w:pPr>
            <w:r>
              <w:rPr>
                <w:rFonts w:ascii="Arial" w:cs="Arial" w:eastAsia="Arial" w:hAnsi="Arial"/>
                <w:sz w:val="18"/>
                <w:szCs w:val="18"/>
                <w:color w:val="auto"/>
              </w:rPr>
              <w:t>10.1</w:t>
            </w:r>
          </w:p>
        </w:tc>
        <w:tc>
          <w:tcPr>
            <w:tcW w:w="138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July 18, 2014</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Optoelectronics, Inc. and East West Bank</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10.21.1</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6"/>
              </w:rPr>
              <w:t>Commercial Security Agreement, dated July 15, 2014, between Applied</w:t>
            </w:r>
          </w:p>
        </w:tc>
        <w:tc>
          <w:tcPr>
            <w:tcW w:w="102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9"/>
              </w:rPr>
              <w:t>8-K</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1160" w:type="dxa"/>
            <w:vAlign w:val="bottom"/>
            <w:shd w:val="clear" w:color="auto" w:fill="EEEEEE"/>
          </w:tcPr>
          <w:p>
            <w:pPr>
              <w:jc w:val="center"/>
              <w:ind w:right="70"/>
              <w:spacing w:after="0" w:line="201" w:lineRule="exact"/>
              <w:rPr>
                <w:sz w:val="20"/>
                <w:szCs w:val="20"/>
                <w:color w:val="auto"/>
              </w:rPr>
            </w:pPr>
            <w:r>
              <w:rPr>
                <w:rFonts w:ascii="Arial" w:cs="Arial" w:eastAsia="Arial" w:hAnsi="Arial"/>
                <w:sz w:val="18"/>
                <w:szCs w:val="18"/>
                <w:color w:val="auto"/>
                <w:w w:val="91"/>
              </w:rPr>
              <w:t>10.2</w:t>
            </w:r>
          </w:p>
        </w:tc>
        <w:tc>
          <w:tcPr>
            <w:tcW w:w="138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July 18, 2014</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Optoelectronics, Inc. and East West Bank</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10.21.2</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4"/>
              </w:rPr>
              <w:t>Promissory Note, dated July 15, 2014, between Applied Optoelectronics,</w:t>
            </w:r>
          </w:p>
        </w:tc>
        <w:tc>
          <w:tcPr>
            <w:tcW w:w="102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9"/>
              </w:rPr>
              <w:t>8-K</w:t>
            </w:r>
          </w:p>
        </w:tc>
        <w:tc>
          <w:tcPr>
            <w:tcW w:w="132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1160" w:type="dxa"/>
            <w:vAlign w:val="bottom"/>
            <w:shd w:val="clear" w:color="auto" w:fill="EEEEEE"/>
          </w:tcPr>
          <w:p>
            <w:pPr>
              <w:jc w:val="center"/>
              <w:ind w:right="70"/>
              <w:spacing w:after="0" w:line="201" w:lineRule="exact"/>
              <w:rPr>
                <w:sz w:val="20"/>
                <w:szCs w:val="20"/>
                <w:color w:val="auto"/>
              </w:rPr>
            </w:pPr>
            <w:r>
              <w:rPr>
                <w:rFonts w:ascii="Arial" w:cs="Arial" w:eastAsia="Arial" w:hAnsi="Arial"/>
                <w:sz w:val="18"/>
                <w:szCs w:val="18"/>
                <w:color w:val="auto"/>
                <w:w w:val="91"/>
              </w:rPr>
              <w:t>10.3</w:t>
            </w:r>
          </w:p>
        </w:tc>
        <w:tc>
          <w:tcPr>
            <w:tcW w:w="138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July 18, 2014</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Inc. and East West Bank</w:t>
            </w:r>
          </w:p>
        </w:tc>
        <w:tc>
          <w:tcPr>
            <w:tcW w:w="102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9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5560" w:type="dxa"/>
            <w:vAlign w:val="bottom"/>
            <w:vMerge w:val="restart"/>
          </w:tcPr>
          <w:p>
            <w:pPr>
              <w:ind w:left="2060"/>
              <w:spacing w:after="0"/>
              <w:rPr>
                <w:sz w:val="20"/>
                <w:szCs w:val="20"/>
                <w:color w:val="auto"/>
              </w:rPr>
            </w:pPr>
            <w:r>
              <w:rPr>
                <w:rFonts w:ascii="Arial" w:cs="Arial" w:eastAsia="Arial" w:hAnsi="Arial"/>
                <w:sz w:val="18"/>
                <w:szCs w:val="18"/>
                <w:b w:val="1"/>
                <w:bCs w:val="1"/>
                <w:color w:val="auto"/>
              </w:rPr>
              <w:t>Exhibit Description</w:t>
            </w:r>
          </w:p>
        </w:tc>
        <w:tc>
          <w:tcPr>
            <w:tcW w:w="104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10"/>
        </w:trPr>
        <w:tc>
          <w:tcPr>
            <w:tcW w:w="980" w:type="dxa"/>
            <w:vAlign w:val="bottom"/>
            <w:tcBorders>
              <w:bottom w:val="single" w:sz="8" w:color="auto"/>
            </w:tcBorders>
            <w:vMerge w:val="continue"/>
          </w:tcPr>
          <w:p>
            <w:pPr>
              <w:spacing w:after="0"/>
              <w:rPr>
                <w:sz w:val="18"/>
                <w:szCs w:val="18"/>
                <w:color w:val="auto"/>
              </w:rPr>
            </w:pPr>
          </w:p>
        </w:tc>
        <w:tc>
          <w:tcPr>
            <w:tcW w:w="55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3"/>
              </w:rPr>
              <w:t>Form</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6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3"/>
              </w:rPr>
              <w:t>Filing Date</w:t>
            </w:r>
          </w:p>
        </w:tc>
        <w:tc>
          <w:tcPr>
            <w:tcW w:w="0" w:type="dxa"/>
            <w:vAlign w:val="bottom"/>
          </w:tcPr>
          <w:p>
            <w:pPr>
              <w:spacing w:after="0"/>
              <w:rPr>
                <w:sz w:val="1"/>
                <w:szCs w:val="1"/>
                <w:color w:val="auto"/>
              </w:rPr>
            </w:pPr>
          </w:p>
        </w:tc>
      </w:tr>
      <w:tr>
        <w:trPr>
          <w:trHeight w:val="195"/>
        </w:trPr>
        <w:tc>
          <w:tcPr>
            <w:tcW w:w="980" w:type="dxa"/>
            <w:vAlign w:val="bottom"/>
            <w:shd w:val="clear" w:color="auto" w:fill="EEEEEE"/>
          </w:tcPr>
          <w:p>
            <w:pPr>
              <w:jc w:val="right"/>
              <w:spacing w:after="0" w:line="195" w:lineRule="exact"/>
              <w:rPr>
                <w:sz w:val="20"/>
                <w:szCs w:val="20"/>
                <w:color w:val="auto"/>
              </w:rPr>
            </w:pPr>
            <w:r>
              <w:rPr>
                <w:rFonts w:ascii="Arial" w:cs="Arial" w:eastAsia="Arial" w:hAnsi="Arial"/>
                <w:sz w:val="18"/>
                <w:szCs w:val="18"/>
                <w:color w:val="auto"/>
              </w:rPr>
              <w:t>10.22</w:t>
            </w:r>
          </w:p>
        </w:tc>
        <w:tc>
          <w:tcPr>
            <w:tcW w:w="5560" w:type="dxa"/>
            <w:vAlign w:val="bottom"/>
            <w:shd w:val="clear" w:color="auto" w:fill="EEEEEE"/>
          </w:tcPr>
          <w:p>
            <w:pPr>
              <w:ind w:left="60"/>
              <w:spacing w:after="0" w:line="195" w:lineRule="exact"/>
              <w:rPr>
                <w:sz w:val="20"/>
                <w:szCs w:val="20"/>
                <w:color w:val="auto"/>
              </w:rPr>
            </w:pPr>
            <w:r>
              <w:rPr>
                <w:rFonts w:ascii="Arial" w:cs="Arial" w:eastAsia="Arial" w:hAnsi="Arial"/>
                <w:sz w:val="18"/>
                <w:szCs w:val="18"/>
                <w:color w:val="auto"/>
              </w:rPr>
              <w:t>Business Loan Agreement, dated July 31, 2014, between Applied</w:t>
            </w:r>
          </w:p>
        </w:tc>
        <w:tc>
          <w:tcPr>
            <w:tcW w:w="1040" w:type="dxa"/>
            <w:vAlign w:val="bottom"/>
            <w:shd w:val="clear" w:color="auto" w:fill="EEEEEE"/>
          </w:tcPr>
          <w:p>
            <w:pPr>
              <w:jc w:val="center"/>
              <w:spacing w:after="0" w:line="195" w:lineRule="exact"/>
              <w:rPr>
                <w:sz w:val="20"/>
                <w:szCs w:val="20"/>
                <w:color w:val="auto"/>
              </w:rPr>
            </w:pPr>
            <w:r>
              <w:rPr>
                <w:rFonts w:ascii="Arial" w:cs="Arial" w:eastAsia="Arial" w:hAnsi="Arial"/>
                <w:sz w:val="18"/>
                <w:szCs w:val="18"/>
                <w:color w:val="auto"/>
                <w:w w:val="99"/>
              </w:rPr>
              <w:t>8-K</w:t>
            </w:r>
          </w:p>
        </w:tc>
        <w:tc>
          <w:tcPr>
            <w:tcW w:w="1280" w:type="dxa"/>
            <w:vAlign w:val="bottom"/>
            <w:shd w:val="clear" w:color="auto" w:fill="EEEEEE"/>
          </w:tcPr>
          <w:p>
            <w:pPr>
              <w:jc w:val="center"/>
              <w:spacing w:after="0" w:line="195" w:lineRule="exact"/>
              <w:rPr>
                <w:sz w:val="20"/>
                <w:szCs w:val="20"/>
                <w:color w:val="auto"/>
              </w:rPr>
            </w:pPr>
            <w:r>
              <w:rPr>
                <w:rFonts w:ascii="Arial" w:cs="Arial" w:eastAsia="Arial" w:hAnsi="Arial"/>
                <w:sz w:val="18"/>
                <w:szCs w:val="18"/>
                <w:color w:val="auto"/>
                <w:w w:val="90"/>
              </w:rPr>
              <w:t>001-36083</w:t>
            </w:r>
          </w:p>
        </w:tc>
        <w:tc>
          <w:tcPr>
            <w:tcW w:w="960" w:type="dxa"/>
            <w:vAlign w:val="bottom"/>
            <w:shd w:val="clear" w:color="auto" w:fill="EEEEEE"/>
          </w:tcPr>
          <w:p>
            <w:pPr>
              <w:jc w:val="center"/>
              <w:spacing w:after="0" w:line="195" w:lineRule="exact"/>
              <w:rPr>
                <w:sz w:val="20"/>
                <w:szCs w:val="20"/>
                <w:color w:val="auto"/>
              </w:rPr>
            </w:pPr>
            <w:r>
              <w:rPr>
                <w:rFonts w:ascii="Arial" w:cs="Arial" w:eastAsia="Arial" w:hAnsi="Arial"/>
                <w:sz w:val="18"/>
                <w:szCs w:val="18"/>
                <w:color w:val="auto"/>
                <w:w w:val="91"/>
              </w:rPr>
              <w:t>10.1</w:t>
            </w:r>
          </w:p>
        </w:tc>
        <w:tc>
          <w:tcPr>
            <w:tcW w:w="1600" w:type="dxa"/>
            <w:vAlign w:val="bottom"/>
            <w:shd w:val="clear" w:color="auto" w:fill="EEEEEE"/>
          </w:tcPr>
          <w:p>
            <w:pPr>
              <w:jc w:val="center"/>
              <w:ind w:left="50"/>
              <w:spacing w:after="0" w:line="195" w:lineRule="exact"/>
              <w:rPr>
                <w:sz w:val="20"/>
                <w:szCs w:val="20"/>
                <w:color w:val="auto"/>
              </w:rPr>
            </w:pPr>
            <w:r>
              <w:rPr>
                <w:rFonts w:ascii="Arial" w:cs="Arial" w:eastAsia="Arial" w:hAnsi="Arial"/>
                <w:sz w:val="18"/>
                <w:szCs w:val="18"/>
                <w:color w:val="auto"/>
                <w:w w:val="90"/>
              </w:rPr>
              <w:t>August 5, 2014</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Optoelectronics, Inc. and East West Bank</w:t>
            </w:r>
          </w:p>
        </w:tc>
        <w:tc>
          <w:tcPr>
            <w:tcW w:w="104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10.22.1</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6"/>
              </w:rPr>
              <w:t>Commercial Security Agreement, dated July 31, 2014, between Applied</w:t>
            </w:r>
          </w:p>
        </w:tc>
        <w:tc>
          <w:tcPr>
            <w:tcW w:w="10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9"/>
              </w:rPr>
              <w:t>8-K</w:t>
            </w:r>
          </w:p>
        </w:tc>
        <w:tc>
          <w:tcPr>
            <w:tcW w:w="128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9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10.2</w:t>
            </w:r>
          </w:p>
        </w:tc>
        <w:tc>
          <w:tcPr>
            <w:tcW w:w="1600" w:type="dxa"/>
            <w:vAlign w:val="bottom"/>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0"/>
              </w:rPr>
              <w:t>August 5, 2014</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Optoelectronics, Inc. and East West Bank</w:t>
            </w:r>
          </w:p>
        </w:tc>
        <w:tc>
          <w:tcPr>
            <w:tcW w:w="104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10.22.2</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4"/>
              </w:rPr>
              <w:t>Promissory Note, dated July 31, 2014, between Applied Optoelectronics,</w:t>
            </w:r>
          </w:p>
        </w:tc>
        <w:tc>
          <w:tcPr>
            <w:tcW w:w="10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9"/>
              </w:rPr>
              <w:t>8-K</w:t>
            </w:r>
          </w:p>
        </w:tc>
        <w:tc>
          <w:tcPr>
            <w:tcW w:w="128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9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10.3</w:t>
            </w:r>
          </w:p>
        </w:tc>
        <w:tc>
          <w:tcPr>
            <w:tcW w:w="1600" w:type="dxa"/>
            <w:vAlign w:val="bottom"/>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0"/>
              </w:rPr>
              <w:t>August 5, 2014</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Inc. and East West Bank</w:t>
            </w:r>
          </w:p>
        </w:tc>
        <w:tc>
          <w:tcPr>
            <w:tcW w:w="104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10.23</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8"/>
              </w:rPr>
              <w:t>Translation of Chinese form of RMB Working Capital Loan Agreement</w:t>
            </w:r>
          </w:p>
        </w:tc>
        <w:tc>
          <w:tcPr>
            <w:tcW w:w="10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10-Q</w:t>
            </w:r>
          </w:p>
        </w:tc>
        <w:tc>
          <w:tcPr>
            <w:tcW w:w="128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9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10.2</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August 12, 2014</w:t>
            </w: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between the Global Technology Inc. and China Construction Bank –</w:t>
            </w:r>
          </w:p>
        </w:tc>
        <w:tc>
          <w:tcPr>
            <w:tcW w:w="10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9"/>
              </w:rPr>
              <w:t>Revolving line of credit with a China bank up to $12 million (Schedule</w:t>
            </w:r>
          </w:p>
        </w:tc>
        <w:tc>
          <w:tcPr>
            <w:tcW w:w="10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updated as of June 30, 2014)</w:t>
            </w:r>
          </w:p>
        </w:tc>
        <w:tc>
          <w:tcPr>
            <w:tcW w:w="104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10.24</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rPr>
              <w:t>Translation of Chinese form of USD Trust Receipt Loan Agreement</w:t>
            </w:r>
          </w:p>
        </w:tc>
        <w:tc>
          <w:tcPr>
            <w:tcW w:w="10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10-Q</w:t>
            </w:r>
          </w:p>
        </w:tc>
        <w:tc>
          <w:tcPr>
            <w:tcW w:w="128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9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10.3</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August 12, 2014</w:t>
            </w: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2"/>
              </w:rPr>
              <w:t>between Global Technology Inc. and China Construction Bank - Revolving</w:t>
            </w:r>
          </w:p>
        </w:tc>
        <w:tc>
          <w:tcPr>
            <w:tcW w:w="10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3"/>
              </w:rPr>
              <w:t>line of credit with a China bank up to $3.3 million (Schedule updated as of</w:t>
            </w:r>
          </w:p>
        </w:tc>
        <w:tc>
          <w:tcPr>
            <w:tcW w:w="10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June 30, 2014)</w:t>
            </w:r>
          </w:p>
        </w:tc>
        <w:tc>
          <w:tcPr>
            <w:tcW w:w="104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10.25</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8"/>
              </w:rPr>
              <w:t>Translation of Chinese form of RMB Working Capital Loan Agreement</w:t>
            </w:r>
          </w:p>
        </w:tc>
        <w:tc>
          <w:tcPr>
            <w:tcW w:w="10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10-Q</w:t>
            </w:r>
          </w:p>
        </w:tc>
        <w:tc>
          <w:tcPr>
            <w:tcW w:w="128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9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10.4</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November 12, 2014</w:t>
            </w: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between the Global Technology Inc. and China Construction Bank –</w:t>
            </w:r>
          </w:p>
        </w:tc>
        <w:tc>
          <w:tcPr>
            <w:tcW w:w="10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9"/>
              </w:rPr>
              <w:t>Revolving line of credit with a China bank up to $12 million (Schedule</w:t>
            </w:r>
          </w:p>
        </w:tc>
        <w:tc>
          <w:tcPr>
            <w:tcW w:w="10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updated as of September 30, 2014)</w:t>
            </w:r>
          </w:p>
        </w:tc>
        <w:tc>
          <w:tcPr>
            <w:tcW w:w="104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10.26</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rPr>
              <w:t>Translation of Chinese form of USD Trust Receipt Loan Agreement</w:t>
            </w:r>
          </w:p>
        </w:tc>
        <w:tc>
          <w:tcPr>
            <w:tcW w:w="10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89"/>
              </w:rPr>
              <w:t>10-Q</w:t>
            </w:r>
          </w:p>
        </w:tc>
        <w:tc>
          <w:tcPr>
            <w:tcW w:w="128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9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10.5</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91"/>
              </w:rPr>
              <w:t>November 12, 2014</w:t>
            </w: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2"/>
              </w:rPr>
              <w:t>between Global Technology Inc. and China Construction Bank - Revolving</w:t>
            </w:r>
          </w:p>
        </w:tc>
        <w:tc>
          <w:tcPr>
            <w:tcW w:w="10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EEEEEE"/>
          </w:tcPr>
          <w:p>
            <w:pPr>
              <w:spacing w:after="0"/>
              <w:rPr>
                <w:sz w:val="18"/>
                <w:szCs w:val="18"/>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w w:val="93"/>
              </w:rPr>
              <w:t>line of credit with a China bank up to $3.3 million (Schedule updated as of</w:t>
            </w:r>
          </w:p>
        </w:tc>
        <w:tc>
          <w:tcPr>
            <w:tcW w:w="10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September 30, 2014)</w:t>
            </w:r>
          </w:p>
        </w:tc>
        <w:tc>
          <w:tcPr>
            <w:tcW w:w="104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10.27</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1"/>
              </w:rPr>
              <w:t>Loan Agreement, dated January 6, 2015, between Applied Optoelectronics,</w:t>
            </w:r>
          </w:p>
        </w:tc>
        <w:tc>
          <w:tcPr>
            <w:tcW w:w="10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9"/>
              </w:rPr>
              <w:t>8-K</w:t>
            </w:r>
          </w:p>
        </w:tc>
        <w:tc>
          <w:tcPr>
            <w:tcW w:w="128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9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10.1</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89"/>
              </w:rPr>
              <w:t>January 12, 2015</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Inc. and CTBC Bank Co. Ltd.</w:t>
            </w:r>
          </w:p>
        </w:tc>
        <w:tc>
          <w:tcPr>
            <w:tcW w:w="104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10.28</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4"/>
              </w:rPr>
              <w:t>Construction Loan Agreement, dated January 26, 2015, between Applied</w:t>
            </w:r>
          </w:p>
        </w:tc>
        <w:tc>
          <w:tcPr>
            <w:tcW w:w="10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9"/>
              </w:rPr>
              <w:t>8-K</w:t>
            </w:r>
          </w:p>
        </w:tc>
        <w:tc>
          <w:tcPr>
            <w:tcW w:w="128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9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10.1</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89"/>
              </w:rPr>
              <w:t>January 30, 2015</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Optoelectronics, Inc. and East West Bank</w:t>
            </w:r>
          </w:p>
        </w:tc>
        <w:tc>
          <w:tcPr>
            <w:tcW w:w="104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10.28.1</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1"/>
              </w:rPr>
              <w:t>Commercial Security Agreement, dated January 26, 2015, between Applied</w:t>
            </w:r>
          </w:p>
        </w:tc>
        <w:tc>
          <w:tcPr>
            <w:tcW w:w="10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9"/>
              </w:rPr>
              <w:t>8-K</w:t>
            </w:r>
          </w:p>
        </w:tc>
        <w:tc>
          <w:tcPr>
            <w:tcW w:w="128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9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10.2</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89"/>
              </w:rPr>
              <w:t>January 30, 2015</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Optoelectronics, Inc. and East West Bank</w:t>
            </w:r>
          </w:p>
        </w:tc>
        <w:tc>
          <w:tcPr>
            <w:tcW w:w="104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10.28.2</w:t>
            </w:r>
          </w:p>
        </w:tc>
        <w:tc>
          <w:tcPr>
            <w:tcW w:w="556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rPr>
              <w:t>Promissory Note, dated January 26, 2015, between Applied</w:t>
            </w:r>
          </w:p>
        </w:tc>
        <w:tc>
          <w:tcPr>
            <w:tcW w:w="10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9"/>
              </w:rPr>
              <w:t>8-K</w:t>
            </w:r>
          </w:p>
        </w:tc>
        <w:tc>
          <w:tcPr>
            <w:tcW w:w="128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9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10.3</w:t>
            </w:r>
          </w:p>
        </w:tc>
        <w:tc>
          <w:tcPr>
            <w:tcW w:w="1600" w:type="dxa"/>
            <w:vAlign w:val="bottom"/>
            <w:shd w:val="clear" w:color="auto" w:fill="EEEEEE"/>
          </w:tcPr>
          <w:p>
            <w:pPr>
              <w:jc w:val="center"/>
              <w:ind w:left="30"/>
              <w:spacing w:after="0" w:line="201" w:lineRule="exact"/>
              <w:rPr>
                <w:sz w:val="20"/>
                <w:szCs w:val="20"/>
                <w:color w:val="auto"/>
              </w:rPr>
            </w:pPr>
            <w:r>
              <w:rPr>
                <w:rFonts w:ascii="Arial" w:cs="Arial" w:eastAsia="Arial" w:hAnsi="Arial"/>
                <w:sz w:val="18"/>
                <w:szCs w:val="18"/>
                <w:color w:val="auto"/>
                <w:w w:val="89"/>
              </w:rPr>
              <w:t>January 30, 2015</w:t>
            </w:r>
          </w:p>
        </w:tc>
        <w:tc>
          <w:tcPr>
            <w:tcW w:w="0" w:type="dxa"/>
            <w:vAlign w:val="bottom"/>
          </w:tcPr>
          <w:p>
            <w:pPr>
              <w:spacing w:after="0"/>
              <w:rPr>
                <w:sz w:val="1"/>
                <w:szCs w:val="1"/>
                <w:color w:val="auto"/>
              </w:rPr>
            </w:pPr>
          </w:p>
        </w:tc>
      </w:tr>
      <w:tr>
        <w:trPr>
          <w:trHeight w:val="230"/>
        </w:trPr>
        <w:tc>
          <w:tcPr>
            <w:tcW w:w="980" w:type="dxa"/>
            <w:vAlign w:val="bottom"/>
            <w:shd w:val="clear" w:color="auto" w:fill="EEEEEE"/>
          </w:tcPr>
          <w:p>
            <w:pPr>
              <w:spacing w:after="0"/>
              <w:rPr>
                <w:sz w:val="20"/>
                <w:szCs w:val="20"/>
                <w:color w:val="auto"/>
              </w:rPr>
            </w:pPr>
          </w:p>
        </w:tc>
        <w:tc>
          <w:tcPr>
            <w:tcW w:w="5560" w:type="dxa"/>
            <w:vAlign w:val="bottom"/>
            <w:shd w:val="clear" w:color="auto" w:fill="EEEEEE"/>
          </w:tcPr>
          <w:p>
            <w:pPr>
              <w:ind w:left="60"/>
              <w:spacing w:after="0"/>
              <w:rPr>
                <w:sz w:val="20"/>
                <w:szCs w:val="20"/>
                <w:color w:val="auto"/>
              </w:rPr>
            </w:pPr>
            <w:r>
              <w:rPr>
                <w:rFonts w:ascii="Arial" w:cs="Arial" w:eastAsia="Arial" w:hAnsi="Arial"/>
                <w:sz w:val="18"/>
                <w:szCs w:val="18"/>
                <w:color w:val="auto"/>
              </w:rPr>
              <w:t>Optoelectronics, Inc. and East West Bank</w:t>
            </w:r>
          </w:p>
        </w:tc>
        <w:tc>
          <w:tcPr>
            <w:tcW w:w="104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Number</w:t>
            </w:r>
          </w:p>
        </w:tc>
        <w:tc>
          <w:tcPr>
            <w:tcW w:w="5540" w:type="dxa"/>
            <w:vAlign w:val="bottom"/>
            <w:vMerge w:val="restart"/>
          </w:tcPr>
          <w:p>
            <w:pPr>
              <w:ind w:left="2040"/>
              <w:spacing w:after="0"/>
              <w:rPr>
                <w:sz w:val="20"/>
                <w:szCs w:val="20"/>
                <w:color w:val="auto"/>
              </w:rPr>
            </w:pPr>
            <w:r>
              <w:rPr>
                <w:rFonts w:ascii="Arial" w:cs="Arial" w:eastAsia="Arial" w:hAnsi="Arial"/>
                <w:sz w:val="18"/>
                <w:szCs w:val="18"/>
                <w:b w:val="1"/>
                <w:bCs w:val="1"/>
                <w:color w:val="auto"/>
              </w:rPr>
              <w:t>Exhibit Description</w:t>
            </w:r>
          </w:p>
        </w:tc>
        <w:tc>
          <w:tcPr>
            <w:tcW w:w="10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b w:val="1"/>
                <w:bCs w:val="1"/>
                <w:color w:val="auto"/>
                <w:w w:val="92"/>
              </w:rPr>
              <w:t>Incorporated by Reference</w:t>
            </w: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tcBorders>
              <w:bottom w:val="single" w:sz="8" w:color="auto"/>
            </w:tcBorders>
            <w:vMerge w:val="continue"/>
          </w:tcPr>
          <w:p>
            <w:pPr>
              <w:spacing w:after="0"/>
              <w:rPr>
                <w:sz w:val="18"/>
                <w:szCs w:val="18"/>
                <w:color w:val="auto"/>
              </w:rPr>
            </w:pPr>
          </w:p>
        </w:tc>
        <w:tc>
          <w:tcPr>
            <w:tcW w:w="554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Exhibit</w:t>
            </w: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Filing Date</w:t>
            </w:r>
          </w:p>
        </w:tc>
        <w:tc>
          <w:tcPr>
            <w:tcW w:w="0" w:type="dxa"/>
            <w:vAlign w:val="bottom"/>
          </w:tcPr>
          <w:p>
            <w:pPr>
              <w:spacing w:after="0"/>
              <w:rPr>
                <w:sz w:val="1"/>
                <w:szCs w:val="1"/>
                <w:color w:val="auto"/>
              </w:rPr>
            </w:pPr>
          </w:p>
        </w:tc>
      </w:tr>
      <w:tr>
        <w:trPr>
          <w:trHeight w:val="195"/>
        </w:trPr>
        <w:tc>
          <w:tcPr>
            <w:tcW w:w="880" w:type="dxa"/>
            <w:vAlign w:val="bottom"/>
            <w:shd w:val="clear" w:color="auto" w:fill="EEEEEE"/>
          </w:tcPr>
          <w:p>
            <w:pPr>
              <w:jc w:val="right"/>
              <w:spacing w:after="0" w:line="195" w:lineRule="exact"/>
              <w:rPr>
                <w:sz w:val="20"/>
                <w:szCs w:val="20"/>
                <w:color w:val="auto"/>
              </w:rPr>
            </w:pPr>
            <w:r>
              <w:rPr>
                <w:rFonts w:ascii="Arial" w:cs="Arial" w:eastAsia="Arial" w:hAnsi="Arial"/>
                <w:sz w:val="18"/>
                <w:szCs w:val="18"/>
                <w:color w:val="auto"/>
              </w:rPr>
              <w:t>10.29</w:t>
            </w:r>
          </w:p>
        </w:tc>
        <w:tc>
          <w:tcPr>
            <w:tcW w:w="5540" w:type="dxa"/>
            <w:vAlign w:val="bottom"/>
            <w:shd w:val="clear" w:color="auto" w:fill="EEEEEE"/>
          </w:tcPr>
          <w:p>
            <w:pPr>
              <w:ind w:left="60"/>
              <w:spacing w:after="0" w:line="195" w:lineRule="exact"/>
              <w:rPr>
                <w:sz w:val="20"/>
                <w:szCs w:val="20"/>
                <w:color w:val="auto"/>
              </w:rPr>
            </w:pPr>
            <w:r>
              <w:rPr>
                <w:rFonts w:ascii="Arial" w:cs="Arial" w:eastAsia="Arial" w:hAnsi="Arial"/>
                <w:sz w:val="18"/>
                <w:szCs w:val="18"/>
                <w:color w:val="auto"/>
                <w:w w:val="98"/>
              </w:rPr>
              <w:t>Translation of Chinese form of RMB Working Capital Loan Agreement</w:t>
            </w:r>
          </w:p>
        </w:tc>
        <w:tc>
          <w:tcPr>
            <w:tcW w:w="1060" w:type="dxa"/>
            <w:vAlign w:val="bottom"/>
            <w:shd w:val="clear" w:color="auto" w:fill="EEEEEE"/>
          </w:tcPr>
          <w:p>
            <w:pPr>
              <w:jc w:val="center"/>
              <w:spacing w:after="0" w:line="195" w:lineRule="exact"/>
              <w:rPr>
                <w:sz w:val="20"/>
                <w:szCs w:val="20"/>
                <w:color w:val="auto"/>
              </w:rPr>
            </w:pPr>
            <w:r>
              <w:rPr>
                <w:rFonts w:ascii="Arial" w:cs="Arial" w:eastAsia="Arial" w:hAnsi="Arial"/>
                <w:sz w:val="18"/>
                <w:szCs w:val="18"/>
                <w:color w:val="auto"/>
                <w:w w:val="99"/>
              </w:rPr>
              <w:t>10-K</w:t>
            </w:r>
          </w:p>
        </w:tc>
        <w:tc>
          <w:tcPr>
            <w:tcW w:w="1260" w:type="dxa"/>
            <w:vAlign w:val="bottom"/>
            <w:shd w:val="clear" w:color="auto" w:fill="EEEEEE"/>
          </w:tcPr>
          <w:p>
            <w:pPr>
              <w:jc w:val="center"/>
              <w:spacing w:after="0" w:line="195" w:lineRule="exact"/>
              <w:rPr>
                <w:sz w:val="20"/>
                <w:szCs w:val="20"/>
                <w:color w:val="auto"/>
              </w:rPr>
            </w:pPr>
            <w:r>
              <w:rPr>
                <w:rFonts w:ascii="Arial" w:cs="Arial" w:eastAsia="Arial" w:hAnsi="Arial"/>
                <w:sz w:val="18"/>
                <w:szCs w:val="18"/>
                <w:color w:val="auto"/>
                <w:w w:val="90"/>
              </w:rPr>
              <w:t>001-36083</w:t>
            </w:r>
          </w:p>
        </w:tc>
        <w:tc>
          <w:tcPr>
            <w:tcW w:w="1260" w:type="dxa"/>
            <w:vAlign w:val="bottom"/>
            <w:shd w:val="clear" w:color="auto" w:fill="EEEEEE"/>
          </w:tcPr>
          <w:p>
            <w:pPr>
              <w:jc w:val="center"/>
              <w:ind w:right="130"/>
              <w:spacing w:after="0" w:line="195" w:lineRule="exact"/>
              <w:rPr>
                <w:sz w:val="20"/>
                <w:szCs w:val="20"/>
                <w:color w:val="auto"/>
              </w:rPr>
            </w:pPr>
            <w:r>
              <w:rPr>
                <w:rFonts w:ascii="Arial" w:cs="Arial" w:eastAsia="Arial" w:hAnsi="Arial"/>
                <w:sz w:val="18"/>
                <w:szCs w:val="18"/>
                <w:color w:val="auto"/>
                <w:w w:val="88"/>
              </w:rPr>
              <w:t>10.29</w:t>
            </w:r>
          </w:p>
        </w:tc>
        <w:tc>
          <w:tcPr>
            <w:tcW w:w="1420" w:type="dxa"/>
            <w:vAlign w:val="bottom"/>
            <w:shd w:val="clear" w:color="auto" w:fill="EEEEEE"/>
          </w:tcPr>
          <w:p>
            <w:pPr>
              <w:jc w:val="center"/>
              <w:ind w:right="70"/>
              <w:spacing w:after="0" w:line="195" w:lineRule="exact"/>
              <w:rPr>
                <w:sz w:val="20"/>
                <w:szCs w:val="20"/>
                <w:color w:val="auto"/>
              </w:rPr>
            </w:pPr>
            <w:r>
              <w:rPr>
                <w:rFonts w:ascii="Arial" w:cs="Arial" w:eastAsia="Arial" w:hAnsi="Arial"/>
                <w:sz w:val="18"/>
                <w:szCs w:val="18"/>
                <w:color w:val="auto"/>
                <w:w w:val="92"/>
              </w:rPr>
              <w:t>March 5, 2015</w:t>
            </w:r>
          </w:p>
        </w:tc>
        <w:tc>
          <w:tcPr>
            <w:tcW w:w="0" w:type="dxa"/>
            <w:vAlign w:val="bottom"/>
          </w:tcPr>
          <w:p>
            <w:pPr>
              <w:spacing w:after="0"/>
              <w:rPr>
                <w:sz w:val="1"/>
                <w:szCs w:val="1"/>
                <w:color w:val="auto"/>
              </w:rPr>
            </w:pPr>
          </w:p>
        </w:tc>
      </w:tr>
      <w:tr>
        <w:trPr>
          <w:trHeight w:val="216"/>
        </w:trPr>
        <w:tc>
          <w:tcPr>
            <w:tcW w:w="880" w:type="dxa"/>
            <w:vAlign w:val="bottom"/>
            <w:shd w:val="clear" w:color="auto" w:fill="EEEEEE"/>
          </w:tcPr>
          <w:p>
            <w:pPr>
              <w:spacing w:after="0"/>
              <w:rPr>
                <w:sz w:val="18"/>
                <w:szCs w:val="18"/>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rPr>
              <w:t>between the Global Technology Inc. and China Construction Bank –</w:t>
            </w:r>
          </w:p>
        </w:tc>
        <w:tc>
          <w:tcPr>
            <w:tcW w:w="10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EEEEEE"/>
          </w:tcPr>
          <w:p>
            <w:pPr>
              <w:spacing w:after="0"/>
              <w:rPr>
                <w:sz w:val="18"/>
                <w:szCs w:val="18"/>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w w:val="99"/>
              </w:rPr>
              <w:t>Revolving line of credit with a China bank up to $12 million (Schedule</w:t>
            </w:r>
          </w:p>
        </w:tc>
        <w:tc>
          <w:tcPr>
            <w:tcW w:w="10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shd w:val="clear" w:color="auto" w:fill="EEEEEE"/>
          </w:tcPr>
          <w:p>
            <w:pPr>
              <w:spacing w:after="0"/>
              <w:rPr>
                <w:sz w:val="20"/>
                <w:szCs w:val="20"/>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rPr>
              <w:t>updated as of December 31, 2014)</w:t>
            </w:r>
          </w:p>
        </w:tc>
        <w:tc>
          <w:tcPr>
            <w:tcW w:w="10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10.30</w:t>
            </w:r>
          </w:p>
        </w:tc>
        <w:tc>
          <w:tcPr>
            <w:tcW w:w="554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rPr>
              <w:t>Translation of Chinese form of USD Trust Receipt Loan Agreement</w:t>
            </w:r>
          </w:p>
        </w:tc>
        <w:tc>
          <w:tcPr>
            <w:tcW w:w="10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9"/>
              </w:rPr>
              <w:t>10-K</w:t>
            </w:r>
          </w:p>
        </w:tc>
        <w:tc>
          <w:tcPr>
            <w:tcW w:w="12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1260" w:type="dxa"/>
            <w:vAlign w:val="bottom"/>
            <w:shd w:val="clear" w:color="auto" w:fill="EEEEEE"/>
          </w:tcPr>
          <w:p>
            <w:pPr>
              <w:jc w:val="center"/>
              <w:ind w:right="130"/>
              <w:spacing w:after="0" w:line="201" w:lineRule="exact"/>
              <w:rPr>
                <w:sz w:val="20"/>
                <w:szCs w:val="20"/>
                <w:color w:val="auto"/>
              </w:rPr>
            </w:pPr>
            <w:r>
              <w:rPr>
                <w:rFonts w:ascii="Arial" w:cs="Arial" w:eastAsia="Arial" w:hAnsi="Arial"/>
                <w:sz w:val="18"/>
                <w:szCs w:val="18"/>
                <w:color w:val="auto"/>
                <w:w w:val="88"/>
              </w:rPr>
              <w:t>10.30</w:t>
            </w:r>
          </w:p>
        </w:tc>
        <w:tc>
          <w:tcPr>
            <w:tcW w:w="1420" w:type="dxa"/>
            <w:vAlign w:val="bottom"/>
            <w:shd w:val="clear" w:color="auto" w:fill="EEEEEE"/>
          </w:tcPr>
          <w:p>
            <w:pPr>
              <w:jc w:val="center"/>
              <w:ind w:right="70"/>
              <w:spacing w:after="0" w:line="201" w:lineRule="exact"/>
              <w:rPr>
                <w:sz w:val="20"/>
                <w:szCs w:val="20"/>
                <w:color w:val="auto"/>
              </w:rPr>
            </w:pPr>
            <w:r>
              <w:rPr>
                <w:rFonts w:ascii="Arial" w:cs="Arial" w:eastAsia="Arial" w:hAnsi="Arial"/>
                <w:sz w:val="18"/>
                <w:szCs w:val="18"/>
                <w:color w:val="auto"/>
                <w:w w:val="92"/>
              </w:rPr>
              <w:t>March 5, 2015</w:t>
            </w:r>
          </w:p>
        </w:tc>
        <w:tc>
          <w:tcPr>
            <w:tcW w:w="0" w:type="dxa"/>
            <w:vAlign w:val="bottom"/>
          </w:tcPr>
          <w:p>
            <w:pPr>
              <w:spacing w:after="0"/>
              <w:rPr>
                <w:sz w:val="1"/>
                <w:szCs w:val="1"/>
                <w:color w:val="auto"/>
              </w:rPr>
            </w:pPr>
          </w:p>
        </w:tc>
      </w:tr>
      <w:tr>
        <w:trPr>
          <w:trHeight w:val="216"/>
        </w:trPr>
        <w:tc>
          <w:tcPr>
            <w:tcW w:w="880" w:type="dxa"/>
            <w:vAlign w:val="bottom"/>
            <w:shd w:val="clear" w:color="auto" w:fill="EEEEEE"/>
          </w:tcPr>
          <w:p>
            <w:pPr>
              <w:spacing w:after="0"/>
              <w:rPr>
                <w:sz w:val="18"/>
                <w:szCs w:val="18"/>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w w:val="92"/>
              </w:rPr>
              <w:t>between Global Technology Inc. and China Construction Bank - Revolving</w:t>
            </w:r>
          </w:p>
        </w:tc>
        <w:tc>
          <w:tcPr>
            <w:tcW w:w="10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EEEEEE"/>
          </w:tcPr>
          <w:p>
            <w:pPr>
              <w:spacing w:after="0"/>
              <w:rPr>
                <w:sz w:val="18"/>
                <w:szCs w:val="18"/>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w w:val="93"/>
              </w:rPr>
              <w:t>line of credit with a China bank up to $3.3 million (Schedule updated as of</w:t>
            </w:r>
          </w:p>
        </w:tc>
        <w:tc>
          <w:tcPr>
            <w:tcW w:w="10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shd w:val="clear" w:color="auto" w:fill="EEEEEE"/>
          </w:tcPr>
          <w:p>
            <w:pPr>
              <w:spacing w:after="0"/>
              <w:rPr>
                <w:sz w:val="20"/>
                <w:szCs w:val="20"/>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rPr>
              <w:t>December 31, 2014)</w:t>
            </w:r>
          </w:p>
        </w:tc>
        <w:tc>
          <w:tcPr>
            <w:tcW w:w="10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10.31</w:t>
            </w:r>
          </w:p>
        </w:tc>
        <w:tc>
          <w:tcPr>
            <w:tcW w:w="554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4"/>
              </w:rPr>
              <w:t>Translation of $4 Million Credit Facility Agreement, dated March 9, 2015,</w:t>
            </w:r>
          </w:p>
        </w:tc>
        <w:tc>
          <w:tcPr>
            <w:tcW w:w="106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9"/>
              </w:rPr>
              <w:t>8-K</w:t>
            </w:r>
          </w:p>
        </w:tc>
        <w:tc>
          <w:tcPr>
            <w:tcW w:w="12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1260" w:type="dxa"/>
            <w:vAlign w:val="bottom"/>
            <w:shd w:val="clear" w:color="auto" w:fill="EEEEEE"/>
          </w:tcPr>
          <w:p>
            <w:pPr>
              <w:jc w:val="center"/>
              <w:ind w:right="130"/>
              <w:spacing w:after="0" w:line="201" w:lineRule="exact"/>
              <w:rPr>
                <w:sz w:val="20"/>
                <w:szCs w:val="20"/>
                <w:color w:val="auto"/>
              </w:rPr>
            </w:pPr>
            <w:r>
              <w:rPr>
                <w:rFonts w:ascii="Arial" w:cs="Arial" w:eastAsia="Arial" w:hAnsi="Arial"/>
                <w:sz w:val="18"/>
                <w:szCs w:val="18"/>
                <w:color w:val="auto"/>
                <w:w w:val="91"/>
              </w:rPr>
              <w:t>10.1</w:t>
            </w:r>
          </w:p>
        </w:tc>
        <w:tc>
          <w:tcPr>
            <w:tcW w:w="1420" w:type="dxa"/>
            <w:vAlign w:val="bottom"/>
            <w:shd w:val="clear" w:color="auto" w:fill="EEEEEE"/>
          </w:tcPr>
          <w:p>
            <w:pPr>
              <w:jc w:val="center"/>
              <w:ind w:right="70"/>
              <w:spacing w:after="0" w:line="201" w:lineRule="exact"/>
              <w:rPr>
                <w:sz w:val="20"/>
                <w:szCs w:val="20"/>
                <w:color w:val="auto"/>
              </w:rPr>
            </w:pPr>
            <w:r>
              <w:rPr>
                <w:rFonts w:ascii="Arial" w:cs="Arial" w:eastAsia="Arial" w:hAnsi="Arial"/>
                <w:sz w:val="18"/>
                <w:szCs w:val="18"/>
                <w:color w:val="auto"/>
                <w:w w:val="91"/>
              </w:rPr>
              <w:t>March 13, 2015</w:t>
            </w:r>
          </w:p>
        </w:tc>
        <w:tc>
          <w:tcPr>
            <w:tcW w:w="0" w:type="dxa"/>
            <w:vAlign w:val="bottom"/>
          </w:tcPr>
          <w:p>
            <w:pPr>
              <w:spacing w:after="0"/>
              <w:rPr>
                <w:sz w:val="1"/>
                <w:szCs w:val="1"/>
                <w:color w:val="auto"/>
              </w:rPr>
            </w:pPr>
          </w:p>
        </w:tc>
      </w:tr>
      <w:tr>
        <w:trPr>
          <w:trHeight w:val="216"/>
        </w:trPr>
        <w:tc>
          <w:tcPr>
            <w:tcW w:w="880" w:type="dxa"/>
            <w:vAlign w:val="bottom"/>
            <w:shd w:val="clear" w:color="auto" w:fill="EEEEEE"/>
          </w:tcPr>
          <w:p>
            <w:pPr>
              <w:spacing w:after="0"/>
              <w:rPr>
                <w:sz w:val="18"/>
                <w:szCs w:val="18"/>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w w:val="93"/>
              </w:rPr>
              <w:t>between Applied Optoelectronics, Inc. and E. Sun Commercial Bank Co.,</w:t>
            </w:r>
          </w:p>
        </w:tc>
        <w:tc>
          <w:tcPr>
            <w:tcW w:w="10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shd w:val="clear" w:color="auto" w:fill="EEEEEE"/>
          </w:tcPr>
          <w:p>
            <w:pPr>
              <w:spacing w:after="0"/>
              <w:rPr>
                <w:sz w:val="20"/>
                <w:szCs w:val="20"/>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rPr>
              <w:t>Ltd.</w:t>
            </w:r>
          </w:p>
        </w:tc>
        <w:tc>
          <w:tcPr>
            <w:tcW w:w="10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10.31.1</w:t>
            </w:r>
          </w:p>
        </w:tc>
        <w:tc>
          <w:tcPr>
            <w:tcW w:w="554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4"/>
              </w:rPr>
              <w:t>Translation of $3 Million Credit Facility Agreement, dated March 9, 2015,</w:t>
            </w:r>
          </w:p>
        </w:tc>
        <w:tc>
          <w:tcPr>
            <w:tcW w:w="106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9"/>
              </w:rPr>
              <w:t>8-K</w:t>
            </w:r>
          </w:p>
        </w:tc>
        <w:tc>
          <w:tcPr>
            <w:tcW w:w="12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1260" w:type="dxa"/>
            <w:vAlign w:val="bottom"/>
            <w:shd w:val="clear" w:color="auto" w:fill="EEEEEE"/>
          </w:tcPr>
          <w:p>
            <w:pPr>
              <w:jc w:val="center"/>
              <w:ind w:right="130"/>
              <w:spacing w:after="0" w:line="201" w:lineRule="exact"/>
              <w:rPr>
                <w:sz w:val="20"/>
                <w:szCs w:val="20"/>
                <w:color w:val="auto"/>
              </w:rPr>
            </w:pPr>
            <w:r>
              <w:rPr>
                <w:rFonts w:ascii="Arial" w:cs="Arial" w:eastAsia="Arial" w:hAnsi="Arial"/>
                <w:sz w:val="18"/>
                <w:szCs w:val="18"/>
                <w:color w:val="auto"/>
                <w:w w:val="91"/>
              </w:rPr>
              <w:t>10.2</w:t>
            </w:r>
          </w:p>
        </w:tc>
        <w:tc>
          <w:tcPr>
            <w:tcW w:w="1420" w:type="dxa"/>
            <w:vAlign w:val="bottom"/>
            <w:shd w:val="clear" w:color="auto" w:fill="EEEEEE"/>
          </w:tcPr>
          <w:p>
            <w:pPr>
              <w:jc w:val="center"/>
              <w:ind w:right="70"/>
              <w:spacing w:after="0" w:line="201" w:lineRule="exact"/>
              <w:rPr>
                <w:sz w:val="20"/>
                <w:szCs w:val="20"/>
                <w:color w:val="auto"/>
              </w:rPr>
            </w:pPr>
            <w:r>
              <w:rPr>
                <w:rFonts w:ascii="Arial" w:cs="Arial" w:eastAsia="Arial" w:hAnsi="Arial"/>
                <w:sz w:val="18"/>
                <w:szCs w:val="18"/>
                <w:color w:val="auto"/>
                <w:w w:val="91"/>
              </w:rPr>
              <w:t>March 13, 2015</w:t>
            </w:r>
          </w:p>
        </w:tc>
        <w:tc>
          <w:tcPr>
            <w:tcW w:w="0" w:type="dxa"/>
            <w:vAlign w:val="bottom"/>
          </w:tcPr>
          <w:p>
            <w:pPr>
              <w:spacing w:after="0"/>
              <w:rPr>
                <w:sz w:val="1"/>
                <w:szCs w:val="1"/>
                <w:color w:val="auto"/>
              </w:rPr>
            </w:pPr>
          </w:p>
        </w:tc>
      </w:tr>
      <w:tr>
        <w:trPr>
          <w:trHeight w:val="216"/>
        </w:trPr>
        <w:tc>
          <w:tcPr>
            <w:tcW w:w="880" w:type="dxa"/>
            <w:vAlign w:val="bottom"/>
            <w:shd w:val="clear" w:color="auto" w:fill="EEEEEE"/>
          </w:tcPr>
          <w:p>
            <w:pPr>
              <w:spacing w:after="0"/>
              <w:rPr>
                <w:sz w:val="18"/>
                <w:szCs w:val="18"/>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w w:val="93"/>
              </w:rPr>
              <w:t>between Applied Optoelectronics, Inc. and E. Sun Commercial Bank Co.,</w:t>
            </w:r>
          </w:p>
        </w:tc>
        <w:tc>
          <w:tcPr>
            <w:tcW w:w="10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shd w:val="clear" w:color="auto" w:fill="EEEEEE"/>
          </w:tcPr>
          <w:p>
            <w:pPr>
              <w:spacing w:after="0"/>
              <w:rPr>
                <w:sz w:val="20"/>
                <w:szCs w:val="20"/>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rPr>
              <w:t>Ltd.</w:t>
            </w:r>
          </w:p>
        </w:tc>
        <w:tc>
          <w:tcPr>
            <w:tcW w:w="10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10.31.2</w:t>
            </w:r>
          </w:p>
        </w:tc>
        <w:tc>
          <w:tcPr>
            <w:tcW w:w="554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2"/>
              </w:rPr>
              <w:t>Translation of Loan Approval Notice of E. Sun Commercial Bank Co., Ltd.,</w:t>
            </w:r>
          </w:p>
        </w:tc>
        <w:tc>
          <w:tcPr>
            <w:tcW w:w="106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9"/>
              </w:rPr>
              <w:t>8-K</w:t>
            </w:r>
          </w:p>
        </w:tc>
        <w:tc>
          <w:tcPr>
            <w:tcW w:w="12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1260" w:type="dxa"/>
            <w:vAlign w:val="bottom"/>
            <w:shd w:val="clear" w:color="auto" w:fill="EEEEEE"/>
          </w:tcPr>
          <w:p>
            <w:pPr>
              <w:jc w:val="center"/>
              <w:ind w:right="130"/>
              <w:spacing w:after="0" w:line="201" w:lineRule="exact"/>
              <w:rPr>
                <w:sz w:val="20"/>
                <w:szCs w:val="20"/>
                <w:color w:val="auto"/>
              </w:rPr>
            </w:pPr>
            <w:r>
              <w:rPr>
                <w:rFonts w:ascii="Arial" w:cs="Arial" w:eastAsia="Arial" w:hAnsi="Arial"/>
                <w:sz w:val="18"/>
                <w:szCs w:val="18"/>
                <w:color w:val="auto"/>
                <w:w w:val="91"/>
              </w:rPr>
              <w:t>10.3</w:t>
            </w:r>
          </w:p>
        </w:tc>
        <w:tc>
          <w:tcPr>
            <w:tcW w:w="1420" w:type="dxa"/>
            <w:vAlign w:val="bottom"/>
            <w:shd w:val="clear" w:color="auto" w:fill="EEEEEE"/>
          </w:tcPr>
          <w:p>
            <w:pPr>
              <w:jc w:val="center"/>
              <w:ind w:right="70"/>
              <w:spacing w:after="0" w:line="201" w:lineRule="exact"/>
              <w:rPr>
                <w:sz w:val="20"/>
                <w:szCs w:val="20"/>
                <w:color w:val="auto"/>
              </w:rPr>
            </w:pPr>
            <w:r>
              <w:rPr>
                <w:rFonts w:ascii="Arial" w:cs="Arial" w:eastAsia="Arial" w:hAnsi="Arial"/>
                <w:sz w:val="18"/>
                <w:szCs w:val="18"/>
                <w:color w:val="auto"/>
                <w:w w:val="91"/>
              </w:rPr>
              <w:t>March 13, 2015</w:t>
            </w:r>
          </w:p>
        </w:tc>
        <w:tc>
          <w:tcPr>
            <w:tcW w:w="0" w:type="dxa"/>
            <w:vAlign w:val="bottom"/>
          </w:tcPr>
          <w:p>
            <w:pPr>
              <w:spacing w:after="0"/>
              <w:rPr>
                <w:sz w:val="1"/>
                <w:szCs w:val="1"/>
                <w:color w:val="auto"/>
              </w:rPr>
            </w:pPr>
          </w:p>
        </w:tc>
      </w:tr>
      <w:tr>
        <w:trPr>
          <w:trHeight w:val="230"/>
        </w:trPr>
        <w:tc>
          <w:tcPr>
            <w:tcW w:w="880" w:type="dxa"/>
            <w:vAlign w:val="bottom"/>
            <w:shd w:val="clear" w:color="auto" w:fill="EEEEEE"/>
          </w:tcPr>
          <w:p>
            <w:pPr>
              <w:spacing w:after="0"/>
              <w:rPr>
                <w:sz w:val="20"/>
                <w:szCs w:val="20"/>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rPr>
              <w:t>dated March 12, 2015</w:t>
            </w:r>
          </w:p>
        </w:tc>
        <w:tc>
          <w:tcPr>
            <w:tcW w:w="10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10.32</w:t>
            </w:r>
          </w:p>
        </w:tc>
        <w:tc>
          <w:tcPr>
            <w:tcW w:w="554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7"/>
              </w:rPr>
              <w:t>Translation of US$4 Million Credit Facility Agreement, dated March 25,</w:t>
            </w:r>
          </w:p>
        </w:tc>
        <w:tc>
          <w:tcPr>
            <w:tcW w:w="106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9"/>
              </w:rPr>
              <w:t>8-K</w:t>
            </w:r>
          </w:p>
        </w:tc>
        <w:tc>
          <w:tcPr>
            <w:tcW w:w="12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1260" w:type="dxa"/>
            <w:vAlign w:val="bottom"/>
            <w:shd w:val="clear" w:color="auto" w:fill="EEEEEE"/>
          </w:tcPr>
          <w:p>
            <w:pPr>
              <w:jc w:val="center"/>
              <w:ind w:right="130"/>
              <w:spacing w:after="0" w:line="201" w:lineRule="exact"/>
              <w:rPr>
                <w:sz w:val="20"/>
                <w:szCs w:val="20"/>
                <w:color w:val="auto"/>
              </w:rPr>
            </w:pPr>
            <w:r>
              <w:rPr>
                <w:rFonts w:ascii="Arial" w:cs="Arial" w:eastAsia="Arial" w:hAnsi="Arial"/>
                <w:sz w:val="18"/>
                <w:szCs w:val="18"/>
                <w:color w:val="auto"/>
                <w:w w:val="91"/>
              </w:rPr>
              <w:t>10.1</w:t>
            </w:r>
          </w:p>
        </w:tc>
        <w:tc>
          <w:tcPr>
            <w:tcW w:w="1420" w:type="dxa"/>
            <w:vAlign w:val="bottom"/>
            <w:shd w:val="clear" w:color="auto" w:fill="EEEEEE"/>
          </w:tcPr>
          <w:p>
            <w:pPr>
              <w:jc w:val="center"/>
              <w:ind w:right="70"/>
              <w:spacing w:after="0" w:line="201" w:lineRule="exact"/>
              <w:rPr>
                <w:sz w:val="20"/>
                <w:szCs w:val="20"/>
                <w:color w:val="auto"/>
              </w:rPr>
            </w:pPr>
            <w:r>
              <w:rPr>
                <w:rFonts w:ascii="Arial" w:cs="Arial" w:eastAsia="Arial" w:hAnsi="Arial"/>
                <w:sz w:val="18"/>
                <w:szCs w:val="18"/>
                <w:color w:val="auto"/>
                <w:w w:val="91"/>
              </w:rPr>
              <w:t>March 31, 2015</w:t>
            </w:r>
          </w:p>
        </w:tc>
        <w:tc>
          <w:tcPr>
            <w:tcW w:w="0" w:type="dxa"/>
            <w:vAlign w:val="bottom"/>
          </w:tcPr>
          <w:p>
            <w:pPr>
              <w:spacing w:after="0"/>
              <w:rPr>
                <w:sz w:val="1"/>
                <w:szCs w:val="1"/>
                <w:color w:val="auto"/>
              </w:rPr>
            </w:pPr>
          </w:p>
        </w:tc>
      </w:tr>
      <w:tr>
        <w:trPr>
          <w:trHeight w:val="216"/>
        </w:trPr>
        <w:tc>
          <w:tcPr>
            <w:tcW w:w="880" w:type="dxa"/>
            <w:vAlign w:val="bottom"/>
            <w:shd w:val="clear" w:color="auto" w:fill="EEEEEE"/>
          </w:tcPr>
          <w:p>
            <w:pPr>
              <w:spacing w:after="0"/>
              <w:rPr>
                <w:sz w:val="18"/>
                <w:szCs w:val="18"/>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rPr>
              <w:t>2015, between Applied Optoelectronics, Inc. and Mega International</w:t>
            </w:r>
          </w:p>
        </w:tc>
        <w:tc>
          <w:tcPr>
            <w:tcW w:w="10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shd w:val="clear" w:color="auto" w:fill="EEEEEE"/>
          </w:tcPr>
          <w:p>
            <w:pPr>
              <w:spacing w:after="0"/>
              <w:rPr>
                <w:sz w:val="20"/>
                <w:szCs w:val="20"/>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rPr>
              <w:t>Commercial Bank Co., Ltd</w:t>
            </w:r>
          </w:p>
        </w:tc>
        <w:tc>
          <w:tcPr>
            <w:tcW w:w="10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10.33</w:t>
            </w:r>
          </w:p>
        </w:tc>
        <w:tc>
          <w:tcPr>
            <w:tcW w:w="554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rPr>
              <w:t>Translation of Comprehensive Credit Line Contract and General</w:t>
            </w:r>
          </w:p>
        </w:tc>
        <w:tc>
          <w:tcPr>
            <w:tcW w:w="106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9"/>
              </w:rPr>
              <w:t>8-K</w:t>
            </w:r>
          </w:p>
        </w:tc>
        <w:tc>
          <w:tcPr>
            <w:tcW w:w="12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1260" w:type="dxa"/>
            <w:vAlign w:val="bottom"/>
            <w:shd w:val="clear" w:color="auto" w:fill="EEEEEE"/>
          </w:tcPr>
          <w:p>
            <w:pPr>
              <w:jc w:val="center"/>
              <w:ind w:right="130"/>
              <w:spacing w:after="0" w:line="201" w:lineRule="exact"/>
              <w:rPr>
                <w:sz w:val="20"/>
                <w:szCs w:val="20"/>
                <w:color w:val="auto"/>
              </w:rPr>
            </w:pPr>
            <w:r>
              <w:rPr>
                <w:rFonts w:ascii="Arial" w:cs="Arial" w:eastAsia="Arial" w:hAnsi="Arial"/>
                <w:sz w:val="18"/>
                <w:szCs w:val="18"/>
                <w:color w:val="auto"/>
                <w:w w:val="91"/>
              </w:rPr>
              <w:t>10.1</w:t>
            </w:r>
          </w:p>
        </w:tc>
        <w:tc>
          <w:tcPr>
            <w:tcW w:w="1420" w:type="dxa"/>
            <w:vAlign w:val="bottom"/>
            <w:shd w:val="clear" w:color="auto" w:fill="EEEEEE"/>
          </w:tcPr>
          <w:p>
            <w:pPr>
              <w:jc w:val="center"/>
              <w:ind w:right="90"/>
              <w:spacing w:after="0" w:line="201" w:lineRule="exact"/>
              <w:rPr>
                <w:sz w:val="20"/>
                <w:szCs w:val="20"/>
                <w:color w:val="auto"/>
              </w:rPr>
            </w:pPr>
            <w:r>
              <w:rPr>
                <w:rFonts w:ascii="Arial" w:cs="Arial" w:eastAsia="Arial" w:hAnsi="Arial"/>
                <w:sz w:val="18"/>
                <w:szCs w:val="18"/>
                <w:color w:val="auto"/>
                <w:w w:val="94"/>
              </w:rPr>
              <w:t>April 7, 2015</w:t>
            </w:r>
          </w:p>
        </w:tc>
        <w:tc>
          <w:tcPr>
            <w:tcW w:w="0" w:type="dxa"/>
            <w:vAlign w:val="bottom"/>
          </w:tcPr>
          <w:p>
            <w:pPr>
              <w:spacing w:after="0"/>
              <w:rPr>
                <w:sz w:val="1"/>
                <w:szCs w:val="1"/>
                <w:color w:val="auto"/>
              </w:rPr>
            </w:pPr>
          </w:p>
        </w:tc>
      </w:tr>
      <w:tr>
        <w:trPr>
          <w:trHeight w:val="216"/>
        </w:trPr>
        <w:tc>
          <w:tcPr>
            <w:tcW w:w="880" w:type="dxa"/>
            <w:vAlign w:val="bottom"/>
            <w:shd w:val="clear" w:color="auto" w:fill="EEEEEE"/>
          </w:tcPr>
          <w:p>
            <w:pPr>
              <w:spacing w:after="0"/>
              <w:rPr>
                <w:sz w:val="18"/>
                <w:szCs w:val="18"/>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w w:val="96"/>
              </w:rPr>
              <w:t>Agreement, dated April 1, 2015, between Applied Optoelectronics, Inc.,</w:t>
            </w:r>
          </w:p>
        </w:tc>
        <w:tc>
          <w:tcPr>
            <w:tcW w:w="10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shd w:val="clear" w:color="auto" w:fill="EEEEEE"/>
          </w:tcPr>
          <w:p>
            <w:pPr>
              <w:spacing w:after="0"/>
              <w:rPr>
                <w:sz w:val="20"/>
                <w:szCs w:val="20"/>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rPr>
              <w:t>Taiwan Branch, and China Construction Bank, Taipei Branch</w:t>
            </w:r>
          </w:p>
        </w:tc>
        <w:tc>
          <w:tcPr>
            <w:tcW w:w="10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10.33.1</w:t>
            </w: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w w:val="93"/>
              </w:rPr>
              <w:t>Translation of Approval Notice of China Construction Bank, Taipei Branch</w:t>
            </w:r>
          </w:p>
        </w:tc>
        <w:tc>
          <w:tcPr>
            <w:tcW w:w="106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9"/>
              </w:rPr>
              <w:t>8-K</w:t>
            </w:r>
          </w:p>
        </w:tc>
        <w:tc>
          <w:tcPr>
            <w:tcW w:w="1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001-36083</w:t>
            </w:r>
          </w:p>
        </w:tc>
        <w:tc>
          <w:tcPr>
            <w:tcW w:w="1260" w:type="dxa"/>
            <w:vAlign w:val="bottom"/>
            <w:shd w:val="clear" w:color="auto" w:fill="EEEEEE"/>
          </w:tcPr>
          <w:p>
            <w:pPr>
              <w:jc w:val="center"/>
              <w:ind w:right="130"/>
              <w:spacing w:after="0"/>
              <w:rPr>
                <w:sz w:val="20"/>
                <w:szCs w:val="20"/>
                <w:color w:val="auto"/>
              </w:rPr>
            </w:pPr>
            <w:r>
              <w:rPr>
                <w:rFonts w:ascii="Arial" w:cs="Arial" w:eastAsia="Arial" w:hAnsi="Arial"/>
                <w:sz w:val="18"/>
                <w:szCs w:val="18"/>
                <w:color w:val="auto"/>
                <w:w w:val="91"/>
              </w:rPr>
              <w:t>10.2</w:t>
            </w:r>
          </w:p>
        </w:tc>
        <w:tc>
          <w:tcPr>
            <w:tcW w:w="1420" w:type="dxa"/>
            <w:vAlign w:val="bottom"/>
            <w:shd w:val="clear" w:color="auto" w:fill="EEEEEE"/>
          </w:tcPr>
          <w:p>
            <w:pPr>
              <w:jc w:val="center"/>
              <w:ind w:right="90"/>
              <w:spacing w:after="0"/>
              <w:rPr>
                <w:sz w:val="20"/>
                <w:szCs w:val="20"/>
                <w:color w:val="auto"/>
              </w:rPr>
            </w:pPr>
            <w:r>
              <w:rPr>
                <w:rFonts w:ascii="Arial" w:cs="Arial" w:eastAsia="Arial" w:hAnsi="Arial"/>
                <w:sz w:val="18"/>
                <w:szCs w:val="18"/>
                <w:color w:val="auto"/>
                <w:w w:val="94"/>
              </w:rPr>
              <w:t>April 7, 2015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10.34</w:t>
            </w:r>
          </w:p>
        </w:tc>
        <w:tc>
          <w:tcPr>
            <w:tcW w:w="554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rPr>
              <w:t>Translation of Purchase and Sale Contract between Applied</w:t>
            </w:r>
          </w:p>
        </w:tc>
        <w:tc>
          <w:tcPr>
            <w:tcW w:w="106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9"/>
              </w:rPr>
              <w:t>8-K</w:t>
            </w:r>
          </w:p>
        </w:tc>
        <w:tc>
          <w:tcPr>
            <w:tcW w:w="12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1260" w:type="dxa"/>
            <w:vAlign w:val="bottom"/>
            <w:shd w:val="clear" w:color="auto" w:fill="EEEEEE"/>
          </w:tcPr>
          <w:p>
            <w:pPr>
              <w:jc w:val="center"/>
              <w:ind w:right="130"/>
              <w:spacing w:after="0" w:line="201" w:lineRule="exact"/>
              <w:rPr>
                <w:sz w:val="20"/>
                <w:szCs w:val="20"/>
                <w:color w:val="auto"/>
              </w:rPr>
            </w:pPr>
            <w:r>
              <w:rPr>
                <w:rFonts w:ascii="Arial" w:cs="Arial" w:eastAsia="Arial" w:hAnsi="Arial"/>
                <w:sz w:val="18"/>
                <w:szCs w:val="18"/>
                <w:color w:val="auto"/>
                <w:w w:val="91"/>
              </w:rPr>
              <w:t>10.1</w:t>
            </w:r>
          </w:p>
        </w:tc>
        <w:tc>
          <w:tcPr>
            <w:tcW w:w="1420" w:type="dxa"/>
            <w:vAlign w:val="bottom"/>
            <w:shd w:val="clear" w:color="auto" w:fill="EEEEEE"/>
          </w:tcPr>
          <w:p>
            <w:pPr>
              <w:jc w:val="center"/>
              <w:ind w:right="90"/>
              <w:spacing w:after="0" w:line="201" w:lineRule="exact"/>
              <w:rPr>
                <w:sz w:val="20"/>
                <w:szCs w:val="20"/>
                <w:color w:val="auto"/>
              </w:rPr>
            </w:pPr>
            <w:r>
              <w:rPr>
                <w:rFonts w:ascii="Arial" w:cs="Arial" w:eastAsia="Arial" w:hAnsi="Arial"/>
                <w:sz w:val="18"/>
                <w:szCs w:val="18"/>
                <w:color w:val="auto"/>
                <w:w w:val="88"/>
              </w:rPr>
              <w:t>June 2, 2015</w:t>
            </w:r>
          </w:p>
        </w:tc>
        <w:tc>
          <w:tcPr>
            <w:tcW w:w="0" w:type="dxa"/>
            <w:vAlign w:val="bottom"/>
          </w:tcPr>
          <w:p>
            <w:pPr>
              <w:spacing w:after="0"/>
              <w:rPr>
                <w:sz w:val="1"/>
                <w:szCs w:val="1"/>
                <w:color w:val="auto"/>
              </w:rPr>
            </w:pPr>
          </w:p>
        </w:tc>
      </w:tr>
      <w:tr>
        <w:trPr>
          <w:trHeight w:val="230"/>
        </w:trPr>
        <w:tc>
          <w:tcPr>
            <w:tcW w:w="880" w:type="dxa"/>
            <w:vAlign w:val="bottom"/>
            <w:shd w:val="clear" w:color="auto" w:fill="EEEEEE"/>
          </w:tcPr>
          <w:p>
            <w:pPr>
              <w:spacing w:after="0"/>
              <w:rPr>
                <w:sz w:val="20"/>
                <w:szCs w:val="20"/>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w w:val="97"/>
              </w:rPr>
              <w:t>Optoelectronics, Inc., Taiwan Branch, and Chailease Finance Co., Ltd.</w:t>
            </w:r>
          </w:p>
        </w:tc>
        <w:tc>
          <w:tcPr>
            <w:tcW w:w="10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10.34.1</w:t>
            </w:r>
          </w:p>
        </w:tc>
        <w:tc>
          <w:tcPr>
            <w:tcW w:w="554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1"/>
              </w:rPr>
              <w:t>Translation of Finance Lease Agreement between Applied Optoelectronics,</w:t>
            </w:r>
          </w:p>
        </w:tc>
        <w:tc>
          <w:tcPr>
            <w:tcW w:w="106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9"/>
              </w:rPr>
              <w:t>8-K</w:t>
            </w:r>
          </w:p>
        </w:tc>
        <w:tc>
          <w:tcPr>
            <w:tcW w:w="12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1260" w:type="dxa"/>
            <w:vAlign w:val="bottom"/>
            <w:shd w:val="clear" w:color="auto" w:fill="EEEEEE"/>
          </w:tcPr>
          <w:p>
            <w:pPr>
              <w:jc w:val="center"/>
              <w:ind w:right="130"/>
              <w:spacing w:after="0" w:line="201" w:lineRule="exact"/>
              <w:rPr>
                <w:sz w:val="20"/>
                <w:szCs w:val="20"/>
                <w:color w:val="auto"/>
              </w:rPr>
            </w:pPr>
            <w:r>
              <w:rPr>
                <w:rFonts w:ascii="Arial" w:cs="Arial" w:eastAsia="Arial" w:hAnsi="Arial"/>
                <w:sz w:val="18"/>
                <w:szCs w:val="18"/>
                <w:color w:val="auto"/>
                <w:w w:val="91"/>
              </w:rPr>
              <w:t>10.2</w:t>
            </w:r>
          </w:p>
        </w:tc>
        <w:tc>
          <w:tcPr>
            <w:tcW w:w="1420" w:type="dxa"/>
            <w:vAlign w:val="bottom"/>
            <w:shd w:val="clear" w:color="auto" w:fill="EEEEEE"/>
          </w:tcPr>
          <w:p>
            <w:pPr>
              <w:jc w:val="center"/>
              <w:ind w:right="90"/>
              <w:spacing w:after="0" w:line="201" w:lineRule="exact"/>
              <w:rPr>
                <w:sz w:val="20"/>
                <w:szCs w:val="20"/>
                <w:color w:val="auto"/>
              </w:rPr>
            </w:pPr>
            <w:r>
              <w:rPr>
                <w:rFonts w:ascii="Arial" w:cs="Arial" w:eastAsia="Arial" w:hAnsi="Arial"/>
                <w:sz w:val="18"/>
                <w:szCs w:val="18"/>
                <w:color w:val="auto"/>
                <w:w w:val="88"/>
              </w:rPr>
              <w:t>June 2, 2015</w:t>
            </w:r>
          </w:p>
        </w:tc>
        <w:tc>
          <w:tcPr>
            <w:tcW w:w="0" w:type="dxa"/>
            <w:vAlign w:val="bottom"/>
          </w:tcPr>
          <w:p>
            <w:pPr>
              <w:spacing w:after="0"/>
              <w:rPr>
                <w:sz w:val="1"/>
                <w:szCs w:val="1"/>
                <w:color w:val="auto"/>
              </w:rPr>
            </w:pPr>
          </w:p>
        </w:tc>
      </w:tr>
      <w:tr>
        <w:trPr>
          <w:trHeight w:val="230"/>
        </w:trPr>
        <w:tc>
          <w:tcPr>
            <w:tcW w:w="880" w:type="dxa"/>
            <w:vAlign w:val="bottom"/>
            <w:shd w:val="clear" w:color="auto" w:fill="EEEEEE"/>
          </w:tcPr>
          <w:p>
            <w:pPr>
              <w:spacing w:after="0"/>
              <w:rPr>
                <w:sz w:val="20"/>
                <w:szCs w:val="20"/>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rPr>
              <w:t>Inc., Taiwan Branch, and Chailease Finance Co., Ltd.</w:t>
            </w:r>
          </w:p>
        </w:tc>
        <w:tc>
          <w:tcPr>
            <w:tcW w:w="10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10.35</w:t>
            </w:r>
          </w:p>
        </w:tc>
        <w:tc>
          <w:tcPr>
            <w:tcW w:w="554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rPr>
              <w:t>Fourth Amendment to Office Lease Agreement between Applied</w:t>
            </w:r>
          </w:p>
        </w:tc>
        <w:tc>
          <w:tcPr>
            <w:tcW w:w="106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9"/>
              </w:rPr>
              <w:t>8-K</w:t>
            </w:r>
          </w:p>
        </w:tc>
        <w:tc>
          <w:tcPr>
            <w:tcW w:w="12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1260" w:type="dxa"/>
            <w:vAlign w:val="bottom"/>
            <w:shd w:val="clear" w:color="auto" w:fill="EEEEEE"/>
          </w:tcPr>
          <w:p>
            <w:pPr>
              <w:jc w:val="center"/>
              <w:ind w:right="130"/>
              <w:spacing w:after="0" w:line="201" w:lineRule="exact"/>
              <w:rPr>
                <w:sz w:val="20"/>
                <w:szCs w:val="20"/>
                <w:color w:val="auto"/>
              </w:rPr>
            </w:pPr>
            <w:r>
              <w:rPr>
                <w:rFonts w:ascii="Arial" w:cs="Arial" w:eastAsia="Arial" w:hAnsi="Arial"/>
                <w:sz w:val="18"/>
                <w:szCs w:val="18"/>
                <w:color w:val="auto"/>
                <w:w w:val="91"/>
              </w:rPr>
              <w:t>10.1</w:t>
            </w:r>
          </w:p>
        </w:tc>
        <w:tc>
          <w:tcPr>
            <w:tcW w:w="1420" w:type="dxa"/>
            <w:vAlign w:val="bottom"/>
            <w:shd w:val="clear" w:color="auto" w:fill="EEEEEE"/>
          </w:tcPr>
          <w:p>
            <w:pPr>
              <w:jc w:val="center"/>
              <w:ind w:right="90"/>
              <w:spacing w:after="0" w:line="201" w:lineRule="exact"/>
              <w:rPr>
                <w:sz w:val="20"/>
                <w:szCs w:val="20"/>
                <w:color w:val="auto"/>
              </w:rPr>
            </w:pPr>
            <w:r>
              <w:rPr>
                <w:rFonts w:ascii="Arial" w:cs="Arial" w:eastAsia="Arial" w:hAnsi="Arial"/>
                <w:sz w:val="18"/>
                <w:szCs w:val="18"/>
                <w:color w:val="auto"/>
                <w:w w:val="87"/>
              </w:rPr>
              <w:t>June 23, 2015</w:t>
            </w:r>
          </w:p>
        </w:tc>
        <w:tc>
          <w:tcPr>
            <w:tcW w:w="0" w:type="dxa"/>
            <w:vAlign w:val="bottom"/>
          </w:tcPr>
          <w:p>
            <w:pPr>
              <w:spacing w:after="0"/>
              <w:rPr>
                <w:sz w:val="1"/>
                <w:szCs w:val="1"/>
                <w:color w:val="auto"/>
              </w:rPr>
            </w:pPr>
          </w:p>
        </w:tc>
      </w:tr>
      <w:tr>
        <w:trPr>
          <w:trHeight w:val="230"/>
        </w:trPr>
        <w:tc>
          <w:tcPr>
            <w:tcW w:w="880" w:type="dxa"/>
            <w:vAlign w:val="bottom"/>
            <w:shd w:val="clear" w:color="auto" w:fill="EEEEEE"/>
          </w:tcPr>
          <w:p>
            <w:pPr>
              <w:spacing w:after="0"/>
              <w:rPr>
                <w:sz w:val="20"/>
                <w:szCs w:val="20"/>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rPr>
              <w:t>Optoelectronics, Inc. and 12808 Airport, LLC dated June 17, 2015</w:t>
            </w:r>
          </w:p>
        </w:tc>
        <w:tc>
          <w:tcPr>
            <w:tcW w:w="10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10.36</w:t>
            </w:r>
          </w:p>
        </w:tc>
        <w:tc>
          <w:tcPr>
            <w:tcW w:w="554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4"/>
              </w:rPr>
              <w:t>Credit Agreement, dated June 30, 2015, among Applied Optoelectronics,</w:t>
            </w:r>
          </w:p>
        </w:tc>
        <w:tc>
          <w:tcPr>
            <w:tcW w:w="106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9"/>
              </w:rPr>
              <w:t>8-K</w:t>
            </w:r>
          </w:p>
        </w:tc>
        <w:tc>
          <w:tcPr>
            <w:tcW w:w="12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1260" w:type="dxa"/>
            <w:vAlign w:val="bottom"/>
            <w:shd w:val="clear" w:color="auto" w:fill="EEEEEE"/>
          </w:tcPr>
          <w:p>
            <w:pPr>
              <w:jc w:val="center"/>
              <w:ind w:right="130"/>
              <w:spacing w:after="0" w:line="201" w:lineRule="exact"/>
              <w:rPr>
                <w:sz w:val="20"/>
                <w:szCs w:val="20"/>
                <w:color w:val="auto"/>
              </w:rPr>
            </w:pPr>
            <w:r>
              <w:rPr>
                <w:rFonts w:ascii="Arial" w:cs="Arial" w:eastAsia="Arial" w:hAnsi="Arial"/>
                <w:sz w:val="18"/>
                <w:szCs w:val="18"/>
                <w:color w:val="auto"/>
                <w:w w:val="91"/>
              </w:rPr>
              <w:t>10.1</w:t>
            </w:r>
          </w:p>
        </w:tc>
        <w:tc>
          <w:tcPr>
            <w:tcW w:w="1420" w:type="dxa"/>
            <w:vAlign w:val="bottom"/>
            <w:shd w:val="clear" w:color="auto" w:fill="EEEEEE"/>
          </w:tcPr>
          <w:p>
            <w:pPr>
              <w:jc w:val="center"/>
              <w:ind w:right="90"/>
              <w:spacing w:after="0" w:line="201" w:lineRule="exact"/>
              <w:rPr>
                <w:sz w:val="20"/>
                <w:szCs w:val="20"/>
                <w:color w:val="auto"/>
              </w:rPr>
            </w:pPr>
            <w:r>
              <w:rPr>
                <w:rFonts w:ascii="Arial" w:cs="Arial" w:eastAsia="Arial" w:hAnsi="Arial"/>
                <w:sz w:val="18"/>
                <w:szCs w:val="18"/>
                <w:color w:val="auto"/>
                <w:w w:val="90"/>
              </w:rPr>
              <w:t>July 7, 2015</w:t>
            </w:r>
          </w:p>
        </w:tc>
        <w:tc>
          <w:tcPr>
            <w:tcW w:w="0" w:type="dxa"/>
            <w:vAlign w:val="bottom"/>
          </w:tcPr>
          <w:p>
            <w:pPr>
              <w:spacing w:after="0"/>
              <w:rPr>
                <w:sz w:val="1"/>
                <w:szCs w:val="1"/>
                <w:color w:val="auto"/>
              </w:rPr>
            </w:pPr>
          </w:p>
        </w:tc>
      </w:tr>
      <w:tr>
        <w:trPr>
          <w:trHeight w:val="230"/>
        </w:trPr>
        <w:tc>
          <w:tcPr>
            <w:tcW w:w="880" w:type="dxa"/>
            <w:vAlign w:val="bottom"/>
            <w:shd w:val="clear" w:color="auto" w:fill="EEEEEE"/>
          </w:tcPr>
          <w:p>
            <w:pPr>
              <w:spacing w:after="0"/>
              <w:rPr>
                <w:sz w:val="20"/>
                <w:szCs w:val="20"/>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rPr>
              <w:t>Inc., East West Bank and Comerica Bank</w:t>
            </w:r>
          </w:p>
        </w:tc>
        <w:tc>
          <w:tcPr>
            <w:tcW w:w="10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10.36.1</w:t>
            </w:r>
          </w:p>
        </w:tc>
        <w:tc>
          <w:tcPr>
            <w:tcW w:w="554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1"/>
              </w:rPr>
              <w:t>Security Agreement, dated June 30, 2015, among Applied Optoelectronics,</w:t>
            </w:r>
          </w:p>
        </w:tc>
        <w:tc>
          <w:tcPr>
            <w:tcW w:w="106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9"/>
              </w:rPr>
              <w:t>8-K</w:t>
            </w:r>
          </w:p>
        </w:tc>
        <w:tc>
          <w:tcPr>
            <w:tcW w:w="12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1260" w:type="dxa"/>
            <w:vAlign w:val="bottom"/>
            <w:shd w:val="clear" w:color="auto" w:fill="EEEEEE"/>
          </w:tcPr>
          <w:p>
            <w:pPr>
              <w:jc w:val="center"/>
              <w:ind w:right="130"/>
              <w:spacing w:after="0" w:line="201" w:lineRule="exact"/>
              <w:rPr>
                <w:sz w:val="20"/>
                <w:szCs w:val="20"/>
                <w:color w:val="auto"/>
              </w:rPr>
            </w:pPr>
            <w:r>
              <w:rPr>
                <w:rFonts w:ascii="Arial" w:cs="Arial" w:eastAsia="Arial" w:hAnsi="Arial"/>
                <w:sz w:val="18"/>
                <w:szCs w:val="18"/>
                <w:color w:val="auto"/>
                <w:w w:val="91"/>
              </w:rPr>
              <w:t>10.2</w:t>
            </w:r>
          </w:p>
        </w:tc>
        <w:tc>
          <w:tcPr>
            <w:tcW w:w="1420" w:type="dxa"/>
            <w:vAlign w:val="bottom"/>
            <w:shd w:val="clear" w:color="auto" w:fill="EEEEEE"/>
          </w:tcPr>
          <w:p>
            <w:pPr>
              <w:jc w:val="center"/>
              <w:ind w:right="90"/>
              <w:spacing w:after="0" w:line="201" w:lineRule="exact"/>
              <w:rPr>
                <w:sz w:val="20"/>
                <w:szCs w:val="20"/>
                <w:color w:val="auto"/>
              </w:rPr>
            </w:pPr>
            <w:r>
              <w:rPr>
                <w:rFonts w:ascii="Arial" w:cs="Arial" w:eastAsia="Arial" w:hAnsi="Arial"/>
                <w:sz w:val="18"/>
                <w:szCs w:val="18"/>
                <w:color w:val="auto"/>
                <w:w w:val="90"/>
              </w:rPr>
              <w:t>July 7, 2015</w:t>
            </w:r>
          </w:p>
        </w:tc>
        <w:tc>
          <w:tcPr>
            <w:tcW w:w="0" w:type="dxa"/>
            <w:vAlign w:val="bottom"/>
          </w:tcPr>
          <w:p>
            <w:pPr>
              <w:spacing w:after="0"/>
              <w:rPr>
                <w:sz w:val="1"/>
                <w:szCs w:val="1"/>
                <w:color w:val="auto"/>
              </w:rPr>
            </w:pPr>
          </w:p>
        </w:tc>
      </w:tr>
      <w:tr>
        <w:trPr>
          <w:trHeight w:val="230"/>
        </w:trPr>
        <w:tc>
          <w:tcPr>
            <w:tcW w:w="880" w:type="dxa"/>
            <w:vAlign w:val="bottom"/>
            <w:shd w:val="clear" w:color="auto" w:fill="EEEEEE"/>
          </w:tcPr>
          <w:p>
            <w:pPr>
              <w:spacing w:after="0"/>
              <w:rPr>
                <w:sz w:val="20"/>
                <w:szCs w:val="20"/>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rPr>
              <w:t>Inc., East West Bank and Comerica Bank</w:t>
            </w:r>
          </w:p>
        </w:tc>
        <w:tc>
          <w:tcPr>
            <w:tcW w:w="10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10.36.2</w:t>
            </w:r>
          </w:p>
        </w:tc>
        <w:tc>
          <w:tcPr>
            <w:tcW w:w="554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rPr>
              <w:t>Patent Security Agreement, dated June 30, 2015, among Applied</w:t>
            </w:r>
          </w:p>
        </w:tc>
        <w:tc>
          <w:tcPr>
            <w:tcW w:w="106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9"/>
              </w:rPr>
              <w:t>8-K</w:t>
            </w:r>
          </w:p>
        </w:tc>
        <w:tc>
          <w:tcPr>
            <w:tcW w:w="12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1260" w:type="dxa"/>
            <w:vAlign w:val="bottom"/>
            <w:shd w:val="clear" w:color="auto" w:fill="EEEEEE"/>
          </w:tcPr>
          <w:p>
            <w:pPr>
              <w:jc w:val="center"/>
              <w:ind w:right="130"/>
              <w:spacing w:after="0" w:line="201" w:lineRule="exact"/>
              <w:rPr>
                <w:sz w:val="20"/>
                <w:szCs w:val="20"/>
                <w:color w:val="auto"/>
              </w:rPr>
            </w:pPr>
            <w:r>
              <w:rPr>
                <w:rFonts w:ascii="Arial" w:cs="Arial" w:eastAsia="Arial" w:hAnsi="Arial"/>
                <w:sz w:val="18"/>
                <w:szCs w:val="18"/>
                <w:color w:val="auto"/>
                <w:w w:val="91"/>
              </w:rPr>
              <w:t>10.3</w:t>
            </w:r>
          </w:p>
        </w:tc>
        <w:tc>
          <w:tcPr>
            <w:tcW w:w="1420" w:type="dxa"/>
            <w:vAlign w:val="bottom"/>
            <w:shd w:val="clear" w:color="auto" w:fill="EEEEEE"/>
          </w:tcPr>
          <w:p>
            <w:pPr>
              <w:jc w:val="center"/>
              <w:ind w:right="90"/>
              <w:spacing w:after="0" w:line="201" w:lineRule="exact"/>
              <w:rPr>
                <w:sz w:val="20"/>
                <w:szCs w:val="20"/>
                <w:color w:val="auto"/>
              </w:rPr>
            </w:pPr>
            <w:r>
              <w:rPr>
                <w:rFonts w:ascii="Arial" w:cs="Arial" w:eastAsia="Arial" w:hAnsi="Arial"/>
                <w:sz w:val="18"/>
                <w:szCs w:val="18"/>
                <w:color w:val="auto"/>
                <w:w w:val="90"/>
              </w:rPr>
              <w:t>July 7, 2015</w:t>
            </w:r>
          </w:p>
        </w:tc>
        <w:tc>
          <w:tcPr>
            <w:tcW w:w="0" w:type="dxa"/>
            <w:vAlign w:val="bottom"/>
          </w:tcPr>
          <w:p>
            <w:pPr>
              <w:spacing w:after="0"/>
              <w:rPr>
                <w:sz w:val="1"/>
                <w:szCs w:val="1"/>
                <w:color w:val="auto"/>
              </w:rPr>
            </w:pPr>
          </w:p>
        </w:tc>
      </w:tr>
      <w:tr>
        <w:trPr>
          <w:trHeight w:val="230"/>
        </w:trPr>
        <w:tc>
          <w:tcPr>
            <w:tcW w:w="880" w:type="dxa"/>
            <w:vAlign w:val="bottom"/>
            <w:shd w:val="clear" w:color="auto" w:fill="EEEEEE"/>
          </w:tcPr>
          <w:p>
            <w:pPr>
              <w:spacing w:after="0"/>
              <w:rPr>
                <w:sz w:val="20"/>
                <w:szCs w:val="20"/>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rPr>
              <w:t>Optoelectronics, Inc., East West Bank and Comerica Bank</w:t>
            </w:r>
          </w:p>
        </w:tc>
        <w:tc>
          <w:tcPr>
            <w:tcW w:w="10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10.36.3</w:t>
            </w:r>
          </w:p>
        </w:tc>
        <w:tc>
          <w:tcPr>
            <w:tcW w:w="554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8"/>
              </w:rPr>
              <w:t>Trademark Security Agreement, dated June 30, 2015, among Applied</w:t>
            </w:r>
          </w:p>
        </w:tc>
        <w:tc>
          <w:tcPr>
            <w:tcW w:w="106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9"/>
              </w:rPr>
              <w:t>8-K</w:t>
            </w:r>
          </w:p>
        </w:tc>
        <w:tc>
          <w:tcPr>
            <w:tcW w:w="12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1260" w:type="dxa"/>
            <w:vAlign w:val="bottom"/>
            <w:shd w:val="clear" w:color="auto" w:fill="EEEEEE"/>
          </w:tcPr>
          <w:p>
            <w:pPr>
              <w:jc w:val="center"/>
              <w:ind w:right="130"/>
              <w:spacing w:after="0" w:line="201" w:lineRule="exact"/>
              <w:rPr>
                <w:sz w:val="20"/>
                <w:szCs w:val="20"/>
                <w:color w:val="auto"/>
              </w:rPr>
            </w:pPr>
            <w:r>
              <w:rPr>
                <w:rFonts w:ascii="Arial" w:cs="Arial" w:eastAsia="Arial" w:hAnsi="Arial"/>
                <w:sz w:val="18"/>
                <w:szCs w:val="18"/>
                <w:color w:val="auto"/>
                <w:w w:val="91"/>
              </w:rPr>
              <w:t>10.4</w:t>
            </w:r>
          </w:p>
        </w:tc>
        <w:tc>
          <w:tcPr>
            <w:tcW w:w="1420" w:type="dxa"/>
            <w:vAlign w:val="bottom"/>
            <w:shd w:val="clear" w:color="auto" w:fill="EEEEEE"/>
          </w:tcPr>
          <w:p>
            <w:pPr>
              <w:jc w:val="center"/>
              <w:ind w:right="90"/>
              <w:spacing w:after="0" w:line="201" w:lineRule="exact"/>
              <w:rPr>
                <w:sz w:val="20"/>
                <w:szCs w:val="20"/>
                <w:color w:val="auto"/>
              </w:rPr>
            </w:pPr>
            <w:r>
              <w:rPr>
                <w:rFonts w:ascii="Arial" w:cs="Arial" w:eastAsia="Arial" w:hAnsi="Arial"/>
                <w:sz w:val="18"/>
                <w:szCs w:val="18"/>
                <w:color w:val="auto"/>
                <w:w w:val="90"/>
              </w:rPr>
              <w:t>July 7, 2015</w:t>
            </w:r>
          </w:p>
        </w:tc>
        <w:tc>
          <w:tcPr>
            <w:tcW w:w="0" w:type="dxa"/>
            <w:vAlign w:val="bottom"/>
          </w:tcPr>
          <w:p>
            <w:pPr>
              <w:spacing w:after="0"/>
              <w:rPr>
                <w:sz w:val="1"/>
                <w:szCs w:val="1"/>
                <w:color w:val="auto"/>
              </w:rPr>
            </w:pPr>
          </w:p>
        </w:tc>
      </w:tr>
      <w:tr>
        <w:trPr>
          <w:trHeight w:val="230"/>
        </w:trPr>
        <w:tc>
          <w:tcPr>
            <w:tcW w:w="880" w:type="dxa"/>
            <w:vAlign w:val="bottom"/>
            <w:shd w:val="clear" w:color="auto" w:fill="EEEEEE"/>
          </w:tcPr>
          <w:p>
            <w:pPr>
              <w:spacing w:after="0"/>
              <w:rPr>
                <w:sz w:val="20"/>
                <w:szCs w:val="20"/>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rPr>
              <w:t>Optoelectronics, Inc., East West Bank and Comerica Bank</w:t>
            </w:r>
          </w:p>
        </w:tc>
        <w:tc>
          <w:tcPr>
            <w:tcW w:w="10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10.36.4</w:t>
            </w:r>
          </w:p>
        </w:tc>
        <w:tc>
          <w:tcPr>
            <w:tcW w:w="554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3"/>
              </w:rPr>
              <w:t>East West Bank Promissory Note, dated June 30, 2015, between Applied</w:t>
            </w:r>
          </w:p>
        </w:tc>
        <w:tc>
          <w:tcPr>
            <w:tcW w:w="106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9"/>
              </w:rPr>
              <w:t>8-K</w:t>
            </w:r>
          </w:p>
        </w:tc>
        <w:tc>
          <w:tcPr>
            <w:tcW w:w="12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1260" w:type="dxa"/>
            <w:vAlign w:val="bottom"/>
            <w:shd w:val="clear" w:color="auto" w:fill="EEEEEE"/>
          </w:tcPr>
          <w:p>
            <w:pPr>
              <w:jc w:val="center"/>
              <w:ind w:right="130"/>
              <w:spacing w:after="0" w:line="201" w:lineRule="exact"/>
              <w:rPr>
                <w:sz w:val="20"/>
                <w:szCs w:val="20"/>
                <w:color w:val="auto"/>
              </w:rPr>
            </w:pPr>
            <w:r>
              <w:rPr>
                <w:rFonts w:ascii="Arial" w:cs="Arial" w:eastAsia="Arial" w:hAnsi="Arial"/>
                <w:sz w:val="18"/>
                <w:szCs w:val="18"/>
                <w:color w:val="auto"/>
                <w:w w:val="91"/>
              </w:rPr>
              <w:t>10.5</w:t>
            </w:r>
          </w:p>
        </w:tc>
        <w:tc>
          <w:tcPr>
            <w:tcW w:w="1420" w:type="dxa"/>
            <w:vAlign w:val="bottom"/>
            <w:shd w:val="clear" w:color="auto" w:fill="EEEEEE"/>
          </w:tcPr>
          <w:p>
            <w:pPr>
              <w:jc w:val="center"/>
              <w:ind w:right="90"/>
              <w:spacing w:after="0" w:line="201" w:lineRule="exact"/>
              <w:rPr>
                <w:sz w:val="20"/>
                <w:szCs w:val="20"/>
                <w:color w:val="auto"/>
              </w:rPr>
            </w:pPr>
            <w:r>
              <w:rPr>
                <w:rFonts w:ascii="Arial" w:cs="Arial" w:eastAsia="Arial" w:hAnsi="Arial"/>
                <w:sz w:val="18"/>
                <w:szCs w:val="18"/>
                <w:color w:val="auto"/>
                <w:w w:val="90"/>
              </w:rPr>
              <w:t>July 7, 2015</w:t>
            </w:r>
          </w:p>
        </w:tc>
        <w:tc>
          <w:tcPr>
            <w:tcW w:w="0" w:type="dxa"/>
            <w:vAlign w:val="bottom"/>
          </w:tcPr>
          <w:p>
            <w:pPr>
              <w:spacing w:after="0"/>
              <w:rPr>
                <w:sz w:val="1"/>
                <w:szCs w:val="1"/>
                <w:color w:val="auto"/>
              </w:rPr>
            </w:pPr>
          </w:p>
        </w:tc>
      </w:tr>
      <w:tr>
        <w:trPr>
          <w:trHeight w:val="230"/>
        </w:trPr>
        <w:tc>
          <w:tcPr>
            <w:tcW w:w="880" w:type="dxa"/>
            <w:vAlign w:val="bottom"/>
            <w:shd w:val="clear" w:color="auto" w:fill="EEEEEE"/>
          </w:tcPr>
          <w:p>
            <w:pPr>
              <w:spacing w:after="0"/>
              <w:rPr>
                <w:sz w:val="20"/>
                <w:szCs w:val="20"/>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rPr>
              <w:t>Optoelectronics, Inc. and East West Bank</w:t>
            </w:r>
          </w:p>
        </w:tc>
        <w:tc>
          <w:tcPr>
            <w:tcW w:w="10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10.36.5</w:t>
            </w:r>
          </w:p>
        </w:tc>
        <w:tc>
          <w:tcPr>
            <w:tcW w:w="554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4"/>
              </w:rPr>
              <w:t>Comerica Bank Promissory Note, dated June 30, 2015, between Applied</w:t>
            </w:r>
          </w:p>
        </w:tc>
        <w:tc>
          <w:tcPr>
            <w:tcW w:w="1060" w:type="dxa"/>
            <w:vAlign w:val="bottom"/>
            <w:shd w:val="clear" w:color="auto" w:fill="EEEEEE"/>
          </w:tcPr>
          <w:p>
            <w:pPr>
              <w:jc w:val="center"/>
              <w:ind w:left="10"/>
              <w:spacing w:after="0" w:line="201" w:lineRule="exact"/>
              <w:rPr>
                <w:sz w:val="20"/>
                <w:szCs w:val="20"/>
                <w:color w:val="auto"/>
              </w:rPr>
            </w:pPr>
            <w:r>
              <w:rPr>
                <w:rFonts w:ascii="Arial" w:cs="Arial" w:eastAsia="Arial" w:hAnsi="Arial"/>
                <w:sz w:val="18"/>
                <w:szCs w:val="18"/>
                <w:color w:val="auto"/>
                <w:w w:val="99"/>
              </w:rPr>
              <w:t>8-K</w:t>
            </w:r>
          </w:p>
        </w:tc>
        <w:tc>
          <w:tcPr>
            <w:tcW w:w="12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1260" w:type="dxa"/>
            <w:vAlign w:val="bottom"/>
            <w:shd w:val="clear" w:color="auto" w:fill="EEEEEE"/>
          </w:tcPr>
          <w:p>
            <w:pPr>
              <w:jc w:val="center"/>
              <w:ind w:right="130"/>
              <w:spacing w:after="0" w:line="201" w:lineRule="exact"/>
              <w:rPr>
                <w:sz w:val="20"/>
                <w:szCs w:val="20"/>
                <w:color w:val="auto"/>
              </w:rPr>
            </w:pPr>
            <w:r>
              <w:rPr>
                <w:rFonts w:ascii="Arial" w:cs="Arial" w:eastAsia="Arial" w:hAnsi="Arial"/>
                <w:sz w:val="18"/>
                <w:szCs w:val="18"/>
                <w:color w:val="auto"/>
                <w:w w:val="91"/>
              </w:rPr>
              <w:t>10.6</w:t>
            </w:r>
          </w:p>
        </w:tc>
        <w:tc>
          <w:tcPr>
            <w:tcW w:w="1420" w:type="dxa"/>
            <w:vAlign w:val="bottom"/>
            <w:shd w:val="clear" w:color="auto" w:fill="EEEEEE"/>
          </w:tcPr>
          <w:p>
            <w:pPr>
              <w:jc w:val="center"/>
              <w:ind w:right="90"/>
              <w:spacing w:after="0" w:line="201" w:lineRule="exact"/>
              <w:rPr>
                <w:sz w:val="20"/>
                <w:szCs w:val="20"/>
                <w:color w:val="auto"/>
              </w:rPr>
            </w:pPr>
            <w:r>
              <w:rPr>
                <w:rFonts w:ascii="Arial" w:cs="Arial" w:eastAsia="Arial" w:hAnsi="Arial"/>
                <w:sz w:val="18"/>
                <w:szCs w:val="18"/>
                <w:color w:val="auto"/>
                <w:w w:val="90"/>
              </w:rPr>
              <w:t>July 7, 2015</w:t>
            </w:r>
          </w:p>
        </w:tc>
        <w:tc>
          <w:tcPr>
            <w:tcW w:w="0" w:type="dxa"/>
            <w:vAlign w:val="bottom"/>
          </w:tcPr>
          <w:p>
            <w:pPr>
              <w:spacing w:after="0"/>
              <w:rPr>
                <w:sz w:val="1"/>
                <w:szCs w:val="1"/>
                <w:color w:val="auto"/>
              </w:rPr>
            </w:pPr>
          </w:p>
        </w:tc>
      </w:tr>
      <w:tr>
        <w:trPr>
          <w:trHeight w:val="230"/>
        </w:trPr>
        <w:tc>
          <w:tcPr>
            <w:tcW w:w="880" w:type="dxa"/>
            <w:vAlign w:val="bottom"/>
            <w:shd w:val="clear" w:color="auto" w:fill="EEEEEE"/>
          </w:tcPr>
          <w:p>
            <w:pPr>
              <w:spacing w:after="0"/>
              <w:rPr>
                <w:sz w:val="20"/>
                <w:szCs w:val="20"/>
                <w:color w:val="auto"/>
              </w:rPr>
            </w:pPr>
          </w:p>
        </w:tc>
        <w:tc>
          <w:tcPr>
            <w:tcW w:w="5540" w:type="dxa"/>
            <w:vAlign w:val="bottom"/>
            <w:shd w:val="clear" w:color="auto" w:fill="EEEEEE"/>
          </w:tcPr>
          <w:p>
            <w:pPr>
              <w:ind w:left="60"/>
              <w:spacing w:after="0"/>
              <w:rPr>
                <w:sz w:val="20"/>
                <w:szCs w:val="20"/>
                <w:color w:val="auto"/>
              </w:rPr>
            </w:pPr>
            <w:r>
              <w:rPr>
                <w:rFonts w:ascii="Arial" w:cs="Arial" w:eastAsia="Arial" w:hAnsi="Arial"/>
                <w:sz w:val="18"/>
                <w:szCs w:val="18"/>
                <w:color w:val="auto"/>
              </w:rPr>
              <w:t>Optoelectronics, Inc. and Comerica Bank</w:t>
            </w:r>
          </w:p>
        </w:tc>
        <w:tc>
          <w:tcPr>
            <w:tcW w:w="10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4" w:name="page65"/>
    <w:bookmarkEnd w:id="64"/>
    <w:p>
      <w:pPr>
        <w:ind w:left="940" w:hanging="661"/>
        <w:spacing w:after="0" w:line="199" w:lineRule="auto"/>
        <w:rPr>
          <w:sz w:val="20"/>
          <w:szCs w:val="20"/>
          <w:color w:val="auto"/>
        </w:rPr>
      </w:pPr>
      <w:r>
        <w:rPr>
          <w:rFonts w:ascii="Arial" w:cs="Arial" w:eastAsia="Arial" w:hAnsi="Arial"/>
          <w:sz w:val="34"/>
          <w:szCs w:val="34"/>
          <w:color w:val="auto"/>
          <w:vertAlign w:val="superscript"/>
        </w:rPr>
        <w:t>10.36.6</w:t>
      </w:r>
      <w:r>
        <w:rPr>
          <w:rFonts w:ascii="Arial" w:cs="Arial" w:eastAsia="Arial" w:hAnsi="Arial"/>
          <w:sz w:val="17"/>
          <w:szCs w:val="17"/>
          <w:color w:val="auto"/>
        </w:rPr>
        <w:t xml:space="preserv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Lien Construction Deed of Trust, dated June 30, 2015, among Applied Optoelectronics, Inc., East West Bank and Comerica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3003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83" w:lineRule="exact"/>
        <w:rPr>
          <w:sz w:val="20"/>
          <w:szCs w:val="20"/>
          <w:color w:val="auto"/>
        </w:rPr>
      </w:pPr>
    </w:p>
    <w:p>
      <w:pPr>
        <w:ind w:left="940" w:right="280" w:hanging="526"/>
        <w:spacing w:after="0" w:line="342" w:lineRule="auto"/>
        <w:rPr>
          <w:sz w:val="20"/>
          <w:szCs w:val="20"/>
          <w:color w:val="auto"/>
        </w:rPr>
      </w:pPr>
      <w:r>
        <w:rPr>
          <w:rFonts w:ascii="Arial" w:cs="Arial" w:eastAsia="Arial" w:hAnsi="Arial"/>
          <w:sz w:val="16"/>
          <w:szCs w:val="16"/>
          <w:color w:val="auto"/>
        </w:rPr>
        <w:t>10.37 Translation of Purchase and Sale Contract between Applied Optoelectronics, Inc., Taiwan Branch, and Chailease Finance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04" w:lineRule="exact"/>
        <w:rPr>
          <w:sz w:val="20"/>
          <w:szCs w:val="20"/>
          <w:color w:val="auto"/>
        </w:rPr>
      </w:pPr>
    </w:p>
    <w:p>
      <w:pPr>
        <w:ind w:left="940" w:hanging="661"/>
        <w:spacing w:after="0" w:line="264" w:lineRule="auto"/>
        <w:rPr>
          <w:sz w:val="20"/>
          <w:szCs w:val="20"/>
          <w:color w:val="auto"/>
        </w:rPr>
      </w:pPr>
      <w:r>
        <w:rPr>
          <w:rFonts w:ascii="Arial" w:cs="Arial" w:eastAsia="Arial" w:hAnsi="Arial"/>
          <w:sz w:val="18"/>
          <w:szCs w:val="18"/>
          <w:color w:val="auto"/>
        </w:rPr>
        <w:t>10.37.1 Translation of Finance Lease Agreement and Promissory Note between Applied Optoelectronics, Inc., Taiwan Branch, and Chailease Finance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411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001-36083</w:t>
            </w: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10.7</w:t>
            </w:r>
          </w:p>
        </w:tc>
        <w:tc>
          <w:tcPr>
            <w:tcW w:w="1260" w:type="dxa"/>
            <w:vAlign w:val="bottom"/>
          </w:tcPr>
          <w:p>
            <w:pPr>
              <w:ind w:left="380"/>
              <w:spacing w:after="0"/>
              <w:rPr>
                <w:sz w:val="20"/>
                <w:szCs w:val="20"/>
                <w:color w:val="auto"/>
              </w:rPr>
            </w:pPr>
            <w:r>
              <w:rPr>
                <w:rFonts w:ascii="Arial" w:cs="Arial" w:eastAsia="Arial" w:hAnsi="Arial"/>
                <w:sz w:val="18"/>
                <w:szCs w:val="18"/>
                <w:color w:val="auto"/>
                <w:w w:val="88"/>
              </w:rPr>
              <w:t>July 7, 2015</w:t>
            </w:r>
          </w:p>
        </w:tc>
      </w:tr>
      <w:tr>
        <w:trPr>
          <w:trHeight w:val="689"/>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001-36083</w:t>
            </w: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1260" w:type="dxa"/>
            <w:vAlign w:val="bottom"/>
          </w:tcPr>
          <w:p>
            <w:pPr>
              <w:ind w:left="380"/>
              <w:spacing w:after="0"/>
              <w:rPr>
                <w:sz w:val="20"/>
                <w:szCs w:val="20"/>
                <w:color w:val="auto"/>
              </w:rPr>
            </w:pPr>
            <w:r>
              <w:rPr>
                <w:rFonts w:ascii="Arial" w:cs="Arial" w:eastAsia="Arial" w:hAnsi="Arial"/>
                <w:sz w:val="18"/>
                <w:szCs w:val="18"/>
                <w:color w:val="auto"/>
                <w:w w:val="88"/>
              </w:rPr>
              <w:t>July 7, 2015</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001-36083</w:t>
            </w: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10.2</w:t>
            </w:r>
          </w:p>
        </w:tc>
        <w:tc>
          <w:tcPr>
            <w:tcW w:w="1260" w:type="dxa"/>
            <w:vAlign w:val="bottom"/>
          </w:tcPr>
          <w:p>
            <w:pPr>
              <w:ind w:left="380"/>
              <w:spacing w:after="0"/>
              <w:rPr>
                <w:sz w:val="20"/>
                <w:szCs w:val="20"/>
                <w:color w:val="auto"/>
              </w:rPr>
            </w:pPr>
            <w:r>
              <w:rPr>
                <w:rFonts w:ascii="Arial" w:cs="Arial" w:eastAsia="Arial" w:hAnsi="Arial"/>
                <w:sz w:val="18"/>
                <w:szCs w:val="18"/>
                <w:color w:val="auto"/>
                <w:w w:val="88"/>
              </w:rPr>
              <w:t>July 7, 2015</w:t>
            </w:r>
          </w:p>
        </w:tc>
      </w:tr>
    </w:tbl>
    <w:p>
      <w:pPr>
        <w:spacing w:after="0" w:line="642" w:lineRule="exact"/>
        <w:rPr>
          <w:sz w:val="20"/>
          <w:szCs w:val="20"/>
          <w:color w:val="auto"/>
        </w:rPr>
      </w:pPr>
    </w:p>
    <w:p>
      <w:pPr>
        <w:sectPr>
          <w:pgSz w:w="11900" w:h="16838" w:orient="portrait"/>
          <w:cols w:equalWidth="0" w:num="2">
            <w:col w:w="6300" w:space="560"/>
            <w:col w:w="4560"/>
          </w:cols>
          <w:pgMar w:left="240" w:top="827"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10.38</w:t>
            </w:r>
          </w:p>
        </w:tc>
        <w:tc>
          <w:tcPr>
            <w:tcW w:w="5720" w:type="dxa"/>
            <w:vAlign w:val="bottom"/>
            <w:shd w:val="clear" w:color="auto" w:fill="EEEEEE"/>
          </w:tcPr>
          <w:p>
            <w:pPr>
              <w:ind w:left="60"/>
              <w:spacing w:after="0"/>
              <w:rPr>
                <w:sz w:val="20"/>
                <w:szCs w:val="20"/>
                <w:color w:val="auto"/>
              </w:rPr>
            </w:pPr>
            <w:r>
              <w:rPr>
                <w:rFonts w:ascii="Arial" w:cs="Arial" w:eastAsia="Arial" w:hAnsi="Arial"/>
                <w:sz w:val="18"/>
                <w:szCs w:val="18"/>
                <w:color w:val="auto"/>
                <w:w w:val="98"/>
              </w:rPr>
              <w:t>Office Lease Agreement between Applied Optoelectronics, Inc. and GIG</w:t>
            </w:r>
          </w:p>
        </w:tc>
        <w:tc>
          <w:tcPr>
            <w:tcW w:w="8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4"/>
              </w:rPr>
              <w:t>10-Q</w:t>
            </w:r>
          </w:p>
        </w:tc>
        <w:tc>
          <w:tcPr>
            <w:tcW w:w="14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001-36083</w:t>
            </w:r>
          </w:p>
        </w:tc>
        <w:tc>
          <w:tcPr>
            <w:tcW w:w="8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10.1</w:t>
            </w:r>
          </w:p>
        </w:tc>
        <w:tc>
          <w:tcPr>
            <w:tcW w:w="1760" w:type="dxa"/>
            <w:vAlign w:val="bottom"/>
            <w:shd w:val="clear" w:color="auto" w:fill="EEEEEE"/>
          </w:tcPr>
          <w:p>
            <w:pPr>
              <w:jc w:val="center"/>
              <w:ind w:left="90"/>
              <w:spacing w:after="0"/>
              <w:rPr>
                <w:sz w:val="20"/>
                <w:szCs w:val="20"/>
                <w:color w:val="auto"/>
              </w:rPr>
            </w:pPr>
            <w:r>
              <w:rPr>
                <w:rFonts w:ascii="Arial" w:cs="Arial" w:eastAsia="Arial" w:hAnsi="Arial"/>
                <w:sz w:val="18"/>
                <w:szCs w:val="18"/>
                <w:color w:val="auto"/>
                <w:w w:val="90"/>
              </w:rPr>
              <w:t>November 9, 2015</w:t>
            </w:r>
          </w:p>
        </w:tc>
      </w:tr>
      <w:tr>
        <w:trPr>
          <w:trHeight w:val="230"/>
        </w:trPr>
        <w:tc>
          <w:tcPr>
            <w:tcW w:w="880" w:type="dxa"/>
            <w:vAlign w:val="bottom"/>
            <w:shd w:val="clear" w:color="auto" w:fill="EEEEEE"/>
          </w:tcPr>
          <w:p>
            <w:pPr>
              <w:spacing w:after="0"/>
              <w:rPr>
                <w:sz w:val="20"/>
                <w:szCs w:val="20"/>
                <w:color w:val="auto"/>
              </w:rPr>
            </w:pPr>
          </w:p>
        </w:tc>
        <w:tc>
          <w:tcPr>
            <w:tcW w:w="5720" w:type="dxa"/>
            <w:vAlign w:val="bottom"/>
            <w:shd w:val="clear" w:color="auto" w:fill="EEEEEE"/>
          </w:tcPr>
          <w:p>
            <w:pPr>
              <w:ind w:left="60"/>
              <w:spacing w:after="0"/>
              <w:rPr>
                <w:sz w:val="20"/>
                <w:szCs w:val="20"/>
                <w:color w:val="auto"/>
              </w:rPr>
            </w:pPr>
            <w:r>
              <w:rPr>
                <w:rFonts w:ascii="Arial" w:cs="Arial" w:eastAsia="Arial" w:hAnsi="Arial"/>
                <w:sz w:val="18"/>
                <w:szCs w:val="18"/>
                <w:color w:val="auto"/>
              </w:rPr>
              <w:t>VAOI Breckinridge, LLC dated November 5, 2015</w:t>
            </w:r>
          </w:p>
        </w:tc>
        <w:tc>
          <w:tcPr>
            <w:tcW w:w="84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1760" w:type="dxa"/>
            <w:vAlign w:val="bottom"/>
            <w:shd w:val="clear" w:color="auto" w:fill="EEEEEE"/>
          </w:tcPr>
          <w:p>
            <w:pPr>
              <w:spacing w:after="0"/>
              <w:rPr>
                <w:sz w:val="20"/>
                <w:szCs w:val="20"/>
                <w:color w:val="auto"/>
              </w:rPr>
            </w:pPr>
          </w:p>
        </w:tc>
      </w:tr>
      <w:tr>
        <w:trPr>
          <w:trHeight w:val="216"/>
        </w:trPr>
        <w:tc>
          <w:tcPr>
            <w:tcW w:w="66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660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w w:val="98"/>
              </w:rPr>
              <w:t>10.39† Applied Optoelectronics, Inc. Executive and Key Employee Bonus Plan</w:t>
            </w:r>
          </w:p>
        </w:tc>
        <w:tc>
          <w:tcPr>
            <w:tcW w:w="8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001-36083</w:t>
            </w:r>
          </w:p>
        </w:tc>
        <w:tc>
          <w:tcPr>
            <w:tcW w:w="8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10.1</w:t>
            </w:r>
          </w:p>
        </w:tc>
        <w:tc>
          <w:tcPr>
            <w:tcW w:w="1760" w:type="dxa"/>
            <w:vAlign w:val="bottom"/>
            <w:shd w:val="clear" w:color="auto" w:fill="EEEEEE"/>
          </w:tcPr>
          <w:p>
            <w:pPr>
              <w:jc w:val="center"/>
              <w:ind w:left="90"/>
              <w:spacing w:after="0"/>
              <w:rPr>
                <w:sz w:val="20"/>
                <w:szCs w:val="20"/>
                <w:color w:val="auto"/>
              </w:rPr>
            </w:pPr>
            <w:r>
              <w:rPr>
                <w:rFonts w:ascii="Arial" w:cs="Arial" w:eastAsia="Arial" w:hAnsi="Arial"/>
                <w:sz w:val="18"/>
                <w:szCs w:val="18"/>
                <w:color w:val="auto"/>
                <w:w w:val="89"/>
              </w:rPr>
              <w:t>December 21, 2015</w:t>
            </w:r>
          </w:p>
        </w:tc>
      </w:tr>
      <w:tr>
        <w:trPr>
          <w:trHeight w:val="216"/>
        </w:trPr>
        <w:tc>
          <w:tcPr>
            <w:tcW w:w="8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2"/>
        </w:trPr>
        <w:tc>
          <w:tcPr>
            <w:tcW w:w="8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10.40</w:t>
            </w:r>
          </w:p>
        </w:tc>
        <w:tc>
          <w:tcPr>
            <w:tcW w:w="572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5"/>
              </w:rPr>
              <w:t>Translation of US$2Million Credit Facility Agreement, dated December 22,</w:t>
            </w:r>
          </w:p>
        </w:tc>
        <w:tc>
          <w:tcPr>
            <w:tcW w:w="8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9"/>
              </w:rPr>
              <w:t>8-K</w:t>
            </w:r>
          </w:p>
        </w:tc>
        <w:tc>
          <w:tcPr>
            <w:tcW w:w="140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820" w:type="dxa"/>
            <w:vAlign w:val="bottom"/>
            <w:shd w:val="clear" w:color="auto" w:fill="EEEEEE"/>
          </w:tcPr>
          <w:p>
            <w:pPr>
              <w:jc w:val="right"/>
              <w:ind w:right="150"/>
              <w:spacing w:after="0" w:line="201" w:lineRule="exact"/>
              <w:rPr>
                <w:sz w:val="20"/>
                <w:szCs w:val="20"/>
                <w:color w:val="auto"/>
              </w:rPr>
            </w:pPr>
            <w:r>
              <w:rPr>
                <w:rFonts w:ascii="Arial" w:cs="Arial" w:eastAsia="Arial" w:hAnsi="Arial"/>
                <w:sz w:val="18"/>
                <w:szCs w:val="18"/>
                <w:color w:val="auto"/>
              </w:rPr>
              <w:t>10.1</w:t>
            </w:r>
          </w:p>
        </w:tc>
        <w:tc>
          <w:tcPr>
            <w:tcW w:w="1760" w:type="dxa"/>
            <w:vAlign w:val="bottom"/>
            <w:shd w:val="clear" w:color="auto" w:fill="EEEEEE"/>
          </w:tcPr>
          <w:p>
            <w:pPr>
              <w:jc w:val="center"/>
              <w:ind w:left="90"/>
              <w:spacing w:after="0" w:line="201" w:lineRule="exact"/>
              <w:rPr>
                <w:sz w:val="20"/>
                <w:szCs w:val="20"/>
                <w:color w:val="auto"/>
              </w:rPr>
            </w:pPr>
            <w:r>
              <w:rPr>
                <w:rFonts w:ascii="Arial" w:cs="Arial" w:eastAsia="Arial" w:hAnsi="Arial"/>
                <w:sz w:val="18"/>
                <w:szCs w:val="18"/>
                <w:color w:val="auto"/>
                <w:w w:val="89"/>
              </w:rPr>
              <w:t>December 29, 2015</w:t>
            </w:r>
          </w:p>
        </w:tc>
      </w:tr>
      <w:tr>
        <w:trPr>
          <w:trHeight w:val="216"/>
        </w:trPr>
        <w:tc>
          <w:tcPr>
            <w:tcW w:w="880" w:type="dxa"/>
            <w:vAlign w:val="bottom"/>
            <w:shd w:val="clear" w:color="auto" w:fill="EEEEEE"/>
          </w:tcPr>
          <w:p>
            <w:pPr>
              <w:spacing w:after="0"/>
              <w:rPr>
                <w:sz w:val="18"/>
                <w:szCs w:val="18"/>
                <w:color w:val="auto"/>
              </w:rPr>
            </w:pPr>
          </w:p>
        </w:tc>
        <w:tc>
          <w:tcPr>
            <w:tcW w:w="5720" w:type="dxa"/>
            <w:vAlign w:val="bottom"/>
            <w:shd w:val="clear" w:color="auto" w:fill="EEEEEE"/>
          </w:tcPr>
          <w:p>
            <w:pPr>
              <w:ind w:left="60"/>
              <w:spacing w:after="0"/>
              <w:rPr>
                <w:sz w:val="20"/>
                <w:szCs w:val="20"/>
                <w:color w:val="auto"/>
              </w:rPr>
            </w:pPr>
            <w:r>
              <w:rPr>
                <w:rFonts w:ascii="Arial" w:cs="Arial" w:eastAsia="Arial" w:hAnsi="Arial"/>
                <w:sz w:val="18"/>
                <w:szCs w:val="18"/>
                <w:color w:val="auto"/>
              </w:rPr>
              <w:t>2015, between Applied Optoelectronics, Inc. and Mega International</w:t>
            </w:r>
          </w:p>
        </w:tc>
        <w:tc>
          <w:tcPr>
            <w:tcW w:w="84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760" w:type="dxa"/>
            <w:vAlign w:val="bottom"/>
            <w:shd w:val="clear" w:color="auto" w:fill="EEEEEE"/>
          </w:tcPr>
          <w:p>
            <w:pPr>
              <w:spacing w:after="0"/>
              <w:rPr>
                <w:sz w:val="18"/>
                <w:szCs w:val="18"/>
                <w:color w:val="auto"/>
              </w:rPr>
            </w:pPr>
          </w:p>
        </w:tc>
      </w:tr>
      <w:tr>
        <w:trPr>
          <w:trHeight w:val="230"/>
        </w:trPr>
        <w:tc>
          <w:tcPr>
            <w:tcW w:w="880" w:type="dxa"/>
            <w:vAlign w:val="bottom"/>
            <w:shd w:val="clear" w:color="auto" w:fill="EEEEEE"/>
          </w:tcPr>
          <w:p>
            <w:pPr>
              <w:spacing w:after="0"/>
              <w:rPr>
                <w:sz w:val="20"/>
                <w:szCs w:val="20"/>
                <w:color w:val="auto"/>
              </w:rPr>
            </w:pPr>
          </w:p>
        </w:tc>
        <w:tc>
          <w:tcPr>
            <w:tcW w:w="5720" w:type="dxa"/>
            <w:vAlign w:val="bottom"/>
            <w:shd w:val="clear" w:color="auto" w:fill="EEEEEE"/>
          </w:tcPr>
          <w:p>
            <w:pPr>
              <w:ind w:left="60"/>
              <w:spacing w:after="0"/>
              <w:rPr>
                <w:sz w:val="20"/>
                <w:szCs w:val="20"/>
                <w:color w:val="auto"/>
              </w:rPr>
            </w:pPr>
            <w:r>
              <w:rPr>
                <w:rFonts w:ascii="Arial" w:cs="Arial" w:eastAsia="Arial" w:hAnsi="Arial"/>
                <w:sz w:val="18"/>
                <w:szCs w:val="18"/>
                <w:color w:val="auto"/>
              </w:rPr>
              <w:t>Commercial Bank Co., Ltd.</w:t>
            </w:r>
          </w:p>
        </w:tc>
        <w:tc>
          <w:tcPr>
            <w:tcW w:w="84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1760" w:type="dxa"/>
            <w:vAlign w:val="bottom"/>
            <w:shd w:val="clear" w:color="auto" w:fill="EEEEEE"/>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2"/>
        </w:trPr>
        <w:tc>
          <w:tcPr>
            <w:tcW w:w="88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10.41</w:t>
            </w:r>
          </w:p>
        </w:tc>
        <w:tc>
          <w:tcPr>
            <w:tcW w:w="5720" w:type="dxa"/>
            <w:vAlign w:val="bottom"/>
            <w:shd w:val="clear" w:color="auto" w:fill="EEEEEE"/>
          </w:tcPr>
          <w:p>
            <w:pPr>
              <w:ind w:left="60"/>
              <w:spacing w:after="0" w:line="201" w:lineRule="exact"/>
              <w:rPr>
                <w:sz w:val="20"/>
                <w:szCs w:val="20"/>
                <w:color w:val="auto"/>
              </w:rPr>
            </w:pPr>
            <w:r>
              <w:rPr>
                <w:rFonts w:ascii="Arial" w:cs="Arial" w:eastAsia="Arial" w:hAnsi="Arial"/>
                <w:sz w:val="18"/>
                <w:szCs w:val="18"/>
                <w:color w:val="auto"/>
                <w:w w:val="99"/>
              </w:rPr>
              <w:t>Translation of US$4 Million Credit Facility Agreement, dated December</w:t>
            </w:r>
          </w:p>
        </w:tc>
        <w:tc>
          <w:tcPr>
            <w:tcW w:w="8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9"/>
              </w:rPr>
              <w:t>8-K</w:t>
            </w:r>
          </w:p>
        </w:tc>
        <w:tc>
          <w:tcPr>
            <w:tcW w:w="140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001-36083</w:t>
            </w:r>
          </w:p>
        </w:tc>
        <w:tc>
          <w:tcPr>
            <w:tcW w:w="820" w:type="dxa"/>
            <w:vAlign w:val="bottom"/>
            <w:shd w:val="clear" w:color="auto" w:fill="EEEEEE"/>
          </w:tcPr>
          <w:p>
            <w:pPr>
              <w:jc w:val="right"/>
              <w:ind w:right="150"/>
              <w:spacing w:after="0" w:line="201" w:lineRule="exact"/>
              <w:rPr>
                <w:sz w:val="20"/>
                <w:szCs w:val="20"/>
                <w:color w:val="auto"/>
              </w:rPr>
            </w:pPr>
            <w:r>
              <w:rPr>
                <w:rFonts w:ascii="Arial" w:cs="Arial" w:eastAsia="Arial" w:hAnsi="Arial"/>
                <w:sz w:val="18"/>
                <w:szCs w:val="18"/>
                <w:color w:val="auto"/>
              </w:rPr>
              <w:t>10.1</w:t>
            </w:r>
          </w:p>
        </w:tc>
        <w:tc>
          <w:tcPr>
            <w:tcW w:w="1760" w:type="dxa"/>
            <w:vAlign w:val="bottom"/>
            <w:shd w:val="clear" w:color="auto" w:fill="EEEEEE"/>
          </w:tcPr>
          <w:p>
            <w:pPr>
              <w:jc w:val="center"/>
              <w:ind w:left="90"/>
              <w:spacing w:after="0" w:line="201" w:lineRule="exact"/>
              <w:rPr>
                <w:sz w:val="20"/>
                <w:szCs w:val="20"/>
                <w:color w:val="auto"/>
              </w:rPr>
            </w:pPr>
            <w:r>
              <w:rPr>
                <w:rFonts w:ascii="Arial" w:cs="Arial" w:eastAsia="Arial" w:hAnsi="Arial"/>
                <w:sz w:val="18"/>
                <w:szCs w:val="18"/>
                <w:color w:val="auto"/>
                <w:w w:val="89"/>
              </w:rPr>
              <w:t>December 29, 2015</w:t>
            </w:r>
          </w:p>
        </w:tc>
      </w:tr>
      <w:tr>
        <w:trPr>
          <w:trHeight w:val="216"/>
        </w:trPr>
        <w:tc>
          <w:tcPr>
            <w:tcW w:w="880" w:type="dxa"/>
            <w:vAlign w:val="bottom"/>
            <w:shd w:val="clear" w:color="auto" w:fill="EEEEEE"/>
          </w:tcPr>
          <w:p>
            <w:pPr>
              <w:spacing w:after="0"/>
              <w:rPr>
                <w:sz w:val="18"/>
                <w:szCs w:val="18"/>
                <w:color w:val="auto"/>
              </w:rPr>
            </w:pPr>
          </w:p>
        </w:tc>
        <w:tc>
          <w:tcPr>
            <w:tcW w:w="5720" w:type="dxa"/>
            <w:vAlign w:val="bottom"/>
            <w:shd w:val="clear" w:color="auto" w:fill="EEEEEE"/>
          </w:tcPr>
          <w:p>
            <w:pPr>
              <w:ind w:left="60"/>
              <w:spacing w:after="0"/>
              <w:rPr>
                <w:sz w:val="20"/>
                <w:szCs w:val="20"/>
                <w:color w:val="auto"/>
              </w:rPr>
            </w:pPr>
            <w:r>
              <w:rPr>
                <w:rFonts w:ascii="Arial" w:cs="Arial" w:eastAsia="Arial" w:hAnsi="Arial"/>
                <w:sz w:val="18"/>
                <w:szCs w:val="18"/>
                <w:color w:val="auto"/>
                <w:w w:val="98"/>
              </w:rPr>
              <w:t>22, 2015, between Applied Optoelectronics, Inc. and Mega International</w:t>
            </w:r>
          </w:p>
        </w:tc>
        <w:tc>
          <w:tcPr>
            <w:tcW w:w="84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760" w:type="dxa"/>
            <w:vAlign w:val="bottom"/>
            <w:shd w:val="clear" w:color="auto" w:fill="EEEEEE"/>
          </w:tcPr>
          <w:p>
            <w:pPr>
              <w:spacing w:after="0"/>
              <w:rPr>
                <w:sz w:val="18"/>
                <w:szCs w:val="18"/>
                <w:color w:val="auto"/>
              </w:rPr>
            </w:pPr>
          </w:p>
        </w:tc>
      </w:tr>
      <w:tr>
        <w:trPr>
          <w:trHeight w:val="230"/>
        </w:trPr>
        <w:tc>
          <w:tcPr>
            <w:tcW w:w="880" w:type="dxa"/>
            <w:vAlign w:val="bottom"/>
            <w:shd w:val="clear" w:color="auto" w:fill="EEEEEE"/>
          </w:tcPr>
          <w:p>
            <w:pPr>
              <w:spacing w:after="0"/>
              <w:rPr>
                <w:sz w:val="20"/>
                <w:szCs w:val="20"/>
                <w:color w:val="auto"/>
              </w:rPr>
            </w:pPr>
          </w:p>
        </w:tc>
        <w:tc>
          <w:tcPr>
            <w:tcW w:w="5720" w:type="dxa"/>
            <w:vAlign w:val="bottom"/>
            <w:shd w:val="clear" w:color="auto" w:fill="EEEEEE"/>
          </w:tcPr>
          <w:p>
            <w:pPr>
              <w:ind w:left="60"/>
              <w:spacing w:after="0"/>
              <w:rPr>
                <w:sz w:val="20"/>
                <w:szCs w:val="20"/>
                <w:color w:val="auto"/>
              </w:rPr>
            </w:pPr>
            <w:r>
              <w:rPr>
                <w:rFonts w:ascii="Arial" w:cs="Arial" w:eastAsia="Arial" w:hAnsi="Arial"/>
                <w:sz w:val="18"/>
                <w:szCs w:val="18"/>
                <w:color w:val="auto"/>
              </w:rPr>
              <w:t>Commercial Bank Co., Ltd.</w:t>
            </w:r>
          </w:p>
        </w:tc>
        <w:tc>
          <w:tcPr>
            <w:tcW w:w="84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1760" w:type="dxa"/>
            <w:vAlign w:val="bottom"/>
            <w:shd w:val="clear" w:color="auto" w:fill="EEEEEE"/>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21.1</w:t>
            </w:r>
          </w:p>
        </w:tc>
        <w:tc>
          <w:tcPr>
            <w:tcW w:w="5720" w:type="dxa"/>
            <w:vAlign w:val="bottom"/>
            <w:shd w:val="clear" w:color="auto" w:fill="EEEEEE"/>
          </w:tcPr>
          <w:p>
            <w:pPr>
              <w:ind w:left="60"/>
              <w:spacing w:after="0"/>
              <w:rPr>
                <w:sz w:val="20"/>
                <w:szCs w:val="20"/>
                <w:color w:val="auto"/>
              </w:rPr>
            </w:pPr>
            <w:r>
              <w:rPr>
                <w:rFonts w:ascii="Arial" w:cs="Arial" w:eastAsia="Arial" w:hAnsi="Arial"/>
                <w:sz w:val="18"/>
                <w:szCs w:val="18"/>
                <w:color w:val="auto"/>
              </w:rPr>
              <w:t>Subsidiaries of the registrant</w:t>
            </w:r>
          </w:p>
        </w:tc>
        <w:tc>
          <w:tcPr>
            <w:tcW w:w="8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333-190591</w:t>
            </w:r>
          </w:p>
        </w:tc>
        <w:tc>
          <w:tcPr>
            <w:tcW w:w="8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21.1</w:t>
            </w:r>
          </w:p>
        </w:tc>
        <w:tc>
          <w:tcPr>
            <w:tcW w:w="1760" w:type="dxa"/>
            <w:vAlign w:val="bottom"/>
            <w:shd w:val="clear" w:color="auto" w:fill="EEEEEE"/>
          </w:tcPr>
          <w:p>
            <w:pPr>
              <w:jc w:val="center"/>
              <w:ind w:left="70"/>
              <w:spacing w:after="0"/>
              <w:rPr>
                <w:sz w:val="20"/>
                <w:szCs w:val="20"/>
                <w:color w:val="auto"/>
              </w:rPr>
            </w:pPr>
            <w:r>
              <w:rPr>
                <w:rFonts w:ascii="Arial" w:cs="Arial" w:eastAsia="Arial" w:hAnsi="Arial"/>
                <w:sz w:val="18"/>
                <w:szCs w:val="18"/>
                <w:color w:val="auto"/>
                <w:w w:val="91"/>
              </w:rPr>
              <w:t>August 13, 2013</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23.1* Consent of Grant Thornton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24.1  Power of Attorney (see page 56 to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940" w:right="5020" w:hanging="435"/>
        <w:spacing w:after="0" w:line="312" w:lineRule="auto"/>
        <w:rPr>
          <w:sz w:val="20"/>
          <w:szCs w:val="20"/>
          <w:color w:val="auto"/>
        </w:rPr>
      </w:pPr>
      <w:r>
        <w:rPr>
          <w:rFonts w:ascii="Arial" w:cs="Arial" w:eastAsia="Arial" w:hAnsi="Arial"/>
          <w:sz w:val="16"/>
          <w:szCs w:val="16"/>
          <w:color w:val="auto"/>
        </w:rPr>
        <w:t>31.1* Certification of Principal Executive Officer Required Under Rule 13a-14(a) and 15d-14(a) of the Securities Exchange Act of 1934, as amended,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411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27" w:lineRule="exact"/>
        <w:rPr>
          <w:sz w:val="20"/>
          <w:szCs w:val="20"/>
          <w:color w:val="auto"/>
        </w:rPr>
      </w:pPr>
    </w:p>
    <w:p>
      <w:pPr>
        <w:ind w:left="940" w:right="5080" w:hanging="435"/>
        <w:spacing w:after="0" w:line="312" w:lineRule="auto"/>
        <w:rPr>
          <w:sz w:val="20"/>
          <w:szCs w:val="20"/>
          <w:color w:val="auto"/>
        </w:rPr>
      </w:pPr>
      <w:r>
        <w:rPr>
          <w:rFonts w:ascii="Arial" w:cs="Arial" w:eastAsia="Arial" w:hAnsi="Arial"/>
          <w:sz w:val="16"/>
          <w:szCs w:val="16"/>
          <w:color w:val="auto"/>
        </w:rPr>
        <w:t>31.2* Certification of Principal Financial Officer Required Under Rule 13a-14(a) and 15d-14(a) of the Securities Exchange Act of 1934, as amended,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411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27" w:lineRule="exact"/>
        <w:rPr>
          <w:sz w:val="20"/>
          <w:szCs w:val="20"/>
          <w:color w:val="auto"/>
        </w:rPr>
      </w:pPr>
    </w:p>
    <w:p>
      <w:pPr>
        <w:ind w:left="940" w:right="5080" w:hanging="435"/>
        <w:spacing w:after="0" w:line="279" w:lineRule="auto"/>
        <w:rPr>
          <w:sz w:val="20"/>
          <w:szCs w:val="20"/>
          <w:color w:val="auto"/>
        </w:rPr>
      </w:pPr>
      <w:r>
        <w:rPr>
          <w:rFonts w:ascii="Arial" w:cs="Arial" w:eastAsia="Arial" w:hAnsi="Arial"/>
          <w:sz w:val="17"/>
          <w:szCs w:val="17"/>
          <w:color w:val="auto"/>
        </w:rPr>
        <w:t>32.1* Certification of Principal Executive Officer and Principal Financial Officer Required Under Rule 13a-14(a) and 15d-14(a) of the Securities Exchange Act of 1934, as amended, and 18 U.S.C.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246620" cy="548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type w:val="continuous"/>
        </w:sectPr>
      </w:pPr>
    </w:p>
    <w:bookmarkStart w:id="65" w:name="page66"/>
    <w:bookmarkEnd w:id="65"/>
    <w:p>
      <w:pPr>
        <w:ind w:left="180"/>
        <w:spacing w:after="0"/>
        <w:rPr>
          <w:sz w:val="20"/>
          <w:szCs w:val="20"/>
          <w:color w:val="auto"/>
        </w:rPr>
      </w:pPr>
      <w:r>
        <w:rPr>
          <w:rFonts w:ascii="Arial" w:cs="Arial" w:eastAsia="Arial" w:hAnsi="Arial"/>
          <w:sz w:val="18"/>
          <w:szCs w:val="18"/>
          <w:color w:val="auto"/>
        </w:rPr>
        <w:t>101.INS**XBRL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101.SCH**XBRL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101.CAL**XBRL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101.DEF**XBRL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101.LAB**XBRL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101.PRE**XBRL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9" w:lineRule="exact"/>
        <w:rPr>
          <w:sz w:val="20"/>
          <w:szCs w:val="20"/>
          <w:color w:val="auto"/>
        </w:rPr>
      </w:pPr>
    </w:p>
    <w:p>
      <w:pPr>
        <w:ind w:left="1160" w:hanging="115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1160" w:hanging="1152"/>
        <w:spacing w:after="0" w:line="281" w:lineRule="auto"/>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 and these are not the official publicly filed financial statements of Applied Optoelectronics, Inc. The purpose of submitting these XBRL documents is to test the related format and technology, and, as a result, investors should continue to rely on the official filed version of the furnished documents and not rely on this information in making investment decisions. In accordance with Rule 402 of Regulation S-T, the information in these exhibits shall not be deemed to be “filed” for</w:t>
      </w:r>
    </w:p>
    <w:p>
      <w:pPr>
        <w:spacing w:after="0" w:line="3" w:lineRule="exact"/>
        <w:rPr>
          <w:sz w:val="20"/>
          <w:szCs w:val="20"/>
          <w:color w:val="auto"/>
        </w:rPr>
      </w:pPr>
    </w:p>
    <w:p>
      <w:pPr>
        <w:ind w:left="1160" w:right="20"/>
        <w:spacing w:after="0" w:line="250" w:lineRule="auto"/>
        <w:rPr>
          <w:sz w:val="20"/>
          <w:szCs w:val="20"/>
          <w:color w:val="auto"/>
        </w:rPr>
      </w:pPr>
      <w:r>
        <w:rPr>
          <w:rFonts w:ascii="Arial" w:cs="Arial" w:eastAsia="Arial" w:hAnsi="Arial"/>
          <w:sz w:val="18"/>
          <w:szCs w:val="18"/>
          <w:color w:val="auto"/>
        </w:rPr>
        <w:t>purposes of Section 18 of the Exchange Act, or otherwise subject to the liability of that section, and shall not be incorporated by reference into any registration statement or other document filed under the Securities Act, or the Exchange Act, except as shall be expressly set forth by specific reference in such filing.</w:t>
      </w:r>
    </w:p>
    <w:p>
      <w:pPr>
        <w:spacing w:after="0" w:line="1" w:lineRule="exact"/>
        <w:rPr>
          <w:sz w:val="20"/>
          <w:szCs w:val="20"/>
          <w:color w:val="auto"/>
        </w:rPr>
      </w:pPr>
    </w:p>
    <w:p>
      <w:pPr>
        <w:ind w:left="1160" w:hanging="115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27" w:right="27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INDEX TO CONSOLIDATED FINANCIAL STATEMENTS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6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Pages</w:t>
            </w:r>
          </w:p>
        </w:tc>
      </w:tr>
      <w:tr>
        <w:trPr>
          <w:trHeight w:val="426"/>
        </w:trPr>
        <w:tc>
          <w:tcPr>
            <w:tcW w:w="108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432"/>
        </w:trPr>
        <w:tc>
          <w:tcPr>
            <w:tcW w:w="1086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432"/>
        </w:trPr>
        <w:tc>
          <w:tcPr>
            <w:tcW w:w="1086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F-4</w:t>
            </w:r>
          </w:p>
        </w:tc>
      </w:tr>
      <w:tr>
        <w:trPr>
          <w:trHeight w:val="432"/>
        </w:trPr>
        <w:tc>
          <w:tcPr>
            <w:tcW w:w="10860" w:type="dxa"/>
            <w:vAlign w:val="bottom"/>
          </w:tcPr>
          <w:p>
            <w:pPr>
              <w:spacing w:after="0"/>
              <w:rPr>
                <w:sz w:val="20"/>
                <w:szCs w:val="20"/>
                <w:color w:val="auto"/>
              </w:rPr>
            </w:pPr>
            <w:r>
              <w:rPr>
                <w:rFonts w:ascii="Arial" w:cs="Arial" w:eastAsia="Arial" w:hAnsi="Arial"/>
                <w:sz w:val="18"/>
                <w:szCs w:val="18"/>
                <w:color w:val="auto"/>
              </w:rPr>
              <w:t>Consolidated Statements of Comprehensive Income (Loss)</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432"/>
        </w:trPr>
        <w:tc>
          <w:tcPr>
            <w:tcW w:w="10860" w:type="dxa"/>
            <w:vAlign w:val="bottom"/>
          </w:tcPr>
          <w:p>
            <w:pPr>
              <w:spacing w:after="0"/>
              <w:rPr>
                <w:sz w:val="20"/>
                <w:szCs w:val="20"/>
                <w:color w:val="auto"/>
              </w:rPr>
            </w:pPr>
            <w:r>
              <w:rPr>
                <w:rFonts w:ascii="Arial" w:cs="Arial" w:eastAsia="Arial" w:hAnsi="Arial"/>
                <w:sz w:val="18"/>
                <w:szCs w:val="18"/>
                <w:color w:val="auto"/>
              </w:rPr>
              <w:t>Consolidated Statements of Stockholders’ Equity</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432"/>
        </w:trPr>
        <w:tc>
          <w:tcPr>
            <w:tcW w:w="1086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432"/>
        </w:trPr>
        <w:tc>
          <w:tcPr>
            <w:tcW w:w="108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Applied Optoelectronics, Inc.</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the accompanying consolidated balance sheets of Applied Optoelectronics, Inc. (a Delaware corporation) and subsidiaries (the “Company”) as of December 31, 2015 and 2014, and the related consolidated statements of operations, comprehensive income (loss), changes in stockholders’ equity, and cash flows for each of the three years in the period ended December 31, 2015. These financial statements are the responsibility of the Company’s management. Our responsibility is to express an opinion on these financial statements based on our audits.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Applied Optoelectronics, Inc. and subsidiaries as of December 31, 2015 and 2014, and the results of their operations and their cash flows for each of the three years in the period ended December 31, 2015 in conformity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EEEEEE"/>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EEEEEE"/>
          </w:tcPr>
          <w:p>
            <w:pPr>
              <w:ind w:left="356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EEEEEE"/>
          </w:tcPr>
          <w:p>
            <w:pPr>
              <w:jc w:val="right"/>
              <w:ind w:right="8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28,074</w:t>
            </w:r>
          </w:p>
        </w:tc>
        <w:tc>
          <w:tcPr>
            <w:tcW w:w="600" w:type="dxa"/>
            <w:vAlign w:val="bottom"/>
            <w:gridSpan w:val="2"/>
            <w:shd w:val="clear" w:color="auto" w:fill="EEEEEE"/>
          </w:tcPr>
          <w:p>
            <w:pPr>
              <w:jc w:val="right"/>
              <w:ind w:right="3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32,175</w:t>
            </w: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77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7,886</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8,189</w:t>
            </w: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Accounts receivable - trade, net of allowance of $51 and $43, respectively</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38,775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31,589</w:t>
            </w:r>
          </w:p>
        </w:tc>
        <w:tc>
          <w:tcPr>
            <w:tcW w:w="0" w:type="dxa"/>
            <w:vAlign w:val="bottom"/>
          </w:tcPr>
          <w:p>
            <w:pPr>
              <w:spacing w:after="0"/>
              <w:rPr>
                <w:sz w:val="1"/>
                <w:szCs w:val="1"/>
                <w:color w:val="auto"/>
              </w:rPr>
            </w:pPr>
          </w:p>
        </w:tc>
      </w:tr>
      <w:tr>
        <w:trPr>
          <w:trHeight w:val="216"/>
        </w:trPr>
        <w:tc>
          <w:tcPr>
            <w:tcW w:w="77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66,238</w:t>
            </w: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33,780</w:t>
            </w: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Notes receivable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30"/>
        </w:trPr>
        <w:tc>
          <w:tcPr>
            <w:tcW w:w="77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8,236</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6,017</w:t>
            </w:r>
          </w:p>
        </w:tc>
        <w:tc>
          <w:tcPr>
            <w:tcW w:w="0" w:type="dxa"/>
            <w:vAlign w:val="bottom"/>
          </w:tcPr>
          <w:p>
            <w:pPr>
              <w:spacing w:after="0"/>
              <w:rPr>
                <w:sz w:val="1"/>
                <w:szCs w:val="1"/>
                <w:color w:val="auto"/>
              </w:rPr>
            </w:pPr>
          </w:p>
        </w:tc>
      </w:tr>
      <w:tr>
        <w:trPr>
          <w:trHeight w:val="210"/>
        </w:trPr>
        <w:tc>
          <w:tcPr>
            <w:tcW w:w="770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153,928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2"/>
              </w:rPr>
              <w:t>Property, plant and equipment, net of accumulated depreciation of $37,980 and $32,412, respectively</w:t>
            </w: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109,699</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64,808</w:t>
            </w: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Land use rights, net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77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3,900</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30"/>
        </w:trPr>
        <w:tc>
          <w:tcPr>
            <w:tcW w:w="7700" w:type="dxa"/>
            <w:vAlign w:val="bottom"/>
          </w:tcPr>
          <w:p>
            <w:pPr>
              <w:ind w:left="200"/>
              <w:spacing w:after="0"/>
              <w:rPr>
                <w:sz w:val="20"/>
                <w:szCs w:val="20"/>
                <w:color w:val="auto"/>
              </w:rPr>
            </w:pPr>
            <w:r>
              <w:rPr>
                <w:rFonts w:ascii="Arial" w:cs="Arial" w:eastAsia="Arial" w:hAnsi="Arial"/>
                <w:sz w:val="18"/>
                <w:szCs w:val="18"/>
                <w:color w:val="auto"/>
              </w:rPr>
              <w:t>Other assets, net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23"/>
        </w:trPr>
        <w:tc>
          <w:tcPr>
            <w:tcW w:w="7700" w:type="dxa"/>
            <w:vAlign w:val="bottom"/>
            <w:tcBorders>
              <w:top w:val="single" w:sz="8" w:color="EEEEEE"/>
              <w:bottom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ind w:right="84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273,475</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500" w:type="dxa"/>
            <w:vAlign w:val="bottom"/>
            <w:tcBorders>
              <w:top w:val="single" w:sz="8" w:color="auto"/>
              <w:bottom w:val="single" w:sz="8" w:color="auto"/>
            </w:tcBorders>
            <w:shd w:val="clear" w:color="auto" w:fill="EEEEEE"/>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183,670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2060"/>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Current portion of notes payable and long-term debt</w:t>
            </w:r>
          </w:p>
        </w:tc>
        <w:tc>
          <w:tcPr>
            <w:tcW w:w="12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30,908</w:t>
            </w:r>
          </w:p>
        </w:tc>
        <w:tc>
          <w:tcPr>
            <w:tcW w:w="60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9,591</w:t>
            </w:r>
          </w:p>
        </w:tc>
        <w:tc>
          <w:tcPr>
            <w:tcW w:w="0" w:type="dxa"/>
            <w:vAlign w:val="bottom"/>
          </w:tcPr>
          <w:p>
            <w:pPr>
              <w:spacing w:after="0"/>
              <w:rPr>
                <w:sz w:val="1"/>
                <w:szCs w:val="1"/>
                <w:color w:val="auto"/>
              </w:rPr>
            </w:pPr>
          </w:p>
        </w:tc>
      </w:tr>
      <w:tr>
        <w:trPr>
          <w:trHeight w:val="216"/>
        </w:trPr>
        <w:tc>
          <w:tcPr>
            <w:tcW w:w="77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28,668</w:t>
            </w: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30,984</w:t>
            </w: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Bank acceptance payable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30"/>
        </w:trPr>
        <w:tc>
          <w:tcPr>
            <w:tcW w:w="77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11,506</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6,755</w:t>
            </w:r>
          </w:p>
        </w:tc>
        <w:tc>
          <w:tcPr>
            <w:tcW w:w="0" w:type="dxa"/>
            <w:vAlign w:val="bottom"/>
          </w:tcPr>
          <w:p>
            <w:pPr>
              <w:spacing w:after="0"/>
              <w:rPr>
                <w:sz w:val="1"/>
                <w:szCs w:val="1"/>
                <w:color w:val="auto"/>
              </w:rPr>
            </w:pPr>
          </w:p>
        </w:tc>
      </w:tr>
      <w:tr>
        <w:trPr>
          <w:trHeight w:val="210"/>
        </w:trPr>
        <w:tc>
          <w:tcPr>
            <w:tcW w:w="770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Notes payable and long-term debt, less current portion</w:t>
            </w: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33,997</w:t>
            </w: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19,057</w:t>
            </w:r>
          </w:p>
        </w:tc>
        <w:tc>
          <w:tcPr>
            <w:tcW w:w="0" w:type="dxa"/>
            <w:vAlign w:val="bottom"/>
          </w:tcPr>
          <w:p>
            <w:pPr>
              <w:spacing w:after="0"/>
              <w:rPr>
                <w:sz w:val="1"/>
                <w:szCs w:val="1"/>
                <w:color w:val="auto"/>
              </w:rPr>
            </w:pPr>
          </w:p>
        </w:tc>
      </w:tr>
      <w:tr>
        <w:trPr>
          <w:trHeight w:val="230"/>
        </w:trPr>
        <w:tc>
          <w:tcPr>
            <w:tcW w:w="770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7700" w:type="dxa"/>
            <w:vAlign w:val="bottom"/>
            <w:tcBorders>
              <w:top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spacing w:after="0"/>
              <w:rPr>
                <w:sz w:val="18"/>
                <w:szCs w:val="18"/>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108,077</w:t>
            </w: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5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68,658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00" w:type="dxa"/>
            <w:vAlign w:val="bottom"/>
            <w:shd w:val="clear" w:color="auto" w:fill="EEEEEE"/>
          </w:tcPr>
          <w:p>
            <w:pPr>
              <w:ind w:left="200"/>
              <w:spacing w:after="0" w:line="201" w:lineRule="exact"/>
              <w:rPr>
                <w:sz w:val="20"/>
                <w:szCs w:val="20"/>
                <w:color w:val="auto"/>
              </w:rPr>
            </w:pPr>
            <w:r>
              <w:rPr>
                <w:rFonts w:ascii="Arial" w:cs="Arial" w:eastAsia="Arial" w:hAnsi="Arial"/>
                <w:sz w:val="18"/>
                <w:szCs w:val="18"/>
                <w:color w:val="auto"/>
                <w:w w:val="95"/>
              </w:rPr>
              <w:t>Preferred Stock; 5,000 shares authorized at $0.001 par value; no shares issued and outstanding at</w:t>
            </w:r>
          </w:p>
        </w:tc>
        <w:tc>
          <w:tcPr>
            <w:tcW w:w="2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December 31, 2015 or 2014, respectively</w:t>
            </w:r>
          </w:p>
        </w:tc>
        <w:tc>
          <w:tcPr>
            <w:tcW w:w="20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7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700" w:type="dxa"/>
            <w:vAlign w:val="bottom"/>
          </w:tcPr>
          <w:p>
            <w:pPr>
              <w:ind w:left="200"/>
              <w:spacing w:after="0" w:line="201" w:lineRule="exact"/>
              <w:rPr>
                <w:sz w:val="20"/>
                <w:szCs w:val="20"/>
                <w:color w:val="auto"/>
              </w:rPr>
            </w:pPr>
            <w:r>
              <w:rPr>
                <w:rFonts w:ascii="Arial" w:cs="Arial" w:eastAsia="Arial" w:hAnsi="Arial"/>
                <w:sz w:val="18"/>
                <w:szCs w:val="18"/>
                <w:color w:val="auto"/>
                <w:w w:val="92"/>
              </w:rPr>
              <w:t>Common Stock; 45,000 shares authorized at $0.001 par value; 16,839 and 14,824 shares issued and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400"/>
              <w:spacing w:after="0"/>
              <w:rPr>
                <w:sz w:val="20"/>
                <w:szCs w:val="20"/>
                <w:color w:val="auto"/>
              </w:rPr>
            </w:pPr>
            <w:r>
              <w:rPr>
                <w:rFonts w:ascii="Arial" w:cs="Arial" w:eastAsia="Arial" w:hAnsi="Arial"/>
                <w:sz w:val="18"/>
                <w:szCs w:val="18"/>
                <w:color w:val="auto"/>
              </w:rPr>
              <w:t>outstanding at December 31, 2015 and 2014, respectively</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7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233,336</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192,112</w:t>
            </w: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Accumulated other comprehensive gain</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30"/>
        </w:trPr>
        <w:tc>
          <w:tcPr>
            <w:tcW w:w="77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5"/>
              </w:rPr>
              <w:t>(68,247)</w:t>
            </w:r>
          </w:p>
        </w:tc>
        <w:tc>
          <w:tcPr>
            <w:tcW w:w="10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(79,040)</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EEEEEE"/>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165,398</w:t>
            </w:r>
          </w:p>
        </w:tc>
        <w:tc>
          <w:tcPr>
            <w:tcW w:w="1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115,012</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EEEEEE"/>
            </w:tcBorders>
            <w:shd w:val="clear" w:color="auto" w:fill="EEEEEE"/>
          </w:tcPr>
          <w:p>
            <w:pPr>
              <w:spacing w:after="0"/>
              <w:rPr>
                <w:sz w:val="19"/>
                <w:szCs w:val="19"/>
                <w:color w:val="auto"/>
              </w:rPr>
            </w:pPr>
          </w:p>
        </w:tc>
        <w:tc>
          <w:tcPr>
            <w:tcW w:w="1000" w:type="dxa"/>
            <w:vAlign w:val="bottom"/>
            <w:tcBorders>
              <w:bottom w:val="single" w:sz="8" w:color="auto"/>
            </w:tcBorders>
            <w:shd w:val="clear" w:color="auto" w:fill="EEEEEE"/>
          </w:tcPr>
          <w:p>
            <w:pPr>
              <w:jc w:val="right"/>
              <w:ind w:right="840"/>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273,475</w:t>
            </w:r>
          </w:p>
        </w:tc>
        <w:tc>
          <w:tcPr>
            <w:tcW w:w="1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500" w:type="dxa"/>
            <w:vAlign w:val="bottom"/>
            <w:tcBorders>
              <w:bottom w:val="single" w:sz="8" w:color="auto"/>
            </w:tcBorders>
            <w:shd w:val="clear" w:color="auto" w:fill="EEEEEE"/>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183,670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EEEEEE"/>
            </w:tcBorders>
          </w:tcPr>
          <w:p>
            <w:pPr>
              <w:spacing w:after="0"/>
              <w:rPr>
                <w:sz w:val="19"/>
                <w:szCs w:val="19"/>
                <w:color w:val="auto"/>
              </w:rPr>
            </w:pPr>
          </w:p>
        </w:tc>
        <w:tc>
          <w:tcPr>
            <w:tcW w:w="86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Revenue, net</w:t>
            </w:r>
          </w:p>
        </w:tc>
        <w:tc>
          <w:tcPr>
            <w:tcW w:w="86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189,903</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130,449</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78,424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Cost of goods sold</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129,450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86,203</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55,396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86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60,453</w:t>
            </w: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44,246</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23,028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20,852</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15,970</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6,043</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19,771</w:t>
            </w:r>
          </w:p>
        </w:tc>
        <w:tc>
          <w:tcPr>
            <w:tcW w:w="1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17,095</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10,632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47,004</w:t>
            </w:r>
          </w:p>
        </w:tc>
        <w:tc>
          <w:tcPr>
            <w:tcW w:w="1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39,108</w:t>
            </w:r>
          </w:p>
        </w:tc>
        <w:tc>
          <w:tcPr>
            <w:tcW w:w="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23,335</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860" w:type="dxa"/>
            <w:vAlign w:val="bottom"/>
            <w:shd w:val="clear" w:color="auto" w:fill="EEEEEE"/>
          </w:tcPr>
          <w:p>
            <w:pPr>
              <w:spacing w:after="0"/>
              <w:rPr>
                <w:sz w:val="18"/>
                <w:szCs w:val="18"/>
                <w:color w:val="auto"/>
              </w:rPr>
            </w:pPr>
          </w:p>
        </w:tc>
        <w:tc>
          <w:tcPr>
            <w:tcW w:w="300" w:type="dxa"/>
            <w:vAlign w:val="bottom"/>
            <w:tcBorders>
              <w:bottom w:val="single" w:sz="8" w:color="auto"/>
            </w:tcBorders>
            <w:shd w:val="clear" w:color="auto" w:fill="EEEEEE"/>
          </w:tcPr>
          <w:p>
            <w:pPr>
              <w:spacing w:after="0"/>
              <w:rPr>
                <w:sz w:val="18"/>
                <w:szCs w:val="18"/>
                <w:color w:val="auto"/>
              </w:rPr>
            </w:pP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13,449</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tcBorders>
              <w:bottom w:val="single" w:sz="8" w:color="auto"/>
            </w:tcBorders>
            <w:shd w:val="clear" w:color="auto" w:fill="EEEEEE"/>
          </w:tcPr>
          <w:p>
            <w:pPr>
              <w:spacing w:after="0"/>
              <w:rPr>
                <w:sz w:val="18"/>
                <w:szCs w:val="18"/>
                <w:color w:val="auto"/>
              </w:rPr>
            </w:pPr>
          </w:p>
        </w:tc>
        <w:tc>
          <w:tcPr>
            <w:tcW w:w="10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5,138</w:t>
            </w:r>
          </w:p>
        </w:tc>
        <w:tc>
          <w:tcPr>
            <w:tcW w:w="220" w:type="dxa"/>
            <w:vAlign w:val="bottom"/>
            <w:shd w:val="clear" w:color="auto" w:fill="EEEEEE"/>
          </w:tcPr>
          <w:p>
            <w:pPr>
              <w:spacing w:after="0"/>
              <w:rPr>
                <w:sz w:val="18"/>
                <w:szCs w:val="18"/>
                <w:color w:val="auto"/>
              </w:rPr>
            </w:pPr>
          </w:p>
        </w:tc>
        <w:tc>
          <w:tcPr>
            <w:tcW w:w="300" w:type="dxa"/>
            <w:vAlign w:val="bottom"/>
            <w:tcBorders>
              <w:bottom w:val="single" w:sz="8" w:color="auto"/>
            </w:tcBorders>
            <w:shd w:val="clear" w:color="auto" w:fill="EEEEEE"/>
          </w:tcPr>
          <w:p>
            <w:pPr>
              <w:spacing w:after="0"/>
              <w:rPr>
                <w:sz w:val="18"/>
                <w:szCs w:val="18"/>
                <w:color w:val="auto"/>
              </w:rPr>
            </w:pPr>
          </w:p>
        </w:tc>
        <w:tc>
          <w:tcPr>
            <w:tcW w:w="10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income (expense)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369</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(326)</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expense, net</w:t>
            </w:r>
          </w:p>
        </w:tc>
        <w:tc>
          <w:tcPr>
            <w:tcW w:w="8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(699)</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other expense</w:t>
            </w:r>
          </w:p>
        </w:tc>
        <w:tc>
          <w:tcPr>
            <w:tcW w:w="8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Income (loss) before income taxes</w:t>
            </w:r>
          </w:p>
        </w:tc>
        <w:tc>
          <w:tcPr>
            <w:tcW w:w="8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11,168</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4,482</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Income taxes</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86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10,793</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4,283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Basic</w:t>
            </w:r>
          </w:p>
        </w:tc>
        <w:tc>
          <w:tcPr>
            <w:tcW w:w="11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0.69</w:t>
            </w:r>
          </w:p>
        </w:tc>
        <w:tc>
          <w:tcPr>
            <w:tcW w:w="4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0.30</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Diluted</w:t>
            </w: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0.65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0.28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Weighted average shares used to compute net income (loss) per share: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Basic</w:t>
            </w:r>
          </w:p>
        </w:tc>
        <w:tc>
          <w:tcPr>
            <w:tcW w:w="8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15,626,753</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14,307,477</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9,964,955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Diluted</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16,532,850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15,186,961</w:t>
            </w: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9,964,955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0" w:name="page71"/>
    <w:bookmarkEnd w:id="70"/>
    <w:p>
      <w:pPr>
        <w:jc w:val="center"/>
        <w:ind w:left="260" w:right="2660"/>
        <w:spacing w:after="0" w:line="275" w:lineRule="auto"/>
        <w:rPr>
          <w:sz w:val="20"/>
          <w:szCs w:val="20"/>
          <w:color w:val="auto"/>
        </w:rPr>
      </w:pPr>
      <w:r>
        <w:rPr>
          <w:rFonts w:ascii="Arial" w:cs="Arial" w:eastAsia="Arial" w:hAnsi="Arial"/>
          <w:sz w:val="18"/>
          <w:szCs w:val="18"/>
          <w:b w:val="1"/>
          <w:bCs w:val="1"/>
          <w:color w:val="auto"/>
        </w:rPr>
        <w:t>Applied Optoelectronics, Inc. and Subsidiaries CONSOLIDATED STATEMENTS OF COMPREHENSIVE INCOME (LOSS)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720" w:type="dxa"/>
            <w:vAlign w:val="bottom"/>
            <w:tcBorders>
              <w:bottom w:val="single" w:sz="8" w:color="EEEEEE"/>
            </w:tcBorders>
          </w:tcPr>
          <w:p>
            <w:pPr>
              <w:spacing w:after="0"/>
              <w:rPr>
                <w:sz w:val="19"/>
                <w:szCs w:val="19"/>
                <w:color w:val="auto"/>
              </w:rPr>
            </w:pPr>
          </w:p>
        </w:tc>
        <w:tc>
          <w:tcPr>
            <w:tcW w:w="1040" w:type="dxa"/>
            <w:vAlign w:val="bottom"/>
            <w:tcBorders>
              <w:bottom w:val="single" w:sz="8" w:color="EEEEEE"/>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19"/>
                <w:szCs w:val="19"/>
                <w:color w:val="auto"/>
              </w:rPr>
            </w:pPr>
          </w:p>
        </w:tc>
      </w:tr>
      <w:tr>
        <w:trPr>
          <w:trHeight w:val="210"/>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104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10,793</w:t>
            </w: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4,283</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(1,406)</w:t>
            </w:r>
          </w:p>
        </w:tc>
        <w:tc>
          <w:tcPr>
            <w:tcW w:w="100" w:type="dxa"/>
            <w:vAlign w:val="bottom"/>
            <w:shd w:val="clear" w:color="auto" w:fill="EEEEEE"/>
          </w:tcPr>
          <w:p>
            <w:pPr>
              <w:spacing w:after="0"/>
              <w:rPr>
                <w:sz w:val="18"/>
                <w:szCs w:val="18"/>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(Loss) gain on foreign currency translation adjustment, net of tax</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(1,633)</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(439)</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348</w:t>
            </w:r>
          </w:p>
        </w:tc>
      </w:tr>
      <w:tr>
        <w:trPr>
          <w:trHeight w:val="223"/>
        </w:trPr>
        <w:tc>
          <w:tcPr>
            <w:tcW w:w="57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income (loss)</w:t>
            </w:r>
          </w:p>
        </w:tc>
        <w:tc>
          <w:tcPr>
            <w:tcW w:w="104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9,160</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3,844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2013, 2014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4"/>
                <w:szCs w:val="14"/>
                <w:color w:val="auto"/>
              </w:rPr>
            </w:pPr>
          </w:p>
        </w:tc>
        <w:tc>
          <w:tcPr>
            <w:tcW w:w="20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2"/>
                <w:szCs w:val="12"/>
                <w:color w:val="auto"/>
              </w:rPr>
            </w:pPr>
          </w:p>
        </w:tc>
        <w:tc>
          <w:tcPr>
            <w:tcW w:w="940" w:type="dxa"/>
            <w:vAlign w:val="bottom"/>
            <w:gridSpan w:val="2"/>
            <w:vMerge w:val="restart"/>
          </w:tcPr>
          <w:p>
            <w:pPr>
              <w:jc w:val="right"/>
              <w:ind w:right="79"/>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comprehensive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gain</w:t>
            </w:r>
          </w:p>
        </w:tc>
        <w:tc>
          <w:tcPr>
            <w:tcW w:w="120" w:type="dxa"/>
            <w:vAlign w:val="bottom"/>
          </w:tcPr>
          <w:p>
            <w:pPr>
              <w:spacing w:after="0"/>
              <w:rPr>
                <w:sz w:val="14"/>
                <w:szCs w:val="14"/>
                <w:color w:val="auto"/>
              </w:rPr>
            </w:pPr>
          </w:p>
        </w:tc>
        <w:tc>
          <w:tcPr>
            <w:tcW w:w="94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360" w:type="dxa"/>
            <w:vAlign w:val="bottom"/>
            <w:tcBorders>
              <w:top w:val="single" w:sz="8" w:color="EEEEEE"/>
            </w:tcBorders>
            <w:shd w:val="clear" w:color="auto" w:fill="EEEEEE"/>
          </w:tcPr>
          <w:p>
            <w:pPr>
              <w:spacing w:after="0" w:line="142" w:lineRule="exact"/>
              <w:rPr>
                <w:sz w:val="20"/>
                <w:szCs w:val="20"/>
                <w:color w:val="auto"/>
              </w:rPr>
            </w:pPr>
            <w:r>
              <w:rPr>
                <w:rFonts w:ascii="Arial" w:cs="Arial" w:eastAsia="Arial" w:hAnsi="Arial"/>
                <w:sz w:val="14"/>
                <w:szCs w:val="14"/>
                <w:color w:val="auto"/>
              </w:rPr>
              <w:t>January 1, 2013</w:t>
            </w:r>
          </w:p>
        </w:tc>
        <w:tc>
          <w:tcPr>
            <w:tcW w:w="100" w:type="dxa"/>
            <w:vAlign w:val="bottom"/>
            <w:tcBorders>
              <w:top w:val="single" w:sz="8" w:color="EEEEEE"/>
            </w:tcBorders>
            <w:shd w:val="clear" w:color="auto" w:fill="EEEEEE"/>
          </w:tcPr>
          <w:p>
            <w:pPr>
              <w:spacing w:after="0"/>
              <w:rPr>
                <w:sz w:val="12"/>
                <w:szCs w:val="12"/>
                <w:color w:val="auto"/>
              </w:rPr>
            </w:pP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5,547</w:t>
            </w:r>
          </w:p>
        </w:tc>
        <w:tc>
          <w:tcPr>
            <w:tcW w:w="14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EEEEEE"/>
            </w:tcBorders>
            <w:gridSpan w:val="2"/>
            <w:shd w:val="clear" w:color="auto" w:fill="EEEEEE"/>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105,367</w:t>
            </w:r>
          </w:p>
        </w:tc>
        <w:tc>
          <w:tcPr>
            <w:tcW w:w="2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266</w:t>
            </w:r>
          </w:p>
        </w:tc>
        <w:tc>
          <w:tcPr>
            <w:tcW w:w="2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1,074</w:t>
            </w:r>
          </w:p>
        </w:tc>
        <w:tc>
          <w:tcPr>
            <w:tcW w:w="14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EEEEEE"/>
            </w:tcBorders>
            <w:gridSpan w:val="2"/>
            <w:shd w:val="clear" w:color="auto" w:fill="EEEEEE"/>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4,468</w:t>
            </w:r>
          </w:p>
        </w:tc>
        <w:tc>
          <w:tcPr>
            <w:tcW w:w="12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gridSpan w:val="2"/>
            <w:shd w:val="clear" w:color="auto" w:fill="EEEEEE"/>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2,016</w:t>
            </w:r>
          </w:p>
        </w:tc>
        <w:tc>
          <w:tcPr>
            <w:tcW w:w="2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EEEEEE"/>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(81,917)</w:t>
            </w:r>
          </w:p>
        </w:tc>
        <w:tc>
          <w:tcPr>
            <w:tcW w:w="120" w:type="dxa"/>
            <w:vAlign w:val="bottom"/>
            <w:tcBorders>
              <w:top w:val="single" w:sz="8" w:color="EEEEEE"/>
            </w:tcBorders>
            <w:shd w:val="clear" w:color="auto" w:fill="EEEEEE"/>
          </w:tcPr>
          <w:p>
            <w:pPr>
              <w:spacing w:after="0"/>
              <w:rPr>
                <w:sz w:val="12"/>
                <w:szCs w:val="12"/>
                <w:color w:val="auto"/>
              </w:rPr>
            </w:pPr>
          </w:p>
        </w:tc>
        <w:tc>
          <w:tcPr>
            <w:tcW w:w="200" w:type="dxa"/>
            <w:vAlign w:val="bottom"/>
            <w:tcBorders>
              <w:top w:val="single" w:sz="8" w:color="EEEEEE"/>
            </w:tcBorders>
            <w:gridSpan w:val="2"/>
            <w:shd w:val="clear" w:color="auto" w:fill="EEEEEE"/>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31,008</w:t>
            </w: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Public offering of common stock, net</w:t>
            </w: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3,600</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31,445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31,448</w:t>
            </w:r>
          </w:p>
        </w:tc>
        <w:tc>
          <w:tcPr>
            <w:tcW w:w="0" w:type="dxa"/>
            <w:vAlign w:val="bottom"/>
          </w:tcPr>
          <w:p>
            <w:pPr>
              <w:spacing w:after="0"/>
              <w:rPr>
                <w:sz w:val="1"/>
                <w:szCs w:val="1"/>
                <w:color w:val="auto"/>
              </w:rPr>
            </w:pPr>
          </w:p>
        </w:tc>
      </w:tr>
      <w:tr>
        <w:trPr>
          <w:trHeight w:val="130"/>
        </w:trPr>
        <w:tc>
          <w:tcPr>
            <w:tcW w:w="2360" w:type="dxa"/>
            <w:vAlign w:val="bottom"/>
            <w:shd w:val="clear" w:color="auto" w:fill="EEEEEE"/>
          </w:tcPr>
          <w:p>
            <w:pPr>
              <w:spacing w:after="0" w:line="130" w:lineRule="exact"/>
              <w:rPr>
                <w:sz w:val="20"/>
                <w:szCs w:val="20"/>
                <w:color w:val="auto"/>
              </w:rPr>
            </w:pPr>
            <w:r>
              <w:rPr>
                <w:rFonts w:ascii="Arial" w:cs="Arial" w:eastAsia="Arial" w:hAnsi="Arial"/>
                <w:sz w:val="14"/>
                <w:szCs w:val="14"/>
                <w:color w:val="auto"/>
              </w:rPr>
              <w:t>Convert preferred stock common</w:t>
            </w:r>
          </w:p>
        </w:tc>
        <w:tc>
          <w:tcPr>
            <w:tcW w:w="10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60" w:type="dxa"/>
            <w:vAlign w:val="bottom"/>
            <w:shd w:val="clear" w:color="auto" w:fill="EEEEEE"/>
          </w:tcPr>
          <w:p>
            <w:pPr>
              <w:ind w:left="160"/>
              <w:spacing w:after="0"/>
              <w:rPr>
                <w:sz w:val="20"/>
                <w:szCs w:val="20"/>
                <w:color w:val="auto"/>
              </w:rPr>
            </w:pPr>
            <w:r>
              <w:rPr>
                <w:rFonts w:ascii="Arial" w:cs="Arial" w:eastAsia="Arial" w:hAnsi="Arial"/>
                <w:sz w:val="14"/>
                <w:szCs w:val="14"/>
                <w:color w:val="auto"/>
              </w:rPr>
              <w:t>stock upon public offering</w:t>
            </w:r>
          </w:p>
        </w:tc>
        <w:tc>
          <w:tcPr>
            <w:tcW w:w="1040" w:type="dxa"/>
            <w:vAlign w:val="bottom"/>
            <w:gridSpan w:val="3"/>
            <w:shd w:val="clear" w:color="auto" w:fill="EEEEEE"/>
          </w:tcPr>
          <w:p>
            <w:pPr>
              <w:jc w:val="right"/>
              <w:ind w:right="80"/>
              <w:spacing w:after="0"/>
              <w:rPr>
                <w:sz w:val="20"/>
                <w:szCs w:val="20"/>
                <w:color w:val="auto"/>
              </w:rPr>
            </w:pPr>
            <w:r>
              <w:rPr>
                <w:rFonts w:ascii="Arial" w:cs="Arial" w:eastAsia="Arial" w:hAnsi="Arial"/>
                <w:sz w:val="14"/>
                <w:szCs w:val="14"/>
                <w:color w:val="auto"/>
              </w:rPr>
              <w:t>(5,601)</w:t>
            </w:r>
          </w:p>
        </w:tc>
        <w:tc>
          <w:tcPr>
            <w:tcW w:w="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4"/>
                <w:szCs w:val="14"/>
                <w:color w:val="auto"/>
              </w:rPr>
              <w:t>(105,801)</w:t>
            </w:r>
          </w:p>
        </w:tc>
        <w:tc>
          <w:tcPr>
            <w:tcW w:w="1120" w:type="dxa"/>
            <w:vAlign w:val="bottom"/>
            <w:gridSpan w:val="3"/>
            <w:shd w:val="clear" w:color="auto" w:fill="EEEEEE"/>
          </w:tcPr>
          <w:p>
            <w:pPr>
              <w:jc w:val="right"/>
              <w:ind w:right="220"/>
              <w:spacing w:after="0"/>
              <w:rPr>
                <w:sz w:val="20"/>
                <w:szCs w:val="20"/>
                <w:color w:val="auto"/>
              </w:rPr>
            </w:pPr>
            <w:r>
              <w:rPr>
                <w:rFonts w:ascii="Arial" w:cs="Arial" w:eastAsia="Arial" w:hAnsi="Arial"/>
                <w:sz w:val="14"/>
                <w:szCs w:val="14"/>
                <w:color w:val="auto"/>
              </w:rPr>
              <w:t>8,739</w:t>
            </w:r>
          </w:p>
        </w:tc>
        <w:tc>
          <w:tcPr>
            <w:tcW w:w="10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80"/>
              <w:spacing w:after="0"/>
              <w:rPr>
                <w:sz w:val="20"/>
                <w:szCs w:val="20"/>
                <w:color w:val="auto"/>
              </w:rPr>
            </w:pPr>
            <w:r>
              <w:rPr>
                <w:rFonts w:ascii="Arial" w:cs="Arial" w:eastAsia="Arial" w:hAnsi="Arial"/>
                <w:sz w:val="14"/>
                <w:szCs w:val="14"/>
                <w:color w:val="auto"/>
              </w:rPr>
              <w:t>(1,211)</w:t>
            </w:r>
          </w:p>
        </w:tc>
        <w:tc>
          <w:tcPr>
            <w:tcW w:w="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107,012</w:t>
            </w:r>
          </w:p>
        </w:tc>
        <w:tc>
          <w:tcPr>
            <w:tcW w:w="10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Stock options exercised</w:t>
            </w: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23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Warrants exercised</w:t>
            </w:r>
          </w:p>
        </w:tc>
        <w:tc>
          <w:tcPr>
            <w:tcW w:w="9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54</w:t>
            </w:r>
          </w:p>
        </w:tc>
        <w:tc>
          <w:tcPr>
            <w:tcW w:w="1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434</w:t>
            </w:r>
          </w:p>
        </w:tc>
        <w:tc>
          <w:tcPr>
            <w:tcW w:w="9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10</w:t>
            </w: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8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60</w:t>
            </w:r>
          </w:p>
        </w:tc>
        <w:tc>
          <w:tcPr>
            <w:tcW w:w="1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149"/>
        </w:trPr>
        <w:tc>
          <w:tcPr>
            <w:tcW w:w="23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Net loss</w:t>
            </w:r>
          </w:p>
        </w:tc>
        <w:tc>
          <w:tcPr>
            <w:tcW w:w="10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39"/>
              <w:spacing w:after="0" w:line="149" w:lineRule="exact"/>
              <w:rPr>
                <w:sz w:val="20"/>
                <w:szCs w:val="20"/>
                <w:color w:val="auto"/>
              </w:rPr>
            </w:pPr>
            <w:r>
              <w:rPr>
                <w:rFonts w:ascii="Arial" w:cs="Arial" w:eastAsia="Arial" w:hAnsi="Arial"/>
                <w:sz w:val="14"/>
                <w:szCs w:val="14"/>
                <w:color w:val="auto"/>
              </w:rPr>
              <w:t>(1,406)</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60"/>
              <w:spacing w:after="0" w:line="149" w:lineRule="exact"/>
              <w:rPr>
                <w:sz w:val="20"/>
                <w:szCs w:val="20"/>
                <w:color w:val="auto"/>
              </w:rPr>
            </w:pPr>
            <w:r>
              <w:rPr>
                <w:rFonts w:ascii="Arial" w:cs="Arial" w:eastAsia="Arial" w:hAnsi="Arial"/>
                <w:sz w:val="14"/>
                <w:szCs w:val="14"/>
                <w:color w:val="auto"/>
              </w:rPr>
              <w:t>(1,406)</w:t>
            </w:r>
          </w:p>
        </w:tc>
        <w:tc>
          <w:tcPr>
            <w:tcW w:w="0" w:type="dxa"/>
            <w:vAlign w:val="bottom"/>
          </w:tcPr>
          <w:p>
            <w:pPr>
              <w:spacing w:after="0"/>
              <w:rPr>
                <w:sz w:val="1"/>
                <w:szCs w:val="1"/>
                <w:color w:val="auto"/>
              </w:rPr>
            </w:pPr>
          </w:p>
        </w:tc>
      </w:tr>
      <w:tr>
        <w:trPr>
          <w:trHeight w:val="130"/>
        </w:trPr>
        <w:tc>
          <w:tcPr>
            <w:tcW w:w="2360" w:type="dxa"/>
            <w:vAlign w:val="bottom"/>
          </w:tcPr>
          <w:p>
            <w:pPr>
              <w:spacing w:after="0" w:line="130" w:lineRule="exact"/>
              <w:rPr>
                <w:sz w:val="20"/>
                <w:szCs w:val="20"/>
                <w:color w:val="auto"/>
              </w:rPr>
            </w:pPr>
            <w:r>
              <w:rPr>
                <w:rFonts w:ascii="Arial" w:cs="Arial" w:eastAsia="Arial" w:hAnsi="Arial"/>
                <w:sz w:val="14"/>
                <w:szCs w:val="14"/>
                <w:color w:val="auto"/>
              </w:rPr>
              <w:t>Gain on foreign currency translation</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60" w:type="dxa"/>
            <w:vAlign w:val="bottom"/>
          </w:tcPr>
          <w:p>
            <w:pPr>
              <w:ind w:left="160"/>
              <w:spacing w:after="0"/>
              <w:rPr>
                <w:sz w:val="20"/>
                <w:szCs w:val="20"/>
                <w:color w:val="auto"/>
              </w:rPr>
            </w:pPr>
            <w:r>
              <w:rPr>
                <w:rFonts w:ascii="Arial" w:cs="Arial" w:eastAsia="Arial" w:hAnsi="Arial"/>
                <w:sz w:val="14"/>
                <w:szCs w:val="14"/>
                <w:color w:val="auto"/>
              </w:rPr>
              <w:t>adjustment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42"/>
        </w:trPr>
        <w:tc>
          <w:tcPr>
            <w:tcW w:w="2360" w:type="dxa"/>
            <w:vAlign w:val="bottom"/>
            <w:tcBorders>
              <w:top w:val="single" w:sz="8" w:color="EEEEEE"/>
            </w:tcBorders>
            <w:shd w:val="clear" w:color="auto" w:fill="EEEEEE"/>
          </w:tcPr>
          <w:p>
            <w:pPr>
              <w:spacing w:after="0" w:line="142" w:lineRule="exact"/>
              <w:rPr>
                <w:sz w:val="20"/>
                <w:szCs w:val="20"/>
                <w:color w:val="auto"/>
              </w:rPr>
            </w:pPr>
            <w:r>
              <w:rPr>
                <w:rFonts w:ascii="Arial" w:cs="Arial" w:eastAsia="Arial" w:hAnsi="Arial"/>
                <w:sz w:val="14"/>
                <w:szCs w:val="14"/>
                <w:color w:val="auto"/>
              </w:rPr>
              <w:t>December 31, 2013</w:t>
            </w:r>
          </w:p>
        </w:tc>
        <w:tc>
          <w:tcPr>
            <w:tcW w:w="100" w:type="dxa"/>
            <w:vAlign w:val="bottom"/>
            <w:tcBorders>
              <w:top w:val="single" w:sz="8" w:color="auto"/>
            </w:tcBorders>
            <w:shd w:val="clear" w:color="auto" w:fill="EEEEEE"/>
          </w:tcPr>
          <w:p>
            <w:pPr>
              <w:spacing w:after="0"/>
              <w:rPr>
                <w:sz w:val="12"/>
                <w:szCs w:val="12"/>
                <w:color w:val="auto"/>
              </w:rPr>
            </w:pP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EEEEEE"/>
            </w:tcBorders>
            <w:shd w:val="clear" w:color="auto" w:fill="EEEEEE"/>
          </w:tcPr>
          <w:p>
            <w:pPr>
              <w:spacing w:after="0"/>
              <w:rPr>
                <w:sz w:val="12"/>
                <w:szCs w:val="12"/>
                <w:color w:val="auto"/>
              </w:rPr>
            </w:pPr>
          </w:p>
        </w:tc>
        <w:tc>
          <w:tcPr>
            <w:tcW w:w="900" w:type="dxa"/>
            <w:vAlign w:val="bottom"/>
            <w:tcBorders>
              <w:top w:val="single" w:sz="8" w:color="auto"/>
            </w:tcBorders>
            <w:gridSpan w:val="2"/>
            <w:shd w:val="clear" w:color="auto" w:fill="EEEEEE"/>
          </w:tcPr>
          <w:p>
            <w:pPr>
              <w:jc w:val="right"/>
              <w:spacing w:after="0" w:line="142" w:lineRule="exact"/>
              <w:rPr>
                <w:sz w:val="20"/>
                <w:szCs w:val="20"/>
                <w:color w:val="auto"/>
              </w:rPr>
            </w:pPr>
            <w:r>
              <w:rPr>
                <w:rFonts w:ascii="Arial" w:cs="Arial" w:eastAsia="Arial" w:hAnsi="Arial"/>
                <w:sz w:val="14"/>
                <w:szCs w:val="14"/>
                <w:color w:val="auto"/>
              </w:rPr>
              <w:t>12,644</w:t>
            </w:r>
          </w:p>
        </w:tc>
        <w:tc>
          <w:tcPr>
            <w:tcW w:w="2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13</w:t>
            </w:r>
          </w:p>
        </w:tc>
        <w:tc>
          <w:tcPr>
            <w:tcW w:w="14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144,023</w:t>
            </w:r>
          </w:p>
        </w:tc>
        <w:tc>
          <w:tcPr>
            <w:tcW w:w="1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2,364</w:t>
            </w:r>
          </w:p>
        </w:tc>
        <w:tc>
          <w:tcPr>
            <w:tcW w:w="2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(83,323)</w:t>
            </w:r>
          </w:p>
        </w:tc>
        <w:tc>
          <w:tcPr>
            <w:tcW w:w="1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63,077</w:t>
            </w: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Public offering of common stock, net</w:t>
            </w: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2,025</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45,679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45,681</w:t>
            </w:r>
          </w:p>
        </w:tc>
        <w:tc>
          <w:tcPr>
            <w:tcW w:w="0" w:type="dxa"/>
            <w:vAlign w:val="bottom"/>
          </w:tcPr>
          <w:p>
            <w:pPr>
              <w:spacing w:after="0"/>
              <w:rPr>
                <w:sz w:val="1"/>
                <w:szCs w:val="1"/>
                <w:color w:val="auto"/>
              </w:rPr>
            </w:pPr>
          </w:p>
        </w:tc>
      </w:tr>
      <w:tr>
        <w:trPr>
          <w:trHeight w:val="149"/>
        </w:trPr>
        <w:tc>
          <w:tcPr>
            <w:tcW w:w="23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w w:val="99"/>
              </w:rPr>
              <w:t>Issuance of shares under equity plans</w:t>
            </w:r>
          </w:p>
        </w:tc>
        <w:tc>
          <w:tcPr>
            <w:tcW w:w="10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Stock options exercised</w:t>
            </w: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49"/>
        </w:trPr>
        <w:tc>
          <w:tcPr>
            <w:tcW w:w="23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Warrants exercised</w:t>
            </w:r>
          </w:p>
        </w:tc>
        <w:tc>
          <w:tcPr>
            <w:tcW w:w="10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19</w:t>
            </w: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Stock based compensation</w:t>
            </w: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149"/>
        </w:trPr>
        <w:tc>
          <w:tcPr>
            <w:tcW w:w="23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79"/>
              <w:spacing w:after="0" w:line="149" w:lineRule="exact"/>
              <w:rPr>
                <w:sz w:val="20"/>
                <w:szCs w:val="20"/>
                <w:color w:val="auto"/>
              </w:rPr>
            </w:pPr>
            <w:r>
              <w:rPr>
                <w:rFonts w:ascii="Arial" w:cs="Arial" w:eastAsia="Arial" w:hAnsi="Arial"/>
                <w:sz w:val="14"/>
                <w:szCs w:val="14"/>
                <w:color w:val="auto"/>
              </w:rPr>
              <w:t>4,283</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4,283</w:t>
            </w:r>
          </w:p>
        </w:tc>
        <w:tc>
          <w:tcPr>
            <w:tcW w:w="0" w:type="dxa"/>
            <w:vAlign w:val="bottom"/>
          </w:tcPr>
          <w:p>
            <w:pPr>
              <w:spacing w:after="0"/>
              <w:rPr>
                <w:sz w:val="1"/>
                <w:szCs w:val="1"/>
                <w:color w:val="auto"/>
              </w:rPr>
            </w:pPr>
          </w:p>
        </w:tc>
      </w:tr>
      <w:tr>
        <w:trPr>
          <w:trHeight w:val="130"/>
        </w:trPr>
        <w:tc>
          <w:tcPr>
            <w:tcW w:w="2360" w:type="dxa"/>
            <w:vAlign w:val="bottom"/>
          </w:tcPr>
          <w:p>
            <w:pPr>
              <w:spacing w:after="0" w:line="130" w:lineRule="exact"/>
              <w:rPr>
                <w:sz w:val="20"/>
                <w:szCs w:val="20"/>
                <w:color w:val="auto"/>
              </w:rPr>
            </w:pPr>
            <w:r>
              <w:rPr>
                <w:rFonts w:ascii="Arial" w:cs="Arial" w:eastAsia="Arial" w:hAnsi="Arial"/>
                <w:sz w:val="14"/>
                <w:szCs w:val="14"/>
                <w:color w:val="auto"/>
              </w:rPr>
              <w:t>Loss on foreign currency translation</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60" w:type="dxa"/>
            <w:vAlign w:val="bottom"/>
          </w:tcPr>
          <w:p>
            <w:pPr>
              <w:ind w:left="160"/>
              <w:spacing w:after="0"/>
              <w:rPr>
                <w:sz w:val="20"/>
                <w:szCs w:val="20"/>
                <w:color w:val="auto"/>
              </w:rPr>
            </w:pPr>
            <w:r>
              <w:rPr>
                <w:rFonts w:ascii="Arial" w:cs="Arial" w:eastAsia="Arial" w:hAnsi="Arial"/>
                <w:sz w:val="14"/>
                <w:szCs w:val="14"/>
                <w:color w:val="auto"/>
              </w:rPr>
              <w:t>adjustment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15"/>
                <w:szCs w:val="15"/>
                <w:color w:val="auto"/>
              </w:rPr>
            </w:pPr>
          </w:p>
        </w:tc>
        <w:tc>
          <w:tcPr>
            <w:tcW w:w="9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42"/>
        </w:trPr>
        <w:tc>
          <w:tcPr>
            <w:tcW w:w="2360" w:type="dxa"/>
            <w:vAlign w:val="bottom"/>
            <w:tcBorders>
              <w:top w:val="single" w:sz="8" w:color="EEEEEE"/>
            </w:tcBorders>
            <w:shd w:val="clear" w:color="auto" w:fill="EEEEEE"/>
          </w:tcPr>
          <w:p>
            <w:pPr>
              <w:spacing w:after="0" w:line="142" w:lineRule="exact"/>
              <w:rPr>
                <w:sz w:val="20"/>
                <w:szCs w:val="20"/>
                <w:color w:val="auto"/>
              </w:rPr>
            </w:pPr>
            <w:r>
              <w:rPr>
                <w:rFonts w:ascii="Arial" w:cs="Arial" w:eastAsia="Arial" w:hAnsi="Arial"/>
                <w:sz w:val="14"/>
                <w:szCs w:val="14"/>
                <w:color w:val="auto"/>
              </w:rPr>
              <w:t>December 31, 2014</w:t>
            </w:r>
          </w:p>
        </w:tc>
        <w:tc>
          <w:tcPr>
            <w:tcW w:w="100" w:type="dxa"/>
            <w:vAlign w:val="bottom"/>
            <w:tcBorders>
              <w:top w:val="single" w:sz="8" w:color="auto"/>
            </w:tcBorders>
            <w:shd w:val="clear" w:color="auto" w:fill="EEEEEE"/>
          </w:tcPr>
          <w:p>
            <w:pPr>
              <w:spacing w:after="0"/>
              <w:rPr>
                <w:sz w:val="12"/>
                <w:szCs w:val="12"/>
                <w:color w:val="auto"/>
              </w:rPr>
            </w:pP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EEEEEE"/>
            </w:tcBorders>
            <w:shd w:val="clear" w:color="auto" w:fill="EEEEEE"/>
          </w:tcPr>
          <w:p>
            <w:pPr>
              <w:spacing w:after="0"/>
              <w:rPr>
                <w:sz w:val="12"/>
                <w:szCs w:val="12"/>
                <w:color w:val="auto"/>
              </w:rPr>
            </w:pPr>
          </w:p>
        </w:tc>
        <w:tc>
          <w:tcPr>
            <w:tcW w:w="900" w:type="dxa"/>
            <w:vAlign w:val="bottom"/>
            <w:tcBorders>
              <w:top w:val="single" w:sz="8" w:color="auto"/>
            </w:tcBorders>
            <w:gridSpan w:val="2"/>
            <w:shd w:val="clear" w:color="auto" w:fill="EEEEEE"/>
          </w:tcPr>
          <w:p>
            <w:pPr>
              <w:jc w:val="right"/>
              <w:spacing w:after="0" w:line="142" w:lineRule="exact"/>
              <w:rPr>
                <w:sz w:val="20"/>
                <w:szCs w:val="20"/>
                <w:color w:val="auto"/>
              </w:rPr>
            </w:pPr>
            <w:r>
              <w:rPr>
                <w:rFonts w:ascii="Arial" w:cs="Arial" w:eastAsia="Arial" w:hAnsi="Arial"/>
                <w:sz w:val="14"/>
                <w:szCs w:val="14"/>
                <w:color w:val="auto"/>
              </w:rPr>
              <w:t>14,824</w:t>
            </w:r>
          </w:p>
        </w:tc>
        <w:tc>
          <w:tcPr>
            <w:tcW w:w="2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15</w:t>
            </w:r>
          </w:p>
        </w:tc>
        <w:tc>
          <w:tcPr>
            <w:tcW w:w="14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192,112</w:t>
            </w:r>
          </w:p>
        </w:tc>
        <w:tc>
          <w:tcPr>
            <w:tcW w:w="1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1,925</w:t>
            </w:r>
          </w:p>
        </w:tc>
        <w:tc>
          <w:tcPr>
            <w:tcW w:w="2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(79,040)</w:t>
            </w:r>
          </w:p>
        </w:tc>
        <w:tc>
          <w:tcPr>
            <w:tcW w:w="1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115,012</w:t>
            </w: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Public offering of common stock, net</w:t>
            </w: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1,857</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38,646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38,648</w:t>
            </w:r>
          </w:p>
        </w:tc>
        <w:tc>
          <w:tcPr>
            <w:tcW w:w="0" w:type="dxa"/>
            <w:vAlign w:val="bottom"/>
          </w:tcPr>
          <w:p>
            <w:pPr>
              <w:spacing w:after="0"/>
              <w:rPr>
                <w:sz w:val="1"/>
                <w:szCs w:val="1"/>
                <w:color w:val="auto"/>
              </w:rPr>
            </w:pPr>
          </w:p>
        </w:tc>
      </w:tr>
      <w:tr>
        <w:trPr>
          <w:trHeight w:val="149"/>
        </w:trPr>
        <w:tc>
          <w:tcPr>
            <w:tcW w:w="23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w w:val="99"/>
              </w:rPr>
              <w:t>Issuance of shares under equity plans</w:t>
            </w:r>
          </w:p>
        </w:tc>
        <w:tc>
          <w:tcPr>
            <w:tcW w:w="10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77</w:t>
            </w: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Stock options exercised</w:t>
            </w: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149"/>
        </w:trPr>
        <w:tc>
          <w:tcPr>
            <w:tcW w:w="236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Stock based compensation</w:t>
            </w:r>
          </w:p>
        </w:tc>
        <w:tc>
          <w:tcPr>
            <w:tcW w:w="10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120"/>
              <w:spacing w:after="0" w:line="149" w:lineRule="exact"/>
              <w:rPr>
                <w:sz w:val="20"/>
                <w:szCs w:val="20"/>
                <w:color w:val="auto"/>
              </w:rPr>
            </w:pPr>
            <w:r>
              <w:rPr>
                <w:rFonts w:ascii="Arial" w:cs="Arial" w:eastAsia="Arial" w:hAnsi="Arial"/>
                <w:sz w:val="14"/>
                <w:szCs w:val="14"/>
                <w:color w:val="auto"/>
              </w:rPr>
              <w:t>2,120</w:t>
            </w:r>
          </w:p>
        </w:tc>
        <w:tc>
          <w:tcPr>
            <w:tcW w:w="1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EEEEE"/>
          </w:tcPr>
          <w:p>
            <w:pPr>
              <w:spacing w:after="0"/>
              <w:rPr>
                <w:sz w:val="12"/>
                <w:szCs w:val="12"/>
                <w:color w:val="auto"/>
              </w:rPr>
            </w:pPr>
          </w:p>
        </w:tc>
        <w:tc>
          <w:tcPr>
            <w:tcW w:w="940" w:type="dxa"/>
            <w:vAlign w:val="bottom"/>
            <w:gridSpan w:val="2"/>
            <w:shd w:val="clear" w:color="auto" w:fill="EEEEEE"/>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2,120</w:t>
            </w:r>
          </w:p>
        </w:tc>
        <w:tc>
          <w:tcPr>
            <w:tcW w:w="0" w:type="dxa"/>
            <w:vAlign w:val="bottom"/>
          </w:tcPr>
          <w:p>
            <w:pPr>
              <w:spacing w:after="0"/>
              <w:rPr>
                <w:sz w:val="1"/>
                <w:szCs w:val="1"/>
                <w:color w:val="auto"/>
              </w:rPr>
            </w:pPr>
          </w:p>
        </w:tc>
      </w:tr>
      <w:tr>
        <w:trPr>
          <w:trHeight w:val="149"/>
        </w:trPr>
        <w:tc>
          <w:tcPr>
            <w:tcW w:w="23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10,793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10,793</w:t>
            </w:r>
          </w:p>
        </w:tc>
        <w:tc>
          <w:tcPr>
            <w:tcW w:w="0" w:type="dxa"/>
            <w:vAlign w:val="bottom"/>
          </w:tcPr>
          <w:p>
            <w:pPr>
              <w:spacing w:after="0"/>
              <w:rPr>
                <w:sz w:val="1"/>
                <w:szCs w:val="1"/>
                <w:color w:val="auto"/>
              </w:rPr>
            </w:pPr>
          </w:p>
        </w:tc>
      </w:tr>
      <w:tr>
        <w:trPr>
          <w:trHeight w:val="130"/>
        </w:trPr>
        <w:tc>
          <w:tcPr>
            <w:tcW w:w="2360" w:type="dxa"/>
            <w:vAlign w:val="bottom"/>
            <w:shd w:val="clear" w:color="auto" w:fill="EEEEEE"/>
          </w:tcPr>
          <w:p>
            <w:pPr>
              <w:spacing w:after="0" w:line="130" w:lineRule="exact"/>
              <w:rPr>
                <w:sz w:val="20"/>
                <w:szCs w:val="20"/>
                <w:color w:val="auto"/>
              </w:rPr>
            </w:pPr>
            <w:r>
              <w:rPr>
                <w:rFonts w:ascii="Arial" w:cs="Arial" w:eastAsia="Arial" w:hAnsi="Arial"/>
                <w:sz w:val="14"/>
                <w:szCs w:val="14"/>
                <w:color w:val="auto"/>
              </w:rPr>
              <w:t>Loss on foreign currency translation</w:t>
            </w:r>
          </w:p>
        </w:tc>
        <w:tc>
          <w:tcPr>
            <w:tcW w:w="10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60" w:type="dxa"/>
            <w:vAlign w:val="bottom"/>
            <w:shd w:val="clear" w:color="auto" w:fill="EEEEEE"/>
          </w:tcPr>
          <w:p>
            <w:pPr>
              <w:ind w:left="160"/>
              <w:spacing w:after="0"/>
              <w:rPr>
                <w:sz w:val="20"/>
                <w:szCs w:val="20"/>
                <w:color w:val="auto"/>
              </w:rPr>
            </w:pPr>
            <w:r>
              <w:rPr>
                <w:rFonts w:ascii="Arial" w:cs="Arial" w:eastAsia="Arial" w:hAnsi="Arial"/>
                <w:sz w:val="14"/>
                <w:szCs w:val="14"/>
                <w:color w:val="auto"/>
              </w:rPr>
              <w:t>adjustment</w:t>
            </w:r>
          </w:p>
        </w:tc>
        <w:tc>
          <w:tcPr>
            <w:tcW w:w="10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920" w:type="dxa"/>
            <w:vAlign w:val="bottom"/>
            <w:gridSpan w:val="2"/>
            <w:shd w:val="clear" w:color="auto" w:fill="EEEEEE"/>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4"/>
                <w:szCs w:val="14"/>
                <w:color w:val="auto"/>
              </w:rPr>
              <w:t>(1,633)</w:t>
            </w:r>
          </w:p>
        </w:tc>
        <w:tc>
          <w:tcPr>
            <w:tcW w:w="12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shd w:val="clear" w:color="auto" w:fill="EEEEEE"/>
          </w:tcPr>
          <w:p>
            <w:pPr>
              <w:spacing w:after="0"/>
              <w:rPr>
                <w:sz w:val="14"/>
                <w:szCs w:val="14"/>
                <w:color w:val="auto"/>
              </w:rPr>
            </w:pPr>
          </w:p>
        </w:tc>
        <w:tc>
          <w:tcPr>
            <w:tcW w:w="10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60"/>
              <w:spacing w:after="0"/>
              <w:rPr>
                <w:sz w:val="20"/>
                <w:szCs w:val="20"/>
                <w:color w:val="auto"/>
              </w:rPr>
            </w:pPr>
            <w:r>
              <w:rPr>
                <w:rFonts w:ascii="Arial" w:cs="Arial" w:eastAsia="Arial" w:hAnsi="Arial"/>
                <w:sz w:val="14"/>
                <w:szCs w:val="14"/>
                <w:color w:val="auto"/>
              </w:rPr>
              <w:t>(1,633)</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6"/>
        </w:trPr>
        <w:tc>
          <w:tcPr>
            <w:tcW w:w="2360" w:type="dxa"/>
            <w:vAlign w:val="bottom"/>
            <w:tcBorders>
              <w:top w:val="single" w:sz="8" w:color="EEEEEE"/>
              <w:bottom w:val="single" w:sz="8" w:color="EEEEEE"/>
            </w:tcBorders>
            <w:shd w:val="clear" w:color="auto" w:fill="EEEEEE"/>
          </w:tcPr>
          <w:p>
            <w:pPr>
              <w:spacing w:after="0" w:line="155" w:lineRule="exact"/>
              <w:rPr>
                <w:sz w:val="20"/>
                <w:szCs w:val="20"/>
                <w:color w:val="auto"/>
              </w:rPr>
            </w:pPr>
            <w:r>
              <w:rPr>
                <w:rFonts w:ascii="Arial" w:cs="Arial" w:eastAsia="Arial" w:hAnsi="Arial"/>
                <w:sz w:val="14"/>
                <w:szCs w:val="14"/>
                <w:color w:val="auto"/>
              </w:rPr>
              <w:t>December 31, 2015</w:t>
            </w:r>
          </w:p>
        </w:tc>
        <w:tc>
          <w:tcPr>
            <w:tcW w:w="100" w:type="dxa"/>
            <w:vAlign w:val="bottom"/>
            <w:tcBorders>
              <w:top w:val="single" w:sz="8" w:color="auto"/>
              <w:bottom w:val="single" w:sz="8" w:color="auto"/>
            </w:tcBorders>
            <w:shd w:val="clear" w:color="auto" w:fill="EEEEEE"/>
          </w:tcPr>
          <w:p>
            <w:pPr>
              <w:spacing w:after="0"/>
              <w:rPr>
                <w:sz w:val="13"/>
                <w:szCs w:val="13"/>
                <w:color w:val="auto"/>
              </w:rPr>
            </w:pPr>
          </w:p>
        </w:tc>
        <w:tc>
          <w:tcPr>
            <w:tcW w:w="8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EEEEEE"/>
              <w:bottom w:val="single" w:sz="8" w:color="EEEEEE"/>
            </w:tcBorders>
            <w:shd w:val="clear" w:color="auto" w:fill="EEEEEE"/>
          </w:tcPr>
          <w:p>
            <w:pPr>
              <w:spacing w:after="0"/>
              <w:rPr>
                <w:sz w:val="13"/>
                <w:szCs w:val="13"/>
                <w:color w:val="auto"/>
              </w:rPr>
            </w:pPr>
          </w:p>
        </w:tc>
        <w:tc>
          <w:tcPr>
            <w:tcW w:w="80" w:type="dxa"/>
            <w:vAlign w:val="bottom"/>
            <w:tcBorders>
              <w:top w:val="single" w:sz="8" w:color="EEEEEE"/>
              <w:bottom w:val="single" w:sz="8" w:color="EEEEEE"/>
            </w:tcBorders>
            <w:shd w:val="clear" w:color="auto" w:fill="EEEEEE"/>
          </w:tcPr>
          <w:p>
            <w:pPr>
              <w:spacing w:after="0"/>
              <w:rPr>
                <w:sz w:val="13"/>
                <w:szCs w:val="13"/>
                <w:color w:val="auto"/>
              </w:rPr>
            </w:pPr>
          </w:p>
        </w:tc>
        <w:tc>
          <w:tcPr>
            <w:tcW w:w="1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900" w:type="dxa"/>
            <w:vAlign w:val="bottom"/>
            <w:tcBorders>
              <w:top w:val="single" w:sz="8" w:color="auto"/>
              <w:bottom w:val="single" w:sz="8" w:color="auto"/>
            </w:tcBorders>
            <w:gridSpan w:val="2"/>
            <w:shd w:val="clear" w:color="auto" w:fill="EEEEEE"/>
          </w:tcPr>
          <w:p>
            <w:pPr>
              <w:jc w:val="right"/>
              <w:spacing w:after="0" w:line="155" w:lineRule="exact"/>
              <w:rPr>
                <w:sz w:val="20"/>
                <w:szCs w:val="20"/>
                <w:color w:val="auto"/>
              </w:rPr>
            </w:pPr>
            <w:r>
              <w:rPr>
                <w:rFonts w:ascii="Arial" w:cs="Arial" w:eastAsia="Arial" w:hAnsi="Arial"/>
                <w:sz w:val="14"/>
                <w:szCs w:val="14"/>
                <w:color w:val="auto"/>
              </w:rPr>
              <w:t>16,839</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17</w:t>
            </w:r>
          </w:p>
        </w:tc>
        <w:tc>
          <w:tcPr>
            <w:tcW w:w="140" w:type="dxa"/>
            <w:vAlign w:val="bottom"/>
            <w:tcBorders>
              <w:top w:val="single" w:sz="8" w:color="EEEEEE"/>
              <w:bottom w:val="single" w:sz="8" w:color="EEEEEE"/>
            </w:tcBorders>
            <w:shd w:val="clear" w:color="auto" w:fill="EEEEEE"/>
          </w:tcPr>
          <w:p>
            <w:pPr>
              <w:spacing w:after="0"/>
              <w:rPr>
                <w:sz w:val="13"/>
                <w:szCs w:val="13"/>
                <w:color w:val="auto"/>
              </w:rPr>
            </w:pPr>
          </w:p>
        </w:tc>
        <w:tc>
          <w:tcPr>
            <w:tcW w:w="80" w:type="dxa"/>
            <w:vAlign w:val="bottom"/>
            <w:tcBorders>
              <w:top w:val="single" w:sz="8" w:color="EEEEEE"/>
              <w:bottom w:val="single" w:sz="8" w:color="EEEEEE"/>
            </w:tcBorders>
            <w:shd w:val="clear" w:color="auto" w:fill="EEEEEE"/>
          </w:tcPr>
          <w:p>
            <w:pPr>
              <w:spacing w:after="0"/>
              <w:rPr>
                <w:sz w:val="13"/>
                <w:szCs w:val="13"/>
                <w:color w:val="auto"/>
              </w:rPr>
            </w:pPr>
          </w:p>
        </w:tc>
        <w:tc>
          <w:tcPr>
            <w:tcW w:w="1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233,336</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1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292</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(68,247</w:t>
            </w:r>
          </w:p>
        </w:tc>
        <w:tc>
          <w:tcPr>
            <w:tcW w:w="120" w:type="dxa"/>
            <w:vAlign w:val="bottom"/>
            <w:tcBorders>
              <w:top w:val="single" w:sz="8" w:color="EEEEEE"/>
              <w:bottom w:val="single" w:sz="8" w:color="EEEEEE"/>
            </w:tcBorders>
            <w:shd w:val="clear" w:color="auto" w:fill="EEEEEE"/>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165,398</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200" w:type="dxa"/>
            <w:vAlign w:val="bottom"/>
            <w:tcBorders>
              <w:bottom w:val="single" w:sz="8" w:color="EEEEEE"/>
            </w:tcBorders>
          </w:tcPr>
          <w:p>
            <w:pPr>
              <w:spacing w:after="0"/>
              <w:rPr>
                <w:sz w:val="19"/>
                <w:szCs w:val="19"/>
                <w:color w:val="auto"/>
              </w:rPr>
            </w:pPr>
          </w:p>
        </w:tc>
        <w:tc>
          <w:tcPr>
            <w:tcW w:w="56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19"/>
                <w:szCs w:val="19"/>
                <w:color w:val="auto"/>
              </w:rPr>
            </w:pPr>
          </w:p>
        </w:tc>
      </w:tr>
      <w:tr>
        <w:trPr>
          <w:trHeight w:val="210"/>
        </w:trPr>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Operating activities:</w:t>
            </w: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2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10,793</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4,283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(1,406)</w:t>
            </w:r>
          </w:p>
        </w:tc>
      </w:tr>
      <w:tr>
        <w:trPr>
          <w:trHeight w:val="216"/>
        </w:trPr>
        <w:tc>
          <w:tcPr>
            <w:tcW w:w="620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9"/>
              </w:rPr>
              <w:t>Adjustments to reconcile net income (loss) to net cash provided by (used in)</w:t>
            </w: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200" w:type="dxa"/>
            <w:vAlign w:val="bottom"/>
          </w:tcPr>
          <w:p>
            <w:pPr>
              <w:ind w:left="300"/>
              <w:spacing w:after="0"/>
              <w:rPr>
                <w:sz w:val="20"/>
                <w:szCs w:val="20"/>
                <w:color w:val="auto"/>
              </w:rPr>
            </w:pPr>
            <w:r>
              <w:rPr>
                <w:rFonts w:ascii="Arial" w:cs="Arial" w:eastAsia="Arial" w:hAnsi="Arial"/>
                <w:sz w:val="18"/>
                <w:szCs w:val="18"/>
                <w:color w:val="auto"/>
              </w:rPr>
              <w:t>operating activities: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Provision for obsolete inventory</w:t>
            </w: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2,832</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941</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492</w:t>
            </w:r>
          </w:p>
        </w:tc>
      </w:tr>
      <w:tr>
        <w:trPr>
          <w:trHeight w:val="216"/>
        </w:trPr>
        <w:tc>
          <w:tcPr>
            <w:tcW w:w="620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9,424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6,169</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3,407</w:t>
            </w:r>
          </w:p>
        </w:tc>
      </w:tr>
      <w:tr>
        <w:trPr>
          <w:trHeight w:val="216"/>
        </w:trPr>
        <w:tc>
          <w:tcPr>
            <w:tcW w:w="62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Loss on disposal of assets</w:t>
            </w: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6200" w:type="dxa"/>
            <w:vAlign w:val="bottom"/>
          </w:tcPr>
          <w:p>
            <w:pPr>
              <w:ind w:left="300"/>
              <w:spacing w:after="0"/>
              <w:rPr>
                <w:sz w:val="20"/>
                <w:szCs w:val="20"/>
                <w:color w:val="auto"/>
              </w:rPr>
            </w:pPr>
            <w:r>
              <w:rPr>
                <w:rFonts w:ascii="Arial" w:cs="Arial" w:eastAsia="Arial" w:hAnsi="Arial"/>
                <w:sz w:val="18"/>
                <w:szCs w:val="18"/>
                <w:color w:val="auto"/>
              </w:rPr>
              <w:t>Share-based compensation and warrant expense</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2,061</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1,069</w:t>
            </w:r>
          </w:p>
        </w:tc>
      </w:tr>
      <w:tr>
        <w:trPr>
          <w:trHeight w:val="216"/>
        </w:trPr>
        <w:tc>
          <w:tcPr>
            <w:tcW w:w="62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Unrealized foreign exchange loss</w:t>
            </w: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2,462</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1,288</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362</w:t>
            </w:r>
          </w:p>
        </w:tc>
      </w:tr>
      <w:tr>
        <w:trPr>
          <w:trHeight w:val="216"/>
        </w:trPr>
        <w:tc>
          <w:tcPr>
            <w:tcW w:w="620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Accounts receivable</w:t>
            </w: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(7,531)</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(9,703)</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(8,457)</w:t>
            </w:r>
          </w:p>
        </w:tc>
      </w:tr>
      <w:tr>
        <w:trPr>
          <w:trHeight w:val="216"/>
        </w:trPr>
        <w:tc>
          <w:tcPr>
            <w:tcW w:w="6200" w:type="dxa"/>
            <w:vAlign w:val="bottom"/>
          </w:tcPr>
          <w:p>
            <w:pPr>
              <w:ind w:left="300"/>
              <w:spacing w:after="0"/>
              <w:rPr>
                <w:sz w:val="20"/>
                <w:szCs w:val="20"/>
                <w:color w:val="auto"/>
              </w:rPr>
            </w:pPr>
            <w:r>
              <w:rPr>
                <w:rFonts w:ascii="Arial" w:cs="Arial" w:eastAsia="Arial" w:hAnsi="Arial"/>
                <w:sz w:val="18"/>
                <w:szCs w:val="18"/>
                <w:color w:val="auto"/>
              </w:rPr>
              <w:t>Notes receivable</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(977)</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1,036</w:t>
            </w:r>
          </w:p>
        </w:tc>
      </w:tr>
      <w:tr>
        <w:trPr>
          <w:trHeight w:val="216"/>
        </w:trPr>
        <w:tc>
          <w:tcPr>
            <w:tcW w:w="62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Inventory</w:t>
            </w: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(37,502)</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(16,105)</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(7,520)</w:t>
            </w:r>
          </w:p>
        </w:tc>
      </w:tr>
      <w:tr>
        <w:trPr>
          <w:trHeight w:val="216"/>
        </w:trPr>
        <w:tc>
          <w:tcPr>
            <w:tcW w:w="6200" w:type="dxa"/>
            <w:vAlign w:val="bottom"/>
          </w:tcPr>
          <w:p>
            <w:pPr>
              <w:ind w:left="300"/>
              <w:spacing w:after="0"/>
              <w:rPr>
                <w:sz w:val="20"/>
                <w:szCs w:val="20"/>
                <w:color w:val="auto"/>
              </w:rPr>
            </w:pPr>
            <w:r>
              <w:rPr>
                <w:rFonts w:ascii="Arial" w:cs="Arial" w:eastAsia="Arial" w:hAnsi="Arial"/>
                <w:sz w:val="18"/>
                <w:szCs w:val="18"/>
                <w:color w:val="auto"/>
              </w:rPr>
              <w:t>Other current assets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(745)</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(4,622)</w:t>
            </w:r>
          </w:p>
        </w:tc>
      </w:tr>
      <w:tr>
        <w:trPr>
          <w:trHeight w:val="216"/>
        </w:trPr>
        <w:tc>
          <w:tcPr>
            <w:tcW w:w="62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Accounts payable</w:t>
            </w: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18,947</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8,079</w:t>
            </w:r>
          </w:p>
        </w:tc>
      </w:tr>
      <w:tr>
        <w:trPr>
          <w:trHeight w:val="230"/>
        </w:trPr>
        <w:tc>
          <w:tcPr>
            <w:tcW w:w="6200" w:type="dxa"/>
            <w:vAlign w:val="bottom"/>
          </w:tcPr>
          <w:p>
            <w:pPr>
              <w:ind w:left="300"/>
              <w:spacing w:after="0"/>
              <w:rPr>
                <w:sz w:val="20"/>
                <w:szCs w:val="20"/>
                <w:color w:val="auto"/>
              </w:rPr>
            </w:pPr>
            <w:r>
              <w:rPr>
                <w:rFonts w:ascii="Arial" w:cs="Arial" w:eastAsia="Arial" w:hAnsi="Arial"/>
                <w:sz w:val="18"/>
                <w:szCs w:val="18"/>
                <w:color w:val="auto"/>
              </w:rPr>
              <w:t>Accrued liabilities</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2,359</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1,369</w:t>
            </w:r>
          </w:p>
        </w:tc>
      </w:tr>
      <w:tr>
        <w:trPr>
          <w:trHeight w:val="210"/>
        </w:trPr>
        <w:tc>
          <w:tcPr>
            <w:tcW w:w="62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cash provided by (used in) operating activities</w:t>
            </w:r>
          </w:p>
        </w:tc>
        <w:tc>
          <w:tcPr>
            <w:tcW w:w="56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(15,212</w:t>
            </w:r>
          </w:p>
        </w:tc>
        <w:tc>
          <w:tcPr>
            <w:tcW w:w="14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8,530</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(6,190</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Investing activities: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Purchase of short-term investments</w:t>
            </w: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(246)</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(7,970)</w:t>
            </w:r>
          </w:p>
        </w:tc>
      </w:tr>
      <w:tr>
        <w:trPr>
          <w:trHeight w:val="216"/>
        </w:trPr>
        <w:tc>
          <w:tcPr>
            <w:tcW w:w="6200" w:type="dxa"/>
            <w:vAlign w:val="bottom"/>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(57,080)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(41,129)</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(9,600)</w:t>
            </w:r>
          </w:p>
        </w:tc>
      </w:tr>
      <w:tr>
        <w:trPr>
          <w:trHeight w:val="216"/>
        </w:trPr>
        <w:tc>
          <w:tcPr>
            <w:tcW w:w="62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disposal of equipment</w:t>
            </w: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47</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tcPr>
          <w:p>
            <w:pPr>
              <w:ind w:left="160"/>
              <w:spacing w:after="0"/>
              <w:rPr>
                <w:sz w:val="20"/>
                <w:szCs w:val="20"/>
                <w:color w:val="auto"/>
              </w:rPr>
            </w:pPr>
            <w:r>
              <w:rPr>
                <w:rFonts w:ascii="Arial" w:cs="Arial" w:eastAsia="Arial" w:hAnsi="Arial"/>
                <w:sz w:val="18"/>
                <w:szCs w:val="18"/>
                <w:color w:val="auto"/>
              </w:rPr>
              <w:t>Deposits and deferred charges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(4,238)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(720)</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62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Purchase of intangible assets</w:t>
            </w:r>
          </w:p>
        </w:tc>
        <w:tc>
          <w:tcPr>
            <w:tcW w:w="5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(3,340)</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(123)</w:t>
            </w:r>
          </w:p>
        </w:tc>
      </w:tr>
      <w:tr>
        <w:trPr>
          <w:trHeight w:val="210"/>
        </w:trPr>
        <w:tc>
          <w:tcPr>
            <w:tcW w:w="62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(61,620</w:t>
            </w:r>
          </w:p>
        </w:tc>
        <w:tc>
          <w:tcPr>
            <w:tcW w:w="14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(45,388</w:t>
            </w:r>
          </w:p>
        </w:tc>
        <w:tc>
          <w:tcPr>
            <w:tcW w:w="220" w:type="dxa"/>
            <w:vAlign w:val="bottom"/>
            <w:tcBorders>
              <w:bottom w:val="single" w:sz="8" w:color="EEEEEE"/>
            </w:tcBorders>
          </w:tcPr>
          <w:p>
            <w:pPr>
              <w:jc w:val="right"/>
              <w:ind w:right="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(17,736</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Financing activities:</w:t>
            </w: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200" w:type="dxa"/>
            <w:vAlign w:val="bottom"/>
          </w:tcPr>
          <w:p>
            <w:pPr>
              <w:ind w:left="160"/>
              <w:spacing w:after="0"/>
              <w:rPr>
                <w:sz w:val="20"/>
                <w:szCs w:val="20"/>
                <w:color w:val="auto"/>
              </w:rPr>
            </w:pPr>
            <w:r>
              <w:rPr>
                <w:rFonts w:ascii="Arial" w:cs="Arial" w:eastAsia="Arial" w:hAnsi="Arial"/>
                <w:sz w:val="18"/>
                <w:szCs w:val="18"/>
                <w:color w:val="auto"/>
              </w:rPr>
              <w:t>Proceeds from issuance of notes payable and long-term debt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16,944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8,150</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2,851</w:t>
            </w:r>
          </w:p>
        </w:tc>
      </w:tr>
      <w:tr>
        <w:trPr>
          <w:trHeight w:val="216"/>
        </w:trPr>
        <w:tc>
          <w:tcPr>
            <w:tcW w:w="62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Principal payments of long-term debt and notes payable</w:t>
            </w: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(2,413)</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(8,076)</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(285)</w:t>
            </w:r>
          </w:p>
        </w:tc>
      </w:tr>
      <w:tr>
        <w:trPr>
          <w:trHeight w:val="216"/>
        </w:trPr>
        <w:tc>
          <w:tcPr>
            <w:tcW w:w="6200" w:type="dxa"/>
            <w:vAlign w:val="bottom"/>
          </w:tcPr>
          <w:p>
            <w:pPr>
              <w:ind w:left="160"/>
              <w:spacing w:after="0"/>
              <w:rPr>
                <w:sz w:val="20"/>
                <w:szCs w:val="20"/>
                <w:color w:val="auto"/>
              </w:rPr>
            </w:pPr>
            <w:r>
              <w:rPr>
                <w:rFonts w:ascii="Arial" w:cs="Arial" w:eastAsia="Arial" w:hAnsi="Arial"/>
                <w:sz w:val="18"/>
                <w:szCs w:val="18"/>
                <w:color w:val="auto"/>
              </w:rPr>
              <w:t>Proceeds from line of credit borrowings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144,386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53,658</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23,192</w:t>
            </w:r>
          </w:p>
        </w:tc>
      </w:tr>
      <w:tr>
        <w:trPr>
          <w:trHeight w:val="216"/>
        </w:trPr>
        <w:tc>
          <w:tcPr>
            <w:tcW w:w="62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Repayments of line of credit borrowings</w:t>
            </w: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(121,386)</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(50,733)</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(23,008)</w:t>
            </w:r>
          </w:p>
        </w:tc>
      </w:tr>
      <w:tr>
        <w:trPr>
          <w:trHeight w:val="216"/>
        </w:trPr>
        <w:tc>
          <w:tcPr>
            <w:tcW w:w="6200" w:type="dxa"/>
            <w:vAlign w:val="bottom"/>
          </w:tcPr>
          <w:p>
            <w:pPr>
              <w:ind w:left="160"/>
              <w:spacing w:after="0"/>
              <w:rPr>
                <w:sz w:val="20"/>
                <w:szCs w:val="20"/>
                <w:color w:val="auto"/>
              </w:rPr>
            </w:pPr>
            <w:r>
              <w:rPr>
                <w:rFonts w:ascii="Arial" w:cs="Arial" w:eastAsia="Arial" w:hAnsi="Arial"/>
                <w:sz w:val="18"/>
                <w:szCs w:val="18"/>
                <w:color w:val="auto"/>
              </w:rPr>
              <w:t>Proceeds from bank acceptance payable</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8,257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5,925</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6,778</w:t>
            </w:r>
          </w:p>
        </w:tc>
      </w:tr>
      <w:tr>
        <w:trPr>
          <w:trHeight w:val="216"/>
        </w:trPr>
        <w:tc>
          <w:tcPr>
            <w:tcW w:w="62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Repayments of bank acceptance payable</w:t>
            </w: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(6,361)</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(6,986)</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(6,026)</w:t>
            </w:r>
          </w:p>
        </w:tc>
      </w:tr>
      <w:tr>
        <w:trPr>
          <w:trHeight w:val="216"/>
        </w:trPr>
        <w:tc>
          <w:tcPr>
            <w:tcW w:w="6200" w:type="dxa"/>
            <w:vAlign w:val="bottom"/>
          </w:tcPr>
          <w:p>
            <w:pPr>
              <w:ind w:left="160"/>
              <w:spacing w:after="0"/>
              <w:rPr>
                <w:sz w:val="20"/>
                <w:szCs w:val="20"/>
                <w:color w:val="auto"/>
              </w:rPr>
            </w:pPr>
            <w:r>
              <w:rPr>
                <w:rFonts w:ascii="Arial" w:cs="Arial" w:eastAsia="Arial" w:hAnsi="Arial"/>
                <w:sz w:val="18"/>
                <w:szCs w:val="18"/>
                <w:color w:val="auto"/>
              </w:rPr>
              <w:t>Repayments of note payable</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Decrease (increase) in restricted cash</w:t>
            </w: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(4,419)</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266</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620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365</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r>
      <w:tr>
        <w:trPr>
          <w:trHeight w:val="216"/>
        </w:trPr>
        <w:tc>
          <w:tcPr>
            <w:tcW w:w="62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 of warrants</w:t>
            </w: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494</w:t>
            </w:r>
          </w:p>
        </w:tc>
      </w:tr>
      <w:tr>
        <w:trPr>
          <w:trHeight w:val="216"/>
        </w:trPr>
        <w:tc>
          <w:tcPr>
            <w:tcW w:w="6200" w:type="dxa"/>
            <w:vAlign w:val="bottom"/>
          </w:tcPr>
          <w:p>
            <w:pPr>
              <w:ind w:left="160"/>
              <w:spacing w:after="0"/>
              <w:rPr>
                <w:sz w:val="20"/>
                <w:szCs w:val="20"/>
                <w:color w:val="auto"/>
              </w:rPr>
            </w:pPr>
            <w:r>
              <w:rPr>
                <w:rFonts w:ascii="Arial" w:cs="Arial" w:eastAsia="Arial" w:hAnsi="Arial"/>
                <w:sz w:val="18"/>
                <w:szCs w:val="18"/>
                <w:color w:val="auto"/>
              </w:rPr>
              <w:t>Proceeds from common stock offering, net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38,648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45,681</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31,448</w:t>
            </w:r>
          </w:p>
        </w:tc>
      </w:tr>
      <w:tr>
        <w:trPr>
          <w:trHeight w:val="230"/>
        </w:trPr>
        <w:tc>
          <w:tcPr>
            <w:tcW w:w="62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62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56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73,114</w:t>
            </w:r>
          </w:p>
        </w:tc>
        <w:tc>
          <w:tcPr>
            <w:tcW w:w="14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47,250</w:t>
            </w:r>
          </w:p>
        </w:tc>
        <w:tc>
          <w:tcPr>
            <w:tcW w:w="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35,368</w:t>
            </w:r>
          </w:p>
        </w:tc>
        <w:tc>
          <w:tcPr>
            <w:tcW w:w="100" w:type="dxa"/>
            <w:vAlign w:val="bottom"/>
            <w:tcBorders>
              <w:bottom w:val="single" w:sz="8" w:color="EEEEEE"/>
            </w:tcBorders>
          </w:tcPr>
          <w:p>
            <w:pPr>
              <w:spacing w:after="0"/>
              <w:rPr>
                <w:sz w:val="18"/>
                <w:szCs w:val="18"/>
                <w:color w:val="auto"/>
              </w:rPr>
            </w:pPr>
          </w:p>
        </w:tc>
      </w:tr>
      <w:tr>
        <w:trPr>
          <w:trHeight w:val="210"/>
        </w:trPr>
        <w:tc>
          <w:tcPr>
            <w:tcW w:w="62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560" w:type="dxa"/>
            <w:vAlign w:val="bottom"/>
            <w:shd w:val="clear" w:color="auto" w:fill="EEEEEE"/>
          </w:tcPr>
          <w:p>
            <w:pPr>
              <w:spacing w:after="0"/>
              <w:rPr>
                <w:sz w:val="18"/>
                <w:szCs w:val="18"/>
                <w:color w:val="auto"/>
              </w:rPr>
            </w:pPr>
          </w:p>
        </w:tc>
        <w:tc>
          <w:tcPr>
            <w:tcW w:w="300" w:type="dxa"/>
            <w:vAlign w:val="bottom"/>
            <w:tcBorders>
              <w:bottom w:val="single" w:sz="8" w:color="auto"/>
            </w:tcBorders>
            <w:shd w:val="clear" w:color="auto" w:fill="EEEEEE"/>
          </w:tcPr>
          <w:p>
            <w:pPr>
              <w:spacing w:after="0"/>
              <w:rPr>
                <w:sz w:val="18"/>
                <w:szCs w:val="18"/>
                <w:color w:val="auto"/>
              </w:rPr>
            </w:pP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EEEEEE"/>
          </w:tcPr>
          <w:p>
            <w:pPr>
              <w:spacing w:after="0"/>
              <w:rPr>
                <w:sz w:val="18"/>
                <w:szCs w:val="18"/>
                <w:color w:val="auto"/>
              </w:rPr>
            </w:pPr>
          </w:p>
        </w:tc>
        <w:tc>
          <w:tcPr>
            <w:tcW w:w="300" w:type="dxa"/>
            <w:vAlign w:val="bottom"/>
            <w:tcBorders>
              <w:bottom w:val="single" w:sz="8" w:color="auto"/>
            </w:tcBorders>
            <w:shd w:val="clear" w:color="auto" w:fill="EEEEEE"/>
          </w:tcPr>
          <w:p>
            <w:pPr>
              <w:spacing w:after="0"/>
              <w:rPr>
                <w:sz w:val="18"/>
                <w:szCs w:val="18"/>
                <w:color w:val="auto"/>
              </w:rPr>
            </w:pPr>
          </w:p>
        </w:tc>
        <w:tc>
          <w:tcPr>
            <w:tcW w:w="10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EEEEEE"/>
          </w:tcPr>
          <w:p>
            <w:pPr>
              <w:jc w:val="right"/>
              <w:ind w:right="8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EEEEEE"/>
          </w:tcPr>
          <w:p>
            <w:pPr>
              <w:spacing w:after="0"/>
              <w:rPr>
                <w:sz w:val="18"/>
                <w:szCs w:val="18"/>
                <w:color w:val="auto"/>
              </w:rPr>
            </w:pPr>
          </w:p>
        </w:tc>
        <w:tc>
          <w:tcPr>
            <w:tcW w:w="10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10,169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11,283</w:t>
            </w:r>
          </w:p>
        </w:tc>
        <w:tc>
          <w:tcPr>
            <w:tcW w:w="100" w:type="dxa"/>
            <w:vAlign w:val="bottom"/>
          </w:tcPr>
          <w:p>
            <w:pPr>
              <w:spacing w:after="0"/>
              <w:rPr>
                <w:sz w:val="18"/>
                <w:szCs w:val="18"/>
                <w:color w:val="auto"/>
              </w:rPr>
            </w:pPr>
          </w:p>
        </w:tc>
      </w:tr>
      <w:tr>
        <w:trPr>
          <w:trHeight w:val="230"/>
        </w:trPr>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year</w:t>
            </w:r>
          </w:p>
        </w:tc>
        <w:tc>
          <w:tcPr>
            <w:tcW w:w="5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32,175</w:t>
            </w:r>
          </w:p>
        </w:tc>
        <w:tc>
          <w:tcPr>
            <w:tcW w:w="1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22,006</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10,723</w:t>
            </w:r>
          </w:p>
        </w:tc>
      </w:tr>
      <w:tr>
        <w:trPr>
          <w:trHeight w:val="263"/>
        </w:trPr>
        <w:tc>
          <w:tcPr>
            <w:tcW w:w="62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Cash and cash equivalents at end of year</w:t>
            </w:r>
          </w:p>
        </w:tc>
        <w:tc>
          <w:tcPr>
            <w:tcW w:w="56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28,074</w:t>
            </w:r>
          </w:p>
        </w:tc>
        <w:tc>
          <w:tcPr>
            <w:tcW w:w="14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32,175</w:t>
            </w:r>
          </w:p>
        </w:tc>
        <w:tc>
          <w:tcPr>
            <w:tcW w:w="22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22,006</w:t>
            </w:r>
          </w:p>
        </w:tc>
        <w:tc>
          <w:tcPr>
            <w:tcW w:w="100" w:type="dxa"/>
            <w:vAlign w:val="bottom"/>
            <w:tcBorders>
              <w:bottom w:val="single" w:sz="8" w:color="EEEEEE"/>
            </w:tcBorders>
          </w:tcPr>
          <w:p>
            <w:pPr>
              <w:spacing w:after="0"/>
              <w:rPr>
                <w:sz w:val="22"/>
                <w:szCs w:val="22"/>
                <w:color w:val="auto"/>
              </w:rPr>
            </w:pPr>
          </w:p>
        </w:tc>
      </w:tr>
      <w:tr>
        <w:trPr>
          <w:trHeight w:val="197"/>
        </w:trPr>
        <w:tc>
          <w:tcPr>
            <w:tcW w:w="6200" w:type="dxa"/>
            <w:vAlign w:val="bottom"/>
            <w:shd w:val="clear" w:color="auto" w:fill="EEEEEE"/>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5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6200" w:type="dxa"/>
            <w:vAlign w:val="bottom"/>
          </w:tcPr>
          <w:p>
            <w:pPr>
              <w:ind w:left="160"/>
              <w:spacing w:after="0"/>
              <w:rPr>
                <w:sz w:val="20"/>
                <w:szCs w:val="20"/>
                <w:color w:val="auto"/>
              </w:rPr>
            </w:pPr>
            <w:r>
              <w:rPr>
                <w:rFonts w:ascii="Arial" w:cs="Arial" w:eastAsia="Arial" w:hAnsi="Arial"/>
                <w:sz w:val="18"/>
                <w:szCs w:val="18"/>
                <w:color w:val="auto"/>
              </w:rPr>
              <w:t>Cash paid for:</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8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1,070</w:t>
            </w:r>
          </w:p>
        </w:tc>
        <w:tc>
          <w:tcPr>
            <w:tcW w:w="4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329</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1,133</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Income taxes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62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Non-cash investing and financing activities:</w:t>
            </w: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Purchase of intangible assets with notes payable</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3,000</w:t>
            </w: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A—ORGANIZATION AND OPERATIONS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Applied Optoelectronics, Inc. (“AOI” or the “Company”) was incorporated in the State of Texas on February 28, 1997. In March 2013, the Company converted into a Delaware corporation. The Company is a leading, vertically integrated provider of fiber-optic networking products, primarily for three networking end-markets: internet data centers, cable television, and fiber-to-the-home. The Company designs and manufactures a range of optical communications products at varying levels of integration, from components, subassemblies and modules to complete turn-key equipment.</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Prime World International Holdings, Ltd. (“Prime World”) is a wholly-owned subsidiary of the Company incorporated in the British Virgin Islands on January 13, 2006. Prime World is the parent company of Global Technology, Inc. (“Global”). Global was established in June 2002 in the People’s Republic of China (“PRC”) and was acquired by Prime World on March 30, 2006. The Company also operates a division, AOI—Taiwan, which is qualified to do business in Taiwan and primarily manufactures transceivers and performs research and development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B—SUMMARY OF SIGNIFICANT ACCOUNTING POLICIES</w:t>
      </w:r>
    </w:p>
    <w:p>
      <w:pPr>
        <w:spacing w:after="0" w:line="229"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all of its wholly-owned subsidiaries and are prepared in accordance with accounting principles generally accepted in the United States of America (GAAP). All intercompany balances and transactions have been eliminated in consolidation.</w:t>
      </w:r>
    </w:p>
    <w:p>
      <w:pPr>
        <w:spacing w:after="0" w:line="18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Reclassifications</w:t>
      </w:r>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Certain amounts in the prior year’s financial statements have been reclassified to conform to the current year presentation. This reclassification includes a $0.2 million reclass from accrued liabilities to accounts payable in 2014.</w:t>
      </w:r>
    </w:p>
    <w:p>
      <w:pPr>
        <w:spacing w:after="0" w:line="170"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relate to, among other things, allowance for doubtful accounts, inventory reserve, share-based compensation expense, estimated useful lives of property and equipment, and taxes.</w:t>
      </w:r>
    </w:p>
    <w:p>
      <w:pPr>
        <w:spacing w:after="0" w:line="187"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Foreign Currency Translation</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functional currency for our foreign operations is the local currency. The assets and liabilities of these operations are translated at the rate of exchange in effect on the balance sheet date and sales and expenses are translated at monthly average rates. The resulting gains or losses from translation are included in a separate component of other comprehensive income. Gains and losses resulting from re-measuring monetary asset and liability accounts that are denominated in a currency other than a subsidiary’s functional currency are included in net foreign exchange loss and are included in net income except for intercompany long-term investment nature. The translation gain or losses from long-term investment nature of intercompany balances are treated as translation adjustments and included in comprehensive income (loss).</w:t>
      </w:r>
    </w:p>
    <w:p>
      <w:pPr>
        <w:spacing w:after="0" w:line="193"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Fair Value</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carrying value of cash, cash equivalents and short-term investments, accounts receivable, accounts payable, and note receivable approximate their historical fair values due to their short-term maturities. The carrying value of the debt approximates its fair value due to the short-term nature of the debt since it renews frequently at current interest rates. Management believes that the interest rates in effect at each year end represent the current market rates for similar borrowings.</w:t>
      </w:r>
    </w:p>
    <w:p>
      <w:pPr>
        <w:spacing w:after="0" w:line="18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fair value measurement standard defines fair value as the price that would be received to sell an asset or paid to transfer a liability in an orderly transaction between market participants at the measurement date. The standard characterizes inputs used in determining fair value according to a hierarchy that prioritized inputs based on the degree to which they are observable. The three levels of the fair value hierarchy are as follows: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Level 1—Inputs represent quoted prices in active markets for identical assets or liabilities.</w:t>
      </w:r>
    </w:p>
    <w:p>
      <w:pPr>
        <w:spacing w:after="0" w:line="225" w:lineRule="exact"/>
        <w:rPr>
          <w:sz w:val="20"/>
          <w:szCs w:val="20"/>
          <w:color w:val="auto"/>
        </w:rPr>
      </w:pPr>
    </w:p>
    <w:p>
      <w:pPr>
        <w:jc w:val="both"/>
        <w:ind w:left="660" w:right="160" w:firstLine="648"/>
        <w:spacing w:after="0" w:line="264" w:lineRule="auto"/>
        <w:rPr>
          <w:sz w:val="20"/>
          <w:szCs w:val="20"/>
          <w:color w:val="auto"/>
        </w:rPr>
      </w:pPr>
      <w:r>
        <w:rPr>
          <w:rFonts w:ascii="Arial" w:cs="Arial" w:eastAsia="Arial" w:hAnsi="Arial"/>
          <w:sz w:val="18"/>
          <w:szCs w:val="18"/>
          <w:color w:val="auto"/>
        </w:rPr>
        <w:t>Level 2—Inputs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4" w:name="page75"/>
    <w:bookmarkEnd w:id="74"/>
    <w:p>
      <w:pPr>
        <w:ind w:left="660" w:right="20" w:firstLine="648"/>
        <w:spacing w:after="0" w:line="277" w:lineRule="auto"/>
        <w:rPr>
          <w:sz w:val="20"/>
          <w:szCs w:val="20"/>
          <w:color w:val="auto"/>
        </w:rPr>
      </w:pPr>
      <w:r>
        <w:rPr>
          <w:rFonts w:ascii="Arial" w:cs="Arial" w:eastAsia="Arial" w:hAnsi="Arial"/>
          <w:sz w:val="18"/>
          <w:szCs w:val="18"/>
          <w:color w:val="auto"/>
        </w:rPr>
        <w:t>Level 3—Inputs that are not observable from objective sources, such as management’s internally developed assumptions used in pricing an asset or liability.</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Assets and liabilities that are required to be fair valued on a recurring basis include money market funds, marketable securities, equity instruments and contingent consideration.</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Money market funds are valued with Level 1 inputs, using quoted market prices, and are included in cash and cash equivalents on the Company’s consolidated balance sheets.</w:t>
      </w:r>
    </w:p>
    <w:p>
      <w:pPr>
        <w:spacing w:after="0" w:line="170"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Cash and Cash Equivalents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considers all highly liquid securities with an original maturity of ninety days or less from the date of purchase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in foreign accounts was approximately $8.9 million and $4.6 million at December 31, 2015 and 2014, respectively.</w:t>
      </w:r>
    </w:p>
    <w:p>
      <w:pPr>
        <w:spacing w:after="0" w:line="21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maintains cash and cash equivalents at U.S. financial institutions for which the combined account balances in individual institutions may exceed Federal Deposit Insurance Corporation (“FDIC”) insurance coverage and, as a result, there is a concentration of credit risk related to amounts on deposit in excess of FDIC insurance coverage. As of December 31, 2015, approximately $23.3 million of U.S. deposits were not covered by FDIC insurance. The Company has not experienced any losses and believes it is not exposed to any significant risk with such accounts.</w:t>
      </w:r>
    </w:p>
    <w:p>
      <w:pPr>
        <w:spacing w:after="0" w:line="171"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Restricted Cash/Compensating Balances</w:t>
      </w:r>
    </w:p>
    <w:p>
      <w:pPr>
        <w:spacing w:after="0" w:line="252"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The Company is required to maintain a compensation deposit equal to 30% of its bank acceptance notes to vendors with a China bank. The Company’s Taiwan subsidiary also uses time deposits for customs guarantees. As of December 31, 2015 and 2014, the amount of restricted cash was $4.7 million and $0.5 million, respectively.</w:t>
      </w:r>
    </w:p>
    <w:p>
      <w:pPr>
        <w:spacing w:after="0" w:line="181"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Short-Term Investments</w:t>
      </w:r>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invests its excess cash in bank certificates of deposit. As of December 31, 2015, the Company invested $7.9 million in certificates of deposit in RMB currencies with Taiwan banks. The maturity dates range from 6 months to 12 months.</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Company arranged a revolving line of credit agreement with the same Taiwan bank by pledging 100% of its certificates of deposit. As of December 31, 2015, the pledged certificate of deposit for such arrangement amount is $7.9 million.</w:t>
      </w:r>
    </w:p>
    <w:p>
      <w:pPr>
        <w:spacing w:after="0" w:line="170"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Accounts Receivable/Allowance for Doubtful Accounts</w:t>
      </w:r>
    </w:p>
    <w:p>
      <w:pPr>
        <w:spacing w:after="0" w:line="252"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color w:val="auto"/>
        </w:rPr>
        <w:t>The Company carries its accounts receivable at the net amount that it estimates to be collectible. An allowance for uncollectable accounts is maintained through a charge against operations. The allowance is determined by management review of outstanding amounts per customer, historical payments and the aging of accounts.</w:t>
      </w:r>
    </w:p>
    <w:p>
      <w:pPr>
        <w:spacing w:after="0" w:line="181"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Notes Receivable</w:t>
      </w:r>
    </w:p>
    <w:p>
      <w:pPr>
        <w:spacing w:after="0" w:line="25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Company carries its bank acceptance receivables at face value or discounted value if they are not interest bearing. The maturity date of the receivables are all within one year of the original issuance date and are carried at face value.</w:t>
      </w:r>
    </w:p>
    <w:p>
      <w:pPr>
        <w:spacing w:after="0" w:line="170"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Concentration of Credit Risk and Significant Customers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Financial instruments which potentially subject the Company to concentrations of credit risk include cash, cash equivalents and accounts receivable.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places all cash and cash equivalents with high-credit quality financial institutions.</w:t>
      </w:r>
    </w:p>
    <w:p>
      <w:pPr>
        <w:spacing w:after="0" w:line="211"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Company performs ongoing credit valuations of its customers’ financial condition whenever deemed necessary and generally does not require deposits or collateral to support customer receivables. The historical amount of losses on uncollectible accounts has been within the Company’s estimates. The Company generates much of its revenue from a limited number of customers. In 2015, 2014 and 2013, its top five customers represented 81.8%, 72.0% and 59.1% of its revenue, respectively. In 2015, Amazon, Microsoft and Cisco represented 52.5%, 11.6% and 10.4% of its revenue, respectively. The five largest receivable balances for customers represented an aggregate of 80%, and 70% of total accounts receivable at December 31, 2015 and 2014, respectively. As of December 31, 2015, Amazon and Wesco represented 51.4% and 14.4% of total accounts receivable, respectively.</w:t>
      </w: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01" w:right="319" w:bottom="1440" w:gutter="0" w:footer="0" w:header="0"/>
        </w:sectPr>
      </w:pPr>
    </w:p>
    <w:bookmarkStart w:id="75" w:name="page76"/>
    <w:bookmarkEnd w:id="75"/>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Inventories</w:t>
      </w:r>
    </w:p>
    <w:p>
      <w:pPr>
        <w:spacing w:after="0" w:line="252"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Inventories are stated at the lower of cost (average-cost method) or market. Work in process and finished goods includes materials, labor and allocated overhead. The Company assesses the valuation of its inventory on a periodic basis and provides write-offs for the value of estimated excess and obsolete inventory based on estimates of future demand.</w:t>
      </w:r>
    </w:p>
    <w:p>
      <w:pPr>
        <w:spacing w:after="0" w:line="181"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Property, Plant and Equipment</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Property, plant and equipment are stated at cost, net of accumulated depreciation and amortization. The Company calculates depreciation using the straight-line method over the following estimated useful lives: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80" w:type="dxa"/>
            <w:vAlign w:val="bottom"/>
            <w:tcBorders>
              <w:bottom w:val="single" w:sz="8" w:color="auto"/>
            </w:tcBorders>
          </w:tcPr>
          <w:p>
            <w:pPr>
              <w:ind w:left="2240"/>
              <w:spacing w:after="0"/>
              <w:rPr>
                <w:sz w:val="20"/>
                <w:szCs w:val="20"/>
                <w:color w:val="auto"/>
              </w:rPr>
            </w:pPr>
            <w:r>
              <w:rPr>
                <w:rFonts w:ascii="Arial" w:cs="Arial" w:eastAsia="Arial" w:hAnsi="Arial"/>
                <w:sz w:val="18"/>
                <w:szCs w:val="18"/>
                <w:b w:val="1"/>
                <w:bCs w:val="1"/>
                <w:color w:val="auto"/>
              </w:rPr>
              <w:t>Useful lives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Buildings</w:t>
            </w:r>
          </w:p>
        </w:tc>
        <w:tc>
          <w:tcPr>
            <w:tcW w:w="56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20 - 40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5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Land improvements</w:t>
            </w:r>
          </w:p>
        </w:tc>
        <w:tc>
          <w:tcPr>
            <w:tcW w:w="56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EEEEEE"/>
          </w:tcPr>
          <w:p>
            <w:pPr>
              <w:spacing w:after="0"/>
              <w:rPr>
                <w:sz w:val="20"/>
                <w:szCs w:val="20"/>
                <w:color w:val="auto"/>
              </w:rPr>
            </w:pPr>
            <w:r>
              <w:rPr>
                <w:rFonts w:ascii="Arial" w:cs="Arial" w:eastAsia="Arial" w:hAnsi="Arial"/>
                <w:sz w:val="18"/>
                <w:szCs w:val="18"/>
                <w:color w:val="auto"/>
                <w:w w:val="99"/>
              </w:rPr>
              <w:t>3</w:t>
            </w:r>
          </w:p>
        </w:tc>
        <w:tc>
          <w:tcPr>
            <w:tcW w:w="54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- 20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EEEEEE"/>
          </w:tcPr>
          <w:p>
            <w:pPr>
              <w:spacing w:after="0"/>
              <w:rPr>
                <w:sz w:val="20"/>
                <w:szCs w:val="20"/>
                <w:color w:val="auto"/>
              </w:rPr>
            </w:pPr>
            <w:r>
              <w:rPr>
                <w:rFonts w:ascii="Arial" w:cs="Arial" w:eastAsia="Arial" w:hAnsi="Arial"/>
                <w:sz w:val="18"/>
                <w:szCs w:val="18"/>
                <w:color w:val="auto"/>
                <w:w w:val="99"/>
              </w:rPr>
              <w:t>1</w:t>
            </w:r>
          </w:p>
        </w:tc>
        <w:tc>
          <w:tcPr>
            <w:tcW w:w="54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- 8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Computer equipment and software</w:t>
            </w:r>
          </w:p>
        </w:tc>
        <w:tc>
          <w:tcPr>
            <w:tcW w:w="120" w:type="dxa"/>
            <w:vAlign w:val="bottom"/>
            <w:shd w:val="clear" w:color="auto" w:fill="EEEEEE"/>
          </w:tcPr>
          <w:p>
            <w:pPr>
              <w:spacing w:after="0"/>
              <w:rPr>
                <w:sz w:val="20"/>
                <w:szCs w:val="20"/>
                <w:color w:val="auto"/>
              </w:rPr>
            </w:pPr>
            <w:r>
              <w:rPr>
                <w:rFonts w:ascii="Arial" w:cs="Arial" w:eastAsia="Arial" w:hAnsi="Arial"/>
                <w:sz w:val="18"/>
                <w:szCs w:val="18"/>
                <w:color w:val="auto"/>
                <w:w w:val="99"/>
              </w:rPr>
              <w:t>3</w:t>
            </w:r>
          </w:p>
        </w:tc>
        <w:tc>
          <w:tcPr>
            <w:tcW w:w="54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5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shd w:val="clear" w:color="auto" w:fill="EEEEEE"/>
          </w:tcPr>
          <w:p>
            <w:pPr>
              <w:spacing w:after="0"/>
              <w:rPr>
                <w:sz w:val="17"/>
                <w:szCs w:val="17"/>
                <w:color w:val="auto"/>
              </w:rPr>
            </w:pPr>
          </w:p>
        </w:tc>
        <w:tc>
          <w:tcPr>
            <w:tcW w:w="56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The shorter of the life of the applicable lease or the useful life of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Leasehold improvements</w:t>
            </w:r>
          </w:p>
        </w:tc>
        <w:tc>
          <w:tcPr>
            <w:tcW w:w="56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improvement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5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Transportation equipment</w:t>
            </w:r>
          </w:p>
        </w:tc>
        <w:tc>
          <w:tcPr>
            <w:tcW w:w="56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Major improvements are capitalized and expenditures for maintenance and repairs are expensed as incurred. Construction in progress represents property, plant and equipment under construction or being installed. Costs include original cost, installation, construction and other direct costs which include interest on borrowings used to finance the asset. Construction in progress is transferred to the appropriate fixed asset account and depreciation commences when the asset has been substantially completed and placed in service.</w:t>
      </w:r>
    </w:p>
    <w:p>
      <w:pPr>
        <w:spacing w:after="0" w:line="18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Land use rights allow the Company rights for 50 years to certain land in Ningbo, China on which the Company built a facility that included office space, manufacturing operations and employee dormitories. The land use rights are recorded at cost and are amortized on the straight-line basis over the useful life of the related contract. The land use rights expire on October 7, 2054.</w:t>
      </w:r>
    </w:p>
    <w:p>
      <w:pPr>
        <w:spacing w:after="0" w:line="181"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Intangible Assets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Intangible assets consist of intellectual property that is stated at cost less accumulated amortization. As of December 31, 2015, the Company had 178 total patents issued. The costs incurred to obtain such patents have been capitalized and are being amortized over an estimated life of 20 years. The Company periodically evaluates its intangible assets to determine whether events or changes in circumstances indicate that a patent or trademark may not be applicable to the Company’s current products or is no longer in use. If such a determination is made, the intangible asset is impaired and the remaining value of the patent or trademark will be expensed at that time.</w:t>
      </w:r>
    </w:p>
    <w:p>
      <w:pPr>
        <w:spacing w:after="0" w:line="188"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Impairment of Long-Lived Assets</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The Company accounts for impairment of long-lived assets in accordance with Accounting Standards Codification (“ASC”) 360,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(“ASC 360”). Long-lived assets consist primarily of property, plant and equipment. In accordance with ASC 360, the Company periodically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long-lived assets whenever events or changes in circumstances indicate that the carrying amount of an asset may not be recoverable. When triggering event indicators are present, the Company obtains appraisals on an asset by asset basis, and will recognize an impairment loss when the sum of the appraised values is less than the carrying amounts of such assets. The appraised values, based on reasonable and supportable assumptions and projections, require subjective judgments. Depending on the assumptions and estimates used, the appraised values projected in the evaluation of long-lived assets can vary within a range of outcomes. The appraisals consider the likelihood of possible outcomes in determining the best estimate for the value of the assets.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color w:val="auto"/>
        </w:rPr>
        <w:t>The measurement for such an impairment loss is then based on the fair value of the asset as determined by the appraisals.</w:t>
      </w:r>
    </w:p>
    <w:p>
      <w:pPr>
        <w:spacing w:after="0" w:line="225"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Comprehensive Income (Loss)</w:t>
      </w:r>
    </w:p>
    <w:p>
      <w:pPr>
        <w:spacing w:after="0" w:line="252"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 xml:space="preserve">ASC 220, </w:t>
      </w:r>
      <w:r>
        <w:rPr>
          <w:rFonts w:ascii="Arial" w:cs="Arial" w:eastAsia="Arial" w:hAnsi="Arial"/>
          <w:sz w:val="17"/>
          <w:szCs w:val="17"/>
          <w:i w:val="1"/>
          <w:iCs w:val="1"/>
          <w:color w:val="auto"/>
        </w:rPr>
        <w:t>Comprehensive Income</w:t>
      </w:r>
      <w:r>
        <w:rPr>
          <w:rFonts w:ascii="Arial" w:cs="Arial" w:eastAsia="Arial" w:hAnsi="Arial"/>
          <w:sz w:val="17"/>
          <w:szCs w:val="17"/>
          <w:color w:val="auto"/>
        </w:rPr>
        <w:t>, (“ASC 220”) establishes rules for reporting and display of comprehensive income and its components. ASC 220 requires that unrealized gains and losses on the Company’s foreign currency translation adjustments be included in comprehensive income.</w:t>
      </w:r>
    </w:p>
    <w:p>
      <w:pPr>
        <w:spacing w:after="0" w:line="147"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Share-based Compensation</w:t>
      </w:r>
    </w:p>
    <w:p>
      <w:pPr>
        <w:spacing w:after="0" w:line="25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 xml:space="preserve">The Company accounts for share-based compensation in accordance with the provisions of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Share-based compensation expense is recognized based on the estimated grant date fair value, net of an estimated forfeiture rate, in order to recognize compensation cost for those shares expected to vest. Compensation cost is recognized on a straight-line basis over the vesting period of the options.</w:t>
      </w:r>
    </w:p>
    <w:p>
      <w:pPr>
        <w:spacing w:after="0" w:line="147"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derives revenue from the manufacture and sale of fiber optic networking products. Revenue recognition follows the criteria of</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Specifically, the Company recognizes revenue when persuasive evidence exists of an arrangement with a customer, usually in the form of a customer purchase order; performance obligations have been satisfied; title and risk of loss have transferred to the customer; the price is fixed or determinable; and collectability is reasonably assured. The Company may offer units (samples) to current and potential customers at no charge for evaluation or qualification purposes.</w:t>
      </w:r>
    </w:p>
    <w:p>
      <w:pPr>
        <w:spacing w:after="0" w:line="190"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Product Warranty</w:t>
      </w:r>
    </w:p>
    <w:p>
      <w:pPr>
        <w:spacing w:after="0" w:line="25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Company generally offers a one-year limited warranty for its products but it can extend for longer periods of three to five years for certain products sold to certain customers. The Company estimates the costs that may be incurred under its basic limited warranty and records a liability for the amount of such costs at the time when product defective occurs. Factors that affect the Company’s warranty liability include the historical and anticipated rates of warranty claims and cost to repair. While we believe that our warranty accrual is adequate, our actual warranty costs may exceed the accrual, cost of sales will increase in the future. As of December 31, 2015 and 2014, the amount of accrued warranty was $412,000 and $247,000, respectively.</w:t>
      </w:r>
    </w:p>
    <w:p>
      <w:pPr>
        <w:spacing w:after="0" w:line="158"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Advertising Costs</w:t>
      </w:r>
    </w:p>
    <w:p>
      <w:pPr>
        <w:spacing w:after="0" w:line="25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Advertising costs are charged to operations as incurred and amounted to approximately $104,000, $100,000 and $121,000 for the years ended December 31, 2015, 2014 and 2013, respectively.</w:t>
      </w:r>
    </w:p>
    <w:p>
      <w:pPr>
        <w:spacing w:after="0" w:line="170"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Research and development costs are charged to operations as incurred. The Company receives reimbursement for certain development costs, which are capitalized when incurred, up to the reimbursable amount.</w:t>
      </w:r>
    </w:p>
    <w:p>
      <w:pPr>
        <w:spacing w:after="0" w:line="170"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accounts for income taxes in accordance with the provisions of ASC 740, Income Taxes.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our tax returns.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in which (1) it determines whether it is more likely than not that the tax positions will be sustained on the basis of the technical merits of the position and (2) for those tax positions that meet the more-likely-than-not recognition threshold, it recognizes the largest amount of tax benefit that is more than 50 percent likely to be realized upon ultimate settlement with the related tax authority.</w:t>
      </w:r>
    </w:p>
    <w:p>
      <w:pPr>
        <w:spacing w:after="0" w:line="187" w:lineRule="exact"/>
        <w:rPr>
          <w:sz w:val="20"/>
          <w:szCs w:val="20"/>
          <w:color w:val="auto"/>
        </w:rPr>
      </w:pPr>
    </w:p>
    <w:p>
      <w:pPr>
        <w:jc w:val="both"/>
        <w:ind w:right="880" w:firstLine="648"/>
        <w:spacing w:after="0" w:line="342" w:lineRule="auto"/>
        <w:rPr>
          <w:sz w:val="20"/>
          <w:szCs w:val="20"/>
          <w:color w:val="auto"/>
        </w:rPr>
      </w:pPr>
      <w:r>
        <w:rPr>
          <w:rFonts w:ascii="Arial" w:cs="Arial" w:eastAsia="Arial" w:hAnsi="Arial"/>
          <w:sz w:val="16"/>
          <w:szCs w:val="16"/>
          <w:color w:val="auto"/>
        </w:rPr>
        <w:t>The Company recognizes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77" w:name="page78"/>
    <w:bookmarkEnd w:id="77"/>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New Accounting Standards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February 25, 2016, the FASB released ASU 2016-02, Leases to complete its project to overhaul lease accounting. The ASU codifies ASC 842, Leases, which will replace the guidance in ASC 840. The new guidance will require lessees to recognize most leases on the balance sheet for capital and operating leases. The new guidance is effective for public business entities in fiscal years beginning after December 15, 2018. The Company is evaluating the impact of the accounting standard on its financial statements.</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The FASB has issued Accounting Standards Update (ASU) No. 2016-01, </w:t>
      </w:r>
      <w:r>
        <w:rPr>
          <w:rFonts w:ascii="Arial" w:cs="Arial" w:eastAsia="Arial" w:hAnsi="Arial"/>
          <w:sz w:val="18"/>
          <w:szCs w:val="18"/>
          <w:i w:val="1"/>
          <w:iCs w:val="1"/>
          <w:color w:val="auto"/>
        </w:rPr>
        <w:t>Financial Instruments – Overall (Subtopic 825-10): Recognition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of Financial Assets and Financial Liabilities. </w:t>
      </w:r>
      <w:r>
        <w:rPr>
          <w:rFonts w:ascii="Arial" w:cs="Arial" w:eastAsia="Arial" w:hAnsi="Arial"/>
          <w:sz w:val="18"/>
          <w:szCs w:val="18"/>
          <w:color w:val="auto"/>
        </w:rPr>
        <w:t>The new guidance is intended to improve the recognition and measurement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The ASU affects public and private companies, not-for-profit organizations, and employee benefit plans that hold financial assets or owe financial liabilities. The new guidance is effective for public companies for fiscal years beginning after December 15, 2017, including interim periods within those fiscal years. For private companies, not-for-profit organizations, and employee benefit plans, the new guidance becomes effective for fiscal years beginning after December 15, 2018, and for interim periods within fiscal years beginning after December 15, 2019. The Company is evaluating the impact of the accounting standard on its financial statements.</w:t>
      </w:r>
    </w:p>
    <w:p>
      <w:pPr>
        <w:spacing w:after="0" w:line="18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during November 2015</w:t>
      </w:r>
      <w:r>
        <w:rPr>
          <w:rFonts w:ascii="Arial" w:cs="Arial" w:eastAsia="Arial" w:hAnsi="Arial"/>
          <w:sz w:val="16"/>
          <w:szCs w:val="16"/>
          <w:i w:val="1"/>
          <w:iCs w:val="1"/>
          <w:color w:val="auto"/>
        </w:rPr>
        <w:t>,</w:t>
      </w:r>
      <w:r>
        <w:rPr>
          <w:rFonts w:ascii="Arial" w:cs="Arial" w:eastAsia="Arial" w:hAnsi="Arial"/>
          <w:sz w:val="16"/>
          <w:szCs w:val="16"/>
          <w:color w:val="auto"/>
        </w:rPr>
        <w:t xml:space="preserve"> which simplifies the presentation of deferred income taxes. This ASU provides presentation requirements to classify deferred tax assets and liabilities as noncurrent in a statement of financial position. The standard is effective for fiscal years beginning after December 15, 2016, including interim periods within that reporting period. Early adoption is permitted for any interim and annual financial statements that have not yet been issued. The ASU may be applied either prospectively to all deferred tax liabilities and assets or retrospectively to all periods presented. The Company early adopted this standard effective December 31, 2015 on a retrospective basis which resulted in a reclassification of our net current deferred tax asset to the net non-current deferred tax asset as of December 31, 2015. The adoption of this ASU had no impact on the balance sheet or income statement as the Company had a full valuation allowance.</w:t>
      </w:r>
    </w:p>
    <w:p>
      <w:pPr>
        <w:spacing w:after="0" w:line="16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FASB has issued Accounting Standards Update (ASU) No. 2015-11, Inventory in July 2015 to require entity to measure inventory at the lower of cost or market. Market could be replacement cost, net realizable value, or net realizable value less an approximately normal profit margin. The Company adopted this ASU which had no material impact on the financial statements.</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Interest - Imputation of Interest (Subtopic 835-30): Simplifying the Presentation of Debt Issuance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Costs, </w:t>
      </w:r>
      <w:r>
        <w:rPr>
          <w:rFonts w:ascii="Arial" w:cs="Arial" w:eastAsia="Arial" w:hAnsi="Arial"/>
          <w:sz w:val="17"/>
          <w:szCs w:val="17"/>
          <w:color w:val="auto"/>
        </w:rPr>
        <w:t>which requires the presentation of debt issuance costs related to a recognized debt liability as a direct deduction from the carrying amount of that debt</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ASU 2015-03 does not address presentation or subsequent measurement of debt issuance costs related to line-of-credit arrangements. Given the absence of authoritative guidance within ASU 2015-03 for debt issuance costs related to line-of-credit arrangements,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Company is evaluating the impact of the accounting standard on its financial statements.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The amendments in ASU 2015-14 defer the effective date of ASU 2014-09 for all entities by one year. Public business entities should apply the guidance in ASU 2014-09 to annual reporting periods beginning after December 15, 2017, including interim reporting periods within that reporting period. Earlier application is permitted only as of annual reporting periods beginning after December 15, 2016, including interim reporting periods within that reporting period. The Company is evaluating the impact of the accounting standard on its financial statements.</w:t>
      </w:r>
    </w:p>
    <w:p>
      <w:pPr>
        <w:spacing w:after="0" w:line="188"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Reverse Stock Split</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May 1, 2013, the Company’s board of directors approved, and holders of the requisite number of outstanding shares of our capital stock approved on May 21, 2013, an amendment to our certificate of incorporation to effect a reverse stock split with respect to our securities. Based on the prior board and stockholder approvals, on August 16, 2013 the Company’s board of directors determined that the ratio for the reverse stock split would be 30-to-one. The reverse stock split was effected on August 20, 2013, the date that the amendment to our certificate of incorporation was filed with the Delaware Secretary of State. The reverse stock split is reflected in the accompanying consolidated financial statements and related notes on a retroactive basis for all periods presented.</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NOTE C—EARNINGS PER SHARE</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options, restricted stock units and warrants outstanding during the period. In periods with net losses, normally dilutive shares become anti-dilutive. Therefore, basic and dilutive earnings per share are the same.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ind w:left="660"/>
              <w:spacing w:after="0"/>
              <w:rPr>
                <w:sz w:val="20"/>
                <w:szCs w:val="20"/>
                <w:color w:val="auto"/>
              </w:rPr>
            </w:pPr>
            <w:r>
              <w:rPr>
                <w:rFonts w:ascii="Arial" w:cs="Arial" w:eastAsia="Arial" w:hAnsi="Arial"/>
                <w:sz w:val="18"/>
                <w:szCs w:val="18"/>
                <w:color w:val="auto"/>
              </w:rPr>
              <w:t>The following table presents the calculation of basic and diluted EPS:</w:t>
            </w: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right"/>
              <w:ind w:right="350"/>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19"/>
                <w:szCs w:val="19"/>
                <w:color w:val="auto"/>
              </w:rPr>
            </w:pPr>
          </w:p>
        </w:tc>
      </w:tr>
      <w:tr>
        <w:trPr>
          <w:trHeight w:val="210"/>
        </w:trPr>
        <w:tc>
          <w:tcPr>
            <w:tcW w:w="6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700" w:type="dxa"/>
            <w:vAlign w:val="bottom"/>
            <w:gridSpan w:val="8"/>
          </w:tcPr>
          <w:p>
            <w:pPr>
              <w:jc w:val="right"/>
              <w:spacing w:after="0"/>
              <w:rPr>
                <w:sz w:val="20"/>
                <w:szCs w:val="20"/>
                <w:color w:val="auto"/>
              </w:rPr>
            </w:pPr>
            <w:r>
              <w:rPr>
                <w:rFonts w:ascii="Arial" w:cs="Arial" w:eastAsia="Arial" w:hAnsi="Arial"/>
                <w:sz w:val="18"/>
                <w:szCs w:val="18"/>
                <w:b w:val="1"/>
                <w:bCs w:val="1"/>
                <w:color w:val="auto"/>
              </w:rPr>
              <w:t>(in thousands, except per share data)</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Numerator:</w:t>
            </w:r>
          </w:p>
        </w:tc>
        <w:tc>
          <w:tcPr>
            <w:tcW w:w="5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Net income (loss)</w:t>
            </w:r>
          </w:p>
        </w:tc>
        <w:tc>
          <w:tcPr>
            <w:tcW w:w="14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10,793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4,283</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(1,406)</w:t>
            </w:r>
          </w:p>
        </w:tc>
      </w:tr>
      <w:tr>
        <w:trPr>
          <w:trHeight w:val="210"/>
        </w:trPr>
        <w:tc>
          <w:tcPr>
            <w:tcW w:w="62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Denominator:</w:t>
            </w:r>
          </w:p>
        </w:tc>
        <w:tc>
          <w:tcPr>
            <w:tcW w:w="540" w:type="dxa"/>
            <w:vAlign w:val="bottom"/>
            <w:tcBorders>
              <w:top w:val="single" w:sz="8" w:color="EEEEEE"/>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spacing w:after="0"/>
              <w:rPr>
                <w:sz w:val="18"/>
                <w:szCs w:val="18"/>
                <w:color w:val="auto"/>
              </w:rPr>
            </w:pPr>
          </w:p>
        </w:tc>
        <w:tc>
          <w:tcPr>
            <w:tcW w:w="50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500" w:type="dxa"/>
            <w:vAlign w:val="bottom"/>
            <w:tcBorders>
              <w:top w:val="single" w:sz="8" w:color="auto"/>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Weighted average shares used to</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compute net income (loss) per share</w:t>
            </w:r>
          </w:p>
        </w:tc>
        <w:tc>
          <w:tcPr>
            <w:tcW w:w="5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220" w:type="dxa"/>
            <w:vAlign w:val="bottom"/>
          </w:tcPr>
          <w:p>
            <w:pPr>
              <w:ind w:left="160"/>
              <w:spacing w:after="0"/>
              <w:rPr>
                <w:sz w:val="20"/>
                <w:szCs w:val="20"/>
                <w:color w:val="auto"/>
              </w:rPr>
            </w:pPr>
            <w:r>
              <w:rPr>
                <w:rFonts w:ascii="Arial" w:cs="Arial" w:eastAsia="Arial" w:hAnsi="Arial"/>
                <w:sz w:val="18"/>
                <w:szCs w:val="18"/>
                <w:color w:val="auto"/>
              </w:rPr>
              <w:t>Basic</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15,627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14,307</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9,965</w:t>
            </w:r>
          </w:p>
        </w:tc>
      </w:tr>
      <w:tr>
        <w:trPr>
          <w:trHeight w:val="230"/>
        </w:trPr>
        <w:tc>
          <w:tcPr>
            <w:tcW w:w="6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Effective of dilutive options, restricted stock units and warrants</w:t>
            </w:r>
          </w:p>
        </w:tc>
        <w:tc>
          <w:tcPr>
            <w:tcW w:w="54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880</w:t>
            </w:r>
          </w:p>
        </w:tc>
        <w:tc>
          <w:tcPr>
            <w:tcW w:w="50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220" w:type="dxa"/>
            <w:vAlign w:val="bottom"/>
          </w:tcPr>
          <w:p>
            <w:pPr>
              <w:ind w:left="160"/>
              <w:spacing w:after="0"/>
              <w:rPr>
                <w:sz w:val="20"/>
                <w:szCs w:val="20"/>
                <w:color w:val="auto"/>
              </w:rPr>
            </w:pPr>
            <w:r>
              <w:rPr>
                <w:rFonts w:ascii="Arial" w:cs="Arial" w:eastAsia="Arial" w:hAnsi="Arial"/>
                <w:sz w:val="18"/>
                <w:szCs w:val="18"/>
                <w:color w:val="auto"/>
              </w:rPr>
              <w:t>Diluted</w:t>
            </w:r>
          </w:p>
        </w:tc>
        <w:tc>
          <w:tcPr>
            <w:tcW w:w="5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16,533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15,187</w:t>
            </w: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9,965</w:t>
            </w:r>
          </w:p>
        </w:tc>
        <w:tc>
          <w:tcPr>
            <w:tcW w:w="100" w:type="dxa"/>
            <w:vAlign w:val="bottom"/>
          </w:tcPr>
          <w:p>
            <w:pPr>
              <w:spacing w:after="0"/>
              <w:rPr>
                <w:sz w:val="18"/>
                <w:szCs w:val="18"/>
                <w:color w:val="auto"/>
              </w:rPr>
            </w:pPr>
          </w:p>
        </w:tc>
      </w:tr>
      <w:tr>
        <w:trPr>
          <w:trHeight w:val="216"/>
        </w:trPr>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 per share</w:t>
            </w:r>
          </w:p>
        </w:tc>
        <w:tc>
          <w:tcPr>
            <w:tcW w:w="5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220" w:type="dxa"/>
            <w:vAlign w:val="bottom"/>
          </w:tcPr>
          <w:p>
            <w:pPr>
              <w:ind w:left="160"/>
              <w:spacing w:after="0"/>
              <w:rPr>
                <w:sz w:val="20"/>
                <w:szCs w:val="20"/>
                <w:color w:val="auto"/>
              </w:rPr>
            </w:pPr>
            <w:r>
              <w:rPr>
                <w:rFonts w:ascii="Arial" w:cs="Arial" w:eastAsia="Arial" w:hAnsi="Arial"/>
                <w:sz w:val="18"/>
                <w:szCs w:val="18"/>
                <w:color w:val="auto"/>
              </w:rPr>
              <w:t>Basic</w:t>
            </w:r>
          </w:p>
        </w:tc>
        <w:tc>
          <w:tcPr>
            <w:tcW w:w="14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0.69</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r>
      <w:tr>
        <w:trPr>
          <w:trHeight w:val="216"/>
        </w:trPr>
        <w:tc>
          <w:tcPr>
            <w:tcW w:w="62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Diluted</w:t>
            </w:r>
          </w:p>
        </w:tc>
        <w:tc>
          <w:tcPr>
            <w:tcW w:w="1420" w:type="dxa"/>
            <w:vAlign w:val="bottom"/>
            <w:gridSpan w:val="2"/>
            <w:shd w:val="clear" w:color="auto" w:fill="EEEEEE"/>
          </w:tcPr>
          <w:p>
            <w:pPr>
              <w:jc w:val="right"/>
              <w:ind w:right="6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0.65</w:t>
            </w:r>
          </w:p>
        </w:tc>
        <w:tc>
          <w:tcPr>
            <w:tcW w:w="4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0.28</w:t>
            </w:r>
          </w:p>
        </w:tc>
        <w:tc>
          <w:tcPr>
            <w:tcW w:w="50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(0.14)</w:t>
            </w:r>
          </w:p>
        </w:tc>
      </w:tr>
    </w:tbl>
    <w:p>
      <w:pPr>
        <w:spacing w:after="0" w:line="20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potentially dilutive securities were excluded from the computation of diluted net loss per share as their effect would have been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8"/>
              </w:rPr>
              <w:t>As of December 31,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9"/>
                <w:szCs w:val="19"/>
                <w:color w:val="auto"/>
              </w:rPr>
            </w:pPr>
          </w:p>
        </w:tc>
        <w:tc>
          <w:tcPr>
            <w:tcW w:w="1520" w:type="dxa"/>
            <w:vAlign w:val="bottom"/>
            <w:gridSpan w:val="2"/>
          </w:tcPr>
          <w:p>
            <w:pPr>
              <w:jc w:val="right"/>
              <w:ind w:right="413"/>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EEEEEE"/>
          </w:tcPr>
          <w:p>
            <w:pPr>
              <w:spacing w:after="0"/>
              <w:rPr>
                <w:sz w:val="20"/>
                <w:szCs w:val="20"/>
                <w:color w:val="auto"/>
              </w:rPr>
            </w:pPr>
            <w:r>
              <w:rPr>
                <w:rFonts w:ascii="Arial" w:cs="Arial" w:eastAsia="Arial" w:hAnsi="Arial"/>
                <w:sz w:val="18"/>
                <w:szCs w:val="18"/>
                <w:color w:val="auto"/>
              </w:rPr>
              <w:t>Employee stock options</w:t>
            </w:r>
          </w:p>
        </w:tc>
        <w:tc>
          <w:tcPr>
            <w:tcW w:w="2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ind w:left="1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ind w:left="12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900" w:type="dxa"/>
            <w:vAlign w:val="bottom"/>
            <w:shd w:val="clear" w:color="auto" w:fill="EEEEEE"/>
          </w:tcPr>
          <w:p>
            <w:pPr>
              <w:spacing w:after="0"/>
              <w:rPr>
                <w:sz w:val="20"/>
                <w:szCs w:val="20"/>
                <w:color w:val="auto"/>
              </w:rPr>
            </w:pPr>
            <w:r>
              <w:rPr>
                <w:rFonts w:ascii="Arial" w:cs="Arial" w:eastAsia="Arial" w:hAnsi="Arial"/>
                <w:sz w:val="18"/>
                <w:szCs w:val="18"/>
                <w:color w:val="auto"/>
              </w:rPr>
              <w:t>Preferred stock warrants</w:t>
            </w:r>
          </w:p>
        </w:tc>
        <w:tc>
          <w:tcPr>
            <w:tcW w:w="26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ind w:left="1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ind w:left="12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8"/>
                <w:szCs w:val="18"/>
                <w:b w:val="1"/>
                <w:bCs w:val="1"/>
                <w:color w:val="auto"/>
              </w:rPr>
              <w:t>NOTE D—INVENTORIES</w:t>
            </w: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60" w:type="dxa"/>
            <w:vAlign w:val="bottom"/>
            <w:gridSpan w:val="6"/>
          </w:tcPr>
          <w:p>
            <w:pPr>
              <w:ind w:left="660"/>
              <w:spacing w:after="0"/>
              <w:rPr>
                <w:sz w:val="20"/>
                <w:szCs w:val="20"/>
                <w:color w:val="auto"/>
              </w:rPr>
            </w:pPr>
            <w:r>
              <w:rPr>
                <w:rFonts w:ascii="Arial" w:cs="Arial" w:eastAsia="Arial" w:hAnsi="Arial"/>
                <w:sz w:val="18"/>
                <w:szCs w:val="18"/>
                <w:color w:val="auto"/>
                <w:w w:val="96"/>
              </w:rPr>
              <w:t>At December 31, 2015 and 2014, inventories consisted of the following:</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90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3"/>
          </w:tcPr>
          <w:p>
            <w:pPr>
              <w:jc w:val="right"/>
              <w:ind w:right="580"/>
              <w:spacing w:after="0"/>
              <w:rPr>
                <w:sz w:val="20"/>
                <w:szCs w:val="20"/>
                <w:color w:val="auto"/>
              </w:rPr>
            </w:pPr>
            <w:r>
              <w:rPr>
                <w:rFonts w:ascii="Arial" w:cs="Arial" w:eastAsia="Arial" w:hAnsi="Arial"/>
                <w:sz w:val="18"/>
                <w:szCs w:val="18"/>
                <w:b w:val="1"/>
                <w:bCs w:val="1"/>
                <w:color w:val="auto"/>
              </w:rPr>
              <w:t>(in thousands)</w:t>
            </w: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EEEEEE"/>
          </w:tcPr>
          <w:p>
            <w:pPr>
              <w:spacing w:after="0"/>
              <w:rPr>
                <w:sz w:val="20"/>
                <w:szCs w:val="20"/>
                <w:color w:val="auto"/>
              </w:rPr>
            </w:pPr>
            <w:r>
              <w:rPr>
                <w:rFonts w:ascii="Arial" w:cs="Arial" w:eastAsia="Arial" w:hAnsi="Arial"/>
                <w:sz w:val="18"/>
                <w:szCs w:val="18"/>
                <w:color w:val="auto"/>
              </w:rPr>
              <w:t>Raw materials</w:t>
            </w:r>
          </w:p>
        </w:tc>
        <w:tc>
          <w:tcPr>
            <w:tcW w:w="1320" w:type="dxa"/>
            <w:vAlign w:val="bottom"/>
            <w:gridSpan w:val="2"/>
            <w:shd w:val="clear" w:color="auto" w:fill="EEEEEE"/>
          </w:tcPr>
          <w:p>
            <w:pPr>
              <w:jc w:val="right"/>
              <w:ind w:right="8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8"/>
              </w:rPr>
              <w:t>22,240</w:t>
            </w:r>
          </w:p>
        </w:tc>
        <w:tc>
          <w:tcPr>
            <w:tcW w:w="1060" w:type="dxa"/>
            <w:vAlign w:val="bottom"/>
            <w:shd w:val="clear" w:color="auto" w:fill="EEEEEE"/>
          </w:tcPr>
          <w:p>
            <w:pPr>
              <w:jc w:val="right"/>
              <w:ind w:right="9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16,243</w:t>
            </w: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w w:val="97"/>
              </w:rPr>
              <w:t>Work in process and sub-assemblies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30,766</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EEEEEE"/>
          </w:tcPr>
          <w:p>
            <w:pPr>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8"/>
              </w:rPr>
              <w:t>13,232</w:t>
            </w:r>
          </w:p>
        </w:tc>
        <w:tc>
          <w:tcPr>
            <w:tcW w:w="106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4,158</w:t>
            </w: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66,238</w:t>
            </w:r>
          </w:p>
        </w:tc>
        <w:tc>
          <w:tcPr>
            <w:tcW w:w="3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90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33,780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For the years ended December 31, 2015, 2014 and 2013, the lower of cost or market adjustment expensed for inventory was $2.8 million, $0.9 million and $0.5 million, respectively.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r>
              <w:rPr>
                <w:rFonts w:ascii="Arial" w:cs="Arial" w:eastAsia="Arial" w:hAnsi="Arial"/>
                <w:sz w:val="18"/>
                <w:szCs w:val="18"/>
                <w:b w:val="1"/>
                <w:bCs w:val="1"/>
                <w:color w:val="auto"/>
              </w:rPr>
              <w:t>NOTE E—PROPERTY, PLANT AND EQUIPMENT</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560" w:type="dxa"/>
            <w:vAlign w:val="bottom"/>
          </w:tcPr>
          <w:p>
            <w:pPr>
              <w:ind w:left="660"/>
              <w:spacing w:after="0"/>
              <w:rPr>
                <w:sz w:val="20"/>
                <w:szCs w:val="20"/>
                <w:color w:val="auto"/>
              </w:rPr>
            </w:pPr>
            <w:r>
              <w:rPr>
                <w:rFonts w:ascii="Arial" w:cs="Arial" w:eastAsia="Arial" w:hAnsi="Arial"/>
                <w:sz w:val="18"/>
                <w:szCs w:val="18"/>
                <w:color w:val="auto"/>
                <w:w w:val="95"/>
              </w:rPr>
              <w:t>At December 31, 2014 and 2013, property, plant and equipment consisted of the following:</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7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7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Land improvements</w:t>
            </w:r>
          </w:p>
        </w:tc>
        <w:tc>
          <w:tcPr>
            <w:tcW w:w="700" w:type="dxa"/>
            <w:vAlign w:val="bottom"/>
            <w:gridSpan w:val="2"/>
            <w:shd w:val="clear" w:color="auto" w:fill="EEEEEE"/>
          </w:tcPr>
          <w:p>
            <w:pPr>
              <w:jc w:val="right"/>
              <w:ind w:right="20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863</w:t>
            </w:r>
          </w:p>
        </w:tc>
        <w:tc>
          <w:tcPr>
            <w:tcW w:w="500" w:type="dxa"/>
            <w:vAlign w:val="bottom"/>
            <w:gridSpan w:val="2"/>
            <w:shd w:val="clear" w:color="auto" w:fill="EEEEEE"/>
          </w:tcPr>
          <w:p>
            <w:pPr>
              <w:jc w:val="right"/>
              <w:ind w:right="37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EEEEEE"/>
          </w:tcPr>
          <w:p>
            <w:pPr>
              <w:spacing w:after="0"/>
              <w:rPr>
                <w:sz w:val="18"/>
                <w:szCs w:val="18"/>
                <w:color w:val="auto"/>
              </w:rPr>
            </w:pPr>
          </w:p>
        </w:tc>
      </w:tr>
      <w:tr>
        <w:trPr>
          <w:trHeight w:val="216"/>
        </w:trPr>
        <w:tc>
          <w:tcPr>
            <w:tcW w:w="7560" w:type="dxa"/>
            <w:vAlign w:val="bottom"/>
          </w:tcPr>
          <w:p>
            <w:pPr>
              <w:ind w:left="160"/>
              <w:spacing w:after="0"/>
              <w:rPr>
                <w:sz w:val="20"/>
                <w:szCs w:val="20"/>
                <w:color w:val="auto"/>
              </w:rPr>
            </w:pPr>
            <w:r>
              <w:rPr>
                <w:rFonts w:ascii="Arial" w:cs="Arial" w:eastAsia="Arial" w:hAnsi="Arial"/>
                <w:sz w:val="18"/>
                <w:szCs w:val="18"/>
                <w:color w:val="auto"/>
              </w:rPr>
              <w:t>Building and improvements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27,255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16,196</w:t>
            </w:r>
          </w:p>
        </w:tc>
        <w:tc>
          <w:tcPr>
            <w:tcW w:w="80" w:type="dxa"/>
            <w:vAlign w:val="bottom"/>
          </w:tcPr>
          <w:p>
            <w:pPr>
              <w:spacing w:after="0"/>
              <w:rPr>
                <w:sz w:val="18"/>
                <w:szCs w:val="18"/>
                <w:color w:val="auto"/>
              </w:rPr>
            </w:pPr>
          </w:p>
        </w:tc>
      </w:tr>
      <w:tr>
        <w:trPr>
          <w:trHeight w:val="216"/>
        </w:trPr>
        <w:tc>
          <w:tcPr>
            <w:tcW w:w="75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88,882</w:t>
            </w: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61,529</w:t>
            </w:r>
          </w:p>
        </w:tc>
        <w:tc>
          <w:tcPr>
            <w:tcW w:w="80" w:type="dxa"/>
            <w:vAlign w:val="bottom"/>
            <w:shd w:val="clear" w:color="auto" w:fill="EEEEEE"/>
          </w:tcPr>
          <w:p>
            <w:pPr>
              <w:spacing w:after="0"/>
              <w:rPr>
                <w:sz w:val="18"/>
                <w:szCs w:val="18"/>
                <w:color w:val="auto"/>
              </w:rPr>
            </w:pPr>
          </w:p>
        </w:tc>
      </w:tr>
      <w:tr>
        <w:trPr>
          <w:trHeight w:val="216"/>
        </w:trPr>
        <w:tc>
          <w:tcPr>
            <w:tcW w:w="7560" w:type="dxa"/>
            <w:vAlign w:val="bottom"/>
          </w:tcPr>
          <w:p>
            <w:pPr>
              <w:ind w:left="16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1,938</w:t>
            </w:r>
          </w:p>
        </w:tc>
        <w:tc>
          <w:tcPr>
            <w:tcW w:w="80" w:type="dxa"/>
            <w:vAlign w:val="bottom"/>
          </w:tcPr>
          <w:p>
            <w:pPr>
              <w:spacing w:after="0"/>
              <w:rPr>
                <w:sz w:val="18"/>
                <w:szCs w:val="18"/>
                <w:color w:val="auto"/>
              </w:rPr>
            </w:pPr>
          </w:p>
        </w:tc>
      </w:tr>
      <w:tr>
        <w:trPr>
          <w:trHeight w:val="216"/>
        </w:trPr>
        <w:tc>
          <w:tcPr>
            <w:tcW w:w="75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Computer equipment and software</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5,615</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4,712</w:t>
            </w:r>
          </w:p>
        </w:tc>
        <w:tc>
          <w:tcPr>
            <w:tcW w:w="80" w:type="dxa"/>
            <w:vAlign w:val="bottom"/>
            <w:shd w:val="clear" w:color="auto" w:fill="EEEEEE"/>
          </w:tcPr>
          <w:p>
            <w:pPr>
              <w:spacing w:after="0"/>
              <w:rPr>
                <w:sz w:val="18"/>
                <w:szCs w:val="18"/>
                <w:color w:val="auto"/>
              </w:rPr>
            </w:pPr>
          </w:p>
        </w:tc>
      </w:tr>
      <w:tr>
        <w:trPr>
          <w:trHeight w:val="230"/>
        </w:trPr>
        <w:tc>
          <w:tcPr>
            <w:tcW w:w="7560" w:type="dxa"/>
            <w:vAlign w:val="bottom"/>
          </w:tcPr>
          <w:p>
            <w:pPr>
              <w:ind w:left="160"/>
              <w:spacing w:after="0"/>
              <w:rPr>
                <w:sz w:val="20"/>
                <w:szCs w:val="20"/>
                <w:color w:val="auto"/>
              </w:rPr>
            </w:pPr>
            <w:r>
              <w:rPr>
                <w:rFonts w:ascii="Arial" w:cs="Arial" w:eastAsia="Arial" w:hAnsi="Arial"/>
                <w:sz w:val="18"/>
                <w:szCs w:val="18"/>
                <w:color w:val="auto"/>
              </w:rPr>
              <w:t>Transportation equipment</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9"/>
                <w:szCs w:val="19"/>
                <w:color w:val="auto"/>
              </w:rPr>
            </w:pPr>
          </w:p>
        </w:tc>
      </w:tr>
      <w:tr>
        <w:trPr>
          <w:trHeight w:val="210"/>
        </w:trPr>
        <w:tc>
          <w:tcPr>
            <w:tcW w:w="756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125,331</w:t>
            </w:r>
          </w:p>
        </w:tc>
        <w:tc>
          <w:tcPr>
            <w:tcW w:w="24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84,748</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30"/>
        </w:trPr>
        <w:tc>
          <w:tcPr>
            <w:tcW w:w="7560" w:type="dxa"/>
            <w:vAlign w:val="bottom"/>
          </w:tcPr>
          <w:p>
            <w:pPr>
              <w:ind w:left="16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(37,970)</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(32,412)</w:t>
            </w:r>
          </w:p>
        </w:tc>
      </w:tr>
      <w:tr>
        <w:trPr>
          <w:trHeight w:val="210"/>
        </w:trPr>
        <w:tc>
          <w:tcPr>
            <w:tcW w:w="756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87,361</w:t>
            </w:r>
          </w:p>
        </w:tc>
        <w:tc>
          <w:tcPr>
            <w:tcW w:w="24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52,336</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560" w:type="dxa"/>
            <w:vAlign w:val="bottom"/>
          </w:tcPr>
          <w:p>
            <w:pPr>
              <w:ind w:left="160"/>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21,237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11,371</w:t>
            </w:r>
          </w:p>
        </w:tc>
        <w:tc>
          <w:tcPr>
            <w:tcW w:w="80" w:type="dxa"/>
            <w:vAlign w:val="bottom"/>
          </w:tcPr>
          <w:p>
            <w:pPr>
              <w:spacing w:after="0"/>
              <w:rPr>
                <w:sz w:val="18"/>
                <w:szCs w:val="18"/>
                <w:color w:val="auto"/>
              </w:rPr>
            </w:pPr>
          </w:p>
        </w:tc>
      </w:tr>
      <w:tr>
        <w:trPr>
          <w:trHeight w:val="230"/>
        </w:trPr>
        <w:tc>
          <w:tcPr>
            <w:tcW w:w="75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1,101</w:t>
            </w:r>
          </w:p>
        </w:tc>
        <w:tc>
          <w:tcPr>
            <w:tcW w:w="2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1,101</w:t>
            </w:r>
          </w:p>
        </w:tc>
        <w:tc>
          <w:tcPr>
            <w:tcW w:w="80" w:type="dxa"/>
            <w:vAlign w:val="bottom"/>
            <w:shd w:val="clear" w:color="auto" w:fill="EEEEEE"/>
          </w:tcPr>
          <w:p>
            <w:pPr>
              <w:spacing w:after="0"/>
              <w:rPr>
                <w:sz w:val="19"/>
                <w:szCs w:val="19"/>
                <w:color w:val="auto"/>
              </w:rPr>
            </w:pP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109,699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For the years ended December 31, 2015, 2014 and 2013, depreciation expense of property, plant and equipment was $9.0 million $5.8 million and $3.3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2015, there was $0.1 million of capitalized interest recorded in construction in progress.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r>
              <w:rPr>
                <w:rFonts w:ascii="Arial" w:cs="Arial" w:eastAsia="Arial" w:hAnsi="Arial"/>
                <w:sz w:val="18"/>
                <w:szCs w:val="18"/>
                <w:b w:val="1"/>
                <w:bCs w:val="1"/>
                <w:color w:val="auto"/>
              </w:rPr>
              <w:t>NOTE F—INTANGIBLE ASSETS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500" w:type="dxa"/>
            <w:vAlign w:val="bottom"/>
          </w:tcPr>
          <w:p>
            <w:pPr>
              <w:ind w:left="660"/>
              <w:spacing w:after="0"/>
              <w:rPr>
                <w:sz w:val="20"/>
                <w:szCs w:val="20"/>
                <w:color w:val="auto"/>
              </w:rPr>
            </w:pPr>
            <w:r>
              <w:rPr>
                <w:rFonts w:ascii="Arial" w:cs="Arial" w:eastAsia="Arial" w:hAnsi="Arial"/>
                <w:sz w:val="18"/>
                <w:szCs w:val="18"/>
                <w:color w:val="auto"/>
                <w:w w:val="94"/>
              </w:rPr>
              <w:t>At December 31, 2015 and 2014, intangible assets consisted of the following:</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6"/>
                <w:szCs w:val="16"/>
                <w:color w:val="auto"/>
              </w:rPr>
            </w:pPr>
          </w:p>
        </w:tc>
        <w:tc>
          <w:tcPr>
            <w:tcW w:w="1180" w:type="dxa"/>
            <w:vAlign w:val="bottom"/>
          </w:tcPr>
          <w:p>
            <w:pPr>
              <w:ind w:left="100"/>
              <w:spacing w:after="0" w:line="191" w:lineRule="exact"/>
              <w:rPr>
                <w:sz w:val="20"/>
                <w:szCs w:val="20"/>
                <w:color w:val="auto"/>
              </w:rPr>
            </w:pPr>
            <w:r>
              <w:rPr>
                <w:rFonts w:ascii="Arial" w:cs="Arial" w:eastAsia="Arial" w:hAnsi="Arial"/>
                <w:sz w:val="18"/>
                <w:szCs w:val="18"/>
                <w:b w:val="1"/>
                <w:bCs w:val="1"/>
                <w:color w:val="auto"/>
              </w:rPr>
              <w:t>Intangible</w:t>
            </w:r>
          </w:p>
        </w:tc>
        <w:tc>
          <w:tcPr>
            <w:tcW w:w="100" w:type="dxa"/>
            <w:vAlign w:val="bottom"/>
          </w:tcPr>
          <w:p>
            <w:pPr>
              <w:spacing w:after="0"/>
              <w:rPr>
                <w:sz w:val="16"/>
                <w:szCs w:val="16"/>
                <w:color w:val="auto"/>
              </w:rPr>
            </w:pPr>
          </w:p>
        </w:tc>
      </w:tr>
      <w:tr>
        <w:trPr>
          <w:trHeight w:val="234"/>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assets, net</w:t>
            </w:r>
          </w:p>
        </w:tc>
      </w:tr>
      <w:tr>
        <w:trPr>
          <w:trHeight w:val="210"/>
        </w:trPr>
        <w:tc>
          <w:tcPr>
            <w:tcW w:w="6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Patents</w:t>
            </w:r>
          </w:p>
        </w:tc>
        <w:tc>
          <w:tcPr>
            <w:tcW w:w="5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5,446</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(1,551)</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3,895</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Trademarks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23"/>
        </w:trPr>
        <w:tc>
          <w:tcPr>
            <w:tcW w:w="65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5,460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(1,560</w:t>
            </w:r>
          </w:p>
        </w:tc>
        <w:tc>
          <w:tcPr>
            <w:tcW w:w="220" w:type="dxa"/>
            <w:vAlign w:val="bottom"/>
            <w:tcBorders>
              <w:top w:val="single" w:sz="8" w:color="EEEEEE"/>
              <w:bottom w:val="single" w:sz="8" w:color="EEEEEE"/>
            </w:tcBorders>
            <w:shd w:val="clear" w:color="auto" w:fill="EEEEEE"/>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6"/>
                <w:szCs w:val="16"/>
                <w:color w:val="auto"/>
              </w:rPr>
            </w:pPr>
          </w:p>
        </w:tc>
        <w:tc>
          <w:tcPr>
            <w:tcW w:w="1180" w:type="dxa"/>
            <w:vAlign w:val="bottom"/>
          </w:tcPr>
          <w:p>
            <w:pPr>
              <w:ind w:left="100"/>
              <w:spacing w:after="0" w:line="191" w:lineRule="exact"/>
              <w:rPr>
                <w:sz w:val="20"/>
                <w:szCs w:val="20"/>
                <w:color w:val="auto"/>
              </w:rPr>
            </w:pPr>
            <w:r>
              <w:rPr>
                <w:rFonts w:ascii="Arial" w:cs="Arial" w:eastAsia="Arial" w:hAnsi="Arial"/>
                <w:sz w:val="18"/>
                <w:szCs w:val="18"/>
                <w:b w:val="1"/>
                <w:bCs w:val="1"/>
                <w:color w:val="auto"/>
              </w:rPr>
              <w:t>Intangible</w:t>
            </w:r>
          </w:p>
        </w:tc>
        <w:tc>
          <w:tcPr>
            <w:tcW w:w="100" w:type="dxa"/>
            <w:vAlign w:val="bottom"/>
          </w:tcPr>
          <w:p>
            <w:pPr>
              <w:spacing w:after="0"/>
              <w:rPr>
                <w:sz w:val="16"/>
                <w:szCs w:val="16"/>
                <w:color w:val="auto"/>
              </w:rPr>
            </w:pPr>
          </w:p>
        </w:tc>
      </w:tr>
      <w:tr>
        <w:trPr>
          <w:trHeight w:val="234"/>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assets, net</w:t>
            </w:r>
          </w:p>
        </w:tc>
      </w:tr>
      <w:tr>
        <w:trPr>
          <w:trHeight w:val="210"/>
        </w:trPr>
        <w:tc>
          <w:tcPr>
            <w:tcW w:w="6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Patents</w:t>
            </w:r>
          </w:p>
        </w:tc>
        <w:tc>
          <w:tcPr>
            <w:tcW w:w="50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4,968</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(1,141)</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3,827</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Trademarks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23"/>
        </w:trPr>
        <w:tc>
          <w:tcPr>
            <w:tcW w:w="65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intangible assets</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4,982</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(1,149</w:t>
            </w:r>
          </w:p>
        </w:tc>
        <w:tc>
          <w:tcPr>
            <w:tcW w:w="220" w:type="dxa"/>
            <w:vAlign w:val="bottom"/>
            <w:tcBorders>
              <w:top w:val="single" w:sz="8" w:color="EEEEEE"/>
              <w:bottom w:val="single" w:sz="8" w:color="EEEEEE"/>
            </w:tcBorders>
            <w:shd w:val="clear" w:color="auto" w:fill="EEEEEE"/>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the years ended December 31, 2015, 2014 and 2013, amortization expense for intangible assets, included in general and administrative expenses on the income statement, was $411,000 $356,000 and $68,000, respectively. The remaining weighted average amortization period for intangible assets is approximately 9.5 years.</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 2014, the Company acquired an intangible asset from an unrelated company in the form of a license to various patents related to transceiver product technology. The weighted-average amortization period for the license is 10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2015, approximate amortization expense for intangible assets was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2016</w:t>
            </w:r>
          </w:p>
        </w:tc>
        <w:tc>
          <w:tcPr>
            <w:tcW w:w="480" w:type="dxa"/>
            <w:vAlign w:val="bottom"/>
            <w:gridSpan w:val="2"/>
            <w:shd w:val="clear" w:color="auto" w:fill="EEEEEE"/>
          </w:tcPr>
          <w:p>
            <w:pPr>
              <w:jc w:val="right"/>
              <w:ind w:right="2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424</w:t>
            </w:r>
          </w:p>
        </w:tc>
        <w:tc>
          <w:tcPr>
            <w:tcW w:w="5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4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424</w:t>
            </w:r>
          </w:p>
        </w:tc>
        <w:tc>
          <w:tcPr>
            <w:tcW w:w="5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424</w:t>
            </w:r>
          </w:p>
        </w:tc>
        <w:tc>
          <w:tcPr>
            <w:tcW w:w="5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4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424</w:t>
            </w:r>
          </w:p>
        </w:tc>
        <w:tc>
          <w:tcPr>
            <w:tcW w:w="50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424</w:t>
            </w:r>
          </w:p>
        </w:tc>
        <w:tc>
          <w:tcPr>
            <w:tcW w:w="506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4140" w:type="dxa"/>
            <w:vAlign w:val="bottom"/>
          </w:tcPr>
          <w:p>
            <w:pPr>
              <w:jc w:val="right"/>
              <w:ind w:right="1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1,780</w:t>
            </w:r>
          </w:p>
        </w:tc>
        <w:tc>
          <w:tcPr>
            <w:tcW w:w="5060" w:type="dxa"/>
            <w:vAlign w:val="bottom"/>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41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3,900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506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521"/>
        </w:trPr>
        <w:tc>
          <w:tcPr>
            <w:tcW w:w="6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F-14</w:t>
            </w: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 G—FAIR VALUE OF FINANCIAL INSTRUMENTS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as of December 31, 2015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6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Quoted prices in</w:t>
            </w:r>
          </w:p>
        </w:tc>
        <w:tc>
          <w:tcPr>
            <w:tcW w:w="16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Significant other</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active markets</w:t>
            </w: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observable</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Significant</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 identical</w:t>
            </w:r>
          </w:p>
        </w:tc>
        <w:tc>
          <w:tcPr>
            <w:tcW w:w="16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remaining inputs</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unobservable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assets (Level 1)</w:t>
            </w:r>
          </w:p>
        </w:tc>
        <w:tc>
          <w:tcPr>
            <w:tcW w:w="18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(Level 2)</w:t>
            </w: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inputs (Level 3)</w:t>
            </w:r>
          </w:p>
        </w:tc>
        <w:tc>
          <w:tcPr>
            <w:tcW w:w="2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28,074</w:t>
            </w:r>
          </w:p>
        </w:tc>
        <w:tc>
          <w:tcPr>
            <w:tcW w:w="180" w:type="dxa"/>
            <w:vAlign w:val="bottom"/>
            <w:shd w:val="clear" w:color="auto" w:fill="EEEEEE"/>
          </w:tcPr>
          <w:p>
            <w:pPr>
              <w:jc w:val="right"/>
              <w:ind w:right="20"/>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ind w:left="1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28,074</w:t>
            </w:r>
          </w:p>
        </w:tc>
        <w:tc>
          <w:tcPr>
            <w:tcW w:w="0" w:type="dxa"/>
            <w:vAlign w:val="bottom"/>
          </w:tcPr>
          <w:p>
            <w:pPr>
              <w:spacing w:after="0"/>
              <w:rPr>
                <w:sz w:val="1"/>
                <w:szCs w:val="1"/>
                <w:color w:val="auto"/>
              </w:rPr>
            </w:pP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4,719</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30"/>
        </w:trPr>
        <w:tc>
          <w:tcPr>
            <w:tcW w:w="51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Short term investments</w:t>
            </w:r>
          </w:p>
        </w:tc>
        <w:tc>
          <w:tcPr>
            <w:tcW w:w="10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7,886</w:t>
            </w:r>
          </w:p>
        </w:tc>
        <w:tc>
          <w:tcPr>
            <w:tcW w:w="18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ind w:left="1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263"/>
        </w:trPr>
        <w:tc>
          <w:tcPr>
            <w:tcW w:w="51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40,679</w:t>
            </w:r>
          </w:p>
        </w:tc>
        <w:tc>
          <w:tcPr>
            <w:tcW w:w="24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EEEEE"/>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40,679</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EEEEEE"/>
          </w:tcPr>
          <w:p>
            <w:pPr>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60"/>
              <w:spacing w:after="0"/>
              <w:rPr>
                <w:sz w:val="20"/>
                <w:szCs w:val="20"/>
                <w:color w:val="auto"/>
              </w:rPr>
            </w:pPr>
            <w:r>
              <w:rPr>
                <w:rFonts w:ascii="Arial" w:cs="Arial" w:eastAsia="Arial" w:hAnsi="Arial"/>
                <w:sz w:val="18"/>
                <w:szCs w:val="18"/>
                <w:color w:val="auto"/>
              </w:rPr>
              <w:t>Bank acceptance payable</w:t>
            </w:r>
          </w:p>
        </w:tc>
        <w:tc>
          <w:tcPr>
            <w:tcW w:w="10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19"/>
                <w:szCs w:val="19"/>
                <w:color w:val="auto"/>
              </w:rPr>
            </w:pPr>
          </w:p>
        </w:tc>
        <w:tc>
          <w:tcPr>
            <w:tcW w:w="14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23"/>
        </w:trPr>
        <w:tc>
          <w:tcPr>
            <w:tcW w:w="51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0"/>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2,998</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ind w:left="114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as of December 31, 2014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6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Quoted prices in</w:t>
            </w:r>
          </w:p>
        </w:tc>
        <w:tc>
          <w:tcPr>
            <w:tcW w:w="16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Significant other</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active markets</w:t>
            </w: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observable</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Significant</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 identical</w:t>
            </w:r>
          </w:p>
        </w:tc>
        <w:tc>
          <w:tcPr>
            <w:tcW w:w="16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remaining inputs</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unobservable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assets (Level 1)</w:t>
            </w:r>
          </w:p>
        </w:tc>
        <w:tc>
          <w:tcPr>
            <w:tcW w:w="18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(Level 2)</w:t>
            </w: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inputs (Level 3)</w:t>
            </w:r>
          </w:p>
        </w:tc>
        <w:tc>
          <w:tcPr>
            <w:tcW w:w="2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32,175</w:t>
            </w:r>
          </w:p>
        </w:tc>
        <w:tc>
          <w:tcPr>
            <w:tcW w:w="180" w:type="dxa"/>
            <w:vAlign w:val="bottom"/>
            <w:shd w:val="clear" w:color="auto" w:fill="EEEEEE"/>
          </w:tcPr>
          <w:p>
            <w:pPr>
              <w:jc w:val="right"/>
              <w:ind w:right="20"/>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ind w:left="1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32,175</w:t>
            </w:r>
          </w:p>
        </w:tc>
        <w:tc>
          <w:tcPr>
            <w:tcW w:w="0" w:type="dxa"/>
            <w:vAlign w:val="bottom"/>
          </w:tcPr>
          <w:p>
            <w:pPr>
              <w:spacing w:after="0"/>
              <w:rPr>
                <w:sz w:val="1"/>
                <w:szCs w:val="1"/>
                <w:color w:val="auto"/>
              </w:rPr>
            </w:pP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509</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0"/>
        </w:trPr>
        <w:tc>
          <w:tcPr>
            <w:tcW w:w="51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Short term investments</w:t>
            </w:r>
          </w:p>
        </w:tc>
        <w:tc>
          <w:tcPr>
            <w:tcW w:w="10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8,189</w:t>
            </w:r>
          </w:p>
        </w:tc>
        <w:tc>
          <w:tcPr>
            <w:tcW w:w="18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ind w:left="1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9,169</w:t>
            </w:r>
          </w:p>
        </w:tc>
        <w:tc>
          <w:tcPr>
            <w:tcW w:w="0" w:type="dxa"/>
            <w:vAlign w:val="bottom"/>
          </w:tcPr>
          <w:p>
            <w:pPr>
              <w:spacing w:after="0"/>
              <w:rPr>
                <w:sz w:val="1"/>
                <w:szCs w:val="1"/>
                <w:color w:val="auto"/>
              </w:rPr>
            </w:pPr>
          </w:p>
        </w:tc>
      </w:tr>
      <w:tr>
        <w:trPr>
          <w:trHeight w:val="263"/>
        </w:trPr>
        <w:tc>
          <w:tcPr>
            <w:tcW w:w="51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40,873</w:t>
            </w:r>
          </w:p>
        </w:tc>
        <w:tc>
          <w:tcPr>
            <w:tcW w:w="24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240" w:type="dxa"/>
            <w:vAlign w:val="bottom"/>
            <w:tcBorders>
              <w:bottom w:val="single" w:sz="8" w:color="EEEEEE"/>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41,853</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EEEEEE"/>
          </w:tcPr>
          <w:p>
            <w:pPr>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60"/>
              <w:spacing w:after="0"/>
              <w:rPr>
                <w:sz w:val="20"/>
                <w:szCs w:val="20"/>
                <w:color w:val="auto"/>
              </w:rPr>
            </w:pPr>
            <w:r>
              <w:rPr>
                <w:rFonts w:ascii="Arial" w:cs="Arial" w:eastAsia="Arial" w:hAnsi="Arial"/>
                <w:sz w:val="18"/>
                <w:szCs w:val="18"/>
                <w:color w:val="auto"/>
              </w:rPr>
              <w:t>Bank acceptance payable</w:t>
            </w:r>
          </w:p>
        </w:tc>
        <w:tc>
          <w:tcPr>
            <w:tcW w:w="10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19"/>
                <w:szCs w:val="19"/>
                <w:color w:val="auto"/>
              </w:rPr>
            </w:pPr>
          </w:p>
        </w:tc>
        <w:tc>
          <w:tcPr>
            <w:tcW w:w="14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23"/>
        </w:trPr>
        <w:tc>
          <w:tcPr>
            <w:tcW w:w="51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0"/>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1,271</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ind w:left="114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5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F-15</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NOTE H—NOTES PAYABLE AND LONG-TERM DEBT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900" w:type="dxa"/>
            <w:vAlign w:val="bottom"/>
            <w:gridSpan w:val="3"/>
          </w:tcPr>
          <w:p>
            <w:pPr>
              <w:ind w:left="640"/>
              <w:spacing w:after="0"/>
              <w:rPr>
                <w:sz w:val="20"/>
                <w:szCs w:val="20"/>
                <w:color w:val="auto"/>
              </w:rPr>
            </w:pPr>
            <w:r>
              <w:rPr>
                <w:rFonts w:ascii="Arial" w:cs="Arial" w:eastAsia="Arial" w:hAnsi="Arial"/>
                <w:sz w:val="18"/>
                <w:szCs w:val="18"/>
                <w:color w:val="auto"/>
              </w:rPr>
              <w:t>Notes payable and long-term debt consisted of the following for the periods indicated (in thousands):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Revolving line of credit with a U.S. bank up to $25,000 with interest at LIBOR plus 2.75% or 3%,</w:t>
            </w: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maturing June 30, 2018</w:t>
            </w:r>
          </w:p>
        </w:tc>
        <w:tc>
          <w:tcPr>
            <w:tcW w:w="1140" w:type="dxa"/>
            <w:vAlign w:val="bottom"/>
            <w:gridSpan w:val="2"/>
            <w:shd w:val="clear" w:color="auto" w:fill="EEEEEE"/>
          </w:tcPr>
          <w:p>
            <w:pPr>
              <w:jc w:val="right"/>
              <w:ind w:right="85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23,000</w:t>
            </w:r>
          </w:p>
        </w:tc>
        <w:tc>
          <w:tcPr>
            <w:tcW w:w="600" w:type="dxa"/>
            <w:vAlign w:val="bottom"/>
            <w:gridSpan w:val="2"/>
            <w:shd w:val="clear" w:color="auto" w:fill="EEEEEE"/>
          </w:tcPr>
          <w:p>
            <w:pPr>
              <w:jc w:val="right"/>
              <w:ind w:right="3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line="201" w:lineRule="exact"/>
              <w:rPr>
                <w:sz w:val="20"/>
                <w:szCs w:val="20"/>
                <w:color w:val="auto"/>
              </w:rPr>
            </w:pPr>
            <w:r>
              <w:rPr>
                <w:rFonts w:ascii="Arial" w:cs="Arial" w:eastAsia="Arial" w:hAnsi="Arial"/>
                <w:sz w:val="18"/>
                <w:szCs w:val="18"/>
                <w:color w:val="auto"/>
                <w:w w:val="99"/>
              </w:rPr>
              <w:t>Term loan with a U.S. bank with monthly payments of principal and interest at LIBOR plus 2.75%,</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maturing July 31, 2019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4,150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9"/>
              </w:rPr>
              <w:t>Term loan with a U.S. bank with monthly payments of principal and interest at LIBOR plus 2.75%,</w:t>
            </w: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maturing June 30, 2020</w:t>
            </w:r>
          </w:p>
        </w:tc>
        <w:tc>
          <w:tcPr>
            <w:tcW w:w="12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line="201" w:lineRule="exact"/>
              <w:rPr>
                <w:sz w:val="20"/>
                <w:szCs w:val="20"/>
                <w:color w:val="auto"/>
              </w:rPr>
            </w:pPr>
            <w:r>
              <w:rPr>
                <w:rFonts w:ascii="Arial" w:cs="Arial" w:eastAsia="Arial" w:hAnsi="Arial"/>
                <w:sz w:val="18"/>
                <w:szCs w:val="18"/>
                <w:color w:val="auto"/>
                <w:w w:val="92"/>
              </w:rPr>
              <w:t>Construction loan with a U.S. bank with monthly payments of principal and interest at LIBOR plus 2.75%,</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maturing January 26, 2022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8,588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7"/>
              </w:rPr>
              <w:t>Revolving line of credit with a Taiwan bank up to $3,000 with interest based on the bank's corporate</w:t>
            </w: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rate index+ 1.5%, or 2.40% maturing on November 30, 2016</w:t>
            </w:r>
          </w:p>
        </w:tc>
        <w:tc>
          <w:tcPr>
            <w:tcW w:w="12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2,588</w:t>
            </w:r>
          </w:p>
        </w:tc>
        <w:tc>
          <w:tcPr>
            <w:tcW w:w="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line="201" w:lineRule="exact"/>
              <w:rPr>
                <w:sz w:val="20"/>
                <w:szCs w:val="20"/>
                <w:color w:val="auto"/>
              </w:rPr>
            </w:pPr>
            <w:r>
              <w:rPr>
                <w:rFonts w:ascii="Arial" w:cs="Arial" w:eastAsia="Arial" w:hAnsi="Arial"/>
                <w:sz w:val="18"/>
                <w:szCs w:val="18"/>
                <w:color w:val="auto"/>
                <w:w w:val="92"/>
              </w:rPr>
              <w:t>Revolving line of credit with a Taiwan bank up to $7,000 with interest at Taiwan deposit index plus 0.41%</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or LIBOR plus 1.7% maturing on February 6, 2016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6"/>
              </w:rPr>
              <w:t>Revolving line of credit with a Taiwan bank up to $4,000 with interest at Taiwan Time Deposit Interest</w:t>
            </w: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Rate Index plus 1% or LIBOR plus 1% maturing on December 11, 2015</w:t>
            </w:r>
          </w:p>
        </w:tc>
        <w:tc>
          <w:tcPr>
            <w:tcW w:w="12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3,407</w:t>
            </w:r>
          </w:p>
        </w:tc>
        <w:tc>
          <w:tcPr>
            <w:tcW w:w="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line="201" w:lineRule="exact"/>
              <w:rPr>
                <w:sz w:val="20"/>
                <w:szCs w:val="20"/>
                <w:color w:val="auto"/>
              </w:rPr>
            </w:pPr>
            <w:r>
              <w:rPr>
                <w:rFonts w:ascii="Arial" w:cs="Arial" w:eastAsia="Arial" w:hAnsi="Arial"/>
                <w:sz w:val="18"/>
                <w:szCs w:val="18"/>
                <w:color w:val="auto"/>
                <w:w w:val="92"/>
              </w:rPr>
              <w:t>Revolving line of credit with the Taiwan branch of a China bank up to $10,000 with interest at LIBOR plus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1.5% or Taiwan Interbank Offered Rate plus 0.9% , maturing April 1, 2016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w w:val="91"/>
              </w:rPr>
              <w:t>Note payable to a finance company due in monthly installments with 4.5% interest, maturing May 27, 2018</w:t>
            </w: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2,946</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1"/>
              </w:rPr>
              <w:t>Note payable to a finance company due in monthly installments with 4.5% interest, maturing June 30, 2018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5"/>
              </w:rPr>
              <w:t>Revolving line of credit with a China bank up to $12,320 with interest of 3.15% for 3-month term which</w:t>
            </w: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mature between January to March 2016</w:t>
            </w:r>
          </w:p>
        </w:tc>
        <w:tc>
          <w:tcPr>
            <w:tcW w:w="12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2,428</w:t>
            </w:r>
          </w:p>
        </w:tc>
        <w:tc>
          <w:tcPr>
            <w:tcW w:w="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64,905</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28,648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(30,908)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Non-current portion</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5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33,997</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500" w:type="dxa"/>
            <w:vAlign w:val="bottom"/>
            <w:tcBorders>
              <w:top w:val="single" w:sz="8" w:color="auto"/>
              <w:bottom w:val="single" w:sz="8" w:color="auto"/>
            </w:tcBorders>
            <w:shd w:val="clear" w:color="auto" w:fill="EEEEEE"/>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19,057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vMerge w:val="restart"/>
          </w:tcPr>
          <w:p>
            <w:pPr>
              <w:ind w:left="2640"/>
              <w:spacing w:after="0"/>
              <w:rPr>
                <w:sz w:val="20"/>
                <w:szCs w:val="20"/>
                <w:color w:val="auto"/>
              </w:rPr>
            </w:pPr>
            <w:r>
              <w:rPr>
                <w:rFonts w:ascii="Arial" w:cs="Arial" w:eastAsia="Arial" w:hAnsi="Arial"/>
                <w:sz w:val="18"/>
                <w:szCs w:val="18"/>
                <w:b w:val="1"/>
                <w:bCs w:val="1"/>
                <w:color w:val="auto"/>
              </w:rPr>
              <w:t>Bank Acceptance Notes Payable</w:t>
            </w: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7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760" w:type="dxa"/>
            <w:vAlign w:val="bottom"/>
            <w:shd w:val="clear" w:color="auto" w:fill="EEEEEE"/>
          </w:tcPr>
          <w:p>
            <w:pPr>
              <w:spacing w:after="0" w:line="195" w:lineRule="exact"/>
              <w:rPr>
                <w:sz w:val="20"/>
                <w:szCs w:val="20"/>
                <w:color w:val="auto"/>
              </w:rPr>
            </w:pPr>
            <w:r>
              <w:rPr>
                <w:rFonts w:ascii="Arial" w:cs="Arial" w:eastAsia="Arial" w:hAnsi="Arial"/>
                <w:sz w:val="18"/>
                <w:szCs w:val="18"/>
                <w:color w:val="auto"/>
                <w:w w:val="88"/>
              </w:rPr>
              <w:t>Bank acceptance notes issued to vendors with a zero percent interest rate, a 30% guarantee deposit of $899,</w:t>
            </w:r>
          </w:p>
        </w:tc>
        <w:tc>
          <w:tcPr>
            <w:tcW w:w="12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58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500" w:type="dxa"/>
            <w:vAlign w:val="bottom"/>
            <w:shd w:val="clear" w:color="auto" w:fill="EEEEEE"/>
          </w:tcPr>
          <w:p>
            <w:pPr>
              <w:spacing w:after="0"/>
              <w:rPr>
                <w:sz w:val="16"/>
                <w:szCs w:val="16"/>
                <w:color w:val="auto"/>
              </w:rPr>
            </w:pPr>
          </w:p>
        </w:tc>
        <w:tc>
          <w:tcPr>
            <w:tcW w:w="10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and maturity dates ranging from January 2016 to June 2016</w:t>
            </w:r>
          </w:p>
        </w:tc>
        <w:tc>
          <w:tcPr>
            <w:tcW w:w="12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2,998</w:t>
            </w:r>
          </w:p>
        </w:tc>
        <w:tc>
          <w:tcPr>
            <w:tcW w:w="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current portion of long-term debt is the amount payable within one year of the balance sheet date of December 31,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notes payable and long-term debt are as follows for the future years ending December 31(in thousands):</w:t>
      </w:r>
    </w:p>
    <w:p>
      <w:pPr>
        <w:spacing w:after="0" w:line="240"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2860" w:type="dxa"/>
            <w:vAlign w:val="bottom"/>
            <w:shd w:val="clear" w:color="auto" w:fill="EEEEEE"/>
          </w:tcPr>
          <w:p>
            <w:pPr>
              <w:ind w:left="40"/>
              <w:spacing w:after="0"/>
              <w:rPr>
                <w:sz w:val="20"/>
                <w:szCs w:val="20"/>
                <w:color w:val="auto"/>
              </w:rPr>
            </w:pPr>
            <w:r>
              <w:rPr>
                <w:rFonts w:ascii="Arial" w:cs="Arial" w:eastAsia="Arial" w:hAnsi="Arial"/>
                <w:sz w:val="18"/>
                <w:szCs w:val="18"/>
                <w:color w:val="auto"/>
              </w:rPr>
              <w:t>2016</w:t>
            </w:r>
          </w:p>
        </w:tc>
        <w:tc>
          <w:tcPr>
            <w:tcW w:w="1180" w:type="dxa"/>
            <w:vAlign w:val="bottom"/>
            <w:gridSpan w:val="2"/>
            <w:shd w:val="clear" w:color="auto" w:fill="EEEEEE"/>
          </w:tcPr>
          <w:p>
            <w:pPr>
              <w:jc w:val="right"/>
              <w:ind w:right="1005"/>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30,908</w:t>
            </w:r>
          </w:p>
        </w:tc>
        <w:tc>
          <w:tcPr>
            <w:tcW w:w="60" w:type="dxa"/>
            <w:vAlign w:val="bottom"/>
            <w:shd w:val="clear" w:color="auto" w:fill="EEEEEE"/>
          </w:tcPr>
          <w:p>
            <w:pPr>
              <w:spacing w:after="0"/>
              <w:rPr>
                <w:sz w:val="18"/>
                <w:szCs w:val="18"/>
                <w:color w:val="auto"/>
              </w:rPr>
            </w:pPr>
          </w:p>
        </w:tc>
      </w:tr>
      <w:tr>
        <w:trPr>
          <w:trHeight w:val="216"/>
        </w:trPr>
        <w:tc>
          <w:tcPr>
            <w:tcW w:w="2860" w:type="dxa"/>
            <w:vAlign w:val="bottom"/>
          </w:tcPr>
          <w:p>
            <w:pPr>
              <w:ind w:left="4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3,950</w:t>
            </w:r>
          </w:p>
        </w:tc>
        <w:tc>
          <w:tcPr>
            <w:tcW w:w="60" w:type="dxa"/>
            <w:vAlign w:val="bottom"/>
          </w:tcPr>
          <w:p>
            <w:pPr>
              <w:spacing w:after="0"/>
              <w:rPr>
                <w:sz w:val="18"/>
                <w:szCs w:val="18"/>
                <w:color w:val="auto"/>
              </w:rPr>
            </w:pPr>
          </w:p>
        </w:tc>
      </w:tr>
      <w:tr>
        <w:trPr>
          <w:trHeight w:val="216"/>
        </w:trPr>
        <w:tc>
          <w:tcPr>
            <w:tcW w:w="2860" w:type="dxa"/>
            <w:vAlign w:val="bottom"/>
            <w:shd w:val="clear" w:color="auto" w:fill="EEEEEE"/>
          </w:tcPr>
          <w:p>
            <w:pPr>
              <w:ind w:left="40"/>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20,877</w:t>
            </w:r>
          </w:p>
        </w:tc>
        <w:tc>
          <w:tcPr>
            <w:tcW w:w="60" w:type="dxa"/>
            <w:vAlign w:val="bottom"/>
            <w:shd w:val="clear" w:color="auto" w:fill="EEEEEE"/>
          </w:tcPr>
          <w:p>
            <w:pPr>
              <w:spacing w:after="0"/>
              <w:rPr>
                <w:sz w:val="18"/>
                <w:szCs w:val="18"/>
                <w:color w:val="auto"/>
              </w:rPr>
            </w:pPr>
          </w:p>
        </w:tc>
      </w:tr>
      <w:tr>
        <w:trPr>
          <w:trHeight w:val="216"/>
        </w:trPr>
        <w:tc>
          <w:tcPr>
            <w:tcW w:w="2860" w:type="dxa"/>
            <w:vAlign w:val="bottom"/>
          </w:tcPr>
          <w:p>
            <w:pPr>
              <w:ind w:left="4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1,598</w:t>
            </w:r>
          </w:p>
        </w:tc>
        <w:tc>
          <w:tcPr>
            <w:tcW w:w="60" w:type="dxa"/>
            <w:vAlign w:val="bottom"/>
          </w:tcPr>
          <w:p>
            <w:pPr>
              <w:spacing w:after="0"/>
              <w:rPr>
                <w:sz w:val="18"/>
                <w:szCs w:val="18"/>
                <w:color w:val="auto"/>
              </w:rPr>
            </w:pPr>
          </w:p>
        </w:tc>
      </w:tr>
      <w:tr>
        <w:trPr>
          <w:trHeight w:val="230"/>
        </w:trPr>
        <w:tc>
          <w:tcPr>
            <w:tcW w:w="2860" w:type="dxa"/>
            <w:vAlign w:val="bottom"/>
            <w:shd w:val="clear" w:color="auto" w:fill="EEEEEE"/>
          </w:tcPr>
          <w:p>
            <w:pPr>
              <w:ind w:left="40"/>
              <w:spacing w:after="0"/>
              <w:rPr>
                <w:sz w:val="20"/>
                <w:szCs w:val="20"/>
                <w:color w:val="auto"/>
              </w:rPr>
            </w:pPr>
            <w:r>
              <w:rPr>
                <w:rFonts w:ascii="Arial" w:cs="Arial" w:eastAsia="Arial" w:hAnsi="Arial"/>
                <w:sz w:val="18"/>
                <w:szCs w:val="18"/>
                <w:color w:val="auto"/>
              </w:rPr>
              <w:t>2020 thereafter</w:t>
            </w:r>
          </w:p>
        </w:tc>
        <w:tc>
          <w:tcPr>
            <w:tcW w:w="20" w:type="dxa"/>
            <w:vAlign w:val="bottom"/>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spacing w:after="0"/>
              <w:rPr>
                <w:sz w:val="19"/>
                <w:szCs w:val="19"/>
                <w:color w:val="auto"/>
              </w:rPr>
            </w:pPr>
          </w:p>
        </w:tc>
        <w:tc>
          <w:tcPr>
            <w:tcW w:w="16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7,572</w:t>
            </w:r>
          </w:p>
        </w:tc>
        <w:tc>
          <w:tcPr>
            <w:tcW w:w="60" w:type="dxa"/>
            <w:vAlign w:val="bottom"/>
            <w:shd w:val="clear" w:color="auto" w:fill="EEEEEE"/>
          </w:tcPr>
          <w:p>
            <w:pPr>
              <w:spacing w:after="0"/>
              <w:rPr>
                <w:sz w:val="19"/>
                <w:szCs w:val="19"/>
                <w:color w:val="auto"/>
              </w:rPr>
            </w:pPr>
          </w:p>
        </w:tc>
      </w:tr>
      <w:tr>
        <w:trPr>
          <w:trHeight w:val="223"/>
        </w:trPr>
        <w:tc>
          <w:tcPr>
            <w:tcW w:w="2860" w:type="dxa"/>
            <w:vAlign w:val="bottom"/>
          </w:tcPr>
          <w:p>
            <w:pPr>
              <w:ind w:left="40"/>
              <w:spacing w:after="0"/>
              <w:rPr>
                <w:sz w:val="20"/>
                <w:szCs w:val="20"/>
                <w:color w:val="auto"/>
              </w:rPr>
            </w:pPr>
            <w:r>
              <w:rPr>
                <w:rFonts w:ascii="Arial" w:cs="Arial" w:eastAsia="Arial" w:hAnsi="Arial"/>
                <w:sz w:val="18"/>
                <w:szCs w:val="18"/>
                <w:color w:val="auto"/>
              </w:rPr>
              <w:t>Total outstanding</w:t>
            </w:r>
          </w:p>
        </w:tc>
        <w:tc>
          <w:tcPr>
            <w:tcW w:w="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0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64,905</w:t>
            </w:r>
          </w:p>
        </w:tc>
        <w:tc>
          <w:tcPr>
            <w:tcW w:w="6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June 30, 2015, the Company entered into a credit agreement with East West Bank and Comerica Bank, a second lien deed of trust, multiple security agreements and promissory notes evidencing two credit facilities and a term loan. The credit agreement included a $25.0 million revolving line of credit which matures on June 30, 2018 and a $10 million term loan maturing on June 30, 2020. The interest rate on these loans is the LIBOR Borrowing Rate plus 2.75% or 3.0%. As of December 31, 2015 and 2014, $23.0 million and $15 million were outstanding under the revolving line of credit. As of December 31, 2015, $2 million was outstanding under the term loans.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also has with East West Bank a term loan of $5 million with monthly payments of principal and interest that matures on July 31,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and 2014, the outstanding balances were $4.2 million and $5 million respectively.</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2" w:name="page83"/>
    <w:bookmarkEnd w:id="82"/>
    <w:p>
      <w:pPr>
        <w:ind w:right="40" w:firstLine="648"/>
        <w:spacing w:after="0" w:line="289" w:lineRule="auto"/>
        <w:rPr>
          <w:sz w:val="20"/>
          <w:szCs w:val="20"/>
          <w:color w:val="auto"/>
        </w:rPr>
      </w:pPr>
      <w:r>
        <w:rPr>
          <w:rFonts w:ascii="Arial" w:cs="Arial" w:eastAsia="Arial" w:hAnsi="Arial"/>
          <w:sz w:val="16"/>
          <w:szCs w:val="16"/>
          <w:color w:val="auto"/>
        </w:rPr>
        <w:t>On January 26, 2015, the Company entered into a construction loan agreement with East West Bank for up to $22.0 million dollars to finance the construction of its campus expansion plan in Sugar Land, Texas. Upon signing the agreement, the Company deposited $11.0 million into a restricted bank account for owner’s contribution of construction costs. The loan will have a fifteen month draw down period with monthly interest payments commencing on February 26, 2015 and ending April 26, 2016. Thereafter, the entire outstanding principal balance shall be converted to a sixty-nine month term loan with principal and interest payments due monthly amortized over three hundred months. The first principal and interest payment is due on May 26, 2016 and will continue the same day of each month thereafter. The final principal and interest payment is due on January 26, 2022 and will include all unpaid principal and all accrued and unpaid interest. The Company may pay without penalty all or a portion of the amount owed earlier than due. Under the loan agreement, the loan bears interest, at an annual rate based on the one-month LIBOR Borrowing Rate plus 2.75%. As of December 31, 2015, there was $8.6 million outstanding under this loan agreement and there was zero balance in the restricted bank account.</w:t>
      </w:r>
    </w:p>
    <w:p>
      <w:pPr>
        <w:spacing w:after="0" w:line="16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loan and security agreements with East West Bank and Comerica Bank require the Company to maintain certain financial covenants, including a minimum current ratio and minimum annual EBITDA. As of December 31, 2015, the Company was in compliance with all covenants contained in these agreements.</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January 6, 2015, the Company’s Taiwan branch entered into a credit facility with CTBC Bank Co. Ltd. in Taipei, Taiwan for 90.0 million New Taiwan dollars, or approximately $3.0 million, one year revolving credit facility. Its obligations under the credit facility are unsecured. Borrowings under the credit facility bear interest at a rate based on the Bank’s corporate interest rate index plus 1.5%, adjusted monthly. As of the execution of the credit facility the Bank’s corporate interest rate index is 0.91%. As of December 31, 2015, $2.6 million was outstanding under this credit facility.</w:t>
      </w:r>
    </w:p>
    <w:p>
      <w:pPr>
        <w:spacing w:after="0" w:line="171" w:lineRule="exact"/>
        <w:rPr>
          <w:sz w:val="20"/>
          <w:szCs w:val="20"/>
          <w:color w:val="auto"/>
        </w:rPr>
      </w:pPr>
    </w:p>
    <w:p>
      <w:pPr>
        <w:ind w:right="260" w:firstLine="648"/>
        <w:spacing w:after="0" w:line="286" w:lineRule="auto"/>
        <w:rPr>
          <w:sz w:val="20"/>
          <w:szCs w:val="20"/>
          <w:color w:val="auto"/>
        </w:rPr>
      </w:pPr>
      <w:r>
        <w:rPr>
          <w:rFonts w:ascii="Arial" w:cs="Arial" w:eastAsia="Arial" w:hAnsi="Arial"/>
          <w:sz w:val="16"/>
          <w:szCs w:val="16"/>
          <w:color w:val="auto"/>
        </w:rPr>
        <w:t>On March 9, 2015, the Company’s Taiwan branch increased its $4.0 million credit facility with E. Sun Commercial Bank to $7.0 million. Its obligations under the credit facility are secured by our $4.0 million cash deposit in a one-year CD with such bank and mature on May 27, 2016. The $4.0 million revolving line of credit with CD security bears interest at a rate equal to Taiwan Deposit Index Rate plus 0.41% for New Taiwan dollar borrowings and a 0.1% service fee for U.S. dollar borrowings. The additional $3.0 million credit facility bears interest at a rate equal to LIBOR plus 1.7% divided by</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0.946 and a 0.3% service fee for U.S. dollar borrowings. As of December 31, 2015 and 2014, $4.5 million and $3.6 million were outstanding under this credit facility.</w:t>
      </w:r>
    </w:p>
    <w:p>
      <w:pPr>
        <w:spacing w:after="0" w:line="18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March 25, 2015, the Company’s Taiwan branch renewed its $4.0 million, one year revolving credit facility agreement, originally dated December 31, 2013, with Mega International Commercial Bank. Obligations under the credit facility are secured by a $4.0 million cash deposit in a CD with such bank. Borrowings under this credit facility bear interest at a rate not less than the LIBOR borrowing rate plus 1.0%, divided by 0.946 for U.S. and other currency borrowings, New Taiwan dollar borrowings bear interest at a rate equal to the Bank’s base lending rate plus 0.76%. The current effective interest rate is 1.77%. As of December 31, 2015 and 2014, $3.4 million and $3.5 million were outstanding under this credit facility.</w:t>
      </w:r>
    </w:p>
    <w:p>
      <w:pPr>
        <w:spacing w:after="0" w:line="173"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On April 1, 2015, the Company’s Taiwan branch entered into a comprehensive credit line agreement with the Taipei branch of China Construction Bank, providing a revolving credit line of $10 million, maturing on April 1, 2016. Borrowings under the credit line agreement are secured by a standby letter of credit issued by the China branch of the bank under existing agreements between the bank and our China subsidiary. Borrowings under the credit line agreement reduce the amounts available under the existing credit line between the bank and the Company’s China subsidiary and cannot exceed 97% of the amount of the standby letter of credit issued by the China branch of the bank. Borrowings under the credit line agreement bear interest at a rate not less than LIBOR plus 1.5% for US dollar borrowings and at a rate of not less than Taiwan Interbank Offered Rate plus 0.9% for New Taiwan dollar borrowings. As of December 31, 2015, $9.4 million was outstanding under this credit facility.</w:t>
      </w:r>
    </w:p>
    <w:p>
      <w:pPr>
        <w:spacing w:after="0" w:line="178"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On June 30, 2015, the Company’s Taiwan branch entered into a purchase and sale contract and a finance lease agreement together with the sale contract with Chailease Finance Co, Ltd. in connection with certain equipment, structured as a sale lease-back transaction. Pursuant to the sale contract, the Company sold certain equipment to Chailease and simultaneously leased the equipment back from Chailease pursuant to the finance lease agreement. The finance lease agreement has a three year term, with monthly lease payments, maturing on May 27 and June 30, 2018 respectively. The title to the equipment will be transferred to the Company upon the expiration of the finance lease agreement. As of December 31, 2015 and 2014, $4.8 million and $0.4 million were outstanding under this finance lease agreement.</w:t>
      </w:r>
    </w:p>
    <w:p>
      <w:pPr>
        <w:spacing w:after="0" w:line="17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of December 31, 2015, the Company’s China subsidiary had credit facilities with China Construction Bank totaling $22.3 million, which can be drawn in U.S. currency, RMB currency, issuing bank acceptance notes to vendors with different interest rates or issuing standby letters of credit. As of December 31, 2015, the Company’s China subsidiary used $10 million of its credit facility and issued standby letters of credit as collateral for the Company’s Taiwan branch line of credit with China Construction Bank. As of December 31, 2015, the Company had a U.S. currency based loan of $2.4 million outstanding under various notes with three-month terms, maturing from January to March 2016 with effective interest rate of 3.15%. As of December 31, 2014, we had $1.1 million outstanding various notes with three-month terms.The outstanding balances of bank acceptance notes issued to vendors were $3.0 million and $1.3 million with zero interest rate as of December 31, 2015 and 2014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and 2014, the Company had $37.7 million and $14.3 million of unused borrowing capacity, respectively.</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December 31, 2015 and 2014, there was $12.6 million and $8.7 million of restricted cash, investments or security deposit associated mainly with the loan facilities, respectively.</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r>
              <w:rPr>
                <w:rFonts w:ascii="Arial" w:cs="Arial" w:eastAsia="Arial" w:hAnsi="Arial"/>
                <w:sz w:val="18"/>
                <w:szCs w:val="18"/>
                <w:b w:val="1"/>
                <w:bCs w:val="1"/>
                <w:color w:val="auto"/>
              </w:rPr>
              <w:t>NOTE I—ACCRUED LIABILITIES</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60" w:type="dxa"/>
            <w:vAlign w:val="bottom"/>
          </w:tcPr>
          <w:p>
            <w:pPr>
              <w:ind w:left="660"/>
              <w:spacing w:after="0"/>
              <w:rPr>
                <w:sz w:val="20"/>
                <w:szCs w:val="20"/>
                <w:color w:val="auto"/>
              </w:rPr>
            </w:pPr>
            <w:r>
              <w:rPr>
                <w:rFonts w:ascii="Arial" w:cs="Arial" w:eastAsia="Arial" w:hAnsi="Arial"/>
                <w:sz w:val="18"/>
                <w:szCs w:val="18"/>
                <w:color w:val="auto"/>
              </w:rPr>
              <w:t>Accrued liabilities consisted of the following as of December 31:</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2015</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5"/>
          </w:tcPr>
          <w:p>
            <w:pPr>
              <w:jc w:val="right"/>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Accrued payroll</w:t>
            </w: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77"/>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6,757</w:t>
            </w:r>
          </w:p>
        </w:tc>
        <w:tc>
          <w:tcPr>
            <w:tcW w:w="4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Accrued Rent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Accrued employee benefits</w:t>
            </w: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1,379</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Accrued state and local taxes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Advance payments</w:t>
            </w: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1,258</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Accrued product warranty</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Accrued other</w:t>
            </w:r>
          </w:p>
        </w:tc>
        <w:tc>
          <w:tcPr>
            <w:tcW w:w="4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8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536</w:t>
            </w:r>
          </w:p>
        </w:tc>
        <w:tc>
          <w:tcPr>
            <w:tcW w:w="2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11,506</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NOTE J—OTHER INCOME AND EXPENSE</w:t>
            </w: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60" w:type="dxa"/>
            <w:vAlign w:val="bottom"/>
          </w:tcPr>
          <w:p>
            <w:pPr>
              <w:ind w:left="660"/>
              <w:spacing w:after="0"/>
              <w:rPr>
                <w:sz w:val="20"/>
                <w:szCs w:val="20"/>
                <w:color w:val="auto"/>
              </w:rPr>
            </w:pPr>
            <w:r>
              <w:rPr>
                <w:rFonts w:ascii="Arial" w:cs="Arial" w:eastAsia="Arial" w:hAnsi="Arial"/>
                <w:sz w:val="18"/>
                <w:szCs w:val="18"/>
                <w:color w:val="auto"/>
                <w:w w:val="97"/>
              </w:rPr>
              <w:t>Other income and expense consisted of the following as of December 31:</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87"/>
              </w:rPr>
              <w:t>(in thousands)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Unrealized foreign exchange loss</w:t>
            </w: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(1,299)</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Realized foreign exchange gain (loss)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4"/>
          </w:tcPr>
          <w:p>
            <w:pPr>
              <w:jc w:val="right"/>
              <w:ind w:right="180"/>
              <w:spacing w:after="0"/>
              <w:rPr>
                <w:sz w:val="20"/>
                <w:szCs w:val="20"/>
                <w:color w:val="auto"/>
              </w:rPr>
            </w:pPr>
            <w:r>
              <w:rPr>
                <w:rFonts w:ascii="Arial" w:cs="Arial" w:eastAsia="Arial" w:hAnsi="Arial"/>
                <w:sz w:val="18"/>
                <w:szCs w:val="18"/>
                <w:color w:val="auto"/>
              </w:rPr>
              <w:t>297</w:t>
            </w: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Government subsidy income</w:t>
            </w: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Other non-operating gain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Gain (loss) on disposal of assets</w:t>
            </w:r>
          </w:p>
        </w:tc>
        <w:tc>
          <w:tcPr>
            <w:tcW w:w="4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4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w w:val="87"/>
              </w:rPr>
              <w:t>(12)</w:t>
            </w:r>
          </w:p>
        </w:tc>
        <w:tc>
          <w:tcPr>
            <w:tcW w:w="28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(1,591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(699</w:t>
            </w:r>
          </w:p>
        </w:tc>
        <w:tc>
          <w:tcPr>
            <w:tcW w:w="200" w:type="dxa"/>
            <w:vAlign w:val="bottom"/>
          </w:tcPr>
          <w:p>
            <w:pPr>
              <w:jc w:val="right"/>
              <w:ind w:right="120"/>
              <w:spacing w:after="0"/>
              <w:rPr>
                <w:sz w:val="20"/>
                <w:szCs w:val="20"/>
                <w:color w:val="auto"/>
              </w:rPr>
            </w:pPr>
            <w:r>
              <w:rPr>
                <w:rFonts w:ascii="Arial" w:cs="Arial" w:eastAsia="Arial" w:hAnsi="Arial"/>
                <w:sz w:val="8"/>
                <w:szCs w:val="8"/>
                <w:color w:val="auto"/>
                <w:w w:val="73"/>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NOTE K—INCOME TAXES</w:t>
            </w: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gridSpan w:val="3"/>
          </w:tcPr>
          <w:p>
            <w:pPr>
              <w:ind w:left="660"/>
              <w:spacing w:after="0"/>
              <w:rPr>
                <w:sz w:val="20"/>
                <w:szCs w:val="20"/>
                <w:color w:val="auto"/>
              </w:rPr>
            </w:pPr>
            <w:r>
              <w:rPr>
                <w:rFonts w:ascii="Arial" w:cs="Arial" w:eastAsia="Arial" w:hAnsi="Arial"/>
                <w:sz w:val="18"/>
                <w:szCs w:val="18"/>
                <w:color w:val="auto"/>
                <w:w w:val="92"/>
              </w:rPr>
              <w:t>The sources of our income (loss) from operations before income taxes were as follows:</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8"/>
                <w:szCs w:val="18"/>
                <w:b w:val="1"/>
                <w:bCs w:val="1"/>
                <w:color w:val="auto"/>
                <w:w w:val="95"/>
              </w:rPr>
              <w:t>Year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87"/>
              </w:rPr>
              <w:t>(in thousands)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Domestic</w:t>
            </w:r>
          </w:p>
        </w:tc>
        <w:tc>
          <w:tcPr>
            <w:tcW w:w="74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14,062</w:t>
            </w: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1,226</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Foreign</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4"/>
          </w:tcPr>
          <w:p>
            <w:pPr>
              <w:jc w:val="right"/>
              <w:ind w:right="180"/>
              <w:spacing w:after="0"/>
              <w:rPr>
                <w:sz w:val="20"/>
                <w:szCs w:val="20"/>
                <w:color w:val="auto"/>
              </w:rPr>
            </w:pPr>
            <w:r>
              <w:rPr>
                <w:rFonts w:ascii="Arial" w:cs="Arial" w:eastAsia="Arial" w:hAnsi="Arial"/>
                <w:sz w:val="18"/>
                <w:szCs w:val="18"/>
                <w:color w:val="auto"/>
              </w:rPr>
              <w:t>3,256</w:t>
            </w:r>
          </w:p>
        </w:tc>
        <w:tc>
          <w:tcPr>
            <w:tcW w:w="2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23"/>
        </w:trPr>
        <w:tc>
          <w:tcPr>
            <w:tcW w:w="63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income (loss) before income taxes</w:t>
            </w:r>
          </w:p>
        </w:tc>
        <w:tc>
          <w:tcPr>
            <w:tcW w:w="40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11,168</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4,482</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(1,406</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 expense for the years ended December 31,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Current:</w:t>
            </w:r>
          </w:p>
        </w:tc>
        <w:tc>
          <w:tcPr>
            <w:tcW w:w="4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ind w:left="20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00" w:type="dxa"/>
            <w:vAlign w:val="bottom"/>
            <w:gridSpan w:val="2"/>
            <w:vMerge w:val="continue"/>
          </w:tcPr>
          <w:p>
            <w:pPr>
              <w:spacing w:after="0"/>
              <w:rPr>
                <w:sz w:val="18"/>
                <w:szCs w:val="18"/>
                <w:color w:val="auto"/>
              </w:rPr>
            </w:pPr>
          </w:p>
        </w:tc>
        <w:tc>
          <w:tcPr>
            <w:tcW w:w="32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(in thousands)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Federal</w:t>
            </w:r>
          </w:p>
        </w:tc>
        <w:tc>
          <w:tcPr>
            <w:tcW w:w="424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168</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193</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State</w:t>
            </w:r>
          </w:p>
        </w:tc>
        <w:tc>
          <w:tcPr>
            <w:tcW w:w="3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1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Foreign</w:t>
            </w:r>
          </w:p>
        </w:tc>
        <w:tc>
          <w:tcPr>
            <w:tcW w:w="326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5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3260" w:type="dxa"/>
            <w:vAlign w:val="bottom"/>
          </w:tcPr>
          <w:p>
            <w:pPr>
              <w:spacing w:after="0"/>
              <w:rPr>
                <w:sz w:val="18"/>
                <w:szCs w:val="18"/>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Deferred:</w:t>
            </w:r>
          </w:p>
        </w:tc>
        <w:tc>
          <w:tcPr>
            <w:tcW w:w="3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Federal</w:t>
            </w:r>
          </w:p>
        </w:tc>
        <w:tc>
          <w:tcPr>
            <w:tcW w:w="424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8"/>
                <w:szCs w:val="18"/>
                <w:color w:val="auto"/>
              </w:rPr>
              <w:t>State</w:t>
            </w:r>
          </w:p>
        </w:tc>
        <w:tc>
          <w:tcPr>
            <w:tcW w:w="3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Foreign</w:t>
            </w:r>
          </w:p>
        </w:tc>
        <w:tc>
          <w:tcPr>
            <w:tcW w:w="3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326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EEEEEE"/>
          </w:tcPr>
          <w:p>
            <w:pPr>
              <w:ind w:left="96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Borders>
              <w:bottom w:val="single" w:sz="8" w:color="EEEEEE"/>
            </w:tcBorders>
          </w:tcPr>
          <w:p>
            <w:pPr>
              <w:spacing w:after="0"/>
              <w:rPr>
                <w:sz w:val="19"/>
                <w:szCs w:val="19"/>
                <w:color w:val="auto"/>
              </w:rPr>
            </w:pPr>
          </w:p>
        </w:tc>
        <w:tc>
          <w:tcPr>
            <w:tcW w:w="3260" w:type="dxa"/>
            <w:vAlign w:val="bottom"/>
            <w:tcBorders>
              <w:bottom w:val="single" w:sz="8" w:color="EEEEEE"/>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Income tax expense</w:t>
            </w:r>
          </w:p>
        </w:tc>
        <w:tc>
          <w:tcPr>
            <w:tcW w:w="3260" w:type="dxa"/>
            <w:vAlign w:val="bottom"/>
            <w:tcBorders>
              <w:bottom w:val="single" w:sz="8" w:color="EEEEEE"/>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EEEEE"/>
          </w:tcPr>
          <w:p>
            <w:pPr>
              <w:ind w:left="96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2"/>
          </w:tcPr>
          <w:p>
            <w:pPr>
              <w:jc w:val="right"/>
              <w:ind w:right="1750"/>
              <w:spacing w:after="0"/>
              <w:rPr>
                <w:sz w:val="20"/>
                <w:szCs w:val="20"/>
                <w:color w:val="auto"/>
              </w:rPr>
            </w:pPr>
            <w:r>
              <w:rPr>
                <w:rFonts w:ascii="Arial" w:cs="Arial" w:eastAsia="Arial" w:hAnsi="Arial"/>
                <w:sz w:val="18"/>
                <w:szCs w:val="18"/>
                <w:color w:val="auto"/>
              </w:rPr>
              <w:t>F-18</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84" w:name="page85"/>
    <w:bookmarkEnd w:id="84"/>
    <w:p>
      <w:pPr>
        <w:ind w:right="400" w:firstLine="648"/>
        <w:spacing w:after="0" w:line="286" w:lineRule="auto"/>
        <w:rPr>
          <w:sz w:val="20"/>
          <w:szCs w:val="20"/>
          <w:color w:val="auto"/>
        </w:rPr>
      </w:pPr>
      <w:r>
        <w:rPr>
          <w:rFonts w:ascii="Arial" w:cs="Arial" w:eastAsia="Arial" w:hAnsi="Arial"/>
          <w:sz w:val="17"/>
          <w:szCs w:val="17"/>
          <w:color w:val="auto"/>
        </w:rPr>
        <w:t>Deferred income tax assets and liabilities result principally from net operating losses, different methods of recognizing depreciation, reserve for doubtful accounts, inventory reserves for obsolescence and accrued vacation, together with timing differences between book and tax reporting. At December 31, the net deferred tax assets and liabilities are comprised of the following approximate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EEEEEE"/>
          </w:tcPr>
          <w:p>
            <w:pPr>
              <w:spacing w:after="0"/>
              <w:rPr>
                <w:sz w:val="20"/>
                <w:szCs w:val="20"/>
                <w:color w:val="auto"/>
              </w:rPr>
            </w:pPr>
            <w:r>
              <w:rPr>
                <w:rFonts w:ascii="Arial" w:cs="Arial" w:eastAsia="Arial" w:hAnsi="Arial"/>
                <w:sz w:val="18"/>
                <w:szCs w:val="18"/>
                <w:color w:val="auto"/>
              </w:rPr>
              <w:t>NOL carryforward</w:t>
            </w:r>
          </w:p>
        </w:tc>
        <w:tc>
          <w:tcPr>
            <w:tcW w:w="98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14,318</w:t>
            </w:r>
          </w:p>
        </w:tc>
        <w:tc>
          <w:tcPr>
            <w:tcW w:w="540" w:type="dxa"/>
            <w:vAlign w:val="bottom"/>
            <w:gridSpan w:val="2"/>
            <w:shd w:val="clear" w:color="auto" w:fill="EEEEEE"/>
          </w:tcPr>
          <w:p>
            <w:pPr>
              <w:jc w:val="right"/>
              <w:ind w:right="41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12,266</w:t>
            </w:r>
          </w:p>
        </w:tc>
        <w:tc>
          <w:tcPr>
            <w:tcW w:w="100" w:type="dxa"/>
            <w:vAlign w:val="bottom"/>
            <w:shd w:val="clear" w:color="auto" w:fill="EEEEEE"/>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Inventory reserves</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1,616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8"/>
                <w:szCs w:val="18"/>
                <w:color w:val="auto"/>
              </w:rPr>
            </w:pPr>
          </w:p>
        </w:tc>
      </w:tr>
      <w:tr>
        <w:trPr>
          <w:trHeight w:val="216"/>
        </w:trPr>
        <w:tc>
          <w:tcPr>
            <w:tcW w:w="2660" w:type="dxa"/>
            <w:vAlign w:val="bottom"/>
            <w:shd w:val="clear" w:color="auto" w:fill="EEEEEE"/>
          </w:tcPr>
          <w:p>
            <w:pPr>
              <w:spacing w:after="0"/>
              <w:rPr>
                <w:sz w:val="20"/>
                <w:szCs w:val="20"/>
                <w:color w:val="auto"/>
              </w:rPr>
            </w:pPr>
            <w:r>
              <w:rPr>
                <w:rFonts w:ascii="Arial" w:cs="Arial" w:eastAsia="Arial" w:hAnsi="Arial"/>
                <w:sz w:val="18"/>
                <w:szCs w:val="18"/>
                <w:color w:val="auto"/>
              </w:rPr>
              <w:t>AMT credit</w:t>
            </w:r>
          </w:p>
        </w:tc>
        <w:tc>
          <w:tcPr>
            <w:tcW w:w="6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347</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EEEEEE"/>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Unrealized gains and losses</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1,549</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8"/>
                <w:szCs w:val="18"/>
                <w:color w:val="auto"/>
              </w:rPr>
            </w:pPr>
          </w:p>
        </w:tc>
      </w:tr>
      <w:tr>
        <w:trPr>
          <w:trHeight w:val="216"/>
        </w:trPr>
        <w:tc>
          <w:tcPr>
            <w:tcW w:w="2660" w:type="dxa"/>
            <w:vAlign w:val="bottom"/>
            <w:shd w:val="clear" w:color="auto" w:fill="EEEEEE"/>
          </w:tcPr>
          <w:p>
            <w:pPr>
              <w:spacing w:after="0"/>
              <w:rPr>
                <w:sz w:val="20"/>
                <w:szCs w:val="20"/>
                <w:color w:val="auto"/>
              </w:rPr>
            </w:pPr>
            <w:r>
              <w:rPr>
                <w:rFonts w:ascii="Arial" w:cs="Arial" w:eastAsia="Arial" w:hAnsi="Arial"/>
                <w:sz w:val="18"/>
                <w:szCs w:val="18"/>
                <w:color w:val="auto"/>
              </w:rPr>
              <w:t>Stock compensation</w:t>
            </w:r>
          </w:p>
        </w:tc>
        <w:tc>
          <w:tcPr>
            <w:tcW w:w="6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1,084</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EEEEEE"/>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Fixed assets and intangibles</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(4,432)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(1,537)</w:t>
            </w:r>
          </w:p>
        </w:tc>
      </w:tr>
      <w:tr>
        <w:trPr>
          <w:trHeight w:val="230"/>
        </w:trPr>
        <w:tc>
          <w:tcPr>
            <w:tcW w:w="266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244</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r>
      <w:tr>
        <w:trPr>
          <w:trHeight w:val="210"/>
        </w:trPr>
        <w:tc>
          <w:tcPr>
            <w:tcW w:w="2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660" w:type="dxa"/>
            <w:vAlign w:val="bottom"/>
            <w:shd w:val="clear" w:color="auto" w:fill="EEEEEE"/>
          </w:tcPr>
          <w:p>
            <w:pPr>
              <w:spacing w:after="0"/>
              <w:rPr>
                <w:sz w:val="20"/>
                <w:szCs w:val="20"/>
                <w:color w:val="auto"/>
              </w:rPr>
            </w:pPr>
            <w:r>
              <w:rPr>
                <w:rFonts w:ascii="Arial" w:cs="Arial" w:eastAsia="Arial" w:hAnsi="Arial"/>
                <w:sz w:val="18"/>
                <w:szCs w:val="18"/>
                <w:color w:val="auto"/>
              </w:rPr>
              <w:t>Less valuation allowance</w:t>
            </w:r>
          </w:p>
        </w:tc>
        <w:tc>
          <w:tcPr>
            <w:tcW w:w="6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(14,726)</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2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(12,674)</w:t>
            </w:r>
          </w:p>
        </w:tc>
      </w:tr>
      <w:tr>
        <w:trPr>
          <w:trHeight w:val="223"/>
        </w:trPr>
        <w:tc>
          <w:tcPr>
            <w:tcW w:w="26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62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top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valuation allowance was established to reduce the deferred tax asset for the amount that will likely not be realized. This reduction is primarily necessary due to the uncertainty of the Company’s ability to utilize all of the net operating loss carry forwards. The valuation allowance increased by $2.1 million in 2015 and decreased by approximately $1.5 million in 2014. The increase in 2015 was primarily the result of current year changes in deferred income tax assets and liabilities, including increases in our net operating loss carryforwards. The decrease in 2014 was primarily the result of prior year changes in deferred income tax assets and liabilities.</w:t>
      </w:r>
    </w:p>
    <w:p>
      <w:pPr>
        <w:spacing w:after="0" w:line="18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Management assesses the available positive and negative evidence to estimate whether sufficient future taxable income will be generated to permit use of the existing deferred tax assets. In considering whether or not to continue to maintain the valuation allowance, we consider all available positive and negative evidence, including: historical profits and losses, forecasts of future profits or losses, and trends in the industries that we serve that may affect our ability to continue to generate profits. Objective evidence, such as historical losses, limits the ability to consider other subjective evidence, such as our projections for future growth.</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the basis of this evaluation, as of December 31, 2015, a valuation allowance of $14.7 million has been recorded to recognize only the portion of the deferred tax asset that is more likely than not to be realized. The amount of the deferred tax asset considered realizable, however, could be adjusted if estimates of future taxable income during the carryforward period are increased or if objective negative evidence is no longer present and additional weight is given to subjective evidence such as our projections for growth.</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has a U.S. net operating loss carry forward of approximately $50.3 million, which expires between 2022 and 2032. The Company also has U.S. research and development tax credits of $1.5 million which expire between 2024 and 2035. The Company has a net operating loss carryforward from its China operations of approximately $6.2 million, which expires between 2016 and 2020. The Company has a net operating loss carryforward from its Taiwan operations of approximately $2.6 million which expires between 2020 and 2025. Utilization of U.S. net operating losses and tax credit carry forwards are subject to an annual limitation due to the ownership change limitations set forth in Internal Revenue Code Section 382. During 2015, the Company updated its Section 382 analysis resulting in the recognition of additional utilizable net operating losses which had no impact on the Company’s balance sheet or income statement due to the Company having a full valuation allowance. Additional ownership changes could result in the expiration of the net operating loss and tax credit carryforward before utilization.</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85" w:name="page86"/>
    <w:bookmarkEnd w:id="85"/>
    <w:p>
      <w:pPr>
        <w:ind w:right="500" w:firstLine="648"/>
        <w:spacing w:after="0" w:line="342" w:lineRule="auto"/>
        <w:rPr>
          <w:sz w:val="20"/>
          <w:szCs w:val="20"/>
          <w:color w:val="auto"/>
        </w:rPr>
      </w:pPr>
      <w:r>
        <w:rPr>
          <w:rFonts w:ascii="Arial" w:cs="Arial" w:eastAsia="Arial" w:hAnsi="Arial"/>
          <w:sz w:val="16"/>
          <w:szCs w:val="16"/>
          <w:color w:val="auto"/>
        </w:rPr>
        <w:t>The U.S. NOL carryforwards and research and development tax credit carryforwards in the income tax returns filed included unrecognized tax benefits. The deferred tax assets recognized for those NOLs and tax credits are presented net of these unrecognized tax benefits.</w:t>
      </w:r>
    </w:p>
    <w:p>
      <w:pPr>
        <w:spacing w:after="0" w:line="124"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Company has approximately $0.9 million of windfall tax benefits from previous stock option exercises that have not been recognized as of December 31, 2015. This amount will not be recognized until the deduction would reduce our U.S. income taxes payable. At such time, the amount will be recorded as an increase in paid-in-capital. The Company uses ASC 740 ordering when determining when excess tax benefits have been realized.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the U.S. federal income tax rate of 34% for the years ended December 31, to the Company’s effective income tax rate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7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4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(in thousands)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Expected (benefit) taxes</w:t>
            </w:r>
          </w:p>
        </w:tc>
        <w:tc>
          <w:tcPr>
            <w:tcW w:w="2740" w:type="dxa"/>
            <w:vAlign w:val="bottom"/>
            <w:gridSpan w:val="2"/>
            <w:shd w:val="clear" w:color="auto" w:fill="EEEEEE"/>
          </w:tcPr>
          <w:p>
            <w:pPr>
              <w:jc w:val="right"/>
              <w:ind w:right="71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3,797</w:t>
            </w: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1,524</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(467)</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r>
      <w:tr>
        <w:trPr>
          <w:trHeight w:val="216"/>
        </w:trPr>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Foreign differences</w:t>
            </w:r>
          </w:p>
        </w:tc>
        <w:tc>
          <w:tcPr>
            <w:tcW w:w="18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1"/>
              </w:rPr>
              <w:t>(1,267)</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295</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Increase (decrease) in valuation allowance</w:t>
            </w:r>
          </w:p>
        </w:tc>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(1,729)</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(7,533)</w:t>
            </w:r>
          </w:p>
        </w:tc>
      </w:tr>
      <w:tr>
        <w:trPr>
          <w:trHeight w:val="216"/>
        </w:trPr>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Section 382 limitation</w:t>
            </w:r>
          </w:p>
        </w:tc>
        <w:tc>
          <w:tcPr>
            <w:tcW w:w="18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1"/>
              </w:rPr>
              <w:t>(4,382)</w:t>
            </w: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7,423</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23"/>
        </w:trPr>
        <w:tc>
          <w:tcPr>
            <w:tcW w:w="49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Tax expense</w:t>
            </w:r>
          </w:p>
        </w:tc>
        <w:tc>
          <w:tcPr>
            <w:tcW w:w="1840" w:type="dxa"/>
            <w:vAlign w:val="bottom"/>
            <w:tcBorders>
              <w:top w:val="single" w:sz="8" w:color="EEEEEE"/>
              <w:bottom w:val="single" w:sz="8" w:color="EEEEEE"/>
            </w:tcBorders>
            <w:shd w:val="clear" w:color="auto" w:fill="EEEEEE"/>
          </w:tcPr>
          <w:p>
            <w:pPr>
              <w:spacing w:after="0"/>
              <w:rPr>
                <w:sz w:val="19"/>
                <w:szCs w:val="19"/>
                <w:color w:val="auto"/>
              </w:rPr>
            </w:pPr>
          </w:p>
        </w:tc>
        <w:tc>
          <w:tcPr>
            <w:tcW w:w="900" w:type="dxa"/>
            <w:vAlign w:val="bottom"/>
            <w:tcBorders>
              <w:top w:val="single" w:sz="8" w:color="auto"/>
              <w:bottom w:val="single" w:sz="8" w:color="auto"/>
            </w:tcBorders>
            <w:shd w:val="clear" w:color="auto" w:fill="EEEEEE"/>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wholly owned subsidiary, Prime World is a tax-exempt entity under the Income Tax Code of the British Virgin Islands.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Company’s wholly owned subsidiary, Global Technology, Inc., has enjoyed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Technology, Inc. was recognized as a National high-tech enterprise in 2008 and was entitled to a 15% tax rate for a three year period from November 2008 to November 2014. Global Technology, Inc. renewed its National high-tech enterprise certificate and was therefore extended its three year tax preferential status from November 2014 to September 2017.</w:t>
      </w:r>
    </w:p>
    <w:p>
      <w:pPr>
        <w:spacing w:after="0" w:line="15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of December 31, 2015, December 31, 2014 and December 31, 2013, the total amount of unrecognized tax benefit was $1.8 million, $1.6 million, and $2.2 million, respectively. The following is a tabular reconciliation of the total amounts of unrecognized tax benefits: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2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(in thousands)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00" w:type="dxa"/>
            <w:vAlign w:val="bottom"/>
            <w:shd w:val="clear" w:color="auto" w:fill="EEEEEE"/>
          </w:tcPr>
          <w:p>
            <w:pPr>
              <w:spacing w:after="0"/>
              <w:rPr>
                <w:sz w:val="20"/>
                <w:szCs w:val="20"/>
                <w:color w:val="auto"/>
              </w:rPr>
            </w:pPr>
            <w:r>
              <w:rPr>
                <w:rFonts w:ascii="Arial" w:cs="Arial" w:eastAsia="Arial" w:hAnsi="Arial"/>
                <w:sz w:val="18"/>
                <w:szCs w:val="18"/>
                <w:color w:val="auto"/>
              </w:rPr>
              <w:t>Unrecognized tax benefits — January 1</w:t>
            </w:r>
          </w:p>
        </w:tc>
        <w:tc>
          <w:tcPr>
            <w:tcW w:w="2580" w:type="dxa"/>
            <w:vAlign w:val="bottom"/>
            <w:gridSpan w:val="2"/>
            <w:shd w:val="clear" w:color="auto" w:fill="EEEEEE"/>
          </w:tcPr>
          <w:p>
            <w:pPr>
              <w:jc w:val="right"/>
              <w:ind w:right="73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7"/>
              </w:rPr>
              <w:t>1,659</w:t>
            </w: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2,200</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Gross increases — tax positions in prior period</w:t>
            </w: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1,659</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2,200</w:t>
            </w:r>
          </w:p>
        </w:tc>
        <w:tc>
          <w:tcPr>
            <w:tcW w:w="80" w:type="dxa"/>
            <w:vAlign w:val="bottom"/>
          </w:tcPr>
          <w:p>
            <w:pPr>
              <w:spacing w:after="0"/>
              <w:rPr>
                <w:sz w:val="18"/>
                <w:szCs w:val="18"/>
                <w:color w:val="auto"/>
              </w:rPr>
            </w:pPr>
          </w:p>
        </w:tc>
      </w:tr>
      <w:tr>
        <w:trPr>
          <w:trHeight w:val="230"/>
        </w:trPr>
        <w:tc>
          <w:tcPr>
            <w:tcW w:w="5100" w:type="dxa"/>
            <w:vAlign w:val="bottom"/>
            <w:shd w:val="clear" w:color="auto" w:fill="EEEEEE"/>
          </w:tcPr>
          <w:p>
            <w:pPr>
              <w:spacing w:after="0"/>
              <w:rPr>
                <w:sz w:val="20"/>
                <w:szCs w:val="20"/>
                <w:color w:val="auto"/>
              </w:rPr>
            </w:pPr>
            <w:r>
              <w:rPr>
                <w:rFonts w:ascii="Arial" w:cs="Arial" w:eastAsia="Arial" w:hAnsi="Arial"/>
                <w:sz w:val="18"/>
                <w:szCs w:val="18"/>
                <w:color w:val="auto"/>
              </w:rPr>
              <w:t>Gross decreases — tax positions in prior period</w:t>
            </w:r>
          </w:p>
        </w:tc>
        <w:tc>
          <w:tcPr>
            <w:tcW w:w="1660" w:type="dxa"/>
            <w:vAlign w:val="bottom"/>
            <w:shd w:val="clear" w:color="auto" w:fill="EEEEEE"/>
          </w:tcPr>
          <w:p>
            <w:pPr>
              <w:spacing w:after="0"/>
              <w:rPr>
                <w:sz w:val="19"/>
                <w:szCs w:val="19"/>
                <w:color w:val="auto"/>
              </w:rPr>
            </w:pPr>
          </w:p>
        </w:tc>
        <w:tc>
          <w:tcPr>
            <w:tcW w:w="920" w:type="dxa"/>
            <w:vAlign w:val="bottom"/>
            <w:shd w:val="clear" w:color="auto" w:fill="EEEEEE"/>
          </w:tcPr>
          <w:p>
            <w:pPr>
              <w:spacing w:after="0"/>
              <w:rPr>
                <w:sz w:val="19"/>
                <w:szCs w:val="19"/>
                <w:color w:val="auto"/>
              </w:rPr>
            </w:pPr>
          </w:p>
        </w:tc>
        <w:tc>
          <w:tcPr>
            <w:tcW w:w="6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(2,200)</w:t>
            </w:r>
          </w:p>
        </w:tc>
        <w:tc>
          <w:tcPr>
            <w:tcW w:w="30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Unrecognized tax benefits — December 31</w:t>
            </w:r>
          </w:p>
        </w:tc>
        <w:tc>
          <w:tcPr>
            <w:tcW w:w="16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As of December 31, 2015, we had $1.8 million of unrecognized tax benefits related to US tax benefits recognized for prior branch losses and research and development credits. As of December 31, 2014, we had $1.7 million of unrecognized tax benefits related to US tax benefits recognized for prior branch losses and research and development credits. As of December 31, 2013, we had $2.2 million of unrecognized tax benefits related to US tax benefits recognized for prior year branch losses. If recognized, there would be no impact our effective tax rate as a result of the full valuation allowance previously recognized. We believe that it is reasonably possible that $0.3 million of our remaining unrecognized tax positions may be recognized by the end of 2016.</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6" w:name="page87"/>
    <w:bookmarkEnd w:id="86"/>
    <w:p>
      <w:pPr>
        <w:ind w:right="120" w:firstLine="648"/>
        <w:spacing w:after="0" w:line="264" w:lineRule="auto"/>
        <w:rPr>
          <w:sz w:val="20"/>
          <w:szCs w:val="20"/>
          <w:color w:val="auto"/>
        </w:rPr>
      </w:pPr>
      <w:r>
        <w:rPr>
          <w:rFonts w:ascii="Arial" w:cs="Arial" w:eastAsia="Arial" w:hAnsi="Arial"/>
          <w:sz w:val="18"/>
          <w:szCs w:val="18"/>
          <w:color w:val="auto"/>
        </w:rPr>
        <w:t>The Company recognizes interest accrued related to unrecognized tax benefits and penalties as income tax expense. Related to the unrecognized tax benefits noted above, it has not accrued penalties or interest during 2015 as a result of net operating losses. During 2014, the Company also accrued no penalties or interest.</w:t>
      </w:r>
    </w:p>
    <w:p>
      <w:pPr>
        <w:spacing w:after="0" w:line="181" w:lineRule="exact"/>
        <w:rPr>
          <w:sz w:val="20"/>
          <w:szCs w:val="20"/>
          <w:color w:val="auto"/>
        </w:rPr>
      </w:pPr>
    </w:p>
    <w:p>
      <w:pPr>
        <w:ind w:right="520" w:firstLine="648"/>
        <w:spacing w:after="0" w:line="302" w:lineRule="auto"/>
        <w:rPr>
          <w:sz w:val="20"/>
          <w:szCs w:val="20"/>
          <w:color w:val="auto"/>
        </w:rPr>
      </w:pPr>
      <w:r>
        <w:rPr>
          <w:rFonts w:ascii="Arial" w:cs="Arial" w:eastAsia="Arial" w:hAnsi="Arial"/>
          <w:sz w:val="16"/>
          <w:szCs w:val="16"/>
          <w:color w:val="auto"/>
        </w:rPr>
        <w:t>The Company is subject to taxation in the United States and various states and foreign jurisdictions. The Company’s open tax years subject to examination in the U.S. federal and state jurisdictions are 2012 through 2014. To the extent allowed by law, the taxing authorities may have the right to examine prior periods where net operating losses or tax credits were generated and carried forward, and make adjustments up to the amount of the net operating loss or tax credit carryforward. The Company is subject to examination for tax years 2008 forward for various foreign jurisdictions.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5" w:lineRule="exact"/>
        <w:rPr>
          <w:sz w:val="20"/>
          <w:szCs w:val="20"/>
          <w:color w:val="auto"/>
        </w:rPr>
      </w:pPr>
    </w:p>
    <w:p>
      <w:pPr>
        <w:ind w:left="980" w:hanging="18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1998 Share Incentive Plan</w:t>
      </w:r>
    </w:p>
    <w:p>
      <w:pPr>
        <w:spacing w:after="0" w:line="23" w:lineRule="exact"/>
        <w:rPr>
          <w:rFonts w:ascii="Arial" w:cs="Arial" w:eastAsia="Arial" w:hAnsi="Arial"/>
          <w:sz w:val="18"/>
          <w:szCs w:val="18"/>
          <w:color w:val="auto"/>
        </w:rPr>
      </w:pPr>
    </w:p>
    <w:p>
      <w:pPr>
        <w:ind w:left="980" w:hanging="18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2000 Share Incentive Plan</w:t>
      </w:r>
    </w:p>
    <w:p>
      <w:pPr>
        <w:spacing w:after="0" w:line="9" w:lineRule="exact"/>
        <w:rPr>
          <w:rFonts w:ascii="Arial" w:cs="Arial" w:eastAsia="Arial" w:hAnsi="Arial"/>
          <w:sz w:val="18"/>
          <w:szCs w:val="18"/>
          <w:color w:val="auto"/>
        </w:rPr>
      </w:pPr>
    </w:p>
    <w:p>
      <w:pPr>
        <w:ind w:left="980" w:hanging="18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2004 Share Incentive Plan</w:t>
      </w:r>
    </w:p>
    <w:p>
      <w:pPr>
        <w:spacing w:after="0" w:line="9" w:lineRule="exact"/>
        <w:rPr>
          <w:rFonts w:ascii="Arial" w:cs="Arial" w:eastAsia="Arial" w:hAnsi="Arial"/>
          <w:sz w:val="18"/>
          <w:szCs w:val="18"/>
          <w:color w:val="auto"/>
        </w:rPr>
      </w:pPr>
    </w:p>
    <w:p>
      <w:pPr>
        <w:ind w:left="980" w:hanging="18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2006 Share Incentive Plan</w:t>
      </w:r>
    </w:p>
    <w:p>
      <w:pPr>
        <w:spacing w:after="0" w:line="9" w:lineRule="exact"/>
        <w:rPr>
          <w:rFonts w:ascii="Arial" w:cs="Arial" w:eastAsia="Arial" w:hAnsi="Arial"/>
          <w:sz w:val="18"/>
          <w:szCs w:val="18"/>
          <w:color w:val="auto"/>
        </w:rPr>
      </w:pPr>
    </w:p>
    <w:p>
      <w:pPr>
        <w:ind w:left="980" w:hanging="18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2013 Equity Incentive Plan (“2013 Plan”)</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issues stock options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and restrictive stock units (“RSUs”) may be granted from these plans. Prior to the Company’s initial public offering, the fair market value of the Company’s stock had been historically determined by the board of directors and from time to time with the assistance of third party valuation specialists.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Options have been granted to the Company’s employees under the five incentive plans and generally become exercisable as to 25% of the shares on the first anniversary date following the date of grant and semi-annually thereafter. All options expire ten years after the date of grant.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ind w:left="660"/>
              <w:spacing w:after="0"/>
              <w:rPr>
                <w:sz w:val="20"/>
                <w:szCs w:val="20"/>
                <w:color w:val="auto"/>
              </w:rPr>
            </w:pPr>
            <w:r>
              <w:rPr>
                <w:rFonts w:ascii="Arial" w:cs="Arial" w:eastAsia="Arial" w:hAnsi="Arial"/>
                <w:sz w:val="18"/>
                <w:szCs w:val="18"/>
                <w:color w:val="auto"/>
                <w:w w:val="97"/>
              </w:rPr>
              <w:t>The following is a summary of option activity:</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4"/>
        </w:trPr>
        <w:tc>
          <w:tcPr>
            <w:tcW w:w="4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4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Weighted</w:t>
            </w:r>
          </w:p>
        </w:tc>
        <w:tc>
          <w:tcPr>
            <w:tcW w:w="2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Share Price</w:t>
            </w:r>
          </w:p>
        </w:tc>
        <w:tc>
          <w:tcPr>
            <w:tcW w:w="2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Weighted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4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Average</w:t>
            </w:r>
          </w:p>
        </w:tc>
        <w:tc>
          <w:tcPr>
            <w:tcW w:w="20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on Date of</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Fair</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416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5"/>
              </w:rPr>
              <w:t>Exercise Price</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Exercise</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Value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4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rPr>
              <w:t>(in thousands, except price data)</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Outstanding, January 1, 2013</w:t>
            </w:r>
          </w:p>
        </w:tc>
        <w:tc>
          <w:tcPr>
            <w:tcW w:w="12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419</w:t>
            </w:r>
          </w:p>
        </w:tc>
        <w:tc>
          <w:tcPr>
            <w:tcW w:w="220" w:type="dxa"/>
            <w:vAlign w:val="bottom"/>
            <w:shd w:val="clear" w:color="auto" w:fill="EEEEEE"/>
          </w:tcPr>
          <w:p>
            <w:pPr>
              <w:ind w:lef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5.94</w:t>
            </w: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1,099</w:t>
            </w:r>
          </w:p>
        </w:tc>
        <w:tc>
          <w:tcPr>
            <w:tcW w:w="2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9.21</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5.87</w:t>
            </w: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7.10</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Expired</w:t>
            </w:r>
          </w:p>
        </w:tc>
        <w:tc>
          <w:tcPr>
            <w:tcW w:w="12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5.99</w:t>
            </w: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r>
      <w:tr>
        <w:trPr>
          <w:trHeight w:val="210"/>
        </w:trPr>
        <w:tc>
          <w:tcPr>
            <w:tcW w:w="4160" w:type="dxa"/>
            <w:vAlign w:val="bottom"/>
          </w:tcPr>
          <w:p>
            <w:pPr>
              <w:spacing w:after="0"/>
              <w:rPr>
                <w:sz w:val="20"/>
                <w:szCs w:val="20"/>
                <w:color w:val="auto"/>
              </w:rPr>
            </w:pPr>
            <w:r>
              <w:rPr>
                <w:rFonts w:ascii="Arial" w:cs="Arial" w:eastAsia="Arial" w:hAnsi="Arial"/>
                <w:sz w:val="18"/>
                <w:szCs w:val="18"/>
                <w:color w:val="auto"/>
              </w:rPr>
              <w:t>Outstanding, December 31, 2013</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8.38</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4.17</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9,731</w:t>
            </w:r>
          </w:p>
        </w:tc>
      </w:tr>
      <w:tr>
        <w:trPr>
          <w:trHeight w:val="216"/>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13.84</w:t>
            </w: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7.24</w:t>
            </w:r>
          </w:p>
        </w:tc>
        <w:tc>
          <w:tcPr>
            <w:tcW w:w="1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6.22</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1,476</w:t>
            </w:r>
          </w:p>
        </w:tc>
      </w:tr>
      <w:tr>
        <w:trPr>
          <w:trHeight w:val="216"/>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8.23</w:t>
            </w: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5.43</w:t>
            </w:r>
          </w:p>
        </w:tc>
        <w:tc>
          <w:tcPr>
            <w:tcW w:w="1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628</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Expired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2.21</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41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Outstanding, December 31, 2014</w:t>
            </w:r>
          </w:p>
        </w:tc>
        <w:tc>
          <w:tcPr>
            <w:tcW w:w="10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1,423</w:t>
            </w:r>
          </w:p>
        </w:tc>
        <w:tc>
          <w:tcPr>
            <w:tcW w:w="1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60" w:type="dxa"/>
            <w:vAlign w:val="bottom"/>
            <w:tcBorders>
              <w:top w:val="single" w:sz="8" w:color="EEEEEE"/>
            </w:tcBorders>
            <w:shd w:val="clear" w:color="auto" w:fill="EEEEEE"/>
          </w:tcPr>
          <w:p>
            <w:pPr>
              <w:jc w:val="right"/>
              <w:ind w:right="10"/>
              <w:spacing w:after="0"/>
              <w:rPr>
                <w:sz w:val="20"/>
                <w:szCs w:val="20"/>
                <w:color w:val="auto"/>
              </w:rPr>
            </w:pPr>
            <w:r>
              <w:rPr>
                <w:rFonts w:ascii="Arial" w:cs="Arial" w:eastAsia="Arial" w:hAnsi="Arial"/>
                <w:sz w:val="18"/>
                <w:szCs w:val="18"/>
                <w:color w:val="auto"/>
              </w:rPr>
              <w:t>8.96</w:t>
            </w:r>
          </w:p>
        </w:tc>
        <w:tc>
          <w:tcPr>
            <w:tcW w:w="20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080" w:type="dxa"/>
            <w:vAlign w:val="bottom"/>
            <w:tcBorders>
              <w:top w:val="single" w:sz="8" w:color="EEEEEE"/>
            </w:tcBorders>
            <w:shd w:val="clear" w:color="auto" w:fill="EEEEEE"/>
          </w:tcPr>
          <w:p>
            <w:pPr>
              <w:jc w:val="right"/>
              <w:ind w:right="30"/>
              <w:spacing w:after="0"/>
              <w:rPr>
                <w:sz w:val="20"/>
                <w:szCs w:val="20"/>
                <w:color w:val="auto"/>
              </w:rPr>
            </w:pPr>
            <w:r>
              <w:rPr>
                <w:rFonts w:ascii="Arial" w:cs="Arial" w:eastAsia="Arial" w:hAnsi="Arial"/>
                <w:sz w:val="18"/>
                <w:szCs w:val="18"/>
                <w:color w:val="auto"/>
              </w:rPr>
              <w:t>4.48</w:t>
            </w:r>
          </w:p>
        </w:tc>
        <w:tc>
          <w:tcPr>
            <w:tcW w:w="1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8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3,486</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16.53</w:t>
            </w:r>
          </w:p>
        </w:tc>
        <w:tc>
          <w:tcPr>
            <w:tcW w:w="2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16"/>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8.96</w:t>
            </w: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4.43</w:t>
            </w:r>
          </w:p>
        </w:tc>
        <w:tc>
          <w:tcPr>
            <w:tcW w:w="1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212</w:t>
            </w:r>
          </w:p>
        </w:tc>
      </w:tr>
      <w:tr>
        <w:trPr>
          <w:trHeight w:val="217"/>
        </w:trPr>
        <w:tc>
          <w:tcPr>
            <w:tcW w:w="41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Outstanding, December 31, 2015</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4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EEEEE"/>
            </w:tcBorders>
          </w:tcPr>
          <w:p>
            <w:pPr>
              <w:jc w:val="right"/>
              <w:ind w:right="10"/>
              <w:spacing w:after="0"/>
              <w:rPr>
                <w:sz w:val="20"/>
                <w:szCs w:val="20"/>
                <w:color w:val="auto"/>
              </w:rPr>
            </w:pPr>
            <w:r>
              <w:rPr>
                <w:rFonts w:ascii="Arial" w:cs="Arial" w:eastAsia="Arial" w:hAnsi="Arial"/>
                <w:sz w:val="18"/>
                <w:szCs w:val="18"/>
                <w:color w:val="auto"/>
              </w:rPr>
              <w:t>9.07</w:t>
            </w:r>
          </w:p>
        </w:tc>
        <w:tc>
          <w:tcPr>
            <w:tcW w:w="200" w:type="dxa"/>
            <w:vAlign w:val="bottom"/>
            <w:tcBorders>
              <w:bottom w:val="single" w:sz="8" w:color="EEEEEE"/>
            </w:tcBorders>
          </w:tcPr>
          <w:p>
            <w:pPr>
              <w:spacing w:after="0"/>
              <w:rPr>
                <w:sz w:val="18"/>
                <w:szCs w:val="18"/>
                <w:color w:val="auto"/>
              </w:rPr>
            </w:pPr>
          </w:p>
        </w:tc>
        <w:tc>
          <w:tcPr>
            <w:tcW w:w="112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EEEEE"/>
            </w:tcBorders>
          </w:tcPr>
          <w:p>
            <w:pPr>
              <w:jc w:val="right"/>
              <w:ind w:right="30"/>
              <w:spacing w:after="0"/>
              <w:rPr>
                <w:sz w:val="20"/>
                <w:szCs w:val="20"/>
                <w:color w:val="auto"/>
              </w:rPr>
            </w:pPr>
            <w:r>
              <w:rPr>
                <w:rFonts w:ascii="Arial" w:cs="Arial" w:eastAsia="Arial" w:hAnsi="Arial"/>
                <w:sz w:val="18"/>
                <w:szCs w:val="18"/>
                <w:color w:val="auto"/>
              </w:rPr>
              <w:t>4.59</w:t>
            </w:r>
          </w:p>
        </w:tc>
        <w:tc>
          <w:tcPr>
            <w:tcW w:w="1160" w:type="dxa"/>
            <w:vAlign w:val="bottom"/>
            <w:tcBorders>
              <w:bottom w:val="single" w:sz="8" w:color="EEEEEE"/>
            </w:tcBorders>
          </w:tcPr>
          <w:p>
            <w:pPr>
              <w:jc w:val="right"/>
              <w:spacing w:after="0"/>
              <w:rPr>
                <w:sz w:val="20"/>
                <w:szCs w:val="20"/>
                <w:color w:val="auto"/>
              </w:rPr>
            </w:pPr>
            <w:r>
              <w:rPr>
                <w:rFonts w:ascii="Arial" w:cs="Arial" w:eastAsia="Arial" w:hAnsi="Arial"/>
                <w:sz w:val="18"/>
                <w:szCs w:val="18"/>
                <w:color w:val="auto"/>
              </w:rPr>
              <w:t>7.186</w:t>
            </w:r>
          </w:p>
        </w:tc>
        <w:tc>
          <w:tcPr>
            <w:tcW w:w="160" w:type="dxa"/>
            <w:vAlign w:val="bottom"/>
            <w:tcBorders>
              <w:bottom w:val="single" w:sz="8" w:color="EEEEEE"/>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EEEEEE"/>
            </w:tcBorders>
          </w:tcPr>
          <w:p>
            <w:pPr>
              <w:jc w:val="right"/>
              <w:spacing w:after="0"/>
              <w:rPr>
                <w:sz w:val="20"/>
                <w:szCs w:val="20"/>
                <w:color w:val="auto"/>
              </w:rPr>
            </w:pPr>
            <w:r>
              <w:rPr>
                <w:rFonts w:ascii="Arial" w:cs="Arial" w:eastAsia="Arial" w:hAnsi="Arial"/>
                <w:sz w:val="18"/>
                <w:szCs w:val="18"/>
                <w:color w:val="auto"/>
              </w:rPr>
              <w:t>10,598</w:t>
            </w:r>
          </w:p>
        </w:tc>
      </w:tr>
      <w:tr>
        <w:trPr>
          <w:trHeight w:val="236"/>
        </w:trPr>
        <w:tc>
          <w:tcPr>
            <w:tcW w:w="41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Exercisable, December 31, 2015</w:t>
            </w:r>
          </w:p>
        </w:tc>
        <w:tc>
          <w:tcPr>
            <w:tcW w:w="10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766</w:t>
            </w:r>
          </w:p>
        </w:tc>
        <w:tc>
          <w:tcPr>
            <w:tcW w:w="140" w:type="dxa"/>
            <w:vAlign w:val="bottom"/>
            <w:tcBorders>
              <w:bottom w:val="single" w:sz="8" w:color="EEEEEE"/>
            </w:tcBorders>
            <w:shd w:val="clear" w:color="auto" w:fill="EEEEEE"/>
          </w:tcPr>
          <w:p>
            <w:pPr>
              <w:spacing w:after="0"/>
              <w:rPr>
                <w:sz w:val="20"/>
                <w:szCs w:val="20"/>
                <w:color w:val="auto"/>
              </w:rPr>
            </w:pPr>
          </w:p>
        </w:tc>
        <w:tc>
          <w:tcPr>
            <w:tcW w:w="220" w:type="dxa"/>
            <w:vAlign w:val="bottom"/>
            <w:tcBorders>
              <w:bottom w:val="single" w:sz="8" w:color="EEEEEE"/>
            </w:tcBorders>
            <w:shd w:val="clear" w:color="auto" w:fill="EEEEEE"/>
          </w:tcPr>
          <w:p>
            <w:pPr>
              <w:ind w:lef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EEEEEE"/>
            </w:tcBorders>
            <w:shd w:val="clear" w:color="auto" w:fill="EEEEEE"/>
          </w:tcPr>
          <w:p>
            <w:pPr>
              <w:jc w:val="right"/>
              <w:ind w:right="10"/>
              <w:spacing w:after="0"/>
              <w:rPr>
                <w:sz w:val="20"/>
                <w:szCs w:val="20"/>
                <w:color w:val="auto"/>
              </w:rPr>
            </w:pPr>
            <w:r>
              <w:rPr>
                <w:rFonts w:ascii="Arial" w:cs="Arial" w:eastAsia="Arial" w:hAnsi="Arial"/>
                <w:sz w:val="18"/>
                <w:szCs w:val="18"/>
                <w:color w:val="auto"/>
              </w:rPr>
              <w:t>8.54</w:t>
            </w:r>
          </w:p>
        </w:tc>
        <w:tc>
          <w:tcPr>
            <w:tcW w:w="200" w:type="dxa"/>
            <w:vAlign w:val="bottom"/>
            <w:tcBorders>
              <w:bottom w:val="single" w:sz="8" w:color="EEEEEE"/>
            </w:tcBorders>
            <w:shd w:val="clear" w:color="auto" w:fill="EEEEEE"/>
          </w:tcPr>
          <w:p>
            <w:pPr>
              <w:spacing w:after="0"/>
              <w:rPr>
                <w:sz w:val="20"/>
                <w:szCs w:val="20"/>
                <w:color w:val="auto"/>
              </w:rPr>
            </w:pPr>
          </w:p>
        </w:tc>
        <w:tc>
          <w:tcPr>
            <w:tcW w:w="1120" w:type="dxa"/>
            <w:vAlign w:val="bottom"/>
            <w:tcBorders>
              <w:bottom w:val="single" w:sz="8" w:color="EEEEEE"/>
            </w:tcBorders>
            <w:shd w:val="clear" w:color="auto" w:fill="EEEEEE"/>
          </w:tcPr>
          <w:p>
            <w:pPr>
              <w:spacing w:after="0"/>
              <w:rPr>
                <w:sz w:val="20"/>
                <w:szCs w:val="20"/>
                <w:color w:val="auto"/>
              </w:rPr>
            </w:pPr>
          </w:p>
        </w:tc>
        <w:tc>
          <w:tcPr>
            <w:tcW w:w="24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EEEEEE"/>
            </w:tcBorders>
            <w:shd w:val="clear" w:color="auto" w:fill="EEEEEE"/>
          </w:tcPr>
          <w:p>
            <w:pPr>
              <w:jc w:val="right"/>
              <w:ind w:right="30"/>
              <w:spacing w:after="0"/>
              <w:rPr>
                <w:sz w:val="20"/>
                <w:szCs w:val="20"/>
                <w:color w:val="auto"/>
              </w:rPr>
            </w:pPr>
            <w:r>
              <w:rPr>
                <w:rFonts w:ascii="Arial" w:cs="Arial" w:eastAsia="Arial" w:hAnsi="Arial"/>
                <w:sz w:val="18"/>
                <w:szCs w:val="18"/>
                <w:color w:val="auto"/>
              </w:rPr>
              <w:t>4.12</w:t>
            </w:r>
          </w:p>
        </w:tc>
        <w:tc>
          <w:tcPr>
            <w:tcW w:w="116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6.880</w:t>
            </w:r>
          </w:p>
        </w:tc>
        <w:tc>
          <w:tcPr>
            <w:tcW w:w="16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6,606</w:t>
            </w:r>
          </w:p>
        </w:tc>
      </w:tr>
      <w:tr>
        <w:trPr>
          <w:trHeight w:val="210"/>
        </w:trPr>
        <w:tc>
          <w:tcPr>
            <w:tcW w:w="4160" w:type="dxa"/>
            <w:vAlign w:val="bottom"/>
          </w:tcPr>
          <w:p>
            <w:pPr>
              <w:spacing w:after="0" w:line="203" w:lineRule="exact"/>
              <w:rPr>
                <w:sz w:val="20"/>
                <w:szCs w:val="20"/>
                <w:color w:val="auto"/>
              </w:rPr>
            </w:pPr>
            <w:r>
              <w:rPr>
                <w:rFonts w:ascii="Arial" w:cs="Arial" w:eastAsia="Arial" w:hAnsi="Arial"/>
                <w:sz w:val="18"/>
                <w:szCs w:val="18"/>
                <w:color w:val="auto"/>
              </w:rPr>
              <w:t>Vested and expected to vest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1,274</w:t>
            </w:r>
          </w:p>
        </w:tc>
        <w:tc>
          <w:tcPr>
            <w:tcW w:w="140" w:type="dxa"/>
            <w:vAlign w:val="bottom"/>
          </w:tcPr>
          <w:p>
            <w:pPr>
              <w:spacing w:after="0"/>
              <w:rPr>
                <w:sz w:val="18"/>
                <w:szCs w:val="18"/>
                <w:color w:val="auto"/>
              </w:rPr>
            </w:pPr>
          </w:p>
        </w:tc>
        <w:tc>
          <w:tcPr>
            <w:tcW w:w="220" w:type="dxa"/>
            <w:vAlign w:val="bottom"/>
          </w:tcPr>
          <w:p>
            <w:pPr>
              <w:ind w:left="80"/>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9.04</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203" w:lineRule="exact"/>
              <w:rPr>
                <w:sz w:val="20"/>
                <w:szCs w:val="20"/>
                <w:color w:val="auto"/>
              </w:rPr>
            </w:pPr>
            <w:r>
              <w:rPr>
                <w:rFonts w:ascii="Arial" w:cs="Arial" w:eastAsia="Arial" w:hAnsi="Arial"/>
                <w:sz w:val="18"/>
                <w:szCs w:val="18"/>
                <w:color w:val="auto"/>
              </w:rPr>
              <w:t>4.57</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7.172</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10,346</w:t>
            </w:r>
          </w:p>
        </w:tc>
      </w:tr>
      <w:tr>
        <w:trPr>
          <w:trHeight w:val="756"/>
        </w:trPr>
        <w:tc>
          <w:tcPr>
            <w:tcW w:w="4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670"/>
              <w:spacing w:after="0"/>
              <w:rPr>
                <w:sz w:val="20"/>
                <w:szCs w:val="20"/>
                <w:color w:val="auto"/>
              </w:rPr>
            </w:pPr>
            <w:r>
              <w:rPr>
                <w:rFonts w:ascii="Arial" w:cs="Arial" w:eastAsia="Arial" w:hAnsi="Arial"/>
                <w:sz w:val="18"/>
                <w:szCs w:val="18"/>
                <w:color w:val="auto"/>
              </w:rPr>
              <w:t>F-21</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1" w:right="239" w:bottom="1440" w:gutter="0" w:footer="0" w:header="0"/>
        </w:sectPr>
      </w:pPr>
    </w:p>
    <w:bookmarkStart w:id="87" w:name="page88"/>
    <w:bookmarkEnd w:id="87"/>
    <w:p>
      <w:pPr>
        <w:ind w:right="640" w:firstLine="648"/>
        <w:spacing w:after="0" w:line="277" w:lineRule="auto"/>
        <w:rPr>
          <w:sz w:val="20"/>
          <w:szCs w:val="20"/>
          <w:color w:val="auto"/>
        </w:rPr>
      </w:pPr>
      <w:r>
        <w:rPr>
          <w:rFonts w:ascii="Arial" w:cs="Arial" w:eastAsia="Arial" w:hAnsi="Arial"/>
          <w:sz w:val="18"/>
          <w:szCs w:val="18"/>
          <w:color w:val="auto"/>
        </w:rPr>
        <w:t>As of December 31, 2015, there was approximately $2.2 million of unrecognized stock option expense, net of estimated forfeitures, which is expected to be recognized over 1.65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i w:val="1"/>
                <w:iCs w:val="1"/>
                <w:color w:val="auto"/>
              </w:rPr>
              <w:t>Restricted Stock Unit/Awards</w:t>
            </w: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160" w:type="dxa"/>
            <w:vAlign w:val="bottom"/>
          </w:tcPr>
          <w:p>
            <w:pPr>
              <w:ind w:left="660"/>
              <w:spacing w:after="0"/>
              <w:rPr>
                <w:sz w:val="20"/>
                <w:szCs w:val="20"/>
                <w:color w:val="auto"/>
              </w:rPr>
            </w:pPr>
            <w:r>
              <w:rPr>
                <w:rFonts w:ascii="Arial" w:cs="Arial" w:eastAsia="Arial" w:hAnsi="Arial"/>
                <w:sz w:val="18"/>
                <w:szCs w:val="18"/>
                <w:color w:val="auto"/>
              </w:rPr>
              <w:t>The following is a summary of RSU/RSA activity:</w:t>
            </w: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Average Share</w:t>
            </w:r>
          </w:p>
        </w:tc>
        <w:tc>
          <w:tcPr>
            <w:tcW w:w="24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Price on Date of</w:t>
            </w:r>
          </w:p>
        </w:tc>
        <w:tc>
          <w:tcPr>
            <w:tcW w:w="24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Average Fair</w:t>
            </w: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Aggregate</w:t>
            </w:r>
          </w:p>
        </w:tc>
      </w:tr>
      <w:tr>
        <w:trPr>
          <w:trHeight w:val="234"/>
        </w:trPr>
        <w:tc>
          <w:tcPr>
            <w:tcW w:w="516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Number of shares</w:t>
            </w:r>
          </w:p>
        </w:tc>
        <w:tc>
          <w:tcPr>
            <w:tcW w:w="200" w:type="dxa"/>
            <w:vAlign w:val="bottom"/>
          </w:tcPr>
          <w:p>
            <w:pPr>
              <w:spacing w:after="0"/>
              <w:rPr>
                <w:sz w:val="20"/>
                <w:szCs w:val="20"/>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Release</w:t>
            </w:r>
          </w:p>
        </w:tc>
        <w:tc>
          <w:tcPr>
            <w:tcW w:w="240" w:type="dxa"/>
            <w:vAlign w:val="bottom"/>
          </w:tcPr>
          <w:p>
            <w:pPr>
              <w:spacing w:after="0"/>
              <w:rPr>
                <w:sz w:val="20"/>
                <w:szCs w:val="20"/>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Intrinsic Value</w:t>
            </w:r>
          </w:p>
        </w:tc>
      </w:tr>
      <w:tr>
        <w:trPr>
          <w:trHeight w:val="210"/>
        </w:trPr>
        <w:tc>
          <w:tcPr>
            <w:tcW w:w="51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1"/>
              </w:rPr>
              <w:t>(in thousands, except price data)</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January 1, 2013</w:t>
            </w:r>
          </w:p>
        </w:tc>
        <w:tc>
          <w:tcPr>
            <w:tcW w:w="1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Released</w:t>
            </w:r>
          </w:p>
        </w:tc>
        <w:tc>
          <w:tcPr>
            <w:tcW w:w="15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Cancelled/Forfeited</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1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Outstanding at December 31, 2013</w:t>
            </w: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4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EEEEEE"/>
            </w:tcBorders>
            <w:shd w:val="clear" w:color="auto" w:fill="EEEEEE"/>
          </w:tcPr>
          <w:p>
            <w:pPr>
              <w:jc w:val="right"/>
              <w:ind w:right="30"/>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EEEEEE"/>
            </w:tcBorders>
            <w:shd w:val="clear" w:color="auto" w:fill="EEEEEE"/>
          </w:tcPr>
          <w:p>
            <w:pPr>
              <w:spacing w:after="0"/>
              <w:rPr>
                <w:sz w:val="18"/>
                <w:szCs w:val="18"/>
                <w:color w:val="auto"/>
              </w:rPr>
            </w:pPr>
          </w:p>
        </w:tc>
        <w:tc>
          <w:tcPr>
            <w:tcW w:w="12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18.45</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Released</w:t>
            </w:r>
          </w:p>
        </w:tc>
        <w:tc>
          <w:tcPr>
            <w:tcW w:w="15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10.57</w:t>
            </w:r>
          </w:p>
        </w:tc>
        <w:tc>
          <w:tcPr>
            <w:tcW w:w="20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Cancelled/Forfeited</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18.20</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1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Outstanding at December 31, 2014</w:t>
            </w: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4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EEEEEE"/>
            </w:tcBorders>
            <w:shd w:val="clear" w:color="auto" w:fill="EEEEEE"/>
          </w:tcPr>
          <w:p>
            <w:pPr>
              <w:jc w:val="right"/>
              <w:ind w:right="30"/>
              <w:spacing w:after="0"/>
              <w:rPr>
                <w:sz w:val="20"/>
                <w:szCs w:val="20"/>
                <w:color w:val="auto"/>
              </w:rPr>
            </w:pPr>
            <w:r>
              <w:rPr>
                <w:rFonts w:ascii="Arial" w:cs="Arial" w:eastAsia="Arial" w:hAnsi="Arial"/>
                <w:sz w:val="18"/>
                <w:szCs w:val="18"/>
                <w:color w:val="auto"/>
              </w:rPr>
              <w:t>18.22</w:t>
            </w:r>
          </w:p>
        </w:tc>
        <w:tc>
          <w:tcPr>
            <w:tcW w:w="20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238</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11.06</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1,722</w:t>
            </w:r>
          </w:p>
        </w:tc>
      </w:tr>
      <w:tr>
        <w:trPr>
          <w:trHeight w:val="216"/>
        </w:trPr>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Released</w:t>
            </w:r>
          </w:p>
        </w:tc>
        <w:tc>
          <w:tcPr>
            <w:tcW w:w="15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13.62</w:t>
            </w: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18.24</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257</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Cancelled/Forfeited</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30"/>
        </w:trPr>
        <w:tc>
          <w:tcPr>
            <w:tcW w:w="51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Outstanding at December 31, 2015</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EEEEEE"/>
              <w:bottom w:val="single" w:sz="8" w:color="EEEEEE"/>
            </w:tcBorders>
            <w:shd w:val="clear" w:color="auto" w:fill="EEEEEE"/>
          </w:tcPr>
          <w:p>
            <w:pPr>
              <w:jc w:val="right"/>
              <w:ind w:right="30"/>
              <w:spacing w:after="0"/>
              <w:rPr>
                <w:sz w:val="20"/>
                <w:szCs w:val="20"/>
                <w:color w:val="auto"/>
              </w:rPr>
            </w:pPr>
            <w:r>
              <w:rPr>
                <w:rFonts w:ascii="Arial" w:cs="Arial" w:eastAsia="Arial" w:hAnsi="Arial"/>
                <w:sz w:val="18"/>
                <w:szCs w:val="18"/>
                <w:color w:val="auto"/>
              </w:rPr>
              <w:t>11.20</w:t>
            </w:r>
          </w:p>
        </w:tc>
        <w:tc>
          <w:tcPr>
            <w:tcW w:w="2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EEEEEE"/>
              <w:bottom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2,611</w:t>
            </w:r>
          </w:p>
        </w:tc>
      </w:tr>
      <w:tr>
        <w:trPr>
          <w:trHeight w:val="210"/>
        </w:trPr>
        <w:tc>
          <w:tcPr>
            <w:tcW w:w="5160" w:type="dxa"/>
            <w:vAlign w:val="bottom"/>
            <w:tcBorders>
              <w:bottom w:val="single" w:sz="8" w:color="EEEEEE"/>
            </w:tcBorders>
          </w:tcPr>
          <w:p>
            <w:pPr>
              <w:spacing w:after="0" w:line="203" w:lineRule="exact"/>
              <w:rPr>
                <w:sz w:val="20"/>
                <w:szCs w:val="20"/>
                <w:color w:val="auto"/>
              </w:rPr>
            </w:pPr>
            <w:r>
              <w:rPr>
                <w:rFonts w:ascii="Arial" w:cs="Arial" w:eastAsia="Arial" w:hAnsi="Arial"/>
                <w:sz w:val="18"/>
                <w:szCs w:val="18"/>
                <w:color w:val="auto"/>
              </w:rPr>
              <w:t>Exercisable, December 31, 2015</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w:t>
            </w:r>
          </w:p>
        </w:tc>
        <w:tc>
          <w:tcPr>
            <w:tcW w:w="14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40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EEEEEE"/>
            </w:tcBorders>
          </w:tcPr>
          <w:p>
            <w:pPr>
              <w:jc w:val="right"/>
              <w:ind w:right="30"/>
              <w:spacing w:after="0" w:line="203" w:lineRule="exact"/>
              <w:rPr>
                <w:sz w:val="20"/>
                <w:szCs w:val="20"/>
                <w:color w:val="auto"/>
              </w:rPr>
            </w:pPr>
            <w:r>
              <w:rPr>
                <w:rFonts w:ascii="Arial" w:cs="Arial" w:eastAsia="Arial" w:hAnsi="Arial"/>
                <w:sz w:val="18"/>
                <w:szCs w:val="18"/>
                <w:color w:val="auto"/>
              </w:rPr>
              <w:t>19.45</w:t>
            </w:r>
          </w:p>
        </w:tc>
        <w:tc>
          <w:tcPr>
            <w:tcW w:w="200" w:type="dxa"/>
            <w:vAlign w:val="bottom"/>
            <w:tcBorders>
              <w:bottom w:val="single" w:sz="8" w:color="EEEEEE"/>
            </w:tcBorders>
          </w:tcPr>
          <w:p>
            <w:pPr>
              <w:jc w:val="right"/>
              <w:spacing w:after="0" w:line="203"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EEEEEE"/>
            </w:tcBorders>
            <w:gridSpan w:val="2"/>
          </w:tcPr>
          <w:p>
            <w:pPr>
              <w:jc w:val="right"/>
              <w:ind w:right="100"/>
              <w:spacing w:after="0" w:line="203" w:lineRule="exact"/>
              <w:rPr>
                <w:sz w:val="20"/>
                <w:szCs w:val="20"/>
                <w:color w:val="auto"/>
              </w:rPr>
            </w:pPr>
            <w:r>
              <w:rPr>
                <w:rFonts w:ascii="Arial" w:cs="Arial" w:eastAsia="Arial" w:hAnsi="Arial"/>
                <w:sz w:val="18"/>
                <w:szCs w:val="18"/>
                <w:color w:val="auto"/>
              </w:rPr>
              <w:t>170</w:t>
            </w:r>
          </w:p>
        </w:tc>
      </w:tr>
      <w:tr>
        <w:trPr>
          <w:trHeight w:val="223"/>
        </w:trPr>
        <w:tc>
          <w:tcPr>
            <w:tcW w:w="51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Vested and expected to vest</w:t>
            </w:r>
          </w:p>
        </w:tc>
        <w:tc>
          <w:tcPr>
            <w:tcW w:w="1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EEEEEE"/>
            </w:tcBorders>
            <w:shd w:val="clear" w:color="auto" w:fill="EEEEEE"/>
          </w:tcPr>
          <w:p>
            <w:pPr>
              <w:spacing w:after="0"/>
              <w:rPr>
                <w:sz w:val="19"/>
                <w:szCs w:val="19"/>
                <w:color w:val="auto"/>
              </w:rPr>
            </w:pPr>
          </w:p>
        </w:tc>
        <w:tc>
          <w:tcPr>
            <w:tcW w:w="140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EEEEEE"/>
            </w:tcBorders>
            <w:shd w:val="clear" w:color="auto" w:fill="EEEEEE"/>
          </w:tcPr>
          <w:p>
            <w:pPr>
              <w:jc w:val="right"/>
              <w:ind w:right="30"/>
              <w:spacing w:after="0"/>
              <w:rPr>
                <w:sz w:val="20"/>
                <w:szCs w:val="20"/>
                <w:color w:val="auto"/>
              </w:rPr>
            </w:pPr>
            <w:r>
              <w:rPr>
                <w:rFonts w:ascii="Arial" w:cs="Arial" w:eastAsia="Arial" w:hAnsi="Arial"/>
                <w:sz w:val="18"/>
                <w:szCs w:val="18"/>
                <w:color w:val="auto"/>
              </w:rPr>
              <w:t>11.22</w:t>
            </w:r>
          </w:p>
        </w:tc>
        <w:tc>
          <w:tcPr>
            <w:tcW w:w="2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2,534</w:t>
            </w:r>
          </w:p>
        </w:tc>
      </w:tr>
    </w:tbl>
    <w:p>
      <w:pPr>
        <w:spacing w:after="0" w:line="202"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 aggregate intrinsic value of RSUs and RSAs outstanding at December 31, 2015 was $2.6 million. Unrecognized compensation expense related to these RSUs and RSAs at December 31, 2015 was $1.2 million. This expense is expected to be recognized over 2.94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recognizes compensation expense on a straight-line basis over the applicable vesting term of the award.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8" w:name="page89"/>
    <w:bookmarkEnd w:id="88"/>
    <w:p>
      <w:pPr>
        <w:ind w:right="420" w:firstLine="648"/>
        <w:spacing w:after="0" w:line="277" w:lineRule="auto"/>
        <w:rPr>
          <w:sz w:val="20"/>
          <w:szCs w:val="20"/>
          <w:color w:val="auto"/>
        </w:rPr>
      </w:pPr>
      <w:r>
        <w:rPr>
          <w:rFonts w:ascii="Arial" w:cs="Arial" w:eastAsia="Arial" w:hAnsi="Arial"/>
          <w:sz w:val="18"/>
          <w:szCs w:val="18"/>
          <w:color w:val="auto"/>
        </w:rPr>
        <w:t>The Company estimated the fair value of employee stock options at the date of the grant using the Black-Scholes option-pricing model with the following assumptions:</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4360" w:type="dxa"/>
            <w:vAlign w:val="bottom"/>
            <w:gridSpan w:val="2"/>
          </w:tcPr>
          <w:p>
            <w:pPr>
              <w:ind w:left="3920"/>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r>
      <w:tr>
        <w:trPr>
          <w:trHeight w:val="210"/>
        </w:trPr>
        <w:tc>
          <w:tcPr>
            <w:tcW w:w="33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tcBorders>
              <w:top w:val="single" w:sz="8" w:color="auto"/>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top w:val="single" w:sz="8" w:color="EEEEEE"/>
            </w:tcBorders>
            <w:shd w:val="clear" w:color="auto" w:fill="EEEEEE"/>
          </w:tcPr>
          <w:p>
            <w:pPr>
              <w:spacing w:after="0"/>
              <w:rPr>
                <w:sz w:val="18"/>
                <w:szCs w:val="18"/>
                <w:color w:val="auto"/>
              </w:rPr>
            </w:pPr>
          </w:p>
        </w:tc>
        <w:tc>
          <w:tcPr>
            <w:tcW w:w="16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 to 70%</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0.96% to 2.97%</w:t>
            </w:r>
          </w:p>
        </w:tc>
      </w:tr>
      <w:tr>
        <w:trPr>
          <w:trHeight w:val="216"/>
        </w:trPr>
        <w:tc>
          <w:tcPr>
            <w:tcW w:w="4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Expected term (years)</w:t>
            </w: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6.25</w:t>
            </w:r>
          </w:p>
        </w:tc>
        <w:tc>
          <w:tcPr>
            <w:tcW w:w="17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6.25</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Estimated forfeitures</w:t>
            </w:r>
          </w:p>
        </w:tc>
        <w:tc>
          <w:tcPr>
            <w:tcW w:w="7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7.5%</w:t>
            </w:r>
          </w:p>
        </w:tc>
        <w:tc>
          <w:tcPr>
            <w:tcW w:w="17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7.5%</w:t>
            </w: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2015, the Company issued RSUs and RSAs as share-based compensation to employees and ceased issuing stock options. The Company estimates the fair value of RSU and RSA at the fair market value on the grant date and assumes an estimated forfeiture rate.</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As there had been no market for the Company’s common stock prior to its initial public offering, the expected volatility for options granted to date was derived from an analysis of reported data for a peer group of companies that issued options with similar terms. The expected volatility has been determined using an average of the expected volatility reported by this peer group of companies. The Company uses a risk free interest rate based on the 10-year Treasury as reported during the period. The expected term of the options has been determined utilizing the simplified method which calculates a simple average based on vesting period and option life. The Company does not anticipate paying dividends in the near future. Estimated forfeitures are based on historical experience and future work force projections.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share-based compensation expenses recognized for the years ended December 31,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Share-Based compensation - by expense type</w:t>
            </w:r>
          </w:p>
        </w:tc>
        <w:tc>
          <w:tcPr>
            <w:tcW w:w="1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5020" w:type="dxa"/>
            <w:vAlign w:val="bottom"/>
          </w:tcPr>
          <w:p>
            <w:pPr>
              <w:spacing w:after="0"/>
              <w:rPr>
                <w:sz w:val="24"/>
                <w:szCs w:val="24"/>
                <w:color w:val="auto"/>
              </w:rPr>
            </w:pPr>
          </w:p>
        </w:tc>
        <w:tc>
          <w:tcPr>
            <w:tcW w:w="27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(in thousands)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Cost of goods sold</w:t>
            </w:r>
          </w:p>
        </w:tc>
        <w:tc>
          <w:tcPr>
            <w:tcW w:w="2700" w:type="dxa"/>
            <w:vAlign w:val="bottom"/>
            <w:gridSpan w:val="2"/>
            <w:shd w:val="clear" w:color="auto" w:fill="EEEEEE"/>
          </w:tcPr>
          <w:p>
            <w:pPr>
              <w:jc w:val="right"/>
              <w:ind w:right="7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70</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88</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Sales and marketing</w:t>
            </w:r>
          </w:p>
        </w:tc>
        <w:tc>
          <w:tcPr>
            <w:tcW w:w="17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98</w:t>
            </w:r>
          </w:p>
        </w:tc>
        <w:tc>
          <w:tcPr>
            <w:tcW w:w="3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1,603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1,760</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share-based compensation expense</w:t>
            </w:r>
          </w:p>
        </w:tc>
        <w:tc>
          <w:tcPr>
            <w:tcW w:w="1740" w:type="dxa"/>
            <w:vAlign w:val="bottom"/>
            <w:tcBorders>
              <w:top w:val="single" w:sz="8" w:color="EEEEEE"/>
              <w:bottom w:val="single" w:sz="8" w:color="EEEEEE"/>
            </w:tcBorders>
            <w:shd w:val="clear" w:color="auto" w:fill="EEEEEE"/>
          </w:tcPr>
          <w:p>
            <w:pPr>
              <w:spacing w:after="0"/>
              <w:rPr>
                <w:sz w:val="19"/>
                <w:szCs w:val="19"/>
                <w:color w:val="auto"/>
              </w:rPr>
            </w:pPr>
          </w:p>
        </w:tc>
        <w:tc>
          <w:tcPr>
            <w:tcW w:w="960" w:type="dxa"/>
            <w:vAlign w:val="bottom"/>
            <w:tcBorders>
              <w:top w:val="single" w:sz="8" w:color="auto"/>
              <w:bottom w:val="single" w:sz="8" w:color="auto"/>
            </w:tcBorders>
            <w:shd w:val="clear" w:color="auto" w:fill="EEEEEE"/>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8"/>
              </w:rPr>
              <w:t>2,120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2,061</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1,069</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Share-Based compensation - by award type</w:t>
            </w:r>
          </w:p>
        </w:tc>
        <w:tc>
          <w:tcPr>
            <w:tcW w:w="1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2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020" w:type="dxa"/>
            <w:vAlign w:val="bottom"/>
          </w:tcPr>
          <w:p>
            <w:pPr>
              <w:spacing w:after="0"/>
              <w:rPr>
                <w:sz w:val="24"/>
                <w:szCs w:val="24"/>
                <w:color w:val="auto"/>
              </w:rPr>
            </w:pPr>
          </w:p>
        </w:tc>
        <w:tc>
          <w:tcPr>
            <w:tcW w:w="27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7"/>
              </w:rPr>
              <w:t>(in thousands)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Employee stock options</w:t>
            </w:r>
          </w:p>
        </w:tc>
        <w:tc>
          <w:tcPr>
            <w:tcW w:w="2700" w:type="dxa"/>
            <w:vAlign w:val="bottom"/>
            <w:gridSpan w:val="2"/>
            <w:shd w:val="clear" w:color="auto" w:fill="EEEEEE"/>
          </w:tcPr>
          <w:p>
            <w:pPr>
              <w:jc w:val="right"/>
              <w:ind w:right="7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88"/>
              </w:rPr>
              <w:t>1,538</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1,660</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793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385</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EEEEEE"/>
          </w:tcPr>
          <w:p>
            <w:pPr>
              <w:spacing w:after="0"/>
              <w:rPr>
                <w:sz w:val="20"/>
                <w:szCs w:val="20"/>
                <w:color w:val="auto"/>
              </w:rPr>
            </w:pPr>
            <w:r>
              <w:rPr>
                <w:rFonts w:ascii="Arial" w:cs="Arial" w:eastAsia="Arial" w:hAnsi="Arial"/>
                <w:sz w:val="18"/>
                <w:szCs w:val="18"/>
                <w:color w:val="auto"/>
              </w:rPr>
              <w:t>Warrants</w:t>
            </w:r>
          </w:p>
        </w:tc>
        <w:tc>
          <w:tcPr>
            <w:tcW w:w="1740" w:type="dxa"/>
            <w:vAlign w:val="bottom"/>
            <w:shd w:val="clear" w:color="auto" w:fill="EEEEEE"/>
          </w:tcPr>
          <w:p>
            <w:pPr>
              <w:spacing w:after="0"/>
              <w:rPr>
                <w:sz w:val="19"/>
                <w:szCs w:val="19"/>
                <w:color w:val="auto"/>
              </w:rPr>
            </w:pPr>
          </w:p>
        </w:tc>
        <w:tc>
          <w:tcPr>
            <w:tcW w:w="96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17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Company’s Amended and Restated Certificate of Incorporation authorizes the issuance of up to 45,000,000 shares of common stock, all of which have been designated voting common stock.</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Amended and Restated Certificate of Incorporation authorizes the issuance of up to 5,000,000 shares of preferred stock.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 and 2014, the Company had no outstanding warrants to purchase common or preferred stock.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Offerings of Common Stock</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September 25, 2013, the Company’s registration statement on Form S-1 for its initial public offering was declared effective by the Securities and Exchange Commission. The offering commenced on September 26, and the Company sold 3.6 million shares of its common stock in its initial public offering at a price of $10.00 per share, providing proceeds of $31.5 million, net of expenses and underwriting discounts and commissions. The Company’s initial public offering closed on October 1, 2013.</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March 19, 2014, the Company sold 2.0 million shares of its common stock in a secondary offering at a price of $24.25 per share, providing proceeds of $45.7 million, net of expenses and underwriting discounts and commissions. The Company’s sale of 1.6 million shares in the secondary offering closed on March 25, 2014 and the Company’s sale of an additional 0.4 million shares as a result of the underwriters’ exercise of their option to purchase additional shares closed on March 28, 2014.</w:t>
      </w:r>
    </w:p>
    <w:p>
      <w:pPr>
        <w:spacing w:after="0" w:line="18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On June 3, 2015, the Company filed a Securities Registration Statement on Form S-3 (the “Form S-3”) with the Securities and Exchange Commission effective June 23, 2015, providing for the public offer and sale of certain securities of the Company from time to time, at its discretion, up to an aggregate amount of $140 million. In connection with the Company’s Form S-3, the Company entered into an Equity Distribution Agreement with Raymond James &amp; Associates, Inc. (the “sales agent”) pursuant to which the Company may issue and sell shares of the Company’s stock having an aggregate offering price of up to $40 million (the “ATM Offering”) from time to time through the sales agent. On July 16, 2015, the Company commenced sales of common stock through the ATM Offering, and as of December 31, 2015, the Company has sold 1.9 million shares under the ATM Offering at a weighted average price of $21.54 per share, providing proceeds of $38.6 million, net of expenses and underwriting discounts and commissions.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Recovery of Stockholder Short Swing Profit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November 2015, a member of the board of directors of the Company paid $5,510 to the Company, representing the disgorgement of short swing profits under Section 16(b) under the Exchange Act. The amount was recorded as additional paid-in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N—SEGMENT AND GEOGRAPHIC INFORMATION</w:t>
      </w:r>
    </w:p>
    <w:p>
      <w:pPr>
        <w:spacing w:after="0" w:line="229"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1" w:lineRule="exact"/>
        <w:rPr>
          <w:sz w:val="20"/>
          <w:szCs w:val="20"/>
          <w:color w:val="auto"/>
        </w:rPr>
      </w:pPr>
    </w:p>
    <w:p>
      <w:pPr>
        <w:jc w:val="both"/>
        <w:ind w:right="340" w:firstLine="648"/>
        <w:spacing w:after="0" w:line="342" w:lineRule="auto"/>
        <w:rPr>
          <w:sz w:val="20"/>
          <w:szCs w:val="20"/>
          <w:color w:val="auto"/>
        </w:rPr>
      </w:pPr>
      <w:r>
        <w:rPr>
          <w:rFonts w:ascii="Arial" w:cs="Arial" w:eastAsia="Arial" w:hAnsi="Arial"/>
          <w:sz w:val="16"/>
          <w:szCs w:val="16"/>
          <w:color w:val="auto"/>
        </w:rPr>
        <w:t>The following tables set forth the Company’s revenue and asset information by geographic region. Revenue is classified based on the location of product manufacturing plants. Long-lived assets in the tables below comprise only property, plant, equipment and intangible assets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For the year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3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(in thousands)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United States</w:t>
            </w:r>
          </w:p>
        </w:tc>
        <w:tc>
          <w:tcPr>
            <w:tcW w:w="36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53,997</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30,723</w:t>
            </w:r>
          </w:p>
        </w:tc>
        <w:tc>
          <w:tcPr>
            <w:tcW w:w="4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14,705</w:t>
            </w:r>
          </w:p>
        </w:tc>
        <w:tc>
          <w:tcPr>
            <w:tcW w:w="0" w:type="dxa"/>
            <w:vAlign w:val="bottom"/>
          </w:tcPr>
          <w:p>
            <w:pPr>
              <w:spacing w:after="0"/>
              <w:rPr>
                <w:sz w:val="1"/>
                <w:szCs w:val="1"/>
                <w:color w:val="auto"/>
              </w:rPr>
            </w:pPr>
          </w:p>
        </w:tc>
      </w:tr>
      <w:tr>
        <w:trPr>
          <w:trHeight w:val="216"/>
        </w:trPr>
        <w:tc>
          <w:tcPr>
            <w:tcW w:w="3400" w:type="dxa"/>
            <w:vAlign w:val="bottom"/>
          </w:tcPr>
          <w:p>
            <w:pPr>
              <w:ind w:left="300"/>
              <w:spacing w:after="0"/>
              <w:rPr>
                <w:sz w:val="20"/>
                <w:szCs w:val="20"/>
                <w:color w:val="auto"/>
              </w:rPr>
            </w:pPr>
            <w:r>
              <w:rPr>
                <w:rFonts w:ascii="Arial" w:cs="Arial" w:eastAsia="Arial" w:hAnsi="Arial"/>
                <w:sz w:val="18"/>
                <w:szCs w:val="18"/>
                <w:color w:val="auto"/>
              </w:rPr>
              <w:t>Taiwan</w:t>
            </w:r>
          </w:p>
        </w:tc>
        <w:tc>
          <w:tcPr>
            <w:tcW w:w="3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115,265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77,680</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31,863</w:t>
            </w:r>
          </w:p>
        </w:tc>
        <w:tc>
          <w:tcPr>
            <w:tcW w:w="0" w:type="dxa"/>
            <w:vAlign w:val="bottom"/>
          </w:tcPr>
          <w:p>
            <w:pPr>
              <w:spacing w:after="0"/>
              <w:rPr>
                <w:sz w:val="1"/>
                <w:szCs w:val="1"/>
                <w:color w:val="auto"/>
              </w:rPr>
            </w:pPr>
          </w:p>
        </w:tc>
      </w:tr>
      <w:tr>
        <w:trPr>
          <w:trHeight w:val="230"/>
        </w:trPr>
        <w:tc>
          <w:tcPr>
            <w:tcW w:w="340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China</w:t>
            </w:r>
          </w:p>
        </w:tc>
        <w:tc>
          <w:tcPr>
            <w:tcW w:w="33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20,641</w:t>
            </w: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22,046</w:t>
            </w:r>
          </w:p>
        </w:tc>
        <w:tc>
          <w:tcPr>
            <w:tcW w:w="42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31,856</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130,449</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4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2"/>
          </w:tcPr>
          <w:p>
            <w:pPr>
              <w:jc w:val="right"/>
              <w:ind w:right="1070"/>
              <w:spacing w:after="0"/>
              <w:rPr>
                <w:sz w:val="20"/>
                <w:szCs w:val="20"/>
                <w:color w:val="auto"/>
              </w:rPr>
            </w:pPr>
            <w:r>
              <w:rPr>
                <w:rFonts w:ascii="Arial" w:cs="Arial" w:eastAsia="Arial" w:hAnsi="Arial"/>
                <w:sz w:val="18"/>
                <w:szCs w:val="18"/>
                <w:color w:val="auto"/>
              </w:rPr>
              <w:t>F-24</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w w:val="92"/>
              </w:rPr>
              <w:t>As of 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40" w:type="dxa"/>
            <w:vAlign w:val="bottom"/>
            <w:vMerge w:val="restart"/>
          </w:tcPr>
          <w:p>
            <w:pPr>
              <w:spacing w:after="0"/>
              <w:rPr>
                <w:sz w:val="20"/>
                <w:szCs w:val="20"/>
                <w:color w:val="auto"/>
              </w:rPr>
            </w:pPr>
            <w:r>
              <w:rPr>
                <w:rFonts w:ascii="Arial" w:cs="Arial" w:eastAsia="Arial" w:hAnsi="Arial"/>
                <w:sz w:val="18"/>
                <w:szCs w:val="18"/>
                <w:color w:val="auto"/>
              </w:rPr>
              <w:t>Long-lived assets:</w:t>
            </w:r>
          </w:p>
        </w:tc>
        <w:tc>
          <w:tcPr>
            <w:tcW w:w="2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(in thousands)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United States</w:t>
            </w:r>
          </w:p>
        </w:tc>
        <w:tc>
          <w:tcPr>
            <w:tcW w:w="30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44,280</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15,875</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9,415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300"/>
              <w:spacing w:after="0"/>
              <w:rPr>
                <w:sz w:val="20"/>
                <w:szCs w:val="20"/>
                <w:color w:val="auto"/>
              </w:rPr>
            </w:pPr>
            <w:r>
              <w:rPr>
                <w:rFonts w:ascii="Arial" w:cs="Arial" w:eastAsia="Arial" w:hAnsi="Arial"/>
                <w:sz w:val="18"/>
                <w:szCs w:val="18"/>
                <w:color w:val="auto"/>
              </w:rPr>
              <w:t>Taiwan</w:t>
            </w: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45,420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35,688</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7,192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China</w:t>
            </w:r>
          </w:p>
        </w:tc>
        <w:tc>
          <w:tcPr>
            <w:tcW w:w="27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24,753</w:t>
            </w:r>
          </w:p>
        </w:tc>
        <w:tc>
          <w:tcPr>
            <w:tcW w:w="1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18,008</w:t>
            </w:r>
          </w:p>
        </w:tc>
        <w:tc>
          <w:tcPr>
            <w:tcW w:w="3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16,337</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69,571</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32,944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serves three primary markets, the internet data center, CATV, and FTTH markets. Of the Company’s total revenues in 2015, the Company earned $123.2 million, or 64.9%, from the internet data center market, $53.7 million, or 28.3%, from the CATV market, $2.5 million, or 1.3%, from the FTTH market, and $10.5 million, or 5.5%, from other markets. Of the Company’s total revenues in 2014, the Company earned $64.4 million, or 49.4%, from the internet data center market, $47.4 million, or 36.3%, from the CATV market, $13.6 million, or 10.4% from the FTTH market, and $5.0 million, or 3.9% from other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O—MAJOR CUSTOMERS</w:t>
      </w:r>
    </w:p>
    <w:p>
      <w:pPr>
        <w:spacing w:after="0" w:line="22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Company currently derives its revenues from customers in the United States and throughout the rest of the world. Generally, the Company does not require deposits or other collateral to support customer receivables. The Company performs an initial and periodic credit evaluation of its customers and maintains an allowance for uncollectible accounts for potential uncollectible accounts. The historical amount of losses on uncollectible accounts has been within the Company’s estimates. The Company generates much of its revenue from a limited number of customers. In 2015, 2014 and 2013, its top five customers represented 81.8%, 72.0% and 59.1% of its revenue, respectively. In 2015, Amazon, Microsoft and Cisco represented 52.5%, 11.6% and 10.4% of its revenue, respectively. The five largest receivable balances for customers represented an aggregate of 80%, and 70% of total accounts receivable at December 31, 2015 and 2014, respectively. As of December 31, 2015, Amazon and Wesco represented 51.4% and 14.4% of total accounts receivable,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P—EMPLOYEE BENEFIT PLANS</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On August 1, 2000, the Company established a 401(k) profit sharing plan covering employees meeting certain age and service requirements. The plan provides for discretionary Company contributions to be allocated based on the employee’s eligible contributions. The Company made contributions of $0.4 million and $0.2 million to the 401(k) plan for the years ended December 31, 2015 and 2014, respectively, and no contributions for the year ended December 31, 2013.</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Employees of Global participate in a state-mandated social security program in China. Under this program, pension costs are recorded on the basis of required monthly contributions to employees’ individual accounts during their service periods. Under the regulations of the People’s Republic of China, Global is required to make fixed contributions to a fund, which is under the administration of the local labor departments.</w:t>
      </w:r>
    </w:p>
    <w:p>
      <w:pPr>
        <w:spacing w:after="0" w:line="166"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Employees of AOI—Taiwan participates in a pension program under the Taiwan Labor Pension Act. Pension expense for Global was $0.3 million for the year ended December 31, 2015 and $0.4 million for each of the years ended December 31, 2014 and 2013, respectively. Pension expense for AOI— Taiwan was $0.4 million, $0.3 million and $0.2 million in the years ended December 31, 2015, 2014 and 2013,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Company conducts part of its operations from leased facilities and also leases equipment. Rent expense was $1.1 million, $0.8 million and $0.6 million for the years ended December 31, 2015, 2014 and 2013, respectively.</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At December 31, 2015, the approximate minimum rental commitments under noncancellable leases in excess of one year that expire at varying dates through 2029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Amount</w:t>
            </w:r>
          </w:p>
        </w:tc>
        <w:tc>
          <w:tcPr>
            <w:tcW w:w="4120" w:type="dxa"/>
            <w:vAlign w:val="bottom"/>
          </w:tcPr>
          <w:p>
            <w:pPr>
              <w:spacing w:after="0"/>
              <w:rPr>
                <w:sz w:val="20"/>
                <w:szCs w:val="20"/>
                <w:color w:val="auto"/>
              </w:rPr>
            </w:pPr>
          </w:p>
        </w:tc>
      </w:tr>
      <w:tr>
        <w:trPr>
          <w:trHeight w:val="210"/>
        </w:trPr>
        <w:tc>
          <w:tcPr>
            <w:tcW w:w="37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6"/>
        </w:trPr>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2016</w:t>
            </w:r>
          </w:p>
        </w:tc>
        <w:tc>
          <w:tcPr>
            <w:tcW w:w="21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814</w:t>
            </w:r>
          </w:p>
        </w:tc>
        <w:tc>
          <w:tcPr>
            <w:tcW w:w="4120" w:type="dxa"/>
            <w:vAlign w:val="bottom"/>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2017</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788</w:t>
            </w:r>
          </w:p>
        </w:tc>
        <w:tc>
          <w:tcPr>
            <w:tcW w:w="4120" w:type="dxa"/>
            <w:vAlign w:val="bottom"/>
          </w:tcPr>
          <w:p>
            <w:pPr>
              <w:spacing w:after="0"/>
              <w:rPr>
                <w:sz w:val="18"/>
                <w:szCs w:val="18"/>
                <w:color w:val="auto"/>
              </w:rPr>
            </w:pPr>
          </w:p>
        </w:tc>
      </w:tr>
      <w:tr>
        <w:trPr>
          <w:trHeight w:val="216"/>
        </w:trPr>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2018</w:t>
            </w:r>
          </w:p>
        </w:tc>
        <w:tc>
          <w:tcPr>
            <w:tcW w:w="1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840</w:t>
            </w:r>
          </w:p>
        </w:tc>
        <w:tc>
          <w:tcPr>
            <w:tcW w:w="4120" w:type="dxa"/>
            <w:vAlign w:val="bottom"/>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2019</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935</w:t>
            </w:r>
          </w:p>
        </w:tc>
        <w:tc>
          <w:tcPr>
            <w:tcW w:w="4120" w:type="dxa"/>
            <w:vAlign w:val="bottom"/>
          </w:tcPr>
          <w:p>
            <w:pPr>
              <w:spacing w:after="0"/>
              <w:rPr>
                <w:sz w:val="18"/>
                <w:szCs w:val="18"/>
                <w:color w:val="auto"/>
              </w:rPr>
            </w:pPr>
          </w:p>
        </w:tc>
      </w:tr>
      <w:tr>
        <w:trPr>
          <w:trHeight w:val="230"/>
        </w:trPr>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thereafter</w:t>
            </w:r>
          </w:p>
        </w:tc>
        <w:tc>
          <w:tcPr>
            <w:tcW w:w="19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9,576</w:t>
            </w:r>
          </w:p>
        </w:tc>
        <w:tc>
          <w:tcPr>
            <w:tcW w:w="4120" w:type="dxa"/>
            <w:vAlign w:val="bottom"/>
          </w:tcPr>
          <w:p>
            <w:pPr>
              <w:spacing w:after="0"/>
              <w:rPr>
                <w:sz w:val="19"/>
                <w:szCs w:val="19"/>
                <w:color w:val="auto"/>
              </w:rPr>
            </w:pPr>
          </w:p>
        </w:tc>
      </w:tr>
      <w:tr>
        <w:trPr>
          <w:trHeight w:val="223"/>
        </w:trPr>
        <w:tc>
          <w:tcPr>
            <w:tcW w:w="37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12,953</w:t>
            </w:r>
          </w:p>
        </w:tc>
        <w:tc>
          <w:tcPr>
            <w:tcW w:w="12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521"/>
        </w:trPr>
        <w:tc>
          <w:tcPr>
            <w:tcW w:w="37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F-25</w:t>
            </w: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37"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Employment Agreements and Consultancy Agreements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has entered into employment and indemnification agreements with three executive officers. These agreements provide that if their employment is terminated as a result of a change of control of the Company, or if their employment is terminated for certain other reasons set forth in the agreements, the Company will be required to pay a severance payment in an amount equal to their annual base salary, and other additional compensation due under the terms of the agreements.</w:t>
      </w:r>
    </w:p>
    <w:p>
      <w:pPr>
        <w:spacing w:after="0" w:line="187"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Company has also entered into employment and indemnification agreement with one other executive officer. These agreements provide that if their employment is terminated as a result of a change of control of the Company, the Company will be required to pay a severance payment in an amount equal to their six months of their annual base salary, and other additional compensation due under the terms of the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may be party to litigation, claims or assessments in the ordinary course of business. Management is not aware of any of these matters that would have a material effect on the financial condition, results of operations or cash flows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evaluated subsequent events through the date the financial statements were issued.</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February 19, 2016, Applied Optoelectronics, Inc. (the “Company”) entered into two, one year revolving credit facilities totaling NT$320 million, or $9.8 million (the “Credit Facilities”) with China Trust Commercial Bank Co., Ltd. in Taiwan (the “Bank”). The first credit facility is in the amount of NT$200 million or $6.1 million (the “First Credit Facility”). The second credit facility is in the amount of NT$120 million or $3.7 million (the “Second Credit Facility”). Borrowing under the Credit Facilities will be used for general corporate purposes. The Company may draw upon the Credit Facilities from February 19, 2016 until February 18, 2017. The term of each draw shall be between 120 and 180 days. At the end of the draw term the Company will make payment for all principal and accrued interest. The Company’s obligations under the First Credit Facility will be secured by the Company’s deposit accounts with the Bank. Borrowings under the First Credit Facility for New Taiwan Dollars will bear interest at a rate equal to the Bank’s monthly Corporate Interest Index Rate plus 1.5%; for all foreign currency borrowing interest will bear at a rate equal to the Bank’s Cost of Fund lending rate plus 1.8%. The Company’s obligations under the Second Credit Facility will be secured by the Company’s certificate of deposit with the Bank. All borrowings under the Second Credit Facility will be based on the Bank’s monthly Corporate Interest Index Rate plus 0.93% annually. The Bank's current monthly Corporate Interest Index Rate is 0.71% annually. The Bank's current Cost of Fund lending rate is 0.50% annually. The Corporate Interest Index Rate and Cost of Fund lending rates are subject to change from time to time. The agreements for the Credit Facilities contain representations and warranties, and events of default applicable to the Company that are customary for agreements of this type.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 S—SELECTED QUARTERLY FINANCIAL DATA (UNAUDITED)</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tables set forth a summary of the Company’s quarterly financial information for each of the four quarters for the years ended December 31, 2015 and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First</w:t>
            </w:r>
          </w:p>
        </w:tc>
        <w:tc>
          <w:tcPr>
            <w:tcW w:w="220" w:type="dxa"/>
            <w:vAlign w:val="bottom"/>
          </w:tcPr>
          <w:p>
            <w:pPr>
              <w:spacing w:after="0"/>
              <w:rPr>
                <w:sz w:val="19"/>
                <w:szCs w:val="19"/>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Second</w:t>
            </w:r>
          </w:p>
        </w:tc>
        <w:tc>
          <w:tcPr>
            <w:tcW w:w="22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Third</w:t>
            </w:r>
          </w:p>
        </w:tc>
        <w:tc>
          <w:tcPr>
            <w:tcW w:w="22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Fourth</w:t>
            </w:r>
          </w:p>
        </w:tc>
        <w:tc>
          <w:tcPr>
            <w:tcW w:w="0" w:type="dxa"/>
            <w:vAlign w:val="bottom"/>
          </w:tcPr>
          <w:p>
            <w:pPr>
              <w:spacing w:after="0"/>
              <w:rPr>
                <w:sz w:val="1"/>
                <w:szCs w:val="1"/>
                <w:color w:val="auto"/>
              </w:rPr>
            </w:pPr>
          </w:p>
        </w:tc>
      </w:t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2015</w:t>
            </w:r>
          </w:p>
        </w:tc>
        <w:tc>
          <w:tcPr>
            <w:tcW w:w="220" w:type="dxa"/>
            <w:vAlign w:val="bottom"/>
          </w:tcPr>
          <w:p>
            <w:pPr>
              <w:spacing w:after="0"/>
              <w:rPr>
                <w:sz w:val="20"/>
                <w:szCs w:val="20"/>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220" w:type="dxa"/>
            <w:vAlign w:val="bottom"/>
          </w:tcPr>
          <w:p>
            <w:pPr>
              <w:spacing w:after="0"/>
              <w:rPr>
                <w:sz w:val="20"/>
                <w:szCs w:val="20"/>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Quarter</w:t>
            </w:r>
          </w:p>
        </w:tc>
        <w:tc>
          <w:tcPr>
            <w:tcW w:w="22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22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30,234</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49,632</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57,085</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52,952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20,183</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32,901</w:t>
            </w: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39,032</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37,334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10,051</w:t>
            </w:r>
          </w:p>
        </w:tc>
        <w:tc>
          <w:tcPr>
            <w:tcW w:w="2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16,731</w:t>
            </w:r>
          </w:p>
        </w:tc>
        <w:tc>
          <w:tcPr>
            <w:tcW w:w="2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18,053</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15,618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4,805</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4,701</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5,386</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4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1,559</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1,607</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1,582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5,003</w:t>
            </w:r>
          </w:p>
        </w:tc>
        <w:tc>
          <w:tcPr>
            <w:tcW w:w="2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4,534</w:t>
            </w:r>
          </w:p>
        </w:tc>
        <w:tc>
          <w:tcPr>
            <w:tcW w:w="2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4,963</w:t>
            </w:r>
          </w:p>
        </w:tc>
        <w:tc>
          <w:tcPr>
            <w:tcW w:w="22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EEEEEE"/>
            </w:tcBorders>
            <w:gridSpan w:val="2"/>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11,367</w:t>
            </w:r>
          </w:p>
        </w:tc>
        <w:tc>
          <w:tcPr>
            <w:tcW w:w="240" w:type="dxa"/>
            <w:vAlign w:val="bottom"/>
            <w:tcBorders>
              <w:bottom w:val="single" w:sz="8" w:color="EEEEEE"/>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10,842</w:t>
            </w:r>
          </w:p>
        </w:tc>
        <w:tc>
          <w:tcPr>
            <w:tcW w:w="240" w:type="dxa"/>
            <w:vAlign w:val="bottom"/>
            <w:tcBorders>
              <w:bottom w:val="single" w:sz="8" w:color="EEEEEE"/>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11,931</w:t>
            </w:r>
          </w:p>
        </w:tc>
        <w:tc>
          <w:tcPr>
            <w:tcW w:w="220" w:type="dxa"/>
            <w:vAlign w:val="bottom"/>
            <w:tcBorders>
              <w:bottom w:val="single" w:sz="8" w:color="EEEEEE"/>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12,864</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(1,316)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5,889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6,122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and other income (expense), net</w:t>
            </w:r>
          </w:p>
        </w:tc>
        <w:tc>
          <w:tcPr>
            <w:tcW w:w="2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641</w:t>
            </w:r>
          </w:p>
        </w:tc>
        <w:tc>
          <w:tcPr>
            <w:tcW w:w="2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335</w:t>
            </w:r>
          </w:p>
        </w:tc>
        <w:tc>
          <w:tcPr>
            <w:tcW w:w="2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(3,016)</w:t>
            </w:r>
          </w:p>
        </w:tc>
        <w:tc>
          <w:tcPr>
            <w:tcW w:w="22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Net income before taxes</w:t>
            </w: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6,224</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3,106</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(406)</w:t>
            </w:r>
          </w:p>
        </w:tc>
        <w:tc>
          <w:tcPr>
            <w:tcW w:w="22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40" w:type="dxa"/>
            <w:vAlign w:val="bottom"/>
            <w:tcBorders>
              <w:bottom w:val="single" w:sz="8" w:color="EEEEEE"/>
            </w:tcBorders>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40" w:type="dxa"/>
            <w:vAlign w:val="bottom"/>
            <w:tcBorders>
              <w:bottom w:val="single" w:sz="8" w:color="EEEEEE"/>
            </w:tcBorders>
          </w:tcPr>
          <w:p>
            <w:pPr>
              <w:jc w:val="right"/>
              <w:ind w:right="10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6,089</w:t>
            </w:r>
          </w:p>
        </w:tc>
        <w:tc>
          <w:tcPr>
            <w:tcW w:w="240" w:type="dxa"/>
            <w:vAlign w:val="bottom"/>
            <w:tcBorders>
              <w:bottom w:val="single" w:sz="8" w:color="EEEEEE"/>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220" w:type="dxa"/>
            <w:vAlign w:val="bottom"/>
            <w:tcBorders>
              <w:bottom w:val="single" w:sz="8" w:color="EEEEEE"/>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Net income per share—basic</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0.41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 per share—diluted</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First</w:t>
            </w:r>
          </w:p>
        </w:tc>
        <w:tc>
          <w:tcPr>
            <w:tcW w:w="220" w:type="dxa"/>
            <w:vAlign w:val="bottom"/>
          </w:tcPr>
          <w:p>
            <w:pPr>
              <w:spacing w:after="0"/>
              <w:rPr>
                <w:sz w:val="19"/>
                <w:szCs w:val="19"/>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Second</w:t>
            </w:r>
          </w:p>
        </w:tc>
        <w:tc>
          <w:tcPr>
            <w:tcW w:w="220" w:type="dxa"/>
            <w:vAlign w:val="bottom"/>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Third</w:t>
            </w:r>
          </w:p>
        </w:tc>
        <w:tc>
          <w:tcPr>
            <w:tcW w:w="22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Fourth</w:t>
            </w:r>
          </w:p>
        </w:tc>
        <w:tc>
          <w:tcPr>
            <w:tcW w:w="0" w:type="dxa"/>
            <w:vAlign w:val="bottom"/>
          </w:tcPr>
          <w:p>
            <w:pPr>
              <w:spacing w:after="0"/>
              <w:rPr>
                <w:sz w:val="1"/>
                <w:szCs w:val="1"/>
                <w:color w:val="auto"/>
              </w:rPr>
            </w:pPr>
          </w:p>
        </w:tc>
      </w:tr>
      <w:tr>
        <w:trPr>
          <w:trHeight w:val="234"/>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2014</w:t>
            </w:r>
          </w:p>
        </w:tc>
        <w:tc>
          <w:tcPr>
            <w:tcW w:w="220" w:type="dxa"/>
            <w:vAlign w:val="bottom"/>
          </w:tcPr>
          <w:p>
            <w:pPr>
              <w:spacing w:after="0"/>
              <w:rPr>
                <w:sz w:val="20"/>
                <w:szCs w:val="20"/>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Quarter</w:t>
            </w:r>
          </w:p>
        </w:tc>
        <w:tc>
          <w:tcPr>
            <w:tcW w:w="220" w:type="dxa"/>
            <w:vAlign w:val="bottom"/>
          </w:tcPr>
          <w:p>
            <w:pPr>
              <w:spacing w:after="0"/>
              <w:rPr>
                <w:sz w:val="20"/>
                <w:szCs w:val="20"/>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Quarter</w:t>
            </w:r>
          </w:p>
        </w:tc>
        <w:tc>
          <w:tcPr>
            <w:tcW w:w="22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22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24,859</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32,650</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36,549</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16,206</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21,462</w:t>
            </w: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24,403</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24,132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8,653</w:t>
            </w:r>
          </w:p>
        </w:tc>
        <w:tc>
          <w:tcPr>
            <w:tcW w:w="2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11,188</w:t>
            </w:r>
          </w:p>
        </w:tc>
        <w:tc>
          <w:tcPr>
            <w:tcW w:w="2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12,146</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12,259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3,546</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4,009</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4,194</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ind w:left="14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1,333</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1,497</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3,554</w:t>
            </w:r>
          </w:p>
        </w:tc>
        <w:tc>
          <w:tcPr>
            <w:tcW w:w="2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3,952</w:t>
            </w:r>
          </w:p>
        </w:tc>
        <w:tc>
          <w:tcPr>
            <w:tcW w:w="2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4,458</w:t>
            </w:r>
          </w:p>
        </w:tc>
        <w:tc>
          <w:tcPr>
            <w:tcW w:w="22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EEEEEE"/>
            </w:tcBorders>
            <w:gridSpan w:val="2"/>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8,433</w:t>
            </w:r>
          </w:p>
        </w:tc>
        <w:tc>
          <w:tcPr>
            <w:tcW w:w="240" w:type="dxa"/>
            <w:vAlign w:val="bottom"/>
            <w:tcBorders>
              <w:bottom w:val="single" w:sz="8" w:color="EEEEEE"/>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9,458</w:t>
            </w:r>
          </w:p>
        </w:tc>
        <w:tc>
          <w:tcPr>
            <w:tcW w:w="240" w:type="dxa"/>
            <w:vAlign w:val="bottom"/>
            <w:tcBorders>
              <w:bottom w:val="single" w:sz="8" w:color="EEEEEE"/>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10,274</w:t>
            </w:r>
          </w:p>
        </w:tc>
        <w:tc>
          <w:tcPr>
            <w:tcW w:w="220" w:type="dxa"/>
            <w:vAlign w:val="bottom"/>
            <w:tcBorders>
              <w:bottom w:val="single" w:sz="8" w:color="EEEEEE"/>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10,943</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220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1,730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1,872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 and other income (expense), net</w:t>
            </w:r>
          </w:p>
        </w:tc>
        <w:tc>
          <w:tcPr>
            <w:tcW w:w="2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Net income before taxes</w:t>
            </w: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40" w:type="dxa"/>
            <w:vAlign w:val="bottom"/>
            <w:tcBorders>
              <w:bottom w:val="single" w:sz="8" w:color="EEEEEE"/>
            </w:tcBorders>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40" w:type="dxa"/>
            <w:vAlign w:val="bottom"/>
            <w:tcBorders>
              <w:bottom w:val="single" w:sz="8" w:color="EEEEEE"/>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w:t>
            </w:r>
          </w:p>
        </w:tc>
        <w:tc>
          <w:tcPr>
            <w:tcW w:w="240" w:type="dxa"/>
            <w:vAlign w:val="bottom"/>
            <w:tcBorders>
              <w:bottom w:val="single" w:sz="8" w:color="EEEEEE"/>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220" w:type="dxa"/>
            <w:vAlign w:val="bottom"/>
            <w:tcBorders>
              <w:bottom w:val="single" w:sz="8" w:color="EEEEEE"/>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Net income per share—basic</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0.13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 per share—diluted</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756"/>
        </w:trPr>
        <w:tc>
          <w:tcPr>
            <w:tcW w:w="20" w:type="dxa"/>
            <w:vAlign w:val="bottom"/>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880"/>
              <w:spacing w:after="0"/>
              <w:rPr>
                <w:sz w:val="20"/>
                <w:szCs w:val="20"/>
                <w:color w:val="auto"/>
              </w:rPr>
            </w:pPr>
            <w:r>
              <w:rPr>
                <w:rFonts w:ascii="Arial" w:cs="Arial" w:eastAsia="Arial" w:hAnsi="Arial"/>
                <w:sz w:val="18"/>
                <w:szCs w:val="18"/>
                <w:color w:val="auto"/>
              </w:rPr>
              <w:t>F-27</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have issued our report dated March 14, 2016, with respect to the consolidated financial statements included in the Annual Report of Applied Optoelectronics, Inc. on Form 10-K for the year ended December 31, 2015. We consent to the incorporation by reference of said report in the Registration Statement of Applied Optoelectronics, Inc. on Form S-8 (File No. 333-192407), and on Form S-3 (File No. 333-204703).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700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700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Houston, 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1446530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600" w:hanging="176"/>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Applied Optoelectronics, Inc.;</w:t>
      </w:r>
    </w:p>
    <w:p>
      <w:pPr>
        <w:spacing w:after="0" w:line="225" w:lineRule="exact"/>
        <w:rPr>
          <w:rFonts w:ascii="Arial" w:cs="Arial" w:eastAsia="Arial" w:hAnsi="Arial"/>
          <w:sz w:val="18"/>
          <w:szCs w:val="18"/>
          <w:color w:val="auto"/>
        </w:rPr>
      </w:pPr>
    </w:p>
    <w:p>
      <w:pPr>
        <w:ind w:right="340" w:firstLine="424"/>
        <w:spacing w:after="0" w:line="342" w:lineRule="auto"/>
        <w:tabs>
          <w:tab w:leader="none" w:pos="596"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24"/>
        <w:spacing w:after="0" w:line="277" w:lineRule="auto"/>
        <w:tabs>
          <w:tab w:leader="none" w:pos="596"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24"/>
        <w:spacing w:after="0" w:line="264" w:lineRule="auto"/>
        <w:tabs>
          <w:tab w:leader="none" w:pos="59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420" w:right="40" w:hanging="7"/>
        <w:spacing w:after="0" w:line="264" w:lineRule="auto"/>
        <w:tabs>
          <w:tab w:leader="none" w:pos="6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20" w:right="20" w:hanging="7"/>
        <w:spacing w:after="0" w:line="264" w:lineRule="auto"/>
        <w:tabs>
          <w:tab w:leader="none" w:pos="6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20" w:right="80" w:hanging="7"/>
        <w:spacing w:after="0" w:line="308" w:lineRule="auto"/>
        <w:tabs>
          <w:tab w:leader="none" w:pos="654" w:val="left"/>
        </w:tabs>
        <w:numPr>
          <w:ilvl w:val="0"/>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420" w:right="100" w:hanging="7"/>
        <w:spacing w:after="0" w:line="264" w:lineRule="auto"/>
        <w:tabs>
          <w:tab w:leader="none" w:pos="6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40" w:firstLine="424"/>
        <w:spacing w:after="0" w:line="308" w:lineRule="auto"/>
        <w:tabs>
          <w:tab w:leader="none" w:pos="596"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420" w:right="460" w:hanging="7"/>
        <w:spacing w:after="0" w:line="277" w:lineRule="auto"/>
        <w:tabs>
          <w:tab w:leader="none" w:pos="6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right="40" w:hanging="7"/>
        <w:spacing w:after="0" w:line="277" w:lineRule="auto"/>
        <w:tabs>
          <w:tab w:leader="none" w:pos="6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CHIH-HSIANG (THOMPSON) 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HIH</w:t>
      </w:r>
      <w:r>
        <w:rPr>
          <w:rFonts w:ascii="Arial" w:cs="Arial" w:eastAsia="Arial" w:hAnsi="Arial"/>
          <w:sz w:val="18"/>
          <w:szCs w:val="18"/>
          <w:color w:val="auto"/>
        </w:rPr>
        <w:t>-H</w:t>
      </w:r>
      <w:r>
        <w:rPr>
          <w:rFonts w:ascii="Arial" w:cs="Arial" w:eastAsia="Arial" w:hAnsi="Arial"/>
          <w:sz w:val="12"/>
          <w:szCs w:val="12"/>
          <w:color w:val="auto"/>
        </w:rPr>
        <w:t>SIANG</w:t>
      </w:r>
      <w:r>
        <w:rPr>
          <w:rFonts w:ascii="Arial" w:cs="Arial" w:eastAsia="Arial" w:hAnsi="Arial"/>
          <w:sz w:val="18"/>
          <w:szCs w:val="18"/>
          <w:color w:val="auto"/>
        </w:rPr>
        <w:t xml:space="preserve"> (T</w:t>
      </w:r>
      <w:r>
        <w:rPr>
          <w:rFonts w:ascii="Arial" w:cs="Arial" w:eastAsia="Arial" w:hAnsi="Arial"/>
          <w:sz w:val="12"/>
          <w:szCs w:val="12"/>
          <w:color w:val="auto"/>
        </w:rPr>
        <w:t>HOMPSON</w:t>
      </w:r>
      <w:r>
        <w:rPr>
          <w:rFonts w:ascii="Arial" w:cs="Arial" w:eastAsia="Arial" w:hAnsi="Arial"/>
          <w:sz w:val="18"/>
          <w:szCs w:val="18"/>
          <w:color w:val="auto"/>
        </w:rPr>
        <w:t>) L</w:t>
      </w:r>
      <w:r>
        <w:rPr>
          <w:rFonts w:ascii="Arial" w:cs="Arial" w:eastAsia="Arial" w:hAnsi="Arial"/>
          <w:sz w:val="12"/>
          <w:szCs w:val="1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829310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Stefan J. Murry, certify that:</w:t>
      </w:r>
    </w:p>
    <w:p>
      <w:pPr>
        <w:spacing w:after="0" w:line="225" w:lineRule="exact"/>
        <w:rPr>
          <w:sz w:val="20"/>
          <w:szCs w:val="20"/>
          <w:color w:val="auto"/>
        </w:rPr>
      </w:pPr>
    </w:p>
    <w:p>
      <w:pPr>
        <w:ind w:left="600" w:hanging="176"/>
        <w:spacing w:after="0"/>
        <w:tabs>
          <w:tab w:leader="none" w:pos="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Applied Optoelectronics, Inc.;</w:t>
      </w:r>
    </w:p>
    <w:p>
      <w:pPr>
        <w:spacing w:after="0" w:line="225" w:lineRule="exact"/>
        <w:rPr>
          <w:rFonts w:ascii="Arial" w:cs="Arial" w:eastAsia="Arial" w:hAnsi="Arial"/>
          <w:sz w:val="18"/>
          <w:szCs w:val="18"/>
          <w:color w:val="auto"/>
        </w:rPr>
      </w:pPr>
    </w:p>
    <w:p>
      <w:pPr>
        <w:ind w:right="340" w:firstLine="424"/>
        <w:spacing w:after="0" w:line="342" w:lineRule="auto"/>
        <w:tabs>
          <w:tab w:leader="none" w:pos="596"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24"/>
        <w:spacing w:after="0" w:line="277" w:lineRule="auto"/>
        <w:tabs>
          <w:tab w:leader="none" w:pos="5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24"/>
        <w:spacing w:after="0" w:line="264" w:lineRule="auto"/>
        <w:tabs>
          <w:tab w:leader="none" w:pos="5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00" w:right="180" w:hanging="6"/>
        <w:spacing w:after="0" w:line="264" w:lineRule="auto"/>
        <w:tabs>
          <w:tab w:leader="none" w:pos="745"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right="400" w:hanging="6"/>
        <w:spacing w:after="0" w:line="264" w:lineRule="auto"/>
        <w:tabs>
          <w:tab w:leader="none" w:pos="755"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980" w:hanging="6"/>
        <w:spacing w:after="0" w:line="342" w:lineRule="auto"/>
        <w:tabs>
          <w:tab w:leader="none" w:pos="745"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20" w:hanging="6"/>
        <w:spacing w:after="0" w:line="264" w:lineRule="auto"/>
        <w:tabs>
          <w:tab w:leader="none" w:pos="755"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40" w:firstLine="424"/>
        <w:spacing w:after="0" w:line="308" w:lineRule="auto"/>
        <w:tabs>
          <w:tab w:leader="none" w:pos="596"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360" w:hanging="6"/>
        <w:spacing w:after="0" w:line="277" w:lineRule="auto"/>
        <w:tabs>
          <w:tab w:leader="none" w:pos="74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320" w:hanging="6"/>
        <w:spacing w:after="0" w:line="277" w:lineRule="auto"/>
        <w:tabs>
          <w:tab w:leader="none" w:pos="75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STEFAN J. MURRY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ind w:right="20" w:firstLine="416"/>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of the Company, each hereby certifies that, to the best of his knowledge:</w:t>
      </w:r>
    </w:p>
    <w:p>
      <w:pPr>
        <w:spacing w:after="0" w:line="147" w:lineRule="exact"/>
        <w:rPr>
          <w:sz w:val="20"/>
          <w:szCs w:val="20"/>
          <w:color w:val="auto"/>
        </w:rPr>
      </w:pPr>
    </w:p>
    <w:p>
      <w:pPr>
        <w:ind w:right="280" w:firstLine="424"/>
        <w:spacing w:after="0" w:line="277" w:lineRule="auto"/>
        <w:tabs>
          <w:tab w:leader="none" w:pos="5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2015, to which this Certification is attached as Exhibit 32.1 (the “Annual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right="580" w:firstLine="424"/>
        <w:spacing w:after="0" w:line="277" w:lineRule="auto"/>
        <w:tabs>
          <w:tab w:leader="none" w:pos="5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14th day of March,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/s/ CHIH-HSIANG (THOMPSON) LIN</w:t>
            </w:r>
          </w:p>
        </w:tc>
        <w:tc>
          <w:tcPr>
            <w:tcW w:w="4560" w:type="dxa"/>
            <w:vAlign w:val="bottom"/>
          </w:tcPr>
          <w:p>
            <w:pPr>
              <w:spacing w:after="0"/>
              <w:rPr>
                <w:sz w:val="20"/>
                <w:szCs w:val="20"/>
                <w:color w:val="auto"/>
              </w:rPr>
            </w:pPr>
            <w:r>
              <w:rPr>
                <w:rFonts w:ascii="Arial" w:cs="Arial" w:eastAsia="Arial" w:hAnsi="Arial"/>
                <w:sz w:val="18"/>
                <w:szCs w:val="18"/>
                <w:color w:val="auto"/>
              </w:rPr>
              <w:t>/s/ STEFAN J. MURRY</w:t>
            </w:r>
          </w:p>
        </w:tc>
      </w:tr>
      <w:tr>
        <w:trPr>
          <w:trHeight w:val="195"/>
        </w:trPr>
        <w:tc>
          <w:tcPr>
            <w:tcW w:w="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HIH</w:t>
            </w:r>
            <w:r>
              <w:rPr>
                <w:rFonts w:ascii="Arial" w:cs="Arial" w:eastAsia="Arial" w:hAnsi="Arial"/>
                <w:sz w:val="18"/>
                <w:szCs w:val="18"/>
                <w:color w:val="auto"/>
              </w:rPr>
              <w:t>-H</w:t>
            </w:r>
            <w:r>
              <w:rPr>
                <w:rFonts w:ascii="Arial" w:cs="Arial" w:eastAsia="Arial" w:hAnsi="Arial"/>
                <w:sz w:val="12"/>
                <w:szCs w:val="12"/>
                <w:color w:val="auto"/>
              </w:rPr>
              <w:t>SIANG</w:t>
            </w:r>
            <w:r>
              <w:rPr>
                <w:rFonts w:ascii="Arial" w:cs="Arial" w:eastAsia="Arial" w:hAnsi="Arial"/>
                <w:sz w:val="18"/>
                <w:szCs w:val="18"/>
                <w:color w:val="auto"/>
              </w:rPr>
              <w:t xml:space="preserve"> (T</w:t>
            </w:r>
            <w:r>
              <w:rPr>
                <w:rFonts w:ascii="Arial" w:cs="Arial" w:eastAsia="Arial" w:hAnsi="Arial"/>
                <w:sz w:val="12"/>
                <w:szCs w:val="12"/>
                <w:color w:val="auto"/>
              </w:rPr>
              <w:t>HOMPSON</w:t>
            </w:r>
            <w:r>
              <w:rPr>
                <w:rFonts w:ascii="Arial" w:cs="Arial" w:eastAsia="Arial" w:hAnsi="Arial"/>
                <w:sz w:val="18"/>
                <w:szCs w:val="18"/>
                <w:color w:val="auto"/>
              </w:rPr>
              <w:t>) L</w:t>
            </w:r>
            <w:r>
              <w:rPr>
                <w:rFonts w:ascii="Arial" w:cs="Arial" w:eastAsia="Arial" w:hAnsi="Arial"/>
                <w:sz w:val="12"/>
                <w:szCs w:val="12"/>
                <w:color w:val="auto"/>
              </w:rPr>
              <w:t>IN</w:t>
            </w:r>
          </w:p>
        </w:tc>
        <w:tc>
          <w:tcPr>
            <w:tcW w:w="114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tc>
      </w:t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This certification accompanies the Annual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Annual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1405890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x"/>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28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lowerLetter"/>
      <w:start w:val="1"/>
    </w:lvl>
  </w:abstractNum>
  <w:abstractNum w:abstractNumId="24">
    <w:nsid w:val="6A2342EC"/>
    <w:multiLevelType w:val="hybridMultilevel"/>
    <w:lvl w:ilvl="0">
      <w:lvlJc w:val="left"/>
      <w:lvlText w:val="%1."/>
      <w:numFmt w:val="lowerLetter"/>
      <w:start w:val="2"/>
    </w:lvl>
  </w:abstractNum>
  <w:abstractNum w:abstractNumId="25">
    <w:nsid w:val="2A487CB0"/>
    <w:multiLevelType w:val="hybridMultilevel"/>
    <w:lvl w:ilvl="0">
      <w:lvlJc w:val="left"/>
      <w:lvlText w:val="%1."/>
      <w:numFmt w:val="lowerLetter"/>
      <w:start w:val="3"/>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2"/>
    </w:lvl>
  </w:abstractNum>
  <w:abstractNum w:abstractNumId="31">
    <w:nsid w:val="4B588F54"/>
    <w:multiLevelType w:val="hybridMultilevel"/>
    <w:lvl w:ilvl="0">
      <w:lvlJc w:val="left"/>
      <w:lvlText w:val="%1."/>
      <w:numFmt w:val="decimal"/>
      <w:start w:val="3"/>
    </w:lvl>
  </w:abstractNum>
  <w:abstractNum w:abstractNumId="32">
    <w:nsid w:val="542289EC"/>
    <w:multiLevelType w:val="hybridMultilevel"/>
    <w:lvl w:ilvl="0">
      <w:lvlJc w:val="left"/>
      <w:lvlText w:val="%1."/>
      <w:numFmt w:val="decimal"/>
      <w:start w:val="4"/>
    </w:lvl>
  </w:abstractNum>
  <w:abstractNum w:abstractNumId="33">
    <w:nsid w:val="6DE91B18"/>
    <w:multiLevelType w:val="hybridMultilevel"/>
    <w:lvl w:ilvl="0">
      <w:lvlJc w:val="left"/>
      <w:lvlText w:val="%1."/>
      <w:numFmt w:val="decimal"/>
      <w:start w:val="5"/>
    </w:lvl>
  </w:abstractNum>
  <w:abstractNum w:abstractNumId="34">
    <w:nsid w:val="38437FDB"/>
    <w:multiLevelType w:val="hybridMultilevel"/>
    <w:lvl w:ilvl="0">
      <w:lvlJc w:val="left"/>
      <w:lvlText w:val="%1."/>
      <w:numFmt w:val="decimal"/>
      <w:start w:val="6"/>
    </w:lvl>
  </w:abstractNum>
  <w:abstractNum w:abstractNumId="35">
    <w:nsid w:val="7644A45C"/>
    <w:multiLevelType w:val="hybridMultilevel"/>
    <w:lvl w:ilvl="0">
      <w:lvlJc w:val="left"/>
      <w:lvlText w:val="%1."/>
      <w:numFmt w:val="decimal"/>
      <w:start w:val="7"/>
    </w:lvl>
  </w:abstractNum>
  <w:abstractNum w:abstractNumId="36">
    <w:nsid w:val="32FFF902"/>
    <w:multiLevelType w:val="hybridMultilevel"/>
    <w:lvl w:ilvl="0">
      <w:lvlJc w:val="left"/>
      <w:lvlText w:val="%1."/>
      <w:numFmt w:val="decimal"/>
      <w:start w:val="8"/>
    </w:lvl>
  </w:abstractNum>
  <w:abstractNum w:abstractNumId="37">
    <w:nsid w:val="684A481A"/>
    <w:multiLevelType w:val="hybridMultilevel"/>
    <w:lvl w:ilvl="0">
      <w:lvlJc w:val="left"/>
      <w:lvlText w:val="%1."/>
      <w:numFmt w:val="decimal"/>
      <w:start w:val="9"/>
    </w:lvl>
  </w:abstractNum>
  <w:abstractNum w:abstractNumId="38">
    <w:nsid w:val="579478FE"/>
    <w:multiLevelType w:val="hybridMultilevel"/>
    <w:lvl w:ilvl="0">
      <w:lvlJc w:val="left"/>
      <w:lvlText w:val="%1."/>
      <w:numFmt w:val="decimal"/>
      <w:start w:val="10"/>
    </w:lvl>
  </w:abstractNum>
  <w:abstractNum w:abstractNumId="39">
    <w:nsid w:val="749ABB43"/>
    <w:multiLevelType w:val="hybridMultilevel"/>
    <w:lvl w:ilvl="0">
      <w:lvlJc w:val="left"/>
      <w:lvlText w:val="%1."/>
      <w:numFmt w:val="decimal"/>
      <w:start w:val="11"/>
    </w:lvl>
  </w:abstractNum>
  <w:abstractNum w:abstractNumId="40">
    <w:nsid w:val="3DC240FB"/>
    <w:multiLevelType w:val="hybridMultilevel"/>
    <w:lvl w:ilvl="0">
      <w:lvlJc w:val="left"/>
      <w:lvlText w:val="%1."/>
      <w:numFmt w:val="decimal"/>
      <w:start w:val="12"/>
    </w:lvl>
  </w:abstractNum>
  <w:abstractNum w:abstractNumId="41">
    <w:nsid w:val="1BA026FA"/>
    <w:multiLevelType w:val="hybridMultilevel"/>
    <w:lvl w:ilvl="0">
      <w:lvlJc w:val="left"/>
      <w:lvlText w:val="%1."/>
      <w:numFmt w:val="decimal"/>
      <w:start w:val="13"/>
    </w:lvl>
  </w:abstractNum>
  <w:abstractNum w:abstractNumId="42">
    <w:nsid w:val="79A1DEAA"/>
    <w:multiLevelType w:val="hybridMultilevel"/>
    <w:lvl w:ilvl="0">
      <w:lvlJc w:val="left"/>
      <w:lvlText w:val="%1."/>
      <w:numFmt w:val="decimal"/>
      <w:start w:val="14"/>
    </w:lvl>
  </w:abstractNum>
  <w:abstractNum w:abstractNumId="43">
    <w:nsid w:val="75C6C33A"/>
    <w:multiLevelType w:val="hybridMultilevel"/>
    <w:lvl w:ilvl="0">
      <w:lvlJc w:val="left"/>
      <w:lvlText w:val="%1."/>
      <w:numFmt w:val="decimal"/>
      <w:start w:val="15"/>
    </w:lvl>
  </w:abstractNum>
  <w:abstractNum w:abstractNumId="44">
    <w:nsid w:val="12E685FB"/>
    <w:multiLevelType w:val="hybridMultilevel"/>
    <w:lvl w:ilvl="0">
      <w:lvlJc w:val="left"/>
      <w:lvlText w:val="%1."/>
      <w:numFmt w:val="decimal"/>
      <w:start w:val="16"/>
    </w:lvl>
  </w:abstractNum>
  <w:abstractNum w:abstractNumId="45">
    <w:nsid w:val="70C6A529"/>
    <w:multiLevelType w:val="hybridMultilevel"/>
    <w:lvl w:ilvl="0">
      <w:lvlJc w:val="left"/>
      <w:lvlText w:val="%1."/>
      <w:numFmt w:val="decimal"/>
      <w:start w:val="17"/>
    </w:lvl>
  </w:abstractNum>
  <w:abstractNum w:abstractNumId="46">
    <w:nsid w:val="520EEDD1"/>
    <w:multiLevelType w:val="hybridMultilevel"/>
    <w:lvl w:ilvl="0">
      <w:lvlJc w:val="left"/>
      <w:lvlText w:val="%1."/>
      <w:numFmt w:val="decimal"/>
      <w:start w:val="18"/>
    </w:lvl>
  </w:abstractNum>
  <w:abstractNum w:abstractNumId="47">
    <w:nsid w:val="374A3FE6"/>
    <w:multiLevelType w:val="hybridMultilevel"/>
    <w:lvl w:ilvl="0">
      <w:lvlJc w:val="left"/>
      <w:lvlText w:val="%1."/>
      <w:numFmt w:val="decimal"/>
      <w:start w:val="19"/>
    </w:lvl>
  </w:abstractNum>
  <w:abstractNum w:abstractNumId="48">
    <w:nsid w:val="4F4EF005"/>
    <w:multiLevelType w:val="hybridMultilevel"/>
    <w:lvl w:ilvl="0">
      <w:lvlJc w:val="left"/>
      <w:lvlText w:val="%1."/>
      <w:numFmt w:val="decimal"/>
      <w:start w:val="20"/>
    </w:lvl>
  </w:abstractNum>
  <w:abstractNum w:abstractNumId="49">
    <w:nsid w:val="23F9C13C"/>
    <w:multiLevelType w:val="hybridMultilevel"/>
    <w:lvl w:ilvl="0">
      <w:lvlJc w:val="left"/>
      <w:lvlText w:val="%1."/>
      <w:numFmt w:val="decimal"/>
      <w:start w:val="21"/>
    </w:lvl>
  </w:abstractNum>
  <w:abstractNum w:abstractNumId="50">
    <w:nsid w:val="649BB77C"/>
    <w:multiLevelType w:val="hybridMultilevel"/>
    <w:lvl w:ilvl="0">
      <w:lvlJc w:val="left"/>
      <w:lvlText w:val="%1."/>
      <w:numFmt w:val="decimal"/>
      <w:start w:val="22"/>
    </w:lvl>
  </w:abstractNum>
  <w:abstractNum w:abstractNumId="51">
    <w:nsid w:val="275AC794"/>
    <w:multiLevelType w:val="hybridMultilevel"/>
    <w:lvl w:ilvl="0">
      <w:lvlJc w:val="left"/>
      <w:lvlText w:val="%1."/>
      <w:numFmt w:val="decimal"/>
      <w:start w:val="23"/>
    </w:lvl>
  </w:abstractNum>
  <w:abstractNum w:abstractNumId="52">
    <w:nsid w:val="39386575"/>
    <w:multiLevelType w:val="hybridMultilevel"/>
    <w:lvl w:ilvl="0">
      <w:lvlJc w:val="left"/>
      <w:lvlText w:val="%1."/>
      <w:numFmt w:val="decimal"/>
      <w:start w:val="24"/>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decimal"/>
      <w:start w:val="5"/>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2019-12-07T14:35:57Z</dcterms:created>
  <dcterms:modified xsi:type="dcterms:W3CDTF">2019-12-07T14:35:57Z</dcterms:modified>
</cp:coreProperties>
</file>