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aoi20230630_10q.htm"/>
      <w:bookmarkStart w:id="1" w:name="ksaaoi20230630_10q"/>
      <w:bookmarkEnd w:id="0"/>
      <w:bookmarkEnd w:id="1"/>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FORM 10-Q​</w:t>
      </w:r>
    </w:p>
    <w:p>
      <w:pPr>
        <w:pStyle w:val="TextBody"/>
        <w:bidi w:val="0"/>
        <w:spacing w:before="0" w:after="0"/>
        <w:ind w:left="0" w:right="0" w:hanging="0"/>
        <w:jc w:val="left"/>
        <w:rPr>
          <w:rFonts w:ascii="Times New Roman" w:hAnsi="Times New Roman"/>
          <w:sz w:val="20"/>
        </w:rPr>
      </w:pPr>
      <w:r>
        <w:rPr>
          <w:rFonts w:ascii="Times New Roman" w:hAnsi="Times New Roman"/>
          <w:sz w:val="20"/>
        </w:rPr>
        <w:t>(Mark One)</w:t>
      </w:r>
    </w:p>
    <w:p>
      <w:pPr>
        <w:pStyle w:val="TextBody"/>
        <w:bidi w:val="0"/>
        <w:spacing w:before="0" w:after="0"/>
        <w:ind w:left="0" w:right="0" w:hanging="0"/>
        <w:jc w:val="left"/>
        <w:rPr/>
      </w:pPr>
      <w:r>
        <w:rPr/>
        <w:t xml:space="preserve">☒ </w:t>
      </w:r>
      <w:r>
        <w:rPr>
          <w:rFonts w:ascii="Times New Roman" w:hAnsi="Times New Roman"/>
          <w:b/>
          <w:sz w:val="20"/>
        </w:rPr>
        <w:t>QUARTERLY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 the quarterly period ended June 30, 2023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OR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 xml:space="preserve">☐ </w:t>
      </w:r>
      <w:r>
        <w:rPr>
          <w:rFonts w:ascii="Times New Roman" w:hAnsi="Times New Roman"/>
          <w:b/>
          <w:sz w:val="20"/>
        </w:rPr>
        <w:t>TRANSITION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 xml:space="preserve">For the transition period from __________ to </w:t>
      </w:r>
      <w:r>
        <w:rPr>
          <w:rFonts w:ascii="Times New Roman" w:hAnsi="Times New Roman"/>
          <w:sz w:val="20"/>
        </w:rPr>
        <w:t>__________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001-36083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Applied Optoelectronics,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ind w:left="0" w:right="0" w:hanging="0"/>
        <w:jc w:val="center"/>
        <w:rPr/>
      </w:pPr>
      <w:r>
        <w:rPr/>
        <w:t>​</w:t>
      </w:r>
    </w:p>
    <w:tbl>
      <w:tblPr>
        <w:tblW w:w="8140" w:type="dxa"/>
        <w:jc w:val="left"/>
        <w:tblInd w:w="0" w:type="dxa"/>
        <w:tblLayout w:type="fixed"/>
        <w:tblCellMar>
          <w:top w:w="0" w:type="dxa"/>
          <w:left w:w="0" w:type="dxa"/>
          <w:bottom w:w="0" w:type="dxa"/>
          <w:right w:w="0" w:type="dxa"/>
        </w:tblCellMar>
      </w:tblPr>
      <w:tblGrid>
        <w:gridCol w:w="5135"/>
        <w:gridCol w:w="3005"/>
      </w:tblGrid>
      <w:tr>
        <w:trP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76-0533927</w:t>
            </w:r>
          </w:p>
        </w:tc>
      </w:tr>
      <w:tr>
        <w:trP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(State or other jurisdiction of incorporation or organization)</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13139 Jess Pirtle Blvd.</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Sugar Land, TX 77478</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(281) 295-1800</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(Registrant’s telephone number)</w:t>
      </w:r>
    </w:p>
    <w:p>
      <w:pPr>
        <w:pStyle w:val="TextBody"/>
        <w:bidi w:val="0"/>
        <w:spacing w:before="0" w:after="0"/>
        <w:ind w:left="0" w:right="0" w:hanging="0"/>
        <w:jc w:val="left"/>
        <w:rPr/>
      </w:pPr>
      <w:r>
        <w:rPr/>
        <w:t>​</w:t>
      </w:r>
    </w:p>
    <w:p>
      <w:pPr>
        <w:pStyle w:val="TextBody"/>
        <w:bidi w:val="0"/>
        <w:spacing w:before="0" w:after="0"/>
        <w:ind w:left="0" w:right="0" w:firstLine="462"/>
        <w:jc w:val="both"/>
        <w:rPr/>
      </w:pPr>
      <w:r>
        <w:rPr/>
        <w:t> </w:t>
      </w:r>
    </w:p>
    <w:p>
      <w:pPr>
        <w:pStyle w:val="TextBody"/>
        <w:bidi w:val="0"/>
        <w:spacing w:before="0" w:after="0"/>
        <w:ind w:left="729" w:right="294" w:hanging="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left"/>
        <w:rPr/>
      </w:pPr>
      <w:r>
        <w:rPr/>
        <w:t> </w:t>
      </w:r>
    </w:p>
    <w:tbl>
      <w:tblPr>
        <w:tblW w:w="8535" w:type="dxa"/>
        <w:jc w:val="left"/>
        <w:tblInd w:w="0" w:type="dxa"/>
        <w:tblLayout w:type="fixed"/>
        <w:tblCellMar>
          <w:top w:w="0" w:type="dxa"/>
          <w:left w:w="0" w:type="dxa"/>
          <w:bottom w:w="28" w:type="dxa"/>
          <w:right w:w="0" w:type="dxa"/>
        </w:tblCellMar>
      </w:tblPr>
      <w:tblGrid>
        <w:gridCol w:w="2735"/>
        <w:gridCol w:w="1535"/>
        <w:gridCol w:w="426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Symbol(s)</w:t>
            </w:r>
          </w:p>
        </w:tc>
        <w:tc>
          <w:tcPr>
            <w:tcW w:w="426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Par value $0.001</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AAOI</w:t>
            </w:r>
          </w:p>
        </w:tc>
        <w:tc>
          <w:tcPr>
            <w:tcW w:w="426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NASDAQ Global Market</w:t>
            </w:r>
          </w:p>
        </w:tc>
      </w:tr>
    </w:tbl>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4685" w:type="dxa"/>
        <w:jc w:val="left"/>
        <w:tblInd w:w="0" w:type="dxa"/>
        <w:tblLayout w:type="fixed"/>
        <w:tblCellMar>
          <w:top w:w="0" w:type="dxa"/>
          <w:left w:w="0" w:type="dxa"/>
          <w:bottom w:w="0" w:type="dxa"/>
          <w:right w:w="0" w:type="dxa"/>
        </w:tblCellMar>
      </w:tblPr>
      <w:tblGrid>
        <w:gridCol w:w="60"/>
        <w:gridCol w:w="1820"/>
        <w:gridCol w:w="290"/>
        <w:gridCol w:w="2225"/>
        <w:gridCol w:w="290"/>
      </w:tblGrid>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Large accelerated filer</w:t>
            </w:r>
          </w:p>
        </w:tc>
        <w:tc>
          <w:tcPr>
            <w:tcW w:w="29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Accelerated filer</w:t>
            </w:r>
          </w:p>
        </w:tc>
        <w:tc>
          <w:tcPr>
            <w:tcW w:w="290" w:type="dxa"/>
            <w:tcBorders/>
            <w:vAlign w:val="center"/>
          </w:tcPr>
          <w:p>
            <w:pPr>
              <w:pStyle w:val="TableContents"/>
              <w:bidi w:val="0"/>
              <w:spacing w:before="0" w:after="283"/>
              <w:jc w:val="left"/>
              <w:rPr/>
            </w:pPr>
            <w:r>
              <w:rPr/>
              <w:t>☐</w:t>
            </w:r>
          </w:p>
        </w:tc>
      </w:tr>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Non-accelerated filer</w:t>
            </w:r>
          </w:p>
        </w:tc>
        <w:tc>
          <w:tcPr>
            <w:tcW w:w="29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29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Emerging growth company</w:t>
            </w:r>
          </w:p>
        </w:tc>
        <w:tc>
          <w:tcPr>
            <w:tcW w:w="29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No ☒</w:t>
      </w:r>
    </w:p>
    <w:p>
      <w:pPr>
        <w:pStyle w:val="TextBody"/>
        <w:bidi w:val="0"/>
        <w:spacing w:before="0" w:after="0"/>
        <w:ind w:left="0" w:right="0" w:hanging="0"/>
        <w:jc w:val="left"/>
        <w:rPr/>
      </w:pPr>
      <w:r>
        <w:rPr/>
        <w:t> </w:t>
      </w:r>
    </w:p>
    <w:p>
      <w:pPr>
        <w:pStyle w:val="TextBody"/>
        <w:bidi w:val="0"/>
        <w:spacing w:before="0" w:after="0"/>
        <w:ind w:left="294" w:right="294" w:firstLine="461"/>
        <w:jc w:val="both"/>
        <w:rPr>
          <w:rFonts w:ascii="Times New Roman" w:hAnsi="Times New Roman"/>
          <w:sz w:val="20"/>
        </w:rPr>
      </w:pPr>
      <w:r>
        <w:rPr>
          <w:rFonts w:ascii="Times New Roman" w:hAnsi="Times New Roman"/>
          <w:sz w:val="20"/>
        </w:rPr>
        <w:t>As of August 1, 2023 there were 32,128,847 shares of the registrant’s Common Stock outstanding.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Applied Optoelectronics, Inc.</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44"/>
        <w:gridCol w:w="9150"/>
        <w:gridCol w:w="411"/>
      </w:tblGrid>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0205" w:type="dxa"/>
            <w:gridSpan w:val="3"/>
            <w:tcBorders/>
            <w:vAlign w:val="center"/>
          </w:tcPr>
          <w:p>
            <w:pPr>
              <w:pStyle w:val="TableContents"/>
              <w:bidi w:val="0"/>
              <w:spacing w:before="0" w:after="0"/>
              <w:ind w:left="0" w:right="0" w:hanging="0"/>
              <w:jc w:val="left"/>
              <w:rPr/>
            </w:pPr>
            <w:hyperlink w:anchor="part1">
              <w:r>
                <w:rPr>
                  <w:rStyle w:val="InternetLink"/>
                  <w:rFonts w:ascii="Times New Roman;Times;serif" w:hAnsi="Times New Roman;Times;serif"/>
                  <w:b/>
                  <w:sz w:val="20"/>
                </w:rPr>
                <w:t>Part I. Financial Information</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50"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sz w:val="20"/>
                </w:rPr>
                <w:t>Condensed Consolidated Financial Statements (Unaudited)</w:t>
              </w:r>
            </w:hyperlink>
          </w:p>
        </w:tc>
        <w:tc>
          <w:tcPr>
            <w:tcW w:w="411" w:type="dxa"/>
            <w:tcBorders/>
            <w:vAlign w:val="center"/>
          </w:tcPr>
          <w:p>
            <w:pPr>
              <w:pStyle w:val="TableContents"/>
              <w:bidi w:val="0"/>
              <w:spacing w:before="0" w:after="0"/>
              <w:ind w:left="0" w:right="0" w:hanging="0"/>
              <w:jc w:val="right"/>
              <w:rPr/>
            </w:pPr>
            <w:hyperlink w:anchor="item1">
              <w:r>
                <w:rPr>
                  <w:rStyle w:val="InternetLink"/>
                  <w:rFonts w:ascii="Times New Roman;Times;serif" w:hAnsi="Times New Roman;Times;serif"/>
                  <w:sz w:val="20"/>
                </w:rPr>
                <w:t>3</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0"/>
              <w:ind w:left="0" w:right="0" w:hanging="0"/>
              <w:jc w:val="left"/>
              <w:rPr/>
            </w:pPr>
            <w:hyperlink w:anchor="bs">
              <w:r>
                <w:rPr>
                  <w:rStyle w:val="InternetLink"/>
                  <w:rFonts w:ascii="Times New Roman;Times;serif" w:hAnsi="Times New Roman;Times;serif"/>
                  <w:sz w:val="20"/>
                </w:rPr>
                <w:t>Condensed Consolidated Balance Sheets as of June 30, 2023 (Unaudited) and December 31, 2022</w:t>
              </w:r>
            </w:hyperlink>
          </w:p>
        </w:tc>
        <w:tc>
          <w:tcPr>
            <w:tcW w:w="411" w:type="dxa"/>
            <w:tcBorders/>
            <w:vAlign w:val="center"/>
          </w:tcPr>
          <w:p>
            <w:pPr>
              <w:pStyle w:val="TableContents"/>
              <w:bidi w:val="0"/>
              <w:spacing w:before="0" w:after="0"/>
              <w:ind w:left="0" w:right="0" w:hanging="0"/>
              <w:jc w:val="right"/>
              <w:rPr/>
            </w:pPr>
            <w:hyperlink w:anchor="bs">
              <w:r>
                <w:rPr>
                  <w:rStyle w:val="InternetLink"/>
                  <w:rFonts w:ascii="Times New Roman;Times;serif" w:hAnsi="Times New Roman;Times;serif"/>
                  <w:sz w:val="20"/>
                </w:rPr>
                <w:t>3</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0"/>
              <w:ind w:left="0" w:right="0" w:hanging="0"/>
              <w:jc w:val="left"/>
              <w:rPr/>
            </w:pPr>
            <w:hyperlink w:anchor="ops">
              <w:r>
                <w:rPr>
                  <w:rStyle w:val="InternetLink"/>
                  <w:rFonts w:ascii="Times New Roman;Times;serif" w:hAnsi="Times New Roman;Times;serif"/>
                  <w:sz w:val="20"/>
                </w:rPr>
                <w:t>Condensed Consolidated Statements of Operations for the Three and Six Months ended June 30, 2023 and 2022 (Unaudited)</w:t>
              </w:r>
            </w:hyperlink>
          </w:p>
        </w:tc>
        <w:tc>
          <w:tcPr>
            <w:tcW w:w="411" w:type="dxa"/>
            <w:tcBorders/>
            <w:vAlign w:val="center"/>
          </w:tcPr>
          <w:p>
            <w:pPr>
              <w:pStyle w:val="TableContents"/>
              <w:bidi w:val="0"/>
              <w:spacing w:before="0" w:after="0"/>
              <w:ind w:left="0" w:right="0" w:hanging="0"/>
              <w:jc w:val="right"/>
              <w:rPr/>
            </w:pPr>
            <w:hyperlink w:anchor="ops">
              <w:r>
                <w:rPr>
                  <w:rStyle w:val="InternetLink"/>
                  <w:rFonts w:ascii="Times New Roman;Times;serif" w:hAnsi="Times New Roman;Times;serif"/>
                  <w:sz w:val="20"/>
                </w:rPr>
                <w:t>4</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0"/>
              <w:ind w:left="0" w:right="0" w:hanging="0"/>
              <w:jc w:val="left"/>
              <w:rPr/>
            </w:pPr>
            <w:hyperlink w:anchor="compincome">
              <w:r>
                <w:rPr>
                  <w:rStyle w:val="InternetLink"/>
                  <w:rFonts w:ascii="Times New Roman;Times;serif" w:hAnsi="Times New Roman;Times;serif"/>
                  <w:sz w:val="20"/>
                </w:rPr>
                <w:t>Condensed Consolidated Statements of Comprehensive Income (Loss) for the Three and Six Months ended June 30, 2023 and 2022 (Unaudited)</w:t>
              </w:r>
            </w:hyperlink>
          </w:p>
        </w:tc>
        <w:tc>
          <w:tcPr>
            <w:tcW w:w="411" w:type="dxa"/>
            <w:tcBorders/>
            <w:vAlign w:val="center"/>
          </w:tcPr>
          <w:p>
            <w:pPr>
              <w:pStyle w:val="TableContents"/>
              <w:bidi w:val="0"/>
              <w:spacing w:before="0" w:after="0"/>
              <w:ind w:left="0" w:right="0" w:hanging="0"/>
              <w:jc w:val="right"/>
              <w:rPr/>
            </w:pPr>
            <w:hyperlink w:anchor="compincome">
              <w:r>
                <w:rPr>
                  <w:rStyle w:val="InternetLink"/>
                  <w:rFonts w:ascii="Times New Roman;Times;serif" w:hAnsi="Times New Roman;Times;serif"/>
                  <w:sz w:val="20"/>
                </w:rPr>
                <w:t>5</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0"/>
              <w:ind w:left="0" w:right="0" w:hanging="0"/>
              <w:jc w:val="left"/>
              <w:rPr/>
            </w:pPr>
            <w:hyperlink w:anchor="eq">
              <w:r>
                <w:rPr>
                  <w:rStyle w:val="InternetLink"/>
                  <w:rFonts w:ascii="Times New Roman;Times;serif" w:hAnsi="Times New Roman;Times;serif"/>
                  <w:sz w:val="20"/>
                </w:rPr>
                <w:t>Condensed Consolidated Statements of Stockholders’ Equity for the Three and Six Months ended June 30, 2023 and 2022 (Unaudited)</w:t>
              </w:r>
            </w:hyperlink>
          </w:p>
        </w:tc>
        <w:tc>
          <w:tcPr>
            <w:tcW w:w="411" w:type="dxa"/>
            <w:tcBorders/>
            <w:vAlign w:val="center"/>
          </w:tcPr>
          <w:p>
            <w:pPr>
              <w:pStyle w:val="TableContents"/>
              <w:bidi w:val="0"/>
              <w:spacing w:before="0" w:after="0"/>
              <w:ind w:left="0" w:right="0" w:hanging="0"/>
              <w:jc w:val="right"/>
              <w:rPr/>
            </w:pPr>
            <w:hyperlink w:anchor="eq">
              <w:r>
                <w:rPr>
                  <w:rStyle w:val="InternetLink"/>
                  <w:rFonts w:ascii="Times New Roman;Times;serif" w:hAnsi="Times New Roman;Times;serif"/>
                  <w:sz w:val="20"/>
                </w:rPr>
                <w:t>6</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0"/>
              <w:ind w:left="0" w:right="0" w:hanging="0"/>
              <w:jc w:val="left"/>
              <w:rPr/>
            </w:pPr>
            <w:hyperlink w:anchor="cf">
              <w:r>
                <w:rPr>
                  <w:rStyle w:val="InternetLink"/>
                  <w:rFonts w:ascii="Times New Roman;Times;serif" w:hAnsi="Times New Roman;Times;serif"/>
                  <w:sz w:val="20"/>
                </w:rPr>
                <w:t>Condensed Consolidated Statements of Cash Flows for the Six Months ended June 30, 2023 and 2022 (Unaudited)</w:t>
              </w:r>
            </w:hyperlink>
          </w:p>
        </w:tc>
        <w:tc>
          <w:tcPr>
            <w:tcW w:w="411" w:type="dxa"/>
            <w:tcBorders/>
            <w:vAlign w:val="center"/>
          </w:tcPr>
          <w:p>
            <w:pPr>
              <w:pStyle w:val="TableContents"/>
              <w:bidi w:val="0"/>
              <w:spacing w:before="0" w:after="0"/>
              <w:ind w:left="0" w:right="0" w:hanging="0"/>
              <w:jc w:val="right"/>
              <w:rPr/>
            </w:pPr>
            <w:hyperlink w:anchor="cf">
              <w:r>
                <w:rPr>
                  <w:rStyle w:val="InternetLink"/>
                  <w:rFonts w:ascii="Times New Roman;Times;serif" w:hAnsi="Times New Roman;Times;serif"/>
                  <w:sz w:val="20"/>
                </w:rPr>
                <w:t>8</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sz w:val="20"/>
                </w:rPr>
                <w:t>Notes To Condensed Consolidated Financial Statements (Unaudited)</w:t>
              </w:r>
            </w:hyperlink>
          </w:p>
        </w:tc>
        <w:tc>
          <w:tcPr>
            <w:tcW w:w="411"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sz w:val="20"/>
                </w:rPr>
                <w:t>9</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9150"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sz w:val="20"/>
                </w:rPr>
                <w:t>Management’s Discussion and Analysis of Financial Condition and Results of Operations</w:t>
              </w:r>
            </w:hyperlink>
          </w:p>
        </w:tc>
        <w:tc>
          <w:tcPr>
            <w:tcW w:w="411" w:type="dxa"/>
            <w:tcBorders/>
            <w:vAlign w:val="center"/>
          </w:tcPr>
          <w:p>
            <w:pPr>
              <w:pStyle w:val="TableContents"/>
              <w:bidi w:val="0"/>
              <w:spacing w:before="0" w:after="0"/>
              <w:ind w:left="0" w:right="0" w:hanging="0"/>
              <w:jc w:val="right"/>
              <w:rPr/>
            </w:pPr>
            <w:hyperlink w:anchor="item2">
              <w:r>
                <w:rPr>
                  <w:rStyle w:val="InternetLink"/>
                  <w:rFonts w:ascii="Times New Roman;Times;serif" w:hAnsi="Times New Roman;Times;serif"/>
                  <w:sz w:val="20"/>
                </w:rPr>
                <w:t>20</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9150"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411"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28</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9150"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411"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28</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10205" w:type="dxa"/>
            <w:gridSpan w:val="3"/>
            <w:tcBorders/>
            <w:vAlign w:val="center"/>
          </w:tcPr>
          <w:p>
            <w:pPr>
              <w:pStyle w:val="TableContents"/>
              <w:bidi w:val="0"/>
              <w:spacing w:before="0" w:after="0"/>
              <w:ind w:left="0" w:right="0" w:hanging="0"/>
              <w:jc w:val="left"/>
              <w:rPr/>
            </w:pPr>
            <w:hyperlink w:anchor="part2">
              <w:r>
                <w:rPr>
                  <w:rStyle w:val="InternetLink"/>
                  <w:rFonts w:ascii="Times New Roman;Times;serif" w:hAnsi="Times New Roman;Times;serif"/>
                  <w:b/>
                  <w:sz w:val="20"/>
                </w:rPr>
                <w:t>Part II. Other Information</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50" w:type="dxa"/>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sz w:val="20"/>
                </w:rPr>
                <w:t>Legal Proceedings</w:t>
              </w:r>
            </w:hyperlink>
          </w:p>
        </w:tc>
        <w:tc>
          <w:tcPr>
            <w:tcW w:w="411" w:type="dxa"/>
            <w:tcBorders/>
            <w:vAlign w:val="center"/>
          </w:tcPr>
          <w:p>
            <w:pPr>
              <w:pStyle w:val="TableContents"/>
              <w:bidi w:val="0"/>
              <w:spacing w:before="0" w:after="0"/>
              <w:ind w:left="0" w:right="0" w:hanging="0"/>
              <w:jc w:val="right"/>
              <w:rPr/>
            </w:pPr>
            <w:hyperlink w:anchor="legal">
              <w:r>
                <w:rPr>
                  <w:rStyle w:val="InternetLink"/>
                  <w:rFonts w:ascii="Times New Roman;Times;serif" w:hAnsi="Times New Roman;Times;serif"/>
                  <w:sz w:val="20"/>
                </w:rPr>
                <w:t>28</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9150" w:type="dxa"/>
            <w:tcBorders/>
            <w:vAlign w:val="center"/>
          </w:tcPr>
          <w:p>
            <w:pPr>
              <w:pStyle w:val="TableContents"/>
              <w:bidi w:val="0"/>
              <w:spacing w:before="0" w:after="0"/>
              <w:ind w:left="0" w:right="0" w:hanging="0"/>
              <w:jc w:val="left"/>
              <w:rPr/>
            </w:pPr>
            <w:hyperlink w:anchor="risk">
              <w:r>
                <w:rPr>
                  <w:rStyle w:val="InternetLink"/>
                  <w:rFonts w:ascii="Times New Roman;Times;serif" w:hAnsi="Times New Roman;Times;serif"/>
                  <w:sz w:val="20"/>
                </w:rPr>
                <w:t>Risk Factors</w:t>
              </w:r>
            </w:hyperlink>
          </w:p>
        </w:tc>
        <w:tc>
          <w:tcPr>
            <w:tcW w:w="411" w:type="dxa"/>
            <w:tcBorders/>
            <w:vAlign w:val="center"/>
          </w:tcPr>
          <w:p>
            <w:pPr>
              <w:pStyle w:val="TableContents"/>
              <w:bidi w:val="0"/>
              <w:spacing w:before="0" w:after="0"/>
              <w:ind w:left="0" w:right="0" w:hanging="0"/>
              <w:jc w:val="right"/>
              <w:rPr/>
            </w:pPr>
            <w:hyperlink w:anchor="risk">
              <w:r>
                <w:rPr>
                  <w:rStyle w:val="InternetLink"/>
                  <w:rFonts w:ascii="Times New Roman;Times;serif" w:hAnsi="Times New Roman;Times;serif"/>
                  <w:sz w:val="20"/>
                </w:rPr>
                <w:t>28</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44" w:type="dxa"/>
            <w:tcBorders/>
            <w:vAlign w:val="center"/>
          </w:tcPr>
          <w:p>
            <w:pPr>
              <w:pStyle w:val="TableContents"/>
              <w:bidi w:val="0"/>
              <w:spacing w:before="0" w:after="283"/>
              <w:jc w:val="left"/>
              <w:rPr/>
            </w:pPr>
            <w:r>
              <w:rPr/>
              <w:t>Item 5</w:t>
            </w:r>
          </w:p>
        </w:tc>
        <w:tc>
          <w:tcPr>
            <w:tcW w:w="9150" w:type="dxa"/>
            <w:tcBorders/>
            <w:vAlign w:val="center"/>
          </w:tcPr>
          <w:p>
            <w:pPr>
              <w:pStyle w:val="TableContents"/>
              <w:bidi w:val="0"/>
              <w:spacing w:before="0" w:after="283"/>
              <w:jc w:val="left"/>
              <w:rPr/>
            </w:pPr>
            <w:r>
              <w:rPr/>
              <w:t>Other Information</w:t>
            </w:r>
          </w:p>
        </w:tc>
        <w:tc>
          <w:tcPr>
            <w:tcW w:w="411" w:type="dxa"/>
            <w:tcBorders/>
            <w:vAlign w:val="center"/>
          </w:tcPr>
          <w:p>
            <w:pPr>
              <w:pStyle w:val="TableContents"/>
              <w:bidi w:val="0"/>
              <w:spacing w:before="0" w:after="283"/>
              <w:jc w:val="right"/>
              <w:rPr/>
            </w:pPr>
            <w:r>
              <w:rPr/>
              <w:t>27</w:t>
            </w:r>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9150"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sz w:val="20"/>
                </w:rPr>
                <w:t>Exhibits</w:t>
              </w:r>
            </w:hyperlink>
          </w:p>
        </w:tc>
        <w:tc>
          <w:tcPr>
            <w:tcW w:w="411" w:type="dxa"/>
            <w:tcBorders/>
            <w:vAlign w:val="center"/>
          </w:tcPr>
          <w:p>
            <w:pPr>
              <w:pStyle w:val="TableContents"/>
              <w:bidi w:val="0"/>
              <w:spacing w:before="0" w:after="0"/>
              <w:ind w:left="0" w:right="0" w:hanging="0"/>
              <w:jc w:val="right"/>
              <w:rPr/>
            </w:pPr>
            <w:hyperlink w:anchor="exhibits">
              <w:r>
                <w:rPr>
                  <w:rStyle w:val="InternetLink"/>
                  <w:rFonts w:ascii="Times New Roman;Times;serif" w:hAnsi="Times New Roman;Times;serif"/>
                  <w:sz w:val="20"/>
                </w:rPr>
                <w:t>29</w:t>
              </w:r>
            </w:hyperlink>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44"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sz w:val="20"/>
                </w:rPr>
                <w:t>Signatures</w:t>
              </w:r>
            </w:hyperlink>
          </w:p>
        </w:tc>
        <w:tc>
          <w:tcPr>
            <w:tcW w:w="411"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sz w:val="20"/>
                </w:rPr>
                <w:t>30</w:t>
              </w:r>
            </w:hyperlink>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part1"/>
      <w:bookmarkEnd w:id="3"/>
      <w:r>
        <w:rPr>
          <w:rFonts w:ascii="Times New Roman;Times;serif" w:hAnsi="Times New Roman;Times;serif"/>
          <w:b/>
          <w:sz w:val="20"/>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4" w:name="item1"/>
      <w:bookmarkEnd w:id="4"/>
      <w:r>
        <w:rPr>
          <w:rFonts w:ascii="Times New Roman;Times;serif" w:hAnsi="Times New Roman;Times;serif"/>
          <w:b/>
          <w:sz w:val="20"/>
        </w:rPr>
        <w:t>Item 1.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 w:name="bs"/>
      <w:bookmarkEnd w:id="5"/>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022"/>
        <w:gridCol w:w="60"/>
        <w:gridCol w:w="125"/>
        <w:gridCol w:w="755"/>
        <w:gridCol w:w="80"/>
        <w:gridCol w:w="60"/>
        <w:gridCol w:w="144"/>
        <w:gridCol w:w="877"/>
        <w:gridCol w:w="82"/>
      </w:tblGrid>
      <w:tr>
        <w:trPr/>
        <w:tc>
          <w:tcPr>
            <w:tcW w:w="80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24,685</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10,902</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 trade, net of allowance of $9 and $28,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61,175</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Notes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66,321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79,679</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Prepaid income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6,384</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183,164</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197,879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210,184</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Land use rights,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5,238</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right of use asset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5,566</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Financing right of use asset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3,699</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assets,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356,877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408,263</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47,845</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Bank acceptance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12,337</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17,222</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Unearned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3,000</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lease liability - operating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1,041</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lease liability - financing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notes payable and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57,074</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Convertible senior notes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138,582</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Unearned revenue, Net of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Non-current lease liability - operating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5,505</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Convertible senior notes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79,506</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193,618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223,593</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45,000 shares authorized at $0.001 par value; 31,785 and 28,622 shares issued and outstanding at June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407,003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391,526</w:t>
            </w:r>
          </w:p>
        </w:tc>
        <w:tc>
          <w:tcPr>
            <w:tcW w:w="82" w:type="dxa"/>
            <w:tcBorders/>
            <w:shd w:fill="CCEEFF" w:val="clear"/>
            <w:vAlign w:val="center"/>
          </w:tcPr>
          <w:p>
            <w:pPr>
              <w:pStyle w:val="TableContents"/>
              <w:bidi w:val="0"/>
              <w:spacing w:before="0" w:after="283"/>
              <w:jc w:val="left"/>
              <w:rPr/>
            </w:pPr>
            <w:r>
              <w:rPr/>
              <w:t> </w:t>
            </w:r>
          </w:p>
        </w:tc>
      </w:tr>
      <w:tr>
        <w:trPr/>
        <w:tc>
          <w:tcPr>
            <w:tcW w:w="802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2,183</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(242,306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(209,068</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02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163,259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184,670</w:t>
            </w:r>
          </w:p>
        </w:tc>
        <w:tc>
          <w:tcPr>
            <w:tcW w:w="82" w:type="dxa"/>
            <w:tcBorders/>
            <w:shd w:fill="FFFFFF" w:val="clear"/>
            <w:vAlign w:val="center"/>
          </w:tcPr>
          <w:p>
            <w:pPr>
              <w:pStyle w:val="TableContents"/>
              <w:bidi w:val="0"/>
              <w:spacing w:before="0" w:after="283"/>
              <w:jc w:val="left"/>
              <w:rPr/>
            </w:pPr>
            <w:r>
              <w:rPr/>
              <w:t> </w:t>
            </w:r>
          </w:p>
        </w:tc>
      </w:tr>
      <w:tr>
        <w:trPr/>
        <w:tc>
          <w:tcPr>
            <w:tcW w:w="802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356,877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408,263</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i/>
          <w:sz w:val="20"/>
        </w:rPr>
        <w:t>The accompanying notes are an integral part of these condensed consolidated financial statements.</w:t>
      </w:r>
      <w:r>
        <w:rPr>
          <w:rFonts w:ascii="Times New Roman" w:hAnsi="Times New Roman"/>
          <w:sz w:val="20"/>
        </w:rPr>
        <w:t>​</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6" w:name="ops"/>
      <w:bookmarkEnd w:id="6"/>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data)</w:t>
      </w:r>
    </w:p>
    <w:p>
      <w:pPr>
        <w:pStyle w:val="TextBody"/>
        <w:bidi w:val="0"/>
        <w:spacing w:before="0" w:after="0"/>
        <w:ind w:left="0" w:right="0" w:hanging="0"/>
        <w:jc w:val="center"/>
        <w:rPr/>
      </w:pPr>
      <w:r>
        <w:rPr/>
        <w:t>​</w:t>
      </w:r>
    </w:p>
    <w:tbl>
      <w:tblPr>
        <w:tblW w:w="9897" w:type="dxa"/>
        <w:jc w:val="left"/>
        <w:tblInd w:w="0" w:type="dxa"/>
        <w:tblLayout w:type="fixed"/>
        <w:tblCellMar>
          <w:top w:w="0" w:type="dxa"/>
          <w:left w:w="0" w:type="dxa"/>
          <w:bottom w:w="0" w:type="dxa"/>
          <w:right w:w="0" w:type="dxa"/>
        </w:tblCellMar>
      </w:tblPr>
      <w:tblGrid>
        <w:gridCol w:w="4895"/>
        <w:gridCol w:w="60"/>
        <w:gridCol w:w="132"/>
        <w:gridCol w:w="1010"/>
        <w:gridCol w:w="85"/>
        <w:gridCol w:w="63"/>
        <w:gridCol w:w="132"/>
        <w:gridCol w:w="1010"/>
        <w:gridCol w:w="80"/>
        <w:gridCol w:w="60"/>
        <w:gridCol w:w="125"/>
        <w:gridCol w:w="950"/>
        <w:gridCol w:w="80"/>
        <w:gridCol w:w="60"/>
        <w:gridCol w:w="125"/>
        <w:gridCol w:w="950"/>
        <w:gridCol w:w="80"/>
      </w:tblGrid>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41,615</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104,540</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33,717</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86,888</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7,898</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17,652</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8,640</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17,814</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2,269</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4,722</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12,954</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22,254</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23,863</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44,790</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(15,965</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(12,899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(2,175</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1,167</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(971</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(16,936</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(16,944</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(0.57</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(0.57</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4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14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7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7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used to compute 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29,488,561</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27,612,315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29,181,913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27,537,048</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29,488,561</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27,612,315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29,181,913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27,537,048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7" w:name="compincome"/>
      <w:bookmarkEnd w:id="7"/>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8824" w:type="dxa"/>
        <w:jc w:val="left"/>
        <w:tblInd w:w="0" w:type="dxa"/>
        <w:tblLayout w:type="fixed"/>
        <w:tblCellMar>
          <w:top w:w="0" w:type="dxa"/>
          <w:left w:w="0" w:type="dxa"/>
          <w:bottom w:w="0" w:type="dxa"/>
          <w:right w:w="0" w:type="dxa"/>
        </w:tblCellMar>
      </w:tblPr>
      <w:tblGrid>
        <w:gridCol w:w="3890"/>
        <w:gridCol w:w="60"/>
        <w:gridCol w:w="180"/>
        <w:gridCol w:w="936"/>
        <w:gridCol w:w="115"/>
        <w:gridCol w:w="86"/>
        <w:gridCol w:w="180"/>
        <w:gridCol w:w="936"/>
        <w:gridCol w:w="80"/>
        <w:gridCol w:w="60"/>
        <w:gridCol w:w="164"/>
        <w:gridCol w:w="855"/>
        <w:gridCol w:w="105"/>
        <w:gridCol w:w="78"/>
        <w:gridCol w:w="164"/>
        <w:gridCol w:w="855"/>
        <w:gridCol w:w="80"/>
      </w:tblGrid>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4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(16,944</w:t>
            </w:r>
          </w:p>
        </w:tc>
        <w:tc>
          <w:tcPr>
            <w:tcW w:w="11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(33,237</w:t>
            </w:r>
          </w:p>
        </w:tc>
        <w:tc>
          <w:tcPr>
            <w:tcW w:w="1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(5,293</w:t>
            </w:r>
          </w:p>
        </w:tc>
        <w:tc>
          <w:tcPr>
            <w:tcW w:w="11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(3,654</w:t>
            </w:r>
          </w:p>
        </w:tc>
        <w:tc>
          <w:tcPr>
            <w:tcW w:w="1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(8,845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(22,237</w:t>
            </w:r>
          </w:p>
        </w:tc>
        <w:tc>
          <w:tcPr>
            <w:tcW w:w="11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(36,891</w:t>
            </w:r>
          </w:p>
        </w:tc>
        <w:tc>
          <w:tcPr>
            <w:tcW w:w="1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(39,363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8" w:name="eq"/>
      <w:bookmarkEnd w:id="8"/>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STOCKHOLDERS’ EQUITY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and Six Months ended June 30, 2023 and 2022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82"/>
        <w:gridCol w:w="60"/>
        <w:gridCol w:w="125"/>
        <w:gridCol w:w="542"/>
        <w:gridCol w:w="71"/>
        <w:gridCol w:w="71"/>
        <w:gridCol w:w="184"/>
        <w:gridCol w:w="436"/>
        <w:gridCol w:w="60"/>
        <w:gridCol w:w="60"/>
        <w:gridCol w:w="69"/>
        <w:gridCol w:w="598"/>
        <w:gridCol w:w="61"/>
        <w:gridCol w:w="61"/>
        <w:gridCol w:w="184"/>
        <w:gridCol w:w="436"/>
        <w:gridCol w:w="60"/>
        <w:gridCol w:w="60"/>
        <w:gridCol w:w="120"/>
        <w:gridCol w:w="665"/>
        <w:gridCol w:w="80"/>
        <w:gridCol w:w="60"/>
        <w:gridCol w:w="205"/>
        <w:gridCol w:w="910"/>
        <w:gridCol w:w="80"/>
        <w:gridCol w:w="60"/>
        <w:gridCol w:w="139"/>
        <w:gridCol w:w="841"/>
        <w:gridCol w:w="80"/>
        <w:gridCol w:w="60"/>
        <w:gridCol w:w="152"/>
        <w:gridCol w:w="846"/>
        <w:gridCol w:w="87"/>
      </w:tblGrid>
      <w:tr>
        <w:trPr/>
        <w:tc>
          <w:tcPr>
            <w:tcW w:w="26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2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62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8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5" w:type="dxa"/>
            <w:gridSpan w:val="2"/>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98"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CCEE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67" w:type="dxa"/>
            <w:gridSpan w:val="2"/>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2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7" w:type="dxa"/>
            <w:gridSpan w:val="2"/>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62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85" w:type="dxa"/>
            <w:gridSpan w:val="2"/>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5" w:type="dxa"/>
            <w:gridSpan w:val="2"/>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gridSpan w:val="2"/>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98" w:type="dxa"/>
            <w:gridSpan w:val="2"/>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7" w:type="dxa"/>
            <w:tcBorders/>
            <w:shd w:fill="CCEE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29,072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394,148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(225,362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172,638</w:t>
            </w:r>
          </w:p>
        </w:tc>
        <w:tc>
          <w:tcPr>
            <w:tcW w:w="87" w:type="dxa"/>
            <w:tcBorders/>
            <w:shd w:fill="CCEE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rStyle w:val="Emphasis"/>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3,062</w:t>
            </w:r>
          </w:p>
        </w:tc>
        <w:tc>
          <w:tcPr>
            <w:tcW w:w="87" w:type="dxa"/>
            <w:tcBorders/>
            <w:shd w:fill="CCEE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2,498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9,879</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rStyle w:val="Emphasis"/>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(5,293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(5,293</w:t>
            </w:r>
          </w:p>
        </w:tc>
        <w:tc>
          <w:tcPr>
            <w:tcW w:w="8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(16,944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(16,944</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31,785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407,003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(242,306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163,259</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682"/>
        <w:gridCol w:w="60"/>
        <w:gridCol w:w="125"/>
        <w:gridCol w:w="542"/>
        <w:gridCol w:w="71"/>
        <w:gridCol w:w="71"/>
        <w:gridCol w:w="184"/>
        <w:gridCol w:w="436"/>
        <w:gridCol w:w="60"/>
        <w:gridCol w:w="60"/>
        <w:gridCol w:w="69"/>
        <w:gridCol w:w="598"/>
        <w:gridCol w:w="61"/>
        <w:gridCol w:w="61"/>
        <w:gridCol w:w="184"/>
        <w:gridCol w:w="436"/>
        <w:gridCol w:w="60"/>
        <w:gridCol w:w="60"/>
        <w:gridCol w:w="120"/>
        <w:gridCol w:w="665"/>
        <w:gridCol w:w="80"/>
        <w:gridCol w:w="60"/>
        <w:gridCol w:w="195"/>
        <w:gridCol w:w="920"/>
        <w:gridCol w:w="80"/>
        <w:gridCol w:w="60"/>
        <w:gridCol w:w="139"/>
        <w:gridCol w:w="841"/>
        <w:gridCol w:w="80"/>
        <w:gridCol w:w="60"/>
        <w:gridCol w:w="152"/>
        <w:gridCol w:w="846"/>
        <w:gridCol w:w="87"/>
      </w:tblGrid>
      <w:tr>
        <w:trPr/>
        <w:tc>
          <w:tcPr>
            <w:tcW w:w="26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center"/>
              <w:rPr/>
            </w:pPr>
            <w:r>
              <w:rPr/>
              <w:t>​</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center"/>
              <w:rPr/>
            </w:pPr>
            <w:r>
              <w:rPr/>
              <w:t>​</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Number</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Number</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Stockholders'</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of shares</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of 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equity</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31, 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27,530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383,474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(158,735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239,576</w:t>
            </w:r>
          </w:p>
        </w:tc>
        <w:tc>
          <w:tcPr>
            <w:tcW w:w="87" w:type="dxa"/>
            <w:tcBorders/>
            <w:shd w:fill="CCEE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(87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(87</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rStyle w:val="Emphasis"/>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2,144</w:t>
            </w:r>
          </w:p>
        </w:tc>
        <w:tc>
          <w:tcPr>
            <w:tcW w:w="87" w:type="dxa"/>
            <w:tcBorders/>
            <w:shd w:fill="CCEE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rStyle w:val="Emphasis"/>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(7,583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(7,583</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8"/>
              </w:rPr>
              <w:t>(14,456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8"/>
              </w:rPr>
              <w:t>(14,456</w:t>
            </w:r>
          </w:p>
        </w:tc>
        <w:tc>
          <w:tcPr>
            <w:tcW w:w="8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2022</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27,658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385,531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(173,191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219,594</w:t>
            </w:r>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82"/>
        <w:gridCol w:w="60"/>
        <w:gridCol w:w="125"/>
        <w:gridCol w:w="542"/>
        <w:gridCol w:w="71"/>
        <w:gridCol w:w="71"/>
        <w:gridCol w:w="184"/>
        <w:gridCol w:w="436"/>
        <w:gridCol w:w="60"/>
        <w:gridCol w:w="60"/>
        <w:gridCol w:w="69"/>
        <w:gridCol w:w="598"/>
        <w:gridCol w:w="61"/>
        <w:gridCol w:w="61"/>
        <w:gridCol w:w="184"/>
        <w:gridCol w:w="436"/>
        <w:gridCol w:w="60"/>
        <w:gridCol w:w="60"/>
        <w:gridCol w:w="120"/>
        <w:gridCol w:w="665"/>
        <w:gridCol w:w="80"/>
        <w:gridCol w:w="60"/>
        <w:gridCol w:w="205"/>
        <w:gridCol w:w="910"/>
        <w:gridCol w:w="80"/>
        <w:gridCol w:w="60"/>
        <w:gridCol w:w="139"/>
        <w:gridCol w:w="841"/>
        <w:gridCol w:w="80"/>
        <w:gridCol w:w="60"/>
        <w:gridCol w:w="152"/>
        <w:gridCol w:w="846"/>
        <w:gridCol w:w="87"/>
      </w:tblGrid>
      <w:tr>
        <w:trPr/>
        <w:tc>
          <w:tcPr>
            <w:tcW w:w="26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January 1, 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28,623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391,526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(209,068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184,670</w:t>
            </w:r>
          </w:p>
        </w:tc>
        <w:tc>
          <w:tcPr>
            <w:tcW w:w="87" w:type="dxa"/>
            <w:tcBorders/>
            <w:shd w:fill="CCEE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rStyle w:val="Emphasis"/>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5,352</w:t>
            </w:r>
          </w:p>
        </w:tc>
        <w:tc>
          <w:tcPr>
            <w:tcW w:w="87" w:type="dxa"/>
            <w:tcBorders/>
            <w:shd w:fill="CCEE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2,655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10,287</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pPr>
            <w:r>
              <w:rPr>
                <w:rStyle w:val="Emphasis"/>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(3,653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(3,654</w:t>
            </w:r>
          </w:p>
        </w:tc>
        <w:tc>
          <w:tcPr>
            <w:tcW w:w="8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(33,237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(33,237</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31,785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407,003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(242,306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163,259</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2875"/>
        <w:gridCol w:w="60"/>
        <w:gridCol w:w="125"/>
        <w:gridCol w:w="545"/>
        <w:gridCol w:w="73"/>
        <w:gridCol w:w="73"/>
        <w:gridCol w:w="184"/>
        <w:gridCol w:w="436"/>
        <w:gridCol w:w="60"/>
        <w:gridCol w:w="60"/>
        <w:gridCol w:w="69"/>
        <w:gridCol w:w="601"/>
        <w:gridCol w:w="61"/>
        <w:gridCol w:w="61"/>
        <w:gridCol w:w="184"/>
        <w:gridCol w:w="436"/>
        <w:gridCol w:w="60"/>
        <w:gridCol w:w="60"/>
        <w:gridCol w:w="120"/>
        <w:gridCol w:w="665"/>
        <w:gridCol w:w="80"/>
        <w:gridCol w:w="60"/>
        <w:gridCol w:w="195"/>
        <w:gridCol w:w="920"/>
        <w:gridCol w:w="80"/>
        <w:gridCol w:w="60"/>
        <w:gridCol w:w="110"/>
        <w:gridCol w:w="665"/>
        <w:gridCol w:w="80"/>
        <w:gridCol w:w="60"/>
        <w:gridCol w:w="152"/>
        <w:gridCol w:w="848"/>
        <w:gridCol w:w="87"/>
      </w:tblGrid>
      <w:tr>
        <w:trPr/>
        <w:tc>
          <w:tcPr>
            <w:tcW w:w="2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7" w:type="dxa"/>
            <w:tcBorders/>
            <w:shd w:fill="FFFFFF"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87" w:type="dxa"/>
            <w:tcBorders/>
            <w:shd w:fill="FFFFFF" w:val="clear"/>
            <w:vAlign w:val="center"/>
          </w:tcPr>
          <w:p>
            <w:pPr>
              <w:pStyle w:val="TableContents"/>
              <w:bidi w:val="0"/>
              <w:spacing w:before="0" w:after="283"/>
              <w:jc w:val="left"/>
              <w:rPr/>
            </w:pPr>
            <w:r>
              <w:rPr/>
              <w:t> </w:t>
            </w:r>
          </w:p>
        </w:tc>
      </w:tr>
      <w:tr>
        <w:trPr/>
        <w:tc>
          <w:tcPr>
            <w:tcW w:w="2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January 1, 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27,323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(142,671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254,570</w:t>
            </w:r>
          </w:p>
        </w:tc>
        <w:tc>
          <w:tcPr>
            <w:tcW w:w="87" w:type="dxa"/>
            <w:tcBorders/>
            <w:shd w:fill="CCEEFF"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(228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(227</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rStyle w:val="Emphasis"/>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4,616</w:t>
            </w:r>
          </w:p>
        </w:tc>
        <w:tc>
          <w:tcPr>
            <w:tcW w:w="87" w:type="dxa"/>
            <w:tcBorders/>
            <w:shd w:fill="CCEEFF"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rStyle w:val="Emphasis"/>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(8,845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(8,847</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(30,518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(30,518</w:t>
            </w:r>
          </w:p>
        </w:tc>
        <w:tc>
          <w:tcPr>
            <w:tcW w:w="8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2022</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27,658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385,531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(173,191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219,594</w:t>
            </w:r>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9" w:name="cf"/>
      <w:bookmarkEnd w:id="9"/>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844"/>
        <w:gridCol w:w="60"/>
        <w:gridCol w:w="163"/>
        <w:gridCol w:w="854"/>
        <w:gridCol w:w="104"/>
        <w:gridCol w:w="77"/>
        <w:gridCol w:w="163"/>
        <w:gridCol w:w="854"/>
        <w:gridCol w:w="86"/>
      </w:tblGrid>
      <w:tr>
        <w:trPr/>
        <w:tc>
          <w:tcPr>
            <w:tcW w:w="78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6" w:type="dxa"/>
            <w:tcBorders/>
            <w:shd w:fill="FFFFFF" w:val="clear"/>
            <w:vAlign w:val="center"/>
          </w:tcPr>
          <w:p>
            <w:pPr>
              <w:pStyle w:val="TableContents"/>
              <w:bidi w:val="0"/>
              <w:spacing w:before="0" w:after="283"/>
              <w:jc w:val="left"/>
              <w:rPr/>
            </w:pPr>
            <w:r>
              <w:rPr/>
              <w:t> </w:t>
            </w:r>
          </w:p>
        </w:tc>
      </w:tr>
      <w:tr>
        <w:trPr/>
        <w:tc>
          <w:tcPr>
            <w:tcW w:w="7844"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6" w:type="dxa"/>
            <w:tcBorders/>
            <w:shd w:fill="FFFFFF" w:val="clear"/>
            <w:vAlign w:val="center"/>
          </w:tcPr>
          <w:p>
            <w:pPr>
              <w:pStyle w:val="TableContents"/>
              <w:bidi w:val="0"/>
              <w:spacing w:before="0" w:after="283"/>
              <w:jc w:val="left"/>
              <w:rPr/>
            </w:pPr>
            <w:r>
              <w:rPr/>
              <w:t> </w:t>
            </w:r>
          </w:p>
        </w:tc>
      </w:tr>
      <w:tr>
        <w:trPr/>
        <w:tc>
          <w:tcPr>
            <w:tcW w:w="784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01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01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pPr>
            <w:r>
              <w:rPr/>
              <w:t> </w:t>
            </w:r>
          </w:p>
        </w:tc>
      </w:tr>
      <w:tr>
        <w:trPr/>
        <w:tc>
          <w:tcPr>
            <w:tcW w:w="784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(33,237</w:t>
            </w:r>
          </w:p>
        </w:tc>
        <w:tc>
          <w:tcPr>
            <w:tcW w:w="1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(30,518</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01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pPr>
            <w:r>
              <w:rPr/>
              <w:t> </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Allowance of bad debt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1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Inventory reserve adjustment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5,028</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2,403</w:t>
            </w:r>
          </w:p>
        </w:tc>
        <w:tc>
          <w:tcPr>
            <w:tcW w:w="86" w:type="dxa"/>
            <w:tcBorders/>
            <w:shd w:fill="CCEEFF" w:val="clear"/>
            <w:vAlign w:val="center"/>
          </w:tcPr>
          <w:p>
            <w:pPr>
              <w:pStyle w:val="TableContents"/>
              <w:bidi w:val="0"/>
              <w:spacing w:before="0" w:after="283"/>
              <w:jc w:val="left"/>
              <w:rPr/>
            </w:pPr>
            <w:r>
              <w:rPr/>
              <w:t> </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10,522</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11,995</w:t>
            </w:r>
          </w:p>
        </w:tc>
        <w:tc>
          <w:tcPr>
            <w:tcW w:w="86" w:type="dxa"/>
            <w:tcBorders/>
            <w:shd w:fill="FFFFFF" w:val="clear"/>
            <w:vAlign w:val="center"/>
          </w:tcPr>
          <w:p>
            <w:pPr>
              <w:pStyle w:val="TableContents"/>
              <w:bidi w:val="0"/>
              <w:spacing w:before="0" w:after="283"/>
              <w:jc w:val="left"/>
              <w:rPr/>
            </w:pPr>
            <w:r>
              <w:rPr/>
              <w:t> </w:t>
            </w:r>
          </w:p>
        </w:tc>
      </w:tr>
      <w:tr>
        <w:trPr/>
        <w:tc>
          <w:tcPr>
            <w:tcW w:w="784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Amortization of debt issuance costs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614</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w:t>
            </w:r>
          </w:p>
        </w:tc>
        <w:tc>
          <w:tcPr>
            <w:tcW w:w="86" w:type="dxa"/>
            <w:tcBorders/>
            <w:shd w:fill="CCEEFF" w:val="clear"/>
            <w:vAlign w:val="center"/>
          </w:tcPr>
          <w:p>
            <w:pPr>
              <w:pStyle w:val="TableContents"/>
              <w:bidi w:val="0"/>
              <w:spacing w:before="0" w:after="283"/>
              <w:jc w:val="left"/>
              <w:rPr/>
            </w:pPr>
            <w:r>
              <w:rPr/>
              <w:t> </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Gain (loss) on disposal of assets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5,352</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4,616</w:t>
            </w:r>
          </w:p>
        </w:tc>
        <w:tc>
          <w:tcPr>
            <w:tcW w:w="86" w:type="dxa"/>
            <w:tcBorders/>
            <w:shd w:fill="CCEEFF" w:val="clear"/>
            <w:vAlign w:val="center"/>
          </w:tcPr>
          <w:p>
            <w:pPr>
              <w:pStyle w:val="TableContents"/>
              <w:bidi w:val="0"/>
              <w:spacing w:before="0" w:after="283"/>
              <w:jc w:val="left"/>
              <w:rPr/>
            </w:pPr>
            <w:r>
              <w:rPr/>
              <w:t> </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Unrealized foreign exchange (gain) loss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(1,147</w:t>
            </w:r>
          </w:p>
        </w:tc>
        <w:tc>
          <w:tcPr>
            <w:tcW w:w="1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1,366</w:t>
            </w:r>
          </w:p>
        </w:tc>
        <w:tc>
          <w:tcPr>
            <w:tcW w:w="86" w:type="dxa"/>
            <w:tcBorders/>
            <w:shd w:fill="FFFFFF" w:val="clear"/>
            <w:vAlign w:val="center"/>
          </w:tcPr>
          <w:p>
            <w:pPr>
              <w:pStyle w:val="TableContents"/>
              <w:bidi w:val="0"/>
              <w:spacing w:before="0" w:after="283"/>
              <w:jc w:val="left"/>
              <w:rPr/>
            </w:pPr>
            <w:r>
              <w:rPr/>
              <w:t> </w:t>
            </w:r>
          </w:p>
        </w:tc>
      </w:tr>
      <w:tr>
        <w:trPr/>
        <w:tc>
          <w:tcPr>
            <w:tcW w:w="784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Accounts receivable, trade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18,596</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5,938</w:t>
            </w:r>
          </w:p>
        </w:tc>
        <w:tc>
          <w:tcPr>
            <w:tcW w:w="86" w:type="dxa"/>
            <w:tcBorders/>
            <w:shd w:fill="FFFFFF" w:val="clear"/>
            <w:vAlign w:val="center"/>
          </w:tcPr>
          <w:p>
            <w:pPr>
              <w:pStyle w:val="TableContents"/>
              <w:bidi w:val="0"/>
              <w:spacing w:before="0" w:after="283"/>
              <w:jc w:val="left"/>
              <w:rPr/>
            </w:pPr>
            <w:r>
              <w:rPr/>
              <w:t> </w:t>
            </w:r>
          </w:p>
        </w:tc>
      </w:tr>
      <w:tr>
        <w:trPr/>
        <w:tc>
          <w:tcPr>
            <w:tcW w:w="784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Trade Notes receivable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w:t>
            </w:r>
          </w:p>
        </w:tc>
        <w:tc>
          <w:tcPr>
            <w:tcW w:w="1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7,911</w:t>
            </w:r>
          </w:p>
        </w:tc>
        <w:tc>
          <w:tcPr>
            <w:tcW w:w="86" w:type="dxa"/>
            <w:tcBorders/>
            <w:shd w:fill="CCEEFF" w:val="clear"/>
            <w:vAlign w:val="center"/>
          </w:tcPr>
          <w:p>
            <w:pPr>
              <w:pStyle w:val="TableContents"/>
              <w:bidi w:val="0"/>
              <w:spacing w:before="0" w:after="283"/>
              <w:jc w:val="left"/>
              <w:rPr/>
            </w:pPr>
            <w:r>
              <w:rPr/>
              <w:t> </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Prepaid income tax</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1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6" w:type="dxa"/>
            <w:tcBorders/>
            <w:shd w:fill="FFFFFF" w:val="clear"/>
            <w:vAlign w:val="center"/>
          </w:tcPr>
          <w:p>
            <w:pPr>
              <w:pStyle w:val="TableContents"/>
              <w:bidi w:val="0"/>
              <w:spacing w:before="0" w:after="283"/>
              <w:jc w:val="left"/>
              <w:rPr/>
            </w:pPr>
            <w:r>
              <w:rPr/>
              <w:t> </w:t>
            </w:r>
          </w:p>
        </w:tc>
      </w:tr>
      <w:tr>
        <w:trPr/>
        <w:tc>
          <w:tcPr>
            <w:tcW w:w="784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Inventories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6,980</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(11,530</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(2,118</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Operating right of use asset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w:t>
            </w:r>
          </w:p>
        </w:tc>
        <w:tc>
          <w:tcPr>
            <w:tcW w:w="86" w:type="dxa"/>
            <w:tcBorders/>
            <w:shd w:fill="CCEEFF" w:val="clear"/>
            <w:vAlign w:val="center"/>
          </w:tcPr>
          <w:p>
            <w:pPr>
              <w:pStyle w:val="TableContents"/>
              <w:bidi w:val="0"/>
              <w:spacing w:before="0" w:after="283"/>
              <w:jc w:val="left"/>
              <w:rPr/>
            </w:pPr>
            <w:r>
              <w:rPr/>
              <w:t> </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Accounts payable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(12,735</w:t>
            </w:r>
          </w:p>
        </w:tc>
        <w:tc>
          <w:tcPr>
            <w:tcW w:w="1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10,965</w:t>
            </w:r>
          </w:p>
        </w:tc>
        <w:tc>
          <w:tcPr>
            <w:tcW w:w="86" w:type="dxa"/>
            <w:tcBorders/>
            <w:shd w:fill="FFFFFF" w:val="clear"/>
            <w:vAlign w:val="center"/>
          </w:tcPr>
          <w:p>
            <w:pPr>
              <w:pStyle w:val="TableContents"/>
              <w:bidi w:val="0"/>
              <w:spacing w:before="0" w:after="283"/>
              <w:jc w:val="left"/>
              <w:rPr/>
            </w:pPr>
            <w:r>
              <w:rPr/>
              <w:t> </w:t>
            </w:r>
          </w:p>
        </w:tc>
      </w:tr>
      <w:tr>
        <w:trPr/>
        <w:tc>
          <w:tcPr>
            <w:tcW w:w="784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(2,358</w:t>
            </w:r>
          </w:p>
        </w:tc>
        <w:tc>
          <w:tcPr>
            <w:tcW w:w="1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(2,730</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Accrued Income Tax</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Unearned revenue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8,720</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Lease liability</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w:t>
            </w:r>
          </w:p>
        </w:tc>
        <w:tc>
          <w:tcPr>
            <w:tcW w:w="1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5,868</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(1,350</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1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pPr>
            <w:r>
              <w:rPr/>
              <w:t> </w:t>
            </w:r>
          </w:p>
        </w:tc>
      </w:tr>
      <w:tr>
        <w:trPr/>
        <w:tc>
          <w:tcPr>
            <w:tcW w:w="784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(1,460</w:t>
            </w:r>
          </w:p>
        </w:tc>
        <w:tc>
          <w:tcPr>
            <w:tcW w:w="1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(1,669</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Proceeds from disposal of equipment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86" w:type="dxa"/>
            <w:tcBorders/>
            <w:shd w:fill="FFFFFF" w:val="clear"/>
            <w:vAlign w:val="center"/>
          </w:tcPr>
          <w:p>
            <w:pPr>
              <w:pStyle w:val="TableContents"/>
              <w:bidi w:val="0"/>
              <w:spacing w:before="0" w:after="283"/>
              <w:jc w:val="left"/>
              <w:rPr/>
            </w:pPr>
            <w:r>
              <w:rPr/>
              <w:t> </w:t>
            </w:r>
          </w:p>
        </w:tc>
      </w:tr>
      <w:tr>
        <w:trPr/>
        <w:tc>
          <w:tcPr>
            <w:tcW w:w="784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Deposits and prepaid for equipment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w:t>
            </w:r>
          </w:p>
        </w:tc>
        <w:tc>
          <w:tcPr>
            <w:tcW w:w="1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1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(1,910</w:t>
            </w:r>
          </w:p>
        </w:tc>
        <w:tc>
          <w:tcPr>
            <w:tcW w:w="1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(2,010</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1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pPr>
            <w:r>
              <w:rPr/>
              <w:t> </w:t>
            </w:r>
          </w:p>
        </w:tc>
      </w:tr>
      <w:tr>
        <w:trPr/>
        <w:tc>
          <w:tcPr>
            <w:tcW w:w="784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Principal payments of long-term debt and notes payable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pPr>
            <w:r>
              <w:rPr/>
              <w:t>—</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(7,336</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Proceeds from line of credit borrowings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45,343</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76,903</w:t>
            </w:r>
          </w:p>
        </w:tc>
        <w:tc>
          <w:tcPr>
            <w:tcW w:w="86" w:type="dxa"/>
            <w:tcBorders/>
            <w:shd w:fill="FFFFFF" w:val="clear"/>
            <w:vAlign w:val="center"/>
          </w:tcPr>
          <w:p>
            <w:pPr>
              <w:pStyle w:val="TableContents"/>
              <w:bidi w:val="0"/>
              <w:spacing w:before="0" w:after="283"/>
              <w:jc w:val="left"/>
              <w:rPr/>
            </w:pPr>
            <w:r>
              <w:rPr/>
              <w:t> </w:t>
            </w:r>
          </w:p>
        </w:tc>
      </w:tr>
      <w:tr>
        <w:trPr/>
        <w:tc>
          <w:tcPr>
            <w:tcW w:w="784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Repayments of line of credit borrowings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(63,981</w:t>
            </w:r>
          </w:p>
        </w:tc>
        <w:tc>
          <w:tcPr>
            <w:tcW w:w="1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(69,988</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Proceeds from bank acceptance payable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27,813</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19,951</w:t>
            </w:r>
          </w:p>
        </w:tc>
        <w:tc>
          <w:tcPr>
            <w:tcW w:w="86" w:type="dxa"/>
            <w:tcBorders/>
            <w:shd w:fill="FFFFFF" w:val="clear"/>
            <w:vAlign w:val="center"/>
          </w:tcPr>
          <w:p>
            <w:pPr>
              <w:pStyle w:val="TableContents"/>
              <w:bidi w:val="0"/>
              <w:spacing w:before="0" w:after="283"/>
              <w:jc w:val="left"/>
              <w:rPr/>
            </w:pPr>
            <w:r>
              <w:rPr/>
              <w:t> </w:t>
            </w:r>
          </w:p>
        </w:tc>
      </w:tr>
      <w:tr>
        <w:trPr/>
        <w:tc>
          <w:tcPr>
            <w:tcW w:w="784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Repayments of bank acceptance payable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(31,079</w:t>
            </w:r>
          </w:p>
        </w:tc>
        <w:tc>
          <w:tcPr>
            <w:tcW w:w="1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(17,292</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Principal payments of financing lease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1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Payments of tax withholding on behalf of employees related to share-based compensation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w:t>
            </w:r>
          </w:p>
        </w:tc>
        <w:tc>
          <w:tcPr>
            <w:tcW w:w="1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Proceeds from common stock offering, net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10,287</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784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(11,786</w:t>
            </w:r>
          </w:p>
        </w:tc>
        <w:tc>
          <w:tcPr>
            <w:tcW w:w="1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2,002</w:t>
            </w:r>
          </w:p>
        </w:tc>
        <w:tc>
          <w:tcPr>
            <w:tcW w:w="86" w:type="dxa"/>
            <w:tcBorders/>
            <w:shd w:fill="CCEEFF" w:val="clear"/>
            <w:vAlign w:val="center"/>
          </w:tcPr>
          <w:p>
            <w:pPr>
              <w:pStyle w:val="TableContents"/>
              <w:bidi w:val="0"/>
              <w:spacing w:before="0" w:after="283"/>
              <w:jc w:val="left"/>
              <w:rPr/>
            </w:pPr>
            <w:r>
              <w:rPr/>
              <w:t> </w:t>
            </w:r>
          </w:p>
        </w:tc>
      </w:tr>
      <w:tr>
        <w:trPr/>
        <w:tc>
          <w:tcPr>
            <w:tcW w:w="784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853</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872</w:t>
            </w:r>
          </w:p>
        </w:tc>
        <w:tc>
          <w:tcPr>
            <w:tcW w:w="86" w:type="dxa"/>
            <w:tcBorders/>
            <w:shd w:fill="FFFFFF" w:val="clear"/>
            <w:vAlign w:val="center"/>
          </w:tcPr>
          <w:p>
            <w:pPr>
              <w:pStyle w:val="TableContents"/>
              <w:bidi w:val="0"/>
              <w:spacing w:before="0" w:after="283"/>
              <w:jc w:val="left"/>
              <w:rPr/>
            </w:pPr>
            <w:r>
              <w:rPr/>
              <w:t> </w:t>
            </w:r>
          </w:p>
        </w:tc>
      </w:tr>
      <w:tr>
        <w:trPr/>
        <w:tc>
          <w:tcPr>
            <w:tcW w:w="784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(6,975</w:t>
            </w:r>
          </w:p>
        </w:tc>
        <w:tc>
          <w:tcPr>
            <w:tcW w:w="1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35,587</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41,136</w:t>
            </w:r>
          </w:p>
        </w:tc>
        <w:tc>
          <w:tcPr>
            <w:tcW w:w="86" w:type="dxa"/>
            <w:tcBorders/>
            <w:shd w:fill="FFFFFF" w:val="clear"/>
            <w:vAlign w:val="center"/>
          </w:tcPr>
          <w:p>
            <w:pPr>
              <w:pStyle w:val="TableContents"/>
              <w:bidi w:val="0"/>
              <w:spacing w:before="0" w:after="283"/>
              <w:jc w:val="left"/>
              <w:rPr/>
            </w:pPr>
            <w:r>
              <w:rPr/>
              <w:t> </w:t>
            </w:r>
          </w:p>
        </w:tc>
      </w:tr>
      <w:tr>
        <w:trPr/>
        <w:tc>
          <w:tcPr>
            <w:tcW w:w="784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cash equivalents and restricted cash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28,612</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40,650</w:t>
            </w:r>
          </w:p>
        </w:tc>
        <w:tc>
          <w:tcPr>
            <w:tcW w:w="86" w:type="dxa"/>
            <w:tcBorders/>
            <w:shd w:fill="CCEEFF" w:val="clear"/>
            <w:vAlign w:val="center"/>
          </w:tcPr>
          <w:p>
            <w:pPr>
              <w:pStyle w:val="TableContents"/>
              <w:bidi w:val="0"/>
              <w:spacing w:before="0" w:after="283"/>
              <w:jc w:val="left"/>
              <w:rPr/>
            </w:pPr>
            <w:r>
              <w:rPr/>
              <w:t> </w:t>
            </w:r>
          </w:p>
        </w:tc>
      </w:tr>
      <w:tr>
        <w:trPr/>
        <w:tc>
          <w:tcPr>
            <w:tcW w:w="784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784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Interest, net of amounts capitalized</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3,611</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2,616</w:t>
            </w:r>
          </w:p>
        </w:tc>
        <w:tc>
          <w:tcPr>
            <w:tcW w:w="86" w:type="dxa"/>
            <w:tcBorders/>
            <w:shd w:fill="FFFFFF" w:val="clear"/>
            <w:vAlign w:val="center"/>
          </w:tcPr>
          <w:p>
            <w:pPr>
              <w:pStyle w:val="TableContents"/>
              <w:bidi w:val="0"/>
              <w:spacing w:before="0" w:after="283"/>
              <w:jc w:val="left"/>
              <w:rPr/>
            </w:pPr>
            <w:r>
              <w:rPr/>
              <w:t> </w:t>
            </w:r>
          </w:p>
        </w:tc>
      </w:tr>
      <w:tr>
        <w:trPr/>
        <w:tc>
          <w:tcPr>
            <w:tcW w:w="784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7844"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Net change in accounts payable related to property and equipment additions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104"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44"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Net change in deposits and prepaid for equipment related to property and equipment additions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w:t>
            </w:r>
          </w:p>
        </w:tc>
        <w:tc>
          <w:tcPr>
            <w:tcW w:w="1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0" w:name="notes"/>
      <w:bookmarkEnd w:id="10"/>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w:t>
      </w:r>
      <w:r>
        <w:rPr>
          <w:rFonts w:ascii="Times New Roman;Times;serif" w:hAnsi="Times New Roman;Times;serif"/>
          <w:b/>
          <w:sz w:val="20"/>
        </w:rPr>
        <w:t xml:space="preserve">   Description of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Business Overview</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Applied Optoelectronics, Inc. (“AOI” or the “Company”) is a Delaware corporation. The Company is a leading, vertically integrated provider of fiber-optic networking products, primarily for </w:t>
      </w:r>
      <w:r>
        <w:rPr>
          <w:rStyle w:val="Emphasis"/>
          <w:rFonts w:ascii="Times New Roman;Times;serif" w:hAnsi="Times New Roman;Times;serif"/>
          <w:sz w:val="20"/>
        </w:rPr>
        <w:t>four</w:t>
      </w:r>
      <w:r>
        <w:rPr>
          <w:rFonts w:ascii="Times New Roman;Times;serif" w:hAnsi="Times New Roman;Times;serif"/>
          <w:sz w:val="20"/>
        </w:rPr>
        <w:t xml:space="preserve"> networking end-markets: cable television ("CATV"), internet data center, telecommunications ("telecom") and fiber-to-the-home ("FTTH"). The Company designs and manufactures a wide range of optical communications products at varying levels of integration, from components, subassemblies and modules to complete turn-key equipment.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also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the CATV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Interim Financial Statements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The unaudited condensed consolidated financial statements of the Company as of </w:t>
      </w:r>
      <w:r>
        <w:rPr>
          <w:rStyle w:val="Emphasis"/>
          <w:rFonts w:ascii="Times New Roman;Times;serif" w:hAnsi="Times New Roman;Times;serif"/>
          <w:sz w:val="20"/>
        </w:rPr>
        <w:t>June 30,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xml:space="preserve"> and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Fonts w:ascii="Times New Roman;Times;serif" w:hAnsi="Times New Roman;Times;serif"/>
          <w:sz w:val="20"/>
        </w:rPr>
        <w:t xml:space="preserve"> and </w:t>
      </w:r>
      <w:r>
        <w:rPr>
          <w:rStyle w:val="Emphasis"/>
          <w:rFonts w:ascii="Times New Roman;Times;serif" w:hAnsi="Times New Roman;Times;serif"/>
          <w:sz w:val="20"/>
        </w:rPr>
        <w:t>June 30, 2022</w:t>
      </w:r>
      <w:r>
        <w:rPr>
          <w:rFonts w:ascii="Times New Roman;Times;serif" w:hAnsi="Times New Roman;Times;serif"/>
          <w:sz w:val="20"/>
        </w:rPr>
        <w:t xml:space="preserve">, have been prepared in accordance with accounting principles generally accepted in the United States of America (“GAAP”) for interim information and with the instructions on Form </w:t>
      </w:r>
      <w:r>
        <w:rPr>
          <w:rStyle w:val="Emphasis"/>
          <w:rFonts w:ascii="Times New Roman;Times;serif" w:hAnsi="Times New Roman;Times;serif"/>
          <w:sz w:val="20"/>
        </w:rPr>
        <w:t>10</w:t>
      </w:r>
      <w:r>
        <w:rPr>
          <w:rFonts w:ascii="Times New Roman;Times;serif" w:hAnsi="Times New Roman;Times;serif"/>
          <w:sz w:val="20"/>
        </w:rPr>
        <w:t xml:space="preserve">-Q and Rule </w:t>
      </w:r>
      <w:r>
        <w:rPr>
          <w:rStyle w:val="Emphasis"/>
          <w:rFonts w:ascii="Times New Roman;Times;serif" w:hAnsi="Times New Roman;Times;serif"/>
          <w:sz w:val="20"/>
        </w:rPr>
        <w:t>10</w:t>
      </w:r>
      <w:r>
        <w:rPr>
          <w:rFonts w:ascii="Times New Roman;Times;serif" w:hAnsi="Times New Roman;Times;serif"/>
          <w:sz w:val="20"/>
        </w:rPr>
        <w:t>-</w:t>
      </w:r>
      <w:r>
        <w:rPr>
          <w:rStyle w:val="Emphasis"/>
          <w:rFonts w:ascii="Times New Roman;Times;serif" w:hAnsi="Times New Roman;Times;serif"/>
          <w:sz w:val="20"/>
        </w:rPr>
        <w:t>01</w:t>
      </w:r>
      <w:r>
        <w:rPr>
          <w:rFonts w:ascii="Times New Roman;Times;serif" w:hAnsi="Times New Roman;Times;serif"/>
          <w:sz w:val="20"/>
        </w:rPr>
        <w:t xml:space="preserve"> of Regulation S-</w:t>
      </w:r>
      <w:r>
        <w:rPr>
          <w:rStyle w:val="Emphasis"/>
          <w:rFonts w:ascii="Times New Roman;Times;serif" w:hAnsi="Times New Roman;Times;serif"/>
          <w:sz w:val="20"/>
        </w:rPr>
        <w:t>X</w:t>
      </w:r>
      <w:r>
        <w:rPr>
          <w:rFonts w:ascii="Times New Roman;Times;serif" w:hAnsi="Times New Roman;Times;serif"/>
          <w:sz w:val="20"/>
        </w:rPr>
        <w:t xml:space="preserve">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 xml:space="preserve">-K (“Annual Report”) for the fiscal year ended </w:t>
      </w:r>
      <w:r>
        <w:rPr>
          <w:rStyle w:val="Emphasis"/>
          <w:rFonts w:ascii="Times New Roman;Times;serif" w:hAnsi="Times New Roman;Times;serif"/>
          <w:sz w:val="20"/>
        </w:rPr>
        <w:t>December 31, 2022</w:t>
      </w:r>
      <w:r>
        <w:rPr>
          <w:rFonts w:ascii="Times New Roman;Times;serif" w:hAnsi="Times New Roman;Times;serif"/>
          <w:sz w:val="20"/>
        </w:rPr>
        <w:t xml:space="preserve">. The results of operations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Fonts w:ascii="Times New Roman;Times;serif" w:hAnsi="Times New Roman;Times;serif"/>
          <w:sz w:val="20"/>
        </w:rPr>
        <w:t xml:space="preserve">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the results expected for the entire fiscal year. All significant inter-company accounts and transactions have been eliminated.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Actual results could differ from those estimates in the consolidated financial statement</w:t>
      </w:r>
      <w:r>
        <w:rPr>
          <w:rFonts w:ascii="Times New Roman;Times;serif" w:hAnsi="Times New Roman;Times;serif"/>
          <w:sz w:val="20"/>
          <w:shd w:fill="FFFFFF" w:val="clear"/>
        </w:rPr>
        <w:t>s and accompanying notes. Significant estimates and assumptions that impact these financial statements and the accompanying notes relate to, among other things, allowance for doubtful accounts, inventory reserve, impairment of long-lived assets, service and product warranty costs, share-based compensation expense, estimated useful lives of property and equipment, and taxes.</w:t>
      </w:r>
    </w:p>
    <w:p>
      <w:pPr>
        <w:pStyle w:val="TextBody"/>
        <w:bidi w:val="0"/>
        <w:spacing w:before="0" w:after="0"/>
        <w:ind w:left="0" w:right="0" w:firstLine="720"/>
        <w:jc w:val="left"/>
        <w:rPr/>
      </w:pPr>
      <w:r>
        <w:rPr/>
        <w:t> </w:t>
      </w:r>
    </w:p>
    <w:p>
      <w:pPr>
        <w:pStyle w:val="TextBody"/>
        <w:bidi w:val="0"/>
        <w:spacing w:before="0" w:after="0"/>
        <w:ind w:left="160" w:right="0" w:hanging="180"/>
        <w:jc w:val="left"/>
        <w:rPr>
          <w:rFonts w:ascii="Times New Roman" w:hAnsi="Times New Roman"/>
          <w:i/>
          <w:caps w:val="false"/>
          <w:smallCaps w:val="false"/>
          <w:sz w:val="20"/>
        </w:rPr>
      </w:pPr>
      <w:r>
        <w:rPr>
          <w:rFonts w:ascii="Times New Roman" w:hAnsi="Times New Roman"/>
          <w:i/>
          <w:caps w:val="false"/>
          <w:smallCaps w:val="false"/>
          <w:sz w:val="20"/>
        </w:rPr>
        <w:t>Divestiture Agreement with Yuhan Optoelectronic Technology (Shanghai)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15, 2022, </w:t>
      </w:r>
      <w:r>
        <w:rPr>
          <w:rFonts w:ascii="Times New Roman" w:hAnsi="Times New Roman"/>
          <w:caps w:val="false"/>
          <w:smallCaps w:val="false"/>
          <w:sz w:val="20"/>
        </w:rPr>
        <w:t>the Company entered into a definitive purchase agreement with Yuhan Optoelectronic Technology (Shanghai) Co., Ltd ("Purchaser"), which is a company incorporated in the People's Republic of China ("PRC"), to divest the Company's manufacturing facilities in PRC and certain assets related to its transceiver business and multi-channel optical sub-assembly products (collectively, the "Divestiture"). The closing of the transaction is subject to the satisfaction of certain closing conditions, including the approval from the Committee on Foreign Investment in the United States ("CFIUS").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purchase price will be an amount equal to the $150 million USD equivalent of Renminbi, less a holdback amount. Prior to the closing of the transaction the Company anticipates investing an amount equal to between 4% and 10% of the estimated proceeds from the transaction in exchange for a 10% equity interest in the Purchaser.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Our management has performed an evaluation as required by ASC-</w:t>
      </w:r>
      <w:r>
        <w:rPr>
          <w:rStyle w:val="Emphasis"/>
          <w:rFonts w:ascii="Times New Roman" w:hAnsi="Times New Roman"/>
          <w:caps w:val="false"/>
          <w:smallCaps w:val="false"/>
          <w:sz w:val="20"/>
        </w:rPr>
        <w:t>360</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45</w:t>
      </w:r>
      <w:r>
        <w:rPr>
          <w:rFonts w:ascii="Times New Roman" w:hAnsi="Times New Roman"/>
          <w:caps w:val="false"/>
          <w:smallCaps w:val="false"/>
          <w:sz w:val="20"/>
        </w:rPr>
        <w:t>-</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to determine whether to classify certain of our assets and liabilities as held for sale as of  </w:t>
      </w:r>
      <w:r>
        <w:rPr>
          <w:rStyle w:val="Emphasis"/>
          <w:rFonts w:ascii="Times New Roman" w:hAnsi="Times New Roman"/>
          <w:caps w:val="false"/>
          <w:smallCaps w:val="false"/>
          <w:sz w:val="20"/>
        </w:rPr>
        <w:t xml:space="preserve"> June 30, 2023</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 requires that a company classifies a business as held for sale in the period in which management commits to a plan to sell the business, the business is available for immediate sale in its present condition, an active program to complete the plan to sell the business is initiated, the sale of the business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is probable and the business is being marketed at a reasonable price in relation to its fair value. Although we have announced the execution of a definitive purchase agreement regarding the Divestiture, completion of this transaction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certain for reasons that include the fact that the proposed sale is subject to regulatory approval in the US and China, the timing and likelihood of which is uncertain and beyond our control, and the fact that we cannot be certain that the buyer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request modification of terms within the definitive purchase agreement. As a result, we have concluded that at the present time the business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for immediate sale" under the meaning defined in ASC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 and therefore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our assets or liabilities should be classified as held for sale.</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2.</w:t>
      </w:r>
      <w:r>
        <w:rPr>
          <w:rFonts w:ascii="Times New Roman;Times;serif" w:hAnsi="Times New Roman;Times;serif"/>
          <w:b/>
          <w:sz w:val="20"/>
        </w:rPr>
        <w:t>  Significant Accounting Policies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There have been </w:t>
      </w:r>
      <w:r>
        <w:rPr>
          <w:rStyle w:val="Emphasis"/>
          <w:rFonts w:ascii="Times New Roman;Times;serif" w:hAnsi="Times New Roman;Times;serif"/>
          <w:sz w:val="20"/>
        </w:rPr>
        <w:t>no</w:t>
      </w:r>
      <w:r>
        <w:rPr>
          <w:rFonts w:ascii="Times New Roman;Times;serif" w:hAnsi="Times New Roman;Times;serif"/>
          <w:sz w:val="20"/>
        </w:rPr>
        <w:t xml:space="preserve"> changes in the Company’s significant accounting policies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Fonts w:ascii="Times New Roman;Times;serif" w:hAnsi="Times New Roman;Times;serif"/>
          <w:sz w:val="20"/>
        </w:rPr>
        <w:t xml:space="preserve">, as compared to the significant accounting policies described in its </w:t>
      </w:r>
      <w:r>
        <w:rPr>
          <w:rStyle w:val="Emphasis"/>
          <w:rFonts w:ascii="Times New Roman;Times;serif" w:hAnsi="Times New Roman;Times;serif"/>
          <w:sz w:val="20"/>
        </w:rPr>
        <w:t>2022</w:t>
      </w:r>
      <w:r>
        <w:rPr>
          <w:rFonts w:ascii="Times New Roman;Times;serif" w:hAnsi="Times New Roman;Times;serif"/>
          <w:sz w:val="20"/>
        </w:rPr>
        <w:t xml:space="preserve"> Annual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Recent Accounting Pronouncements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Recent Accounting Pronouncements Yet to be Adopted</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shd w:fill="FFFFFF" w:val="clear"/>
        </w:rPr>
        <w:t>To date, there have been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recent accounting</w:t>
      </w:r>
      <w:r>
        <w:rPr>
          <w:rFonts w:ascii="Times New Roman" w:hAnsi="Times New Roman"/>
          <w:caps w:val="false"/>
          <w:smallCaps w:val="false"/>
          <w:sz w:val="20"/>
        </w:rPr>
        <w:t xml:space="preserve"> pronouncement </w:t>
      </w:r>
      <w:r>
        <w:rPr>
          <w:rStyle w:val="Emphasis"/>
          <w:rFonts w:ascii="Times New Roman" w:hAnsi="Times New Roman"/>
          <w:caps w:val="false"/>
          <w:smallCaps w:val="false"/>
          <w:sz w:val="20"/>
        </w:rPr>
        <w:t>not</w:t>
      </w:r>
      <w:r>
        <w:rPr>
          <w:rFonts w:ascii="Times New Roman" w:hAnsi="Times New Roman"/>
          <w:caps w:val="false"/>
          <w:smallCaps w:val="false"/>
          <w:sz w:val="20"/>
        </w:rPr>
        <w:t> yet effective that have significance, or potential significance, to our Consolidated Financial Statements. </w:t>
      </w:r>
    </w:p>
    <w:p>
      <w:pPr>
        <w:pStyle w:val="TextBody"/>
        <w:bidi w:val="0"/>
        <w:ind w:left="0" w:right="0" w:firstLine="720"/>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3.</w:t>
      </w:r>
      <w:r>
        <w:rPr>
          <w:rFonts w:ascii="Times New Roman;Times;serif" w:hAnsi="Times New Roman;Times;serif"/>
          <w:b/>
          <w:sz w:val="20"/>
        </w:rPr>
        <w:t>  Revenue Recognition</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rFonts w:ascii="Times New Roman;Times;serif" w:hAnsi="Times New Roman;Times;serif"/>
          <w:sz w:val="20"/>
        </w:rPr>
        <w:t xml:space="preserve">Revenue is classified based on the location where the product is manufactured. For additional information on the disaggregated revenues by geographical region, see Note </w:t>
      </w:r>
      <w:r>
        <w:rPr>
          <w:rStyle w:val="Emphasis"/>
          <w:rFonts w:ascii="Times New Roman;Times;serif" w:hAnsi="Times New Roman;Times;serif"/>
          <w:sz w:val="20"/>
        </w:rPr>
        <w:t>17,</w:t>
      </w:r>
      <w:r>
        <w:rPr>
          <w:rFonts w:ascii="Times New Roman;Times;serif" w:hAnsi="Times New Roman;Times;serif"/>
          <w:sz w:val="20"/>
        </w:rPr>
        <w:t xml:space="preserve"> "Geographic Information.”</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Revenue is also classified by major product category and is presented below (in thousands):</w:t>
      </w:r>
    </w:p>
    <w:p>
      <w:pPr>
        <w:pStyle w:val="TextBody"/>
        <w:bidi w:val="0"/>
        <w:spacing w:before="0" w:after="0"/>
        <w:ind w:left="0" w:right="0" w:hanging="0"/>
        <w:jc w:val="both"/>
        <w:rPr/>
      </w:pPr>
      <w:r>
        <w:rPr/>
        <w:t>​</w:t>
      </w:r>
    </w:p>
    <w:tbl>
      <w:tblPr>
        <w:tblW w:w="4830" w:type="dxa"/>
        <w:jc w:val="left"/>
        <w:tblInd w:w="0" w:type="dxa"/>
        <w:tblLayout w:type="fixed"/>
        <w:tblCellMar>
          <w:top w:w="0" w:type="dxa"/>
          <w:left w:w="0" w:type="dxa"/>
          <w:bottom w:w="0" w:type="dxa"/>
          <w:right w:w="0" w:type="dxa"/>
        </w:tblCellMar>
      </w:tblPr>
      <w:tblGrid>
        <w:gridCol w:w="1220"/>
        <w:gridCol w:w="60"/>
        <w:gridCol w:w="125"/>
        <w:gridCol w:w="590"/>
        <w:gridCol w:w="60"/>
        <w:gridCol w:w="60"/>
        <w:gridCol w:w="79"/>
        <w:gridCol w:w="646"/>
        <w:gridCol w:w="185"/>
        <w:gridCol w:w="60"/>
        <w:gridCol w:w="125"/>
        <w:gridCol w:w="590"/>
        <w:gridCol w:w="60"/>
        <w:gridCol w:w="60"/>
        <w:gridCol w:w="79"/>
        <w:gridCol w:w="646"/>
        <w:gridCol w:w="18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CATV</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Data Center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FTTH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w:t>
      </w:r>
    </w:p>
    <w:tbl>
      <w:tblPr>
        <w:tblW w:w="4935" w:type="dxa"/>
        <w:jc w:val="left"/>
        <w:tblInd w:w="0" w:type="dxa"/>
        <w:tblLayout w:type="fixed"/>
        <w:tblCellMar>
          <w:top w:w="0" w:type="dxa"/>
          <w:left w:w="0" w:type="dxa"/>
          <w:bottom w:w="0" w:type="dxa"/>
          <w:right w:w="0" w:type="dxa"/>
        </w:tblCellMar>
      </w:tblPr>
      <w:tblGrid>
        <w:gridCol w:w="1220"/>
        <w:gridCol w:w="60"/>
        <w:gridCol w:w="125"/>
        <w:gridCol w:w="590"/>
        <w:gridCol w:w="60"/>
        <w:gridCol w:w="60"/>
        <w:gridCol w:w="79"/>
        <w:gridCol w:w="646"/>
        <w:gridCol w:w="185"/>
        <w:gridCol w:w="60"/>
        <w:gridCol w:w="125"/>
        <w:gridCol w:w="695"/>
        <w:gridCol w:w="60"/>
        <w:gridCol w:w="60"/>
        <w:gridCol w:w="79"/>
        <w:gridCol w:w="646"/>
        <w:gridCol w:w="18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7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CATV</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Data Center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FTTH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104,540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Unearned Revenue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rFonts w:ascii="Times New Roman;Times;serif" w:hAnsi="Times New Roman;Times;serif"/>
          <w:sz w:val="20"/>
        </w:rPr>
        <w:t xml:space="preserve">We record unearned revenues when cash payments are received or due in advance of our performance, including amounts which are refundable. Unearned revenues solely relate to Microsoft's SOW contract prices allocated to the performance obligations that are unsatisfied, or partially unsatisfied, as of the balance sheet date. Unearned revenue balance as of </w:t>
      </w:r>
      <w:r>
        <w:rPr>
          <w:rStyle w:val="Emphasis"/>
          <w:rFonts w:ascii="Times New Roman;Times;serif" w:hAnsi="Times New Roman;Times;serif"/>
          <w:sz w:val="20"/>
        </w:rPr>
        <w:t>June 30,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xml:space="preserve"> was $11.7 million and $3 million, respectively.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revenue recognized from the unearned revenue balance wa</w:t>
      </w:r>
      <w:r>
        <w:rPr>
          <w:rFonts w:ascii="Times New Roman;Times;serif" w:hAnsi="Times New Roman;Times;serif"/>
          <w:sz w:val="20"/>
          <w:shd w:fill="FFFFFF" w:val="clear"/>
        </w:rPr>
        <w:t xml:space="preserve">s $0.9 million </w:t>
      </w:r>
      <w:r>
        <w:rPr>
          <w:rFonts w:ascii="Times New Roman;Times;serif" w:hAnsi="Times New Roman;Times;serif"/>
          <w:sz w:val="20"/>
        </w:rPr>
        <w:t xml:space="preserve">and $0 million, respectively.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revenue recognized from the unearned revenue balance wa</w:t>
      </w:r>
      <w:r>
        <w:rPr>
          <w:rFonts w:ascii="Times New Roman;Times;serif" w:hAnsi="Times New Roman;Times;serif"/>
          <w:sz w:val="20"/>
          <w:shd w:fill="FFFFFF" w:val="clear"/>
        </w:rPr>
        <w:t xml:space="preserve">s $1.2 million </w:t>
      </w:r>
      <w:r>
        <w:rPr>
          <w:rFonts w:ascii="Times New Roman;Times;serif" w:hAnsi="Times New Roman;Times;serif"/>
          <w:sz w:val="20"/>
        </w:rPr>
        <w:t>and $0 million, respectively.</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4.</w:t>
      </w:r>
      <w:r>
        <w:rPr>
          <w:rFonts w:ascii="Times New Roman" w:hAnsi="Times New Roman"/>
          <w:b/>
          <w:sz w:val="20"/>
        </w:rPr>
        <w:t>  Leases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The Company leases space under non-cancellable operating leases for manufacturing facilities, research and development offices and certain storage facilities and apartments. These leases do </w:t>
      </w:r>
      <w:r>
        <w:rPr>
          <w:rStyle w:val="Emphasis"/>
          <w:rFonts w:ascii="Times New Roman" w:hAnsi="Times New Roman"/>
          <w:sz w:val="20"/>
        </w:rPr>
        <w:t>not</w:t>
      </w:r>
      <w:r>
        <w:rPr>
          <w:rFonts w:ascii="Times New Roman" w:hAnsi="Times New Roman"/>
          <w:sz w:val="20"/>
        </w:rPr>
        <w:t xml:space="preserve"> contain contingent rent provisions. The Company also leases certain machinery, office equipment and a vehicle under an operating lease.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w:t>
      </w:r>
      <w:r>
        <w:rPr>
          <w:rStyle w:val="Emphasis"/>
          <w:rFonts w:ascii="Times New Roman" w:hAnsi="Times New Roman"/>
          <w:sz w:val="20"/>
        </w:rPr>
        <w:t>one</w:t>
      </w:r>
      <w:r>
        <w:rPr>
          <w:rFonts w:ascii="Times New Roman" w:hAnsi="Times New Roman"/>
          <w:sz w:val="20"/>
        </w:rPr>
        <w:t xml:space="preserve">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w:t>
      </w:r>
      <w:r>
        <w:rPr>
          <w:rStyle w:val="Emphasis"/>
          <w:rFonts w:ascii="Times New Roman" w:hAnsi="Times New Roman"/>
          <w:sz w:val="20"/>
        </w:rPr>
        <w:t>one</w:t>
      </w:r>
      <w:r>
        <w:rPr>
          <w:rFonts w:ascii="Times New Roman" w:hAnsi="Times New Roman"/>
          <w:sz w:val="20"/>
        </w:rPr>
        <w:t>-year and therefore, the Company has elected the practical expedient to exclude these short-term leases from its ROU asset and lease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As most of the Company’s leases do </w:t>
      </w:r>
      <w:r>
        <w:rPr>
          <w:rStyle w:val="Emphasis"/>
          <w:rFonts w:ascii="Times New Roman" w:hAnsi="Times New Roman"/>
          <w:sz w:val="20"/>
        </w:rPr>
        <w:t>not</w:t>
      </w:r>
      <w:r>
        <w:rPr>
          <w:rFonts w:ascii="Times New Roman" w:hAnsi="Times New Roman"/>
          <w:sz w:val="20"/>
        </w:rPr>
        <w:t xml:space="preserve">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pStyle w:val="TextBody"/>
        <w:bidi w:val="0"/>
        <w:spacing w:before="0" w:after="0"/>
        <w:ind w:left="0" w:right="0" w:hanging="0"/>
        <w:jc w:val="left"/>
        <w:rPr/>
      </w:pPr>
      <w:r>
        <w:rPr/>
        <w:t>​</w:t>
      </w:r>
    </w:p>
    <w:p>
      <w:pPr>
        <w:pStyle w:val="TextBody"/>
        <w:bidi w:val="0"/>
        <w:spacing w:before="0" w:after="0"/>
        <w:ind w:left="160" w:right="0" w:firstLine="540"/>
        <w:jc w:val="left"/>
        <w:rPr/>
      </w:pPr>
      <w:r>
        <w:rPr/>
        <w:t> </w:t>
      </w:r>
    </w:p>
    <w:p>
      <w:pPr>
        <w:pStyle w:val="TextBody"/>
        <w:bidi w:val="0"/>
        <w:spacing w:before="0" w:after="283"/>
        <w:jc w:val="left"/>
        <w:rPr/>
      </w:pPr>
      <w:r>
        <w:rPr>
          <w:rFonts w:ascii="Times New Roman" w:hAnsi="Times New Roman"/>
          <w:sz w:val="20"/>
          <w:shd w:fill="FFFFFF" w:val="clear"/>
        </w:rPr>
        <w:t>Lease expense is included under general and administrative expenses and was $0.3 million and $0.6 million each for the </w:t>
      </w:r>
      <w:r>
        <w:rPr>
          <w:sz w:val="20"/>
        </w:rPr>
        <w:t xml:space="preserve"> </w:t>
      </w:r>
      <w:r>
        <w:rPr>
          <w:rStyle w:val="Emphasis"/>
          <w:sz w:val="20"/>
        </w:rPr>
        <w:t>three</w:t>
      </w:r>
      <w:r>
        <w:rPr>
          <w:sz w:val="20"/>
        </w:rPr>
        <w:t xml:space="preserve"> and </w:t>
      </w:r>
      <w:r>
        <w:rPr>
          <w:rStyle w:val="Emphasis"/>
          <w:sz w:val="20"/>
        </w:rPr>
        <w:t>six</w:t>
      </w:r>
      <w:r>
        <w:rPr>
          <w:sz w:val="20"/>
        </w:rPr>
        <w:t xml:space="preserve"> months ended </w:t>
      </w:r>
      <w:r>
        <w:rPr>
          <w:rStyle w:val="Emphasis"/>
          <w:sz w:val="20"/>
        </w:rPr>
        <w:t>June 30, 2023</w:t>
      </w:r>
      <w:r>
        <w:rPr>
          <w:sz w:val="20"/>
        </w:rPr>
        <w:t xml:space="preserve">  </w:t>
      </w:r>
      <w:r>
        <w:rPr>
          <w:rFonts w:ascii="Times New Roman" w:hAnsi="Times New Roman"/>
          <w:sz w:val="20"/>
        </w:rPr>
        <w:t>and </w:t>
      </w:r>
      <w:r>
        <w:rPr>
          <w:sz w:val="20"/>
        </w:rPr>
        <w:t xml:space="preserve"> </w:t>
      </w:r>
      <w:r>
        <w:rPr>
          <w:rStyle w:val="Emphasis"/>
          <w:sz w:val="20"/>
        </w:rPr>
        <w:t>June 30, 2022</w:t>
      </w:r>
      <w:r>
        <w:rPr>
          <w:sz w:val="20"/>
        </w:rPr>
        <w:t xml:space="preserve"> </w:t>
      </w:r>
      <w:r>
        <w:rPr>
          <w:rFonts w:ascii="Times New Roman" w:hAnsi="Times New Roman"/>
          <w:sz w:val="20"/>
        </w:rPr>
        <w:t>, respectively. Th</w:t>
      </w:r>
      <w:r>
        <w:rPr>
          <w:sz w:val="20"/>
        </w:rPr>
        <w:t xml:space="preserve"> </w:t>
      </w:r>
      <w:r>
        <w:rPr>
          <w:rFonts w:ascii="Times New Roman" w:hAnsi="Times New Roman"/>
          <w:sz w:val="20"/>
        </w:rPr>
        <w:t>e components of lease expense were as follows for the periods indicated (</w:t>
      </w:r>
      <w:r>
        <w:rPr>
          <w:sz w:val="20"/>
        </w:rPr>
        <w:t xml:space="preserve"> </w:t>
      </w:r>
      <w:r>
        <w:rPr>
          <w:rFonts w:ascii="Times New Roman" w:hAnsi="Times New Roman"/>
          <w:sz w:val="20"/>
        </w:rPr>
        <w:t>in thousands):</w:t>
      </w:r>
      <w:r>
        <w:rPr>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 </w:t>
      </w:r>
    </w:p>
    <w:tbl>
      <w:tblPr>
        <w:tblW w:w="6969" w:type="dxa"/>
        <w:jc w:val="left"/>
        <w:tblInd w:w="0" w:type="dxa"/>
        <w:tblLayout w:type="fixed"/>
        <w:tblCellMar>
          <w:top w:w="0" w:type="dxa"/>
          <w:left w:w="0" w:type="dxa"/>
          <w:bottom w:w="0" w:type="dxa"/>
          <w:right w:w="0" w:type="dxa"/>
        </w:tblCellMar>
      </w:tblPr>
      <w:tblGrid>
        <w:gridCol w:w="2075"/>
        <w:gridCol w:w="60"/>
        <w:gridCol w:w="292"/>
        <w:gridCol w:w="784"/>
        <w:gridCol w:w="140"/>
        <w:gridCol w:w="140"/>
        <w:gridCol w:w="292"/>
        <w:gridCol w:w="784"/>
        <w:gridCol w:w="60"/>
        <w:gridCol w:w="60"/>
        <w:gridCol w:w="267"/>
        <w:gridCol w:w="716"/>
        <w:gridCol w:w="128"/>
        <w:gridCol w:w="128"/>
        <w:gridCol w:w="267"/>
        <w:gridCol w:w="716"/>
        <w:gridCol w:w="60"/>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10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9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29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598</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Financing lease expense</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ind w:left="0" w:right="0" w:hanging="0"/>
              <w:jc w:val="left"/>
              <w:rPr/>
            </w:pPr>
            <w:r>
              <w:rPr/>
              <w:t> </w:t>
            </w:r>
          </w:p>
        </w:tc>
        <w:tc>
          <w:tcPr>
            <w:tcW w:w="7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ind w:left="0" w:right="0" w:hanging="0"/>
              <w:jc w:val="left"/>
              <w:rPr/>
            </w:pPr>
            <w:r>
              <w:rPr/>
              <w:t> </w:t>
            </w:r>
          </w:p>
        </w:tc>
        <w:tc>
          <w:tcPr>
            <w:tcW w:w="7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Short Term lease expense</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lease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587</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sz w:val="20"/>
        </w:rPr>
        <w:t xml:space="preserve">Maturities of lease liabilities are as follows for the future </w:t>
      </w:r>
      <w:r>
        <w:rPr>
          <w:rStyle w:val="Emphasis"/>
          <w:rFonts w:ascii="Times New Roman" w:hAnsi="Times New Roman"/>
          <w:sz w:val="20"/>
        </w:rPr>
        <w:t>one</w:t>
      </w:r>
      <w:r>
        <w:rPr>
          <w:rFonts w:ascii="Times New Roman" w:hAnsi="Times New Roman"/>
          <w:sz w:val="20"/>
        </w:rPr>
        <w:t>-year periods ending </w:t>
      </w:r>
      <w:r>
        <w:rPr>
          <w:rStyle w:val="Emphasis"/>
          <w:rFonts w:ascii="Times New Roman" w:hAnsi="Times New Roman"/>
          <w:sz w:val="20"/>
        </w:rPr>
        <w:t xml:space="preserve"> June 30, 2023</w:t>
      </w:r>
      <w:r>
        <w:rPr>
          <w:rFonts w:ascii="Times New Roman" w:hAnsi="Times New Roman"/>
          <w:sz w:val="20"/>
        </w:rPr>
        <w:t xml:space="preserve"> (in thousands):</w:t>
      </w:r>
    </w:p>
    <w:p>
      <w:pPr>
        <w:pStyle w:val="TextBody"/>
        <w:bidi w:val="0"/>
        <w:spacing w:before="0" w:after="0"/>
        <w:ind w:left="0" w:right="0" w:firstLine="720"/>
        <w:jc w:val="left"/>
        <w:rPr/>
      </w:pPr>
      <w:r>
        <w:rPr/>
        <w:t>​</w:t>
      </w:r>
    </w:p>
    <w:tbl>
      <w:tblPr>
        <w:tblW w:w="4055" w:type="dxa"/>
        <w:jc w:val="left"/>
        <w:tblInd w:w="0" w:type="dxa"/>
        <w:tblLayout w:type="fixed"/>
        <w:tblCellMar>
          <w:top w:w="0" w:type="dxa"/>
          <w:left w:w="0" w:type="dxa"/>
          <w:bottom w:w="0" w:type="dxa"/>
          <w:right w:w="0" w:type="dxa"/>
        </w:tblCellMar>
      </w:tblPr>
      <w:tblGrid>
        <w:gridCol w:w="1760"/>
        <w:gridCol w:w="60"/>
        <w:gridCol w:w="125"/>
        <w:gridCol w:w="860"/>
        <w:gridCol w:w="80"/>
        <w:gridCol w:w="60"/>
        <w:gridCol w:w="125"/>
        <w:gridCol w:w="890"/>
        <w:gridCol w:w="95"/>
      </w:tblGrid>
      <w:tr>
        <w:trPr/>
        <w:tc>
          <w:tcPr>
            <w:tcW w:w="17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Operating</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Financing</w:t>
            </w:r>
          </w:p>
        </w:tc>
        <w:tc>
          <w:tcPr>
            <w:tcW w:w="95" w:type="dxa"/>
            <w:tcBorders/>
            <w:shd w:fill="FFFFFF" w:val="clear"/>
            <w:vAlign w:val="center"/>
          </w:tcPr>
          <w:p>
            <w:pPr>
              <w:pStyle w:val="TableContents"/>
              <w:bidi w:val="0"/>
              <w:spacing w:before="0" w:after="0"/>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weighted average remaining lease term and discount rate for the leases were as follows for the periods indicated:</w:t>
      </w:r>
    </w:p>
    <w:p>
      <w:pPr>
        <w:pStyle w:val="TextBody"/>
        <w:bidi w:val="0"/>
        <w:spacing w:before="0" w:after="0"/>
        <w:ind w:left="0" w:right="0" w:hanging="0"/>
        <w:jc w:val="left"/>
        <w:rPr/>
      </w:pPr>
      <w:r>
        <w:rPr/>
        <w:t>​</w:t>
      </w:r>
    </w:p>
    <w:tbl>
      <w:tblPr>
        <w:tblW w:w="7991" w:type="dxa"/>
        <w:jc w:val="left"/>
        <w:tblInd w:w="0" w:type="dxa"/>
        <w:tblLayout w:type="fixed"/>
        <w:tblCellMar>
          <w:top w:w="0" w:type="dxa"/>
          <w:left w:w="0" w:type="dxa"/>
          <w:bottom w:w="0" w:type="dxa"/>
          <w:right w:w="0" w:type="dxa"/>
        </w:tblCellMar>
      </w:tblPr>
      <w:tblGrid>
        <w:gridCol w:w="5525"/>
        <w:gridCol w:w="60"/>
        <w:gridCol w:w="118"/>
        <w:gridCol w:w="751"/>
        <w:gridCol w:w="365"/>
        <w:gridCol w:w="118"/>
        <w:gridCol w:w="118"/>
        <w:gridCol w:w="751"/>
        <w:gridCol w:w="185"/>
      </w:tblGrid>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Six months ended June 30,</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2023</w:t>
            </w:r>
          </w:p>
        </w:tc>
        <w:tc>
          <w:tcPr>
            <w:tcW w:w="365"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8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2022</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Remaining Lease Term (Years) - operating leases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7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w:t>
            </w:r>
          </w:p>
        </w:tc>
        <w:tc>
          <w:tcPr>
            <w:tcW w:w="365"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7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6.67</w:t>
            </w:r>
          </w:p>
        </w:tc>
        <w:tc>
          <w:tcPr>
            <w:tcW w:w="185"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Remaining Lease Term (Years) - financing leases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7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0.33</w:t>
            </w:r>
          </w:p>
        </w:tc>
        <w:tc>
          <w:tcPr>
            <w:tcW w:w="365"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7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Discount Rate - operating leases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7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w:t>
            </w:r>
          </w:p>
        </w:tc>
        <w:tc>
          <w:tcPr>
            <w:tcW w:w="36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7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Discount Rate - financing leases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7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3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7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Supplemental cash flow information related to the leases was as follows for the periods indicated (in thousands):</w:t>
      </w:r>
    </w:p>
    <w:p>
      <w:pPr>
        <w:pStyle w:val="TextBody"/>
        <w:bidi w:val="0"/>
        <w:spacing w:before="0" w:after="0"/>
        <w:ind w:left="0" w:right="0" w:firstLine="720"/>
        <w:jc w:val="left"/>
        <w:rPr/>
      </w:pPr>
      <w:r>
        <w:rPr/>
        <w:t> </w:t>
      </w:r>
    </w:p>
    <w:tbl>
      <w:tblPr>
        <w:tblW w:w="8047" w:type="dxa"/>
        <w:jc w:val="left"/>
        <w:tblInd w:w="0" w:type="dxa"/>
        <w:tblLayout w:type="fixed"/>
        <w:tblCellMar>
          <w:top w:w="0" w:type="dxa"/>
          <w:left w:w="0" w:type="dxa"/>
          <w:bottom w:w="0" w:type="dxa"/>
          <w:right w:w="0" w:type="dxa"/>
        </w:tblCellMar>
      </w:tblPr>
      <w:tblGrid>
        <w:gridCol w:w="5705"/>
        <w:gridCol w:w="60"/>
        <w:gridCol w:w="267"/>
        <w:gridCol w:w="716"/>
        <w:gridCol w:w="128"/>
        <w:gridCol w:w="128"/>
        <w:gridCol w:w="267"/>
        <w:gridCol w:w="716"/>
        <w:gridCol w:w="60"/>
      </w:tblGrid>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2023</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amounts included in the measurement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983" w:type="dxa"/>
            <w:gridSpan w:val="2"/>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983" w:type="dxa"/>
            <w:gridSpan w:val="2"/>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Operating cash flows from operating leases</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622</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Operating cash flows from financing lease</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Financing cash flows from financing lease</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5.</w:t>
      </w:r>
      <w:r>
        <w:rPr>
          <w:rFonts w:ascii="Times New Roman" w:hAnsi="Times New Roman"/>
          <w:b/>
          <w:sz w:val="20"/>
        </w:rPr>
        <w:t>  Cash, Cash Equivalents and Restricted Cash</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 provides a reconciliation of c</w:t>
      </w:r>
      <w:r>
        <w:rPr>
          <w:rFonts w:ascii="Times New Roman" w:hAnsi="Times New Roman"/>
          <w:sz w:val="20"/>
          <w:shd w:fill="FFFFFF" w:val="clear"/>
        </w:rPr>
        <w:t>ash, cash equivalents and r</w:t>
      </w:r>
      <w:r>
        <w:rPr>
          <w:rFonts w:ascii="Times New Roman" w:hAnsi="Times New Roman"/>
          <w:sz w:val="20"/>
        </w:rPr>
        <w:t>estricted cash reported within the statement of financial position that sum to the total of the same such amounts in the statement of cash flows (in thousands):</w:t>
      </w:r>
    </w:p>
    <w:p>
      <w:pPr>
        <w:pStyle w:val="TextBody"/>
        <w:bidi w:val="0"/>
        <w:spacing w:before="0" w:after="0"/>
        <w:ind w:left="0" w:right="0" w:firstLine="720"/>
        <w:jc w:val="left"/>
        <w:rPr/>
      </w:pPr>
      <w:r>
        <w:rPr/>
        <w:t> </w:t>
      </w:r>
    </w:p>
    <w:tbl>
      <w:tblPr>
        <w:tblW w:w="8953" w:type="dxa"/>
        <w:jc w:val="left"/>
        <w:tblInd w:w="0" w:type="dxa"/>
        <w:tblLayout w:type="fixed"/>
        <w:tblCellMar>
          <w:top w:w="0" w:type="dxa"/>
          <w:left w:w="0" w:type="dxa"/>
          <w:bottom w:w="0" w:type="dxa"/>
          <w:right w:w="0" w:type="dxa"/>
        </w:tblCellMar>
      </w:tblPr>
      <w:tblGrid>
        <w:gridCol w:w="6845"/>
        <w:gridCol w:w="60"/>
        <w:gridCol w:w="126"/>
        <w:gridCol w:w="598"/>
        <w:gridCol w:w="60"/>
        <w:gridCol w:w="60"/>
        <w:gridCol w:w="199"/>
        <w:gridCol w:w="945"/>
        <w:gridCol w:w="60"/>
      </w:tblGrid>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24,685</w:t>
            </w:r>
          </w:p>
        </w:tc>
        <w:tc>
          <w:tcPr>
            <w:tcW w:w="6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cash</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10,902</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cash, cash equivalents and restricted cash shown in the statement of cash flows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35,587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 w:hAnsi="Times New Roman"/>
          <w:sz w:val="20"/>
        </w:rPr>
        <w:t xml:space="preserve">Restricted cash includes guarantee deposits for customs duties, China government subsidy fund, and compensating balances associated with certain credit facilities. As of </w:t>
      </w:r>
      <w:r>
        <w:rPr>
          <w:rStyle w:val="Emphasis"/>
          <w:rFonts w:ascii="Times New Roman" w:hAnsi="Times New Roman"/>
          <w:sz w:val="20"/>
        </w:rPr>
        <w:t>June 30, 2023</w:t>
      </w:r>
      <w:r>
        <w:rPr>
          <w:rFonts w:ascii="Times New Roman" w:hAnsi="Times New Roman"/>
          <w:sz w:val="20"/>
        </w:rPr>
        <w:t xml:space="preserve"> and </w:t>
      </w:r>
      <w:r>
        <w:rPr>
          <w:rStyle w:val="Emphasis"/>
          <w:rFonts w:ascii="Times New Roman" w:hAnsi="Times New Roman"/>
          <w:sz w:val="20"/>
        </w:rPr>
        <w:t>December 31, 2022</w:t>
      </w:r>
      <w:r>
        <w:rPr>
          <w:rFonts w:ascii="Times New Roman" w:hAnsi="Times New Roman"/>
          <w:sz w:val="20"/>
        </w:rPr>
        <w:t xml:space="preserve">, there was $3.9 million and $8.7 million of restricted cash required for bank acceptance notes issued to vendors, respectively. In addition, there was $1.9 million and $1.1 million certificate of deposit associated with credit facilities with a bank in China as of </w:t>
      </w:r>
      <w:r>
        <w:rPr>
          <w:rStyle w:val="Emphasis"/>
          <w:rFonts w:ascii="Times New Roman" w:hAnsi="Times New Roman"/>
          <w:sz w:val="20"/>
        </w:rPr>
        <w:t>June 30, 2023</w:t>
      </w:r>
      <w:r>
        <w:rPr>
          <w:rFonts w:ascii="Times New Roman" w:hAnsi="Times New Roman"/>
          <w:sz w:val="20"/>
        </w:rPr>
        <w:t xml:space="preserve"> and </w:t>
      </w:r>
      <w:r>
        <w:rPr>
          <w:rStyle w:val="Emphasis"/>
          <w:rFonts w:ascii="Times New Roman" w:hAnsi="Times New Roman"/>
          <w:sz w:val="20"/>
        </w:rPr>
        <w:t>December 31, 2022</w:t>
      </w:r>
      <w:r>
        <w:rPr>
          <w:rFonts w:ascii="Times New Roman" w:hAnsi="Times New Roman"/>
          <w:sz w:val="20"/>
        </w:rPr>
        <w:t>, respectively. There was $0.7 million and $1.0 million guarantee deposits for customs duties as of </w:t>
      </w:r>
      <w:r>
        <w:rPr>
          <w:rStyle w:val="Emphasis"/>
          <w:rFonts w:ascii="Times New Roman" w:hAnsi="Times New Roman"/>
          <w:sz w:val="20"/>
        </w:rPr>
        <w:t xml:space="preserve"> June 30, 2023</w:t>
      </w:r>
      <w:r>
        <w:rPr>
          <w:rFonts w:ascii="Times New Roman" w:hAnsi="Times New Roman"/>
          <w:sz w:val="20"/>
        </w:rPr>
        <w:t xml:space="preserve"> and </w:t>
      </w:r>
      <w:r>
        <w:rPr>
          <w:rStyle w:val="Emphasis"/>
          <w:rFonts w:ascii="Times New Roman" w:hAnsi="Times New Roman"/>
          <w:sz w:val="20"/>
        </w:rPr>
        <w:t>December 31, 2022</w:t>
      </w:r>
      <w:r>
        <w:rPr>
          <w:rFonts w:ascii="Times New Roman" w:hAnsi="Times New Roman"/>
          <w:sz w:val="20"/>
        </w:rPr>
        <w:t>, respectively.</w:t>
      </w:r>
    </w:p>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6.</w:t>
      </w:r>
      <w:r>
        <w:rPr>
          <w:rFonts w:ascii="Times New Roman;Times;serif" w:hAnsi="Times New Roman;Times;serif"/>
          <w:b/>
          <w:sz w:val="20"/>
        </w:rPr>
        <w:t>  Earnings (Loss) Per Share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computation of the basic and diluted net loss per share for the periods indicated (in thousands):</w:t>
      </w:r>
    </w:p>
    <w:p>
      <w:pPr>
        <w:pStyle w:val="TextBody"/>
        <w:bidi w:val="0"/>
        <w:spacing w:before="0" w:after="0"/>
        <w:ind w:left="0" w:right="0" w:hanging="0"/>
        <w:jc w:val="left"/>
        <w:rPr/>
      </w:pPr>
      <w:r>
        <w:rPr/>
        <w:t>​</w:t>
      </w:r>
    </w:p>
    <w:tbl>
      <w:tblPr>
        <w:tblW w:w="9769" w:type="dxa"/>
        <w:jc w:val="left"/>
        <w:tblInd w:w="0" w:type="dxa"/>
        <w:tblLayout w:type="fixed"/>
        <w:tblCellMar>
          <w:top w:w="0" w:type="dxa"/>
          <w:left w:w="0" w:type="dxa"/>
          <w:bottom w:w="0" w:type="dxa"/>
          <w:right w:w="0" w:type="dxa"/>
        </w:tblCellMar>
      </w:tblPr>
      <w:tblGrid>
        <w:gridCol w:w="4835"/>
        <w:gridCol w:w="60"/>
        <w:gridCol w:w="180"/>
        <w:gridCol w:w="936"/>
        <w:gridCol w:w="115"/>
        <w:gridCol w:w="86"/>
        <w:gridCol w:w="180"/>
        <w:gridCol w:w="936"/>
        <w:gridCol w:w="80"/>
        <w:gridCol w:w="60"/>
        <w:gridCol w:w="164"/>
        <w:gridCol w:w="855"/>
        <w:gridCol w:w="105"/>
        <w:gridCol w:w="78"/>
        <w:gridCol w:w="164"/>
        <w:gridCol w:w="855"/>
        <w:gridCol w:w="80"/>
      </w:tblGrid>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CCEEFF" w:val="clear"/>
            <w:vAlign w:val="center"/>
          </w:tcPr>
          <w:p>
            <w:pPr>
              <w:pStyle w:val="TableContents"/>
              <w:bidi w:val="0"/>
              <w:spacing w:before="0" w:after="283"/>
              <w:ind w:left="0" w:right="0" w:hanging="0"/>
              <w:jc w:val="left"/>
              <w:rPr/>
            </w:pPr>
            <w:r>
              <w:rPr/>
              <w:t> </w:t>
            </w:r>
          </w:p>
        </w:tc>
        <w:tc>
          <w:tcPr>
            <w:tcW w:w="111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11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(16,944</w:t>
            </w:r>
          </w:p>
        </w:tc>
        <w:tc>
          <w:tcPr>
            <w:tcW w:w="11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 w:type="dxa"/>
            <w:tcBorders/>
            <w:shd w:fill="FFFFFF" w:val="clear"/>
            <w:vAlign w:val="center"/>
          </w:tcPr>
          <w:p>
            <w:pPr>
              <w:pStyle w:val="TableContents"/>
              <w:bidi w:val="0"/>
              <w:spacing w:before="0" w:after="283"/>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(33,237</w:t>
            </w:r>
          </w:p>
        </w:tc>
        <w:tc>
          <w:tcPr>
            <w:tcW w:w="1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w:t>
            </w:r>
          </w:p>
        </w:tc>
        <w:tc>
          <w:tcPr>
            <w:tcW w:w="60" w:type="dxa"/>
            <w:tcBorders/>
            <w:shd w:fill="CCEEFF" w:val="clear"/>
            <w:vAlign w:val="center"/>
          </w:tcPr>
          <w:p>
            <w:pPr>
              <w:pStyle w:val="TableContents"/>
              <w:bidi w:val="0"/>
              <w:spacing w:before="0" w:after="283"/>
              <w:ind w:left="0" w:right="0" w:hanging="0"/>
              <w:jc w:val="left"/>
              <w:rPr/>
            </w:pPr>
            <w:r>
              <w:rPr/>
              <w:t> </w:t>
            </w:r>
          </w:p>
        </w:tc>
        <w:tc>
          <w:tcPr>
            <w:tcW w:w="111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11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used to compute 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29,489</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29,182</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27,537</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29,489</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29,182</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27,537</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11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11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(0.57</w:t>
            </w:r>
          </w:p>
        </w:tc>
        <w:tc>
          <w:tcPr>
            <w:tcW w:w="11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w:t>
            </w:r>
          </w:p>
        </w:tc>
        <w:tc>
          <w:tcPr>
            <w:tcW w:w="1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(0.57</w:t>
            </w:r>
          </w:p>
        </w:tc>
        <w:tc>
          <w:tcPr>
            <w:tcW w:w="11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w:t>
            </w:r>
          </w:p>
        </w:tc>
        <w:tc>
          <w:tcPr>
            <w:tcW w:w="1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potentially dilutive securities were excluded from the diluted net loss per share as their effect would have been antidilutive (in thousands):</w:t>
      </w:r>
    </w:p>
    <w:p>
      <w:pPr>
        <w:pStyle w:val="TextBody"/>
        <w:bidi w:val="0"/>
        <w:spacing w:before="0" w:after="0"/>
        <w:ind w:left="0" w:right="0" w:hanging="0"/>
        <w:jc w:val="left"/>
        <w:rPr/>
      </w:pPr>
      <w:r>
        <w:rPr/>
        <w:t>​</w:t>
      </w:r>
    </w:p>
    <w:tbl>
      <w:tblPr>
        <w:tblW w:w="7704" w:type="dxa"/>
        <w:jc w:val="left"/>
        <w:tblInd w:w="0" w:type="dxa"/>
        <w:tblLayout w:type="fixed"/>
        <w:tblCellMar>
          <w:top w:w="0" w:type="dxa"/>
          <w:left w:w="0" w:type="dxa"/>
          <w:bottom w:w="0" w:type="dxa"/>
          <w:right w:w="0" w:type="dxa"/>
        </w:tblCellMar>
      </w:tblPr>
      <w:tblGrid>
        <w:gridCol w:w="2810"/>
        <w:gridCol w:w="60"/>
        <w:gridCol w:w="120"/>
        <w:gridCol w:w="976"/>
        <w:gridCol w:w="120"/>
        <w:gridCol w:w="120"/>
        <w:gridCol w:w="120"/>
        <w:gridCol w:w="976"/>
        <w:gridCol w:w="60"/>
        <w:gridCol w:w="60"/>
        <w:gridCol w:w="110"/>
        <w:gridCol w:w="891"/>
        <w:gridCol w:w="110"/>
        <w:gridCol w:w="110"/>
        <w:gridCol w:w="110"/>
        <w:gridCol w:w="891"/>
        <w:gridCol w:w="60"/>
      </w:tblGrid>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0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Employee stock options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1096" w:type="dxa"/>
            <w:gridSpan w:val="2"/>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pPr>
            <w:r>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stock units</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096" w:type="dxa"/>
            <w:gridSpan w:val="2"/>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for convertible senior notes</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4,587</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4,587</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4,587</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antidilutive shares</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5,085</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5,060</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7.</w:t>
      </w:r>
      <w:r>
        <w:rPr>
          <w:rFonts w:ascii="Times New Roman" w:hAnsi="Times New Roman"/>
          <w:b/>
          <w:sz w:val="20"/>
        </w:rPr>
        <w:t>  Inventories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Inventories, net of inventory write-downs, consist of the following for the periods indicated (in thousands):</w:t>
      </w:r>
    </w:p>
    <w:p>
      <w:pPr>
        <w:pStyle w:val="TextBody"/>
        <w:bidi w:val="0"/>
        <w:spacing w:before="0" w:after="0"/>
        <w:ind w:left="0" w:right="0" w:firstLine="720"/>
        <w:jc w:val="left"/>
        <w:rPr/>
      </w:pPr>
      <w:r>
        <w:rPr/>
        <w:t>​</w:t>
      </w:r>
    </w:p>
    <w:tbl>
      <w:tblPr>
        <w:tblW w:w="5968" w:type="dxa"/>
        <w:jc w:val="left"/>
        <w:tblInd w:w="0" w:type="dxa"/>
        <w:tblLayout w:type="fixed"/>
        <w:tblCellMar>
          <w:top w:w="0" w:type="dxa"/>
          <w:left w:w="0" w:type="dxa"/>
          <w:bottom w:w="0" w:type="dxa"/>
          <w:right w:w="0" w:type="dxa"/>
        </w:tblCellMar>
      </w:tblPr>
      <w:tblGrid>
        <w:gridCol w:w="2930"/>
        <w:gridCol w:w="60"/>
        <w:gridCol w:w="208"/>
        <w:gridCol w:w="981"/>
        <w:gridCol w:w="60"/>
        <w:gridCol w:w="60"/>
        <w:gridCol w:w="280"/>
        <w:gridCol w:w="1329"/>
        <w:gridCol w:w="60"/>
      </w:tblGrid>
      <w:tr>
        <w:trPr/>
        <w:tc>
          <w:tcPr>
            <w:tcW w:w="293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June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December 31, 2022</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25,732</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 in process and sub-assemblies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39,563</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Finished goods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14,384</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79,679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4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inventory reserve adjustment expensed for inventory was $2.4 million, and $0.4 million, respectively.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the inventory reserve adjustment expensed for inventory was $5.0 million, and $2.4 million, respectively.</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160" w:right="0" w:firstLine="540"/>
        <w:jc w:val="left"/>
        <w:rPr/>
      </w:pPr>
      <w:r>
        <w:rPr>
          <w:rFonts w:ascii="Times New Roman" w:hAnsi="Times New Roman"/>
          <w:caps w:val="false"/>
          <w:smallCaps w:val="false"/>
          <w:sz w:val="20"/>
        </w:rPr>
        <w:t>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the direct inventory write-offs related to scrap, discontinued products, and damaged inventories were $3.1 million and $1.8 million, respectively.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the direct inventory write-offs related to scrap, discontinued products, and damaged inventories were $6.9 million and $2.7 million, respectively.</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0" w:right="0" w:hanging="0"/>
        <w:jc w:val="left"/>
        <w:rPr>
          <w:shd w:fill="FFFFFF" w:val="clear"/>
        </w:rPr>
      </w:pPr>
      <w:r>
        <w:rPr>
          <w:shd w:fill="FFFFFF" w:val="clear"/>
        </w:rPr>
        <w:t xml:space="preserve">​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8.</w:t>
      </w:r>
      <w:r>
        <w:rPr>
          <w:rFonts w:ascii="Times New Roman;Times;serif" w:hAnsi="Times New Roman;Times;serif"/>
          <w:b/>
          <w:sz w:val="20"/>
        </w:rPr>
        <w:t>  Property, Plant &amp; Equipment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Property, plant and equipment consisted of the following for the periods indicated (in thousands):</w:t>
      </w:r>
    </w:p>
    <w:p>
      <w:pPr>
        <w:pStyle w:val="TextBody"/>
        <w:bidi w:val="0"/>
        <w:spacing w:before="0" w:after="0"/>
        <w:ind w:left="0" w:right="0" w:firstLine="720"/>
        <w:jc w:val="left"/>
        <w:rPr/>
      </w:pPr>
      <w:r>
        <w:rPr/>
        <w:t>​</w:t>
      </w:r>
    </w:p>
    <w:tbl>
      <w:tblPr>
        <w:tblW w:w="7028" w:type="dxa"/>
        <w:jc w:val="left"/>
        <w:tblInd w:w="0" w:type="dxa"/>
        <w:tblLayout w:type="fixed"/>
        <w:tblCellMar>
          <w:top w:w="0" w:type="dxa"/>
          <w:left w:w="0" w:type="dxa"/>
          <w:bottom w:w="0" w:type="dxa"/>
          <w:right w:w="0" w:type="dxa"/>
        </w:tblCellMar>
      </w:tblPr>
      <w:tblGrid>
        <w:gridCol w:w="3950"/>
        <w:gridCol w:w="60"/>
        <w:gridCol w:w="169"/>
        <w:gridCol w:w="1020"/>
        <w:gridCol w:w="80"/>
        <w:gridCol w:w="60"/>
        <w:gridCol w:w="228"/>
        <w:gridCol w:w="1381"/>
        <w:gridCol w:w="80"/>
      </w:tblGrid>
      <w:tr>
        <w:trPr/>
        <w:tc>
          <w:tcPr>
            <w:tcW w:w="395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2022</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86,372</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247,242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251,216</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5,382</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 and software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11,713</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679</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356,168</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(183,479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178,649</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30,434</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197,879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210,184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the depreciation expense of property, plant and equipment wa</w:t>
      </w:r>
      <w:r>
        <w:rPr>
          <w:rFonts w:ascii="Times New Roman;Times;serif" w:hAnsi="Times New Roman;Times;serif"/>
          <w:sz w:val="20"/>
          <w:shd w:fill="FFFFFF" w:val="clear"/>
        </w:rPr>
        <w:t xml:space="preserve">s $5.0 million </w:t>
      </w:r>
      <w:r>
        <w:rPr>
          <w:rFonts w:ascii="Times New Roman;Times;serif" w:hAnsi="Times New Roman;Times;serif"/>
          <w:sz w:val="20"/>
        </w:rPr>
        <w:t xml:space="preserve">and $5.7 million, respectively.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the depreciation expense of property, plant and equipment wa</w:t>
      </w:r>
      <w:r>
        <w:rPr>
          <w:rFonts w:ascii="Times New Roman;Times;serif" w:hAnsi="Times New Roman;Times;serif"/>
          <w:sz w:val="20"/>
          <w:shd w:fill="FFFFFF" w:val="clear"/>
        </w:rPr>
        <w:t xml:space="preserve">s $10.2 million </w:t>
      </w:r>
      <w:r>
        <w:rPr>
          <w:rFonts w:ascii="Times New Roman;Times;serif" w:hAnsi="Times New Roman;Times;serif"/>
          <w:sz w:val="20"/>
        </w:rPr>
        <w:t xml:space="preserve">and $11.7 million, respectively.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the capitalized interest was $0 million and $0.2 million, respectively.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As of </w:t>
      </w:r>
      <w:r>
        <w:rPr>
          <w:rStyle w:val="Emphasis"/>
          <w:rFonts w:ascii="Times New Roman;Times;serif" w:hAnsi="Times New Roman;Times;serif"/>
          <w:sz w:val="20"/>
        </w:rPr>
        <w:t>June 30, 2023</w:t>
      </w:r>
      <w:r>
        <w:rPr>
          <w:rFonts w:ascii="Times New Roman;Times;serif" w:hAnsi="Times New Roman;Times;serif"/>
          <w:i/>
          <w:sz w:val="20"/>
        </w:rPr>
        <w:t xml:space="preserve">, </w:t>
      </w:r>
      <w:r>
        <w:rPr>
          <w:rFonts w:ascii="Times New Roman;Times;serif" w:hAnsi="Times New Roman;Times;serif"/>
          <w:sz w:val="20"/>
        </w:rPr>
        <w:t xml:space="preserve">the Company concluded that its continued loss history constitutes a triggering event as described in ASC </w:t>
      </w:r>
      <w:r>
        <w:rPr>
          <w:rStyle w:val="Emphasis"/>
          <w:rFonts w:ascii="Times New Roman;Times;serif" w:hAnsi="Times New Roman;Times;serif"/>
          <w:i/>
          <w:sz w:val="20"/>
        </w:rPr>
        <w:t>360</w:t>
      </w:r>
      <w:r>
        <w:rPr>
          <w:rFonts w:ascii="Times New Roman;Times;serif" w:hAnsi="Times New Roman;Times;serif"/>
          <w:sz w:val="20"/>
        </w:rPr>
        <w:t>-</w:t>
      </w:r>
      <w:r>
        <w:rPr>
          <w:rStyle w:val="Emphasis"/>
          <w:rFonts w:ascii="Times New Roman;Times;serif" w:hAnsi="Times New Roman;Times;serif"/>
          <w:i/>
          <w:sz w:val="20"/>
        </w:rPr>
        <w:t>10</w:t>
      </w:r>
      <w:r>
        <w:rPr>
          <w:rFonts w:ascii="Times New Roman;Times;serif" w:hAnsi="Times New Roman;Times;serif"/>
          <w:sz w:val="20"/>
        </w:rPr>
        <w:t>-</w:t>
      </w:r>
      <w:r>
        <w:rPr>
          <w:rStyle w:val="Emphasis"/>
          <w:rFonts w:ascii="Times New Roman;Times;serif" w:hAnsi="Times New Roman;Times;serif"/>
          <w:i/>
          <w:sz w:val="20"/>
        </w:rPr>
        <w:t>35</w:t>
      </w:r>
      <w:r>
        <w:rPr>
          <w:rFonts w:ascii="Times New Roman;Times;serif" w:hAnsi="Times New Roman;Times;serif"/>
          <w:sz w:val="20"/>
        </w:rPr>
        <w:t>-</w:t>
      </w:r>
      <w:r>
        <w:rPr>
          <w:rStyle w:val="Emphasis"/>
          <w:rFonts w:ascii="Times New Roman;Times;serif" w:hAnsi="Times New Roman;Times;serif"/>
          <w:i/>
          <w:sz w:val="20"/>
        </w:rPr>
        <w:t>21,</w:t>
      </w:r>
      <w:r>
        <w:rPr>
          <w:rFonts w:ascii="Times New Roman;Times;serif" w:hAnsi="Times New Roman;Times;serif"/>
          <w:i/>
          <w:sz w:val="20"/>
        </w:rPr>
        <w:t>Property, Plant, and Equipment</w:t>
      </w:r>
      <w:r>
        <w:rPr>
          <w:rFonts w:ascii="Times New Roman;Times;serif" w:hAnsi="Times New Roman;Times;serif"/>
          <w:sz w:val="20"/>
        </w:rPr>
        <w:t>.  The Company performed a recoverability test and concluded that future undiscounted cash flows exceed the carrying amount of the Company’s long-lived assets and therefore no impairment charge was recorded.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9.</w:t>
      </w:r>
      <w:r>
        <w:rPr>
          <w:rFonts w:ascii="Times New Roman;Times;serif" w:hAnsi="Times New Roman;Times;serif"/>
          <w:b/>
          <w:sz w:val="20"/>
        </w:rPr>
        <w:t>  Intangible Assets, net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Intangible assets consisted of the following for the periods indicated (in thousands):</w:t>
      </w:r>
    </w:p>
    <w:p>
      <w:pPr>
        <w:pStyle w:val="TextBody"/>
        <w:bidi w:val="0"/>
        <w:spacing w:before="0" w:after="0"/>
        <w:ind w:left="0" w:right="0" w:firstLine="720"/>
        <w:jc w:val="left"/>
        <w:rPr/>
      </w:pPr>
      <w:r>
        <w:rPr/>
        <w:t>​</w:t>
      </w:r>
    </w:p>
    <w:tbl>
      <w:tblPr>
        <w:tblW w:w="4945" w:type="dxa"/>
        <w:jc w:val="left"/>
        <w:tblInd w:w="0" w:type="dxa"/>
        <w:tblLayout w:type="fixed"/>
        <w:tblCellMar>
          <w:top w:w="0" w:type="dxa"/>
          <w:left w:w="0" w:type="dxa"/>
          <w:bottom w:w="0" w:type="dxa"/>
          <w:right w:w="0" w:type="dxa"/>
        </w:tblCellMar>
      </w:tblPr>
      <w:tblGrid>
        <w:gridCol w:w="1865"/>
        <w:gridCol w:w="60"/>
        <w:gridCol w:w="139"/>
        <w:gridCol w:w="541"/>
        <w:gridCol w:w="60"/>
        <w:gridCol w:w="60"/>
        <w:gridCol w:w="208"/>
        <w:gridCol w:w="907"/>
        <w:gridCol w:w="80"/>
        <w:gridCol w:w="60"/>
        <w:gridCol w:w="182"/>
        <w:gridCol w:w="708"/>
        <w:gridCol w:w="75"/>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2023</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Intangible</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 net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3,576</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tbl>
      <w:tblPr>
        <w:tblW w:w="4915" w:type="dxa"/>
        <w:jc w:val="left"/>
        <w:tblInd w:w="0" w:type="dxa"/>
        <w:tblLayout w:type="fixed"/>
        <w:tblCellMar>
          <w:top w:w="0" w:type="dxa"/>
          <w:left w:w="0" w:type="dxa"/>
          <w:bottom w:w="0" w:type="dxa"/>
          <w:right w:w="0" w:type="dxa"/>
        </w:tblCellMar>
      </w:tblPr>
      <w:tblGrid>
        <w:gridCol w:w="1850"/>
        <w:gridCol w:w="60"/>
        <w:gridCol w:w="139"/>
        <w:gridCol w:w="541"/>
        <w:gridCol w:w="60"/>
        <w:gridCol w:w="60"/>
        <w:gridCol w:w="208"/>
        <w:gridCol w:w="907"/>
        <w:gridCol w:w="80"/>
        <w:gridCol w:w="60"/>
        <w:gridCol w:w="182"/>
        <w:gridCol w:w="708"/>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2022</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Intangible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assets, net</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3,664</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amortization expense for intangible assets, included in general and administrative expenses on the statement of operations, was each $0.2 million.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amortization expense for intangible assets, included in general and administrative expenses on the statement of operations, was each $0.3 million. The remaining weighted average amortization period for intangible assets is approxi</w:t>
      </w:r>
      <w:r>
        <w:rPr>
          <w:rFonts w:ascii="Times New Roman;Times;serif" w:hAnsi="Times New Roman;Times;serif"/>
          <w:sz w:val="20"/>
          <w:shd w:fill="FFFFFF" w:val="clear"/>
        </w:rPr>
        <w:t>mately 5.6 years.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At </w:t>
      </w:r>
      <w:r>
        <w:rPr>
          <w:rStyle w:val="Emphasis"/>
          <w:rFonts w:ascii="Times New Roman;Times;serif" w:hAnsi="Times New Roman;Times;serif"/>
          <w:sz w:val="20"/>
        </w:rPr>
        <w:t>June 30, 2023</w:t>
      </w:r>
      <w:r>
        <w:rPr>
          <w:rFonts w:ascii="Times New Roman;Times;serif" w:hAnsi="Times New Roman;Times;serif"/>
          <w:sz w:val="20"/>
        </w:rPr>
        <w:t xml:space="preserve">, future amortization expense for intangible assets for future </w:t>
      </w:r>
      <w:r>
        <w:rPr>
          <w:rStyle w:val="Emphasis"/>
          <w:rFonts w:ascii="Times New Roman;Times;serif" w:hAnsi="Times New Roman;Times;serif"/>
          <w:sz w:val="20"/>
        </w:rPr>
        <w:t>one</w:t>
      </w:r>
      <w:r>
        <w:rPr>
          <w:rFonts w:ascii="Times New Roman;Times;serif" w:hAnsi="Times New Roman;Times;serif"/>
          <w:sz w:val="20"/>
        </w:rPr>
        <w:t xml:space="preserve"> year periods is estimated to be (in thousands):</w:t>
      </w:r>
    </w:p>
    <w:p>
      <w:pPr>
        <w:pStyle w:val="TextBody"/>
        <w:bidi w:val="0"/>
        <w:spacing w:before="0" w:after="0"/>
        <w:ind w:left="0" w:right="0" w:firstLine="720"/>
        <w:jc w:val="left"/>
        <w:rPr/>
      </w:pPr>
      <w:r>
        <w:rPr/>
        <w:t> </w:t>
      </w:r>
    </w:p>
    <w:tbl>
      <w:tblPr>
        <w:tblW w:w="2325" w:type="dxa"/>
        <w:jc w:val="left"/>
        <w:tblInd w:w="0" w:type="dxa"/>
        <w:tblLayout w:type="fixed"/>
        <w:tblCellMar>
          <w:top w:w="0" w:type="dxa"/>
          <w:left w:w="0" w:type="dxa"/>
          <w:bottom w:w="0" w:type="dxa"/>
          <w:right w:w="0" w:type="dxa"/>
        </w:tblCellMar>
      </w:tblPr>
      <w:tblGrid>
        <w:gridCol w:w="1595"/>
        <w:gridCol w:w="60"/>
        <w:gridCol w:w="125"/>
        <w:gridCol w:w="485"/>
        <w:gridCol w:w="60"/>
      </w:tblGrid>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p>
        </w:tc>
        <w:tc>
          <w:tcPr>
            <w:tcW w:w="60"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60"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60"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60"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649</w:t>
            </w:r>
          </w:p>
        </w:tc>
        <w:tc>
          <w:tcPr>
            <w:tcW w:w="60"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60"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Times;serif" w:hAnsi="Times New Roman;Times;serif"/>
          <w:b/>
          <w:sz w:val="20"/>
        </w:rPr>
        <w:t xml:space="preserve">Note </w:t>
      </w:r>
      <w:r>
        <w:rPr>
          <w:rStyle w:val="Emphasis"/>
          <w:rFonts w:ascii="Times New Roman;Times;serif" w:hAnsi="Times New Roman;Times;serif"/>
          <w:b/>
          <w:sz w:val="20"/>
        </w:rPr>
        <w:t>10.</w:t>
      </w:r>
      <w:r>
        <w:rPr>
          <w:rFonts w:ascii="Times New Roman;Times;serif" w:hAnsi="Times New Roman;Times;serif"/>
          <w:b/>
          <w:sz w:val="20"/>
        </w:rPr>
        <w:t>  Fair Value of Financial Instruments​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amounts of cash and cash equivalents, restricted cash, accounts receivable, prepaid expenses, notes receivable and other current assets, accounts payable, accrued expenses, bank acceptance payable and other current liabilities approximate fair value because of the short-term maturity of these instruments. The Company believes that the interest rates in effect at each period end represent the current market rates for similar borrowings.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fair value of convertible senior notes is measured for disclosure purposes only. The fair value and carrying amount of our convertible senior notes as of </w:t>
      </w:r>
      <w:r>
        <w:rPr>
          <w:rStyle w:val="Emphasis"/>
          <w:rFonts w:ascii="Times New Roman;Times;serif" w:hAnsi="Times New Roman;Times;serif"/>
          <w:sz w:val="20"/>
        </w:rPr>
        <w:t>June 30, 2023</w:t>
      </w:r>
      <w:r>
        <w:rPr>
          <w:rFonts w:ascii="Times New Roman;Times;serif" w:hAnsi="Times New Roman;Times;serif"/>
          <w:sz w:val="20"/>
        </w:rPr>
        <w:t xml:space="preserve"> was $65.9 million and $79.9 million, respectively. As of </w:t>
      </w:r>
      <w:r>
        <w:rPr>
          <w:rStyle w:val="Emphasis"/>
          <w:rFonts w:ascii="Times New Roman;Times;serif" w:hAnsi="Times New Roman;Times;serif"/>
          <w:sz w:val="20"/>
        </w:rPr>
        <w:t xml:space="preserve">December 31, 2022, </w:t>
      </w:r>
      <w:r>
        <w:rPr>
          <w:rFonts w:ascii="Times New Roman;Times;serif" w:hAnsi="Times New Roman;Times;serif"/>
          <w:sz w:val="20"/>
        </w:rPr>
        <w:t xml:space="preserve">the fair value and carrying amount of our convertible senior notes was $58.3 million and $79.5 million, respectively. The fair value is based on observable market prices for this debt, which is traded in less active markets and are therefore classified as a Level </w:t>
      </w:r>
      <w:r>
        <w:rPr>
          <w:rStyle w:val="Emphasis"/>
          <w:rFonts w:ascii="Times New Roman;Times;serif" w:hAnsi="Times New Roman;Times;serif"/>
          <w:sz w:val="20"/>
        </w:rPr>
        <w:t>2</w:t>
      </w:r>
      <w:r>
        <w:rPr>
          <w:rFonts w:ascii="Times New Roman;Times;serif" w:hAnsi="Times New Roman;Times;serif"/>
          <w:sz w:val="20"/>
        </w:rPr>
        <w:t xml:space="preserve"> fair value measurement.</w:t>
      </w:r>
    </w:p>
    <w:p>
      <w:pPr>
        <w:pStyle w:val="TextBody"/>
        <w:bidi w:val="0"/>
        <w:spacing w:before="0" w:after="0"/>
        <w:ind w:left="0" w:right="144" w:firstLine="720"/>
        <w:jc w:val="left"/>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11.</w:t>
      </w:r>
      <w:r>
        <w:rPr>
          <w:rFonts w:ascii="Times New Roman;Times;serif" w:hAnsi="Times New Roman;Times;serif"/>
          <w:b/>
          <w:sz w:val="20"/>
        </w:rPr>
        <w:t>  Notes Payable and Long-Term Debt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Notes payable and long-term debt consisted of the following for the periods indicated (in thousands):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735"/>
        <w:gridCol w:w="60"/>
        <w:gridCol w:w="156"/>
        <w:gridCol w:w="818"/>
        <w:gridCol w:w="80"/>
        <w:gridCol w:w="60"/>
        <w:gridCol w:w="195"/>
        <w:gridCol w:w="1019"/>
        <w:gridCol w:w="82"/>
      </w:tblGrid>
      <w:tr>
        <w:trPr/>
        <w:tc>
          <w:tcPr>
            <w:tcW w:w="7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June 30,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2022</w:t>
            </w:r>
          </w:p>
        </w:tc>
        <w:tc>
          <w:tcPr>
            <w:tcW w:w="82" w:type="dxa"/>
            <w:tcBorders/>
            <w:shd w:fill="FFFFFF" w:val="clear"/>
            <w:vAlign w:val="center"/>
          </w:tcPr>
          <w:p>
            <w:pPr>
              <w:pStyle w:val="TableContents"/>
              <w:bidi w:val="0"/>
              <w:spacing w:before="0" w:after="283"/>
              <w:jc w:val="left"/>
              <w:rPr/>
            </w:pPr>
            <w:r>
              <w:rPr/>
              <w:t> </w:t>
            </w:r>
          </w:p>
        </w:tc>
      </w:tr>
      <w:tr>
        <w:trPr/>
        <w:tc>
          <w:tcPr>
            <w:tcW w:w="7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U.S. bank up to $27.780 million with interest at 9.663%, maturing the earlier of either 12/14/2023 or 11/16/2025 if the convertible debt remains in effect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5,830</w:t>
            </w:r>
          </w:p>
        </w:tc>
        <w:tc>
          <w:tcPr>
            <w:tcW w:w="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82" w:type="dxa"/>
            <w:tcBorders/>
            <w:shd w:fill="CCEEFF" w:val="clear"/>
            <w:vAlign w:val="center"/>
          </w:tcPr>
          <w:p>
            <w:pPr>
              <w:pStyle w:val="TableContents"/>
              <w:bidi w:val="0"/>
              <w:spacing w:before="0" w:after="283"/>
              <w:jc w:val="left"/>
              <w:rPr/>
            </w:pPr>
            <w:r>
              <w:rPr/>
              <w:t> </w:t>
            </w:r>
          </w:p>
        </w:tc>
      </w:tr>
      <w:tr>
        <w:trPr/>
        <w:tc>
          <w:tcPr>
            <w:tcW w:w="77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China bank up to $19,037 with interest from 4.57% to 6.12%, maturing May 24, 2024</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13,102</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 with a China bank up to $26,651 with interest of 4.45% ~ 6.6%, maturing June 6, 2027</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20,140</w:t>
            </w:r>
          </w:p>
        </w:tc>
        <w:tc>
          <w:tcPr>
            <w:tcW w:w="82" w:type="dxa"/>
            <w:tcBorders/>
            <w:shd w:fill="CCEEFF" w:val="clear"/>
            <w:vAlign w:val="center"/>
          </w:tcPr>
          <w:p>
            <w:pPr>
              <w:pStyle w:val="TableContents"/>
              <w:bidi w:val="0"/>
              <w:spacing w:before="0" w:after="0"/>
              <w:jc w:val="left"/>
              <w:rPr/>
            </w:pPr>
            <w:r>
              <w:rPr/>
              <w:t> </w:t>
            </w:r>
          </w:p>
        </w:tc>
      </w:tr>
      <w:tr>
        <w:trPr/>
        <w:tc>
          <w:tcPr>
            <w:tcW w:w="77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58,242</w:t>
            </w:r>
          </w:p>
        </w:tc>
        <w:tc>
          <w:tcPr>
            <w:tcW w:w="82" w:type="dxa"/>
            <w:tcBorders/>
            <w:shd w:fill="FFFFFF" w:val="clear"/>
            <w:vAlign w:val="center"/>
          </w:tcPr>
          <w:p>
            <w:pPr>
              <w:pStyle w:val="TableContents"/>
              <w:bidi w:val="0"/>
              <w:spacing w:before="0" w:after="283"/>
              <w:jc w:val="left"/>
              <w:rPr/>
            </w:pPr>
            <w:r>
              <w:rPr/>
              <w:t> </w:t>
            </w:r>
          </w:p>
        </w:tc>
      </w:tr>
      <w:tr>
        <w:trPr/>
        <w:tc>
          <w:tcPr>
            <w:tcW w:w="7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debt issuance costs, net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total</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57,074</w:t>
            </w:r>
          </w:p>
        </w:tc>
        <w:tc>
          <w:tcPr>
            <w:tcW w:w="82" w:type="dxa"/>
            <w:tcBorders/>
            <w:shd w:fill="FFFFFF" w:val="clear"/>
            <w:vAlign w:val="center"/>
          </w:tcPr>
          <w:p>
            <w:pPr>
              <w:pStyle w:val="TableContents"/>
              <w:bidi w:val="0"/>
              <w:spacing w:before="0" w:after="283"/>
              <w:jc w:val="left"/>
              <w:rPr/>
            </w:pPr>
            <w:r>
              <w:rPr/>
              <w:t> </w:t>
            </w:r>
          </w:p>
        </w:tc>
      </w:tr>
      <w:tr>
        <w:trPr/>
        <w:tc>
          <w:tcPr>
            <w:tcW w:w="7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(57,074</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7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4" w:type="dxa"/>
            <w:gridSpan w:val="2"/>
            <w:tcBorders/>
            <w:shd w:fill="CCEEFF" w:val="clear"/>
            <w:vAlign w:val="center"/>
          </w:tcPr>
          <w:p>
            <w:pPr>
              <w:pStyle w:val="TableContents"/>
              <w:bidi w:val="0"/>
              <w:spacing w:before="0" w:after="0"/>
              <w:ind w:left="0" w:right="0" w:hanging="0"/>
              <w:jc w:val="right"/>
              <w:rPr/>
            </w:pPr>
            <w:r>
              <w:rPr/>
              <w:t> </w:t>
            </w:r>
          </w:p>
        </w:tc>
        <w:tc>
          <w:tcPr>
            <w:tcW w:w="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4" w:type="dxa"/>
            <w:gridSpan w:val="2"/>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4" w:type="dxa"/>
            <w:gridSpan w:val="2"/>
            <w:tcBorders/>
            <w:shd w:fill="FFFFFF" w:val="clear"/>
            <w:vAlign w:val="center"/>
          </w:tcPr>
          <w:p>
            <w:pPr>
              <w:pStyle w:val="TableContents"/>
              <w:bidi w:val="0"/>
              <w:spacing w:before="0" w:after="0"/>
              <w:ind w:left="0" w:right="0" w:hanging="0"/>
              <w:jc w:val="right"/>
              <w:rPr/>
            </w:pPr>
            <w:r>
              <w:rPr/>
              <w:t> </w:t>
            </w:r>
          </w:p>
        </w:tc>
        <w:tc>
          <w:tcPr>
            <w:tcW w:w="8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4" w:type="dxa"/>
            <w:gridSpan w:val="2"/>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7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Bank Acceptance Notes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974" w:type="dxa"/>
            <w:gridSpan w:val="2"/>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14" w:type="dxa"/>
            <w:gridSpan w:val="2"/>
            <w:tcBorders/>
            <w:shd w:fill="CCEEFF" w:val="clear"/>
            <w:vAlign w:val="center"/>
          </w:tcPr>
          <w:p>
            <w:pPr>
              <w:pStyle w:val="TableContents"/>
              <w:bidi w:val="0"/>
              <w:spacing w:before="0" w:after="0"/>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7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acceptance notes issued to vendors with a zero percent interest rate</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12,337</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current portion of long-term debt is the amount payable within </w:t>
      </w:r>
      <w:r>
        <w:rPr>
          <w:rStyle w:val="Emphasis"/>
          <w:rFonts w:ascii="Times New Roman;Times;serif" w:hAnsi="Times New Roman;Times;serif"/>
          <w:sz w:val="20"/>
        </w:rPr>
        <w:t>one</w:t>
      </w:r>
      <w:r>
        <w:rPr>
          <w:rFonts w:ascii="Times New Roman;Times;serif" w:hAnsi="Times New Roman;Times;serif"/>
          <w:sz w:val="20"/>
        </w:rPr>
        <w:t xml:space="preserve"> year of the balance sheet date of </w:t>
      </w:r>
      <w:r>
        <w:rPr>
          <w:rStyle w:val="Emphasis"/>
          <w:rFonts w:ascii="Times New Roman;Times;serif" w:hAnsi="Times New Roman;Times;serif"/>
          <w:sz w:val="20"/>
        </w:rPr>
        <w:t>June 30, 2023</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Maturities of long-term debt are as follows for the future </w:t>
      </w:r>
      <w:r>
        <w:rPr>
          <w:rStyle w:val="Emphasis"/>
          <w:rFonts w:ascii="Times New Roman;Times;serif" w:hAnsi="Times New Roman;Times;serif"/>
          <w:sz w:val="20"/>
        </w:rPr>
        <w:t>one</w:t>
      </w:r>
      <w:r>
        <w:rPr>
          <w:rFonts w:ascii="Times New Roman;Times;serif" w:hAnsi="Times New Roman;Times;serif"/>
          <w:sz w:val="20"/>
        </w:rPr>
        <w:t xml:space="preserve">-year periods ending </w:t>
      </w:r>
      <w:r>
        <w:rPr>
          <w:rStyle w:val="Emphasis"/>
          <w:rFonts w:ascii="Times New Roman;Times;serif" w:hAnsi="Times New Roman;Times;serif"/>
          <w:sz w:val="20"/>
        </w:rPr>
        <w:t>June 30, 2023</w:t>
      </w:r>
      <w:r>
        <w:rPr>
          <w:rFonts w:ascii="Times New Roman;Times;serif" w:hAnsi="Times New Roman;Times;serif"/>
          <w:sz w:val="20"/>
        </w:rPr>
        <w:t xml:space="preserve"> (in thousands):</w:t>
      </w:r>
    </w:p>
    <w:p>
      <w:pPr>
        <w:pStyle w:val="TextBody"/>
        <w:bidi w:val="0"/>
        <w:spacing w:before="0" w:after="0"/>
        <w:ind w:left="0" w:right="0" w:firstLine="720"/>
        <w:jc w:val="left"/>
        <w:rPr/>
      </w:pPr>
      <w:r>
        <w:rPr/>
        <w:t>​</w:t>
      </w:r>
    </w:p>
    <w:tbl>
      <w:tblPr>
        <w:tblW w:w="2310" w:type="dxa"/>
        <w:jc w:val="left"/>
        <w:tblInd w:w="0" w:type="dxa"/>
        <w:tblLayout w:type="fixed"/>
        <w:tblCellMar>
          <w:top w:w="0" w:type="dxa"/>
          <w:left w:w="0" w:type="dxa"/>
          <w:bottom w:w="0" w:type="dxa"/>
          <w:right w:w="0" w:type="dxa"/>
        </w:tblCellMar>
      </w:tblPr>
      <w:tblGrid>
        <w:gridCol w:w="1475"/>
        <w:gridCol w:w="60"/>
        <w:gridCol w:w="125"/>
        <w:gridCol w:w="590"/>
        <w:gridCol w:w="60"/>
      </w:tblGrid>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Within one year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37,276</w:t>
            </w:r>
          </w:p>
        </w:tc>
        <w:tc>
          <w:tcPr>
            <w:tcW w:w="6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Beyond one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outstanding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37,276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16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16, 2022, </w:t>
      </w:r>
      <w:r>
        <w:rPr>
          <w:rFonts w:ascii="Times New Roman" w:hAnsi="Times New Roman"/>
          <w:caps w:val="false"/>
          <w:smallCaps w:val="false"/>
          <w:sz w:val="20"/>
        </w:rPr>
        <w:t xml:space="preserve">the Company entered into a Loan Security and Guarantee Agreement (the “Credit Facility”) with CIT Northbridge Credit, LLC (“CIT”), as agent for secured parties. The Credit Facility provides the Company with a three-year, $27.78 million revolving line of credit. Borrowings under the Credit Facility will be used for working capital needs, capital expenditures, and other corporate purposes. The Company's obligations under the Credit Facility are secured by the Company's inventory, accounts receivable, instruments, equipment, intellectual property, and all business assets with the exception of real estate and all foreign assets. Borrowings will bear interest at a rate equal to the Secured Overnight Financing Rate (SOFR) plus 3.75%, while monthly average usage is less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of the Credit Facility, otherwise SOFR plus 4.75%. The Credit Facility will become due at the earlier date of either </w:t>
      </w:r>
      <w:r>
        <w:rPr>
          <w:rStyle w:val="Emphasis"/>
          <w:rFonts w:ascii="Times New Roman" w:hAnsi="Times New Roman"/>
          <w:caps w:val="false"/>
          <w:smallCaps w:val="false"/>
          <w:sz w:val="20"/>
        </w:rPr>
        <w:t xml:space="preserve">November 16, 2025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91</w:t>
      </w:r>
      <w:r>
        <w:rPr>
          <w:rFonts w:ascii="Times New Roman" w:hAnsi="Times New Roman"/>
          <w:caps w:val="false"/>
          <w:smallCaps w:val="false"/>
          <w:sz w:val="20"/>
        </w:rPr>
        <w:t xml:space="preserve"> days prior to the maturity of the Convertible Notes.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$5.8 million was outstanding under the Credit Facility.</w:t>
      </w:r>
    </w:p>
    <w:p>
      <w:pPr>
        <w:pStyle w:val="TextBody"/>
        <w:bidi w:val="0"/>
        <w:spacing w:before="0" w:after="0"/>
        <w:ind w:left="0" w:right="0" w:hanging="0"/>
        <w:jc w:val="left"/>
        <w:rPr/>
      </w:pPr>
      <w:r>
        <w:rPr/>
        <w:t> </w:t>
      </w:r>
    </w:p>
    <w:p>
      <w:pPr>
        <w:pStyle w:val="TextBody"/>
        <w:bidi w:val="0"/>
        <w:spacing w:before="0" w:after="0"/>
        <w:ind w:left="16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24, 2019, </w:t>
      </w:r>
      <w:r>
        <w:rPr>
          <w:rFonts w:ascii="Times New Roman" w:hAnsi="Times New Roman"/>
          <w:caps w:val="false"/>
          <w:smallCaps w:val="false"/>
          <w:sz w:val="20"/>
        </w:rPr>
        <w:t xml:space="preserve">the Company’s China subsidiary, Global, entered into a five-year revolving credit line agreement, totaling 180,000,000 RMB (the “SPD Credit Line”), or approximately $25.4 million at that time, and a mortgage security agreement (the “Security Agreement”), with Shanghai Pudong Development Bank Co., Ltd ("SPD"). Borrowing under the SPD Credit Line will be used for general corporate and capital investment purposes, including the issuance of bank acceptance notes to Global’s vendors. Global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draw upon the SPD Credit Line on an as-needed basis at any time during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-year term; however, draws under the SPD Credit Line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$13.8 million was outstanding under the SPD Credit Line and the outstanding balance of bank acceptance notes issued to vendors was $8.6 million.</w:t>
      </w:r>
    </w:p>
    <w:p>
      <w:pPr>
        <w:pStyle w:val="TextBody"/>
        <w:bidi w:val="0"/>
        <w:spacing w:before="0" w:after="0"/>
        <w:ind w:left="0" w:right="0" w:hanging="0"/>
        <w:jc w:val="left"/>
        <w:rPr/>
      </w:pPr>
      <w:r>
        <w:rPr/>
        <w:t> </w:t>
      </w:r>
    </w:p>
    <w:p>
      <w:pPr>
        <w:pStyle w:val="TextBody"/>
        <w:bidi w:val="0"/>
        <w:spacing w:before="0" w:after="0"/>
        <w:ind w:left="16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7, 2022, </w:t>
      </w:r>
      <w:r>
        <w:rPr>
          <w:rFonts w:ascii="Times New Roman" w:hAnsi="Times New Roman"/>
          <w:caps w:val="false"/>
          <w:smallCaps w:val="false"/>
          <w:sz w:val="20"/>
        </w:rPr>
        <w:t xml:space="preserve">the Company's China Subsidiary, Global, entered a security agreement with China Zheshang Bank in Ningbo City, China ("CZB") for a five-year credit line agreement, totaling 200,000,000 RMB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or approximately $29.9 million at that time. Global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draw upon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between </w:t>
      </w:r>
      <w:r>
        <w:rPr>
          <w:rStyle w:val="Emphasis"/>
          <w:rFonts w:ascii="Times New Roman" w:hAnsi="Times New Roman"/>
          <w:caps w:val="false"/>
          <w:smallCaps w:val="false"/>
          <w:sz w:val="20"/>
        </w:rPr>
        <w:t xml:space="preserve">June 7,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6, 2027 (" ¥200M</w:t>
      </w:r>
      <w:r>
        <w:rPr>
          <w:rFonts w:ascii="Times New Roman" w:hAnsi="Times New Roman"/>
          <w:caps w:val="false"/>
          <w:smallCaps w:val="false"/>
          <w:sz w:val="20"/>
        </w:rPr>
        <w:t xml:space="preserve"> Credit Period"). During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Period, Global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request to draw upon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on an as-needed basis; however, draws under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due and repayable to CZB at CZB’s discretion due to changes in Chinese government regulations and/or changes in Global’s financial and operational condition. Each draw will be facilitated by a separate credit agreement specifying the terms of each draw and will bear interest equal to CZB's commercial banking interest rate effective on the day of the applicable draw. Global’s obligations under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will be secured by real property owned by Global and mortgaged to CZB under the terms of the Real Estate Security Agreement.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$18.7 million was outstanding under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and the outstanding balance of bank acceptance notes issued to vendors was $5.2 million.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As of </w:t>
      </w:r>
      <w:r>
        <w:rPr>
          <w:rStyle w:val="Emphasis"/>
          <w:rFonts w:ascii="Times New Roman;Times;serif" w:hAnsi="Times New Roman;Times;serif"/>
          <w:sz w:val="20"/>
        </w:rPr>
        <w:t>June 30, 2023</w:t>
      </w:r>
      <w:r>
        <w:rPr>
          <w:rFonts w:ascii="Times New Roman;Times;serif" w:hAnsi="Times New Roman;Times;serif"/>
          <w:sz w:val="20"/>
          <w:shd w:fill="FFFFFF" w:val="clear"/>
        </w:rPr>
        <w:t xml:space="preserve"> and </w:t>
      </w:r>
      <w:r>
        <w:rPr>
          <w:rStyle w:val="Emphasis"/>
          <w:rFonts w:ascii="Times New Roman;Times;serif" w:hAnsi="Times New Roman;Times;serif"/>
          <w:sz w:val="20"/>
        </w:rPr>
        <w:t>December 31, 2022</w:t>
      </w:r>
      <w:r>
        <w:rPr>
          <w:rFonts w:ascii="Times New Roman;Times;serif" w:hAnsi="Times New Roman;Times;serif"/>
          <w:sz w:val="20"/>
          <w:shd w:fill="FFFFFF" w:val="clear"/>
        </w:rPr>
        <w:t>, the Company had $</w:t>
      </w:r>
      <w:r>
        <w:rPr>
          <w:rFonts w:ascii="Times New Roman;Times;serif" w:hAnsi="Times New Roman;Times;serif"/>
          <w:sz w:val="20"/>
        </w:rPr>
        <w:t>32.5 million and $13.3 </w:t>
      </w:r>
      <w:r>
        <w:rPr>
          <w:rFonts w:ascii="Times New Roman;Times;serif" w:hAnsi="Times New Roman;Times;serif"/>
          <w:sz w:val="20"/>
          <w:shd w:fill="FFFFFF" w:val="clear"/>
        </w:rPr>
        <w:t>million of unused borrowing capacity, respectively.</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As of </w:t>
      </w:r>
      <w:r>
        <w:rPr>
          <w:rStyle w:val="Emphasis"/>
          <w:rFonts w:ascii="Times New Roman;Times;serif" w:hAnsi="Times New Roman;Times;serif"/>
          <w:sz w:val="20"/>
        </w:rPr>
        <w:t>June 30,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xml:space="preserve">, there </w:t>
      </w:r>
      <w:r>
        <w:rPr>
          <w:rFonts w:ascii="Times New Roman;Times;serif" w:hAnsi="Times New Roman;Times;serif"/>
          <w:sz w:val="20"/>
          <w:shd w:fill="FFFFFF" w:val="clear"/>
        </w:rPr>
        <w:t>was $6.8 million and $9.9 million of restricted cash, investme</w:t>
      </w:r>
      <w:r>
        <w:rPr>
          <w:rFonts w:ascii="Times New Roman;Times;serif" w:hAnsi="Times New Roman;Times;serif"/>
          <w:sz w:val="20"/>
        </w:rPr>
        <w:t>nts or security deposits associated with the loan facilities, respectively.</w:t>
      </w:r>
    </w:p>
    <w:p>
      <w:pPr>
        <w:pStyle w:val="TextBody"/>
        <w:bidi w:val="0"/>
        <w:spacing w:before="0" w:after="0"/>
        <w:ind w:left="0" w:right="0" w:firstLine="720"/>
        <w:jc w:val="left"/>
        <w:rPr/>
      </w:pPr>
      <w:r>
        <w:rPr/>
        <w:t>​</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12.</w:t>
      </w:r>
      <w:r>
        <w:rPr>
          <w:rFonts w:ascii="Times New Roman" w:hAnsi="Times New Roman"/>
          <w:b/>
          <w:sz w:val="20"/>
        </w:rPr>
        <w:t>  Convertible Senior Notes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On </w:t>
      </w:r>
      <w:r>
        <w:rPr>
          <w:rStyle w:val="Emphasis"/>
          <w:rFonts w:ascii="Times New Roman" w:hAnsi="Times New Roman"/>
          <w:sz w:val="20"/>
        </w:rPr>
        <w:t xml:space="preserve">March 5, 2019, </w:t>
      </w:r>
      <w:r>
        <w:rPr>
          <w:rFonts w:ascii="Times New Roman" w:hAnsi="Times New Roman"/>
          <w:sz w:val="20"/>
        </w:rPr>
        <w:t xml:space="preserve">the Company issued $80.5 million of 5% convertible senior notes due </w:t>
      </w:r>
      <w:r>
        <w:rPr>
          <w:rStyle w:val="Emphasis"/>
          <w:rFonts w:ascii="Times New Roman" w:hAnsi="Times New Roman"/>
          <w:sz w:val="20"/>
        </w:rPr>
        <w:t>2024</w:t>
      </w:r>
      <w:r>
        <w:rPr>
          <w:rFonts w:ascii="Times New Roman" w:hAnsi="Times New Roman"/>
          <w:sz w:val="20"/>
        </w:rPr>
        <w:t xml:space="preserve"> (the “Notes”). The Notes were issued pursuant to an indenture, dated as of </w:t>
      </w:r>
      <w:r>
        <w:rPr>
          <w:rStyle w:val="Emphasis"/>
          <w:rFonts w:ascii="Times New Roman" w:hAnsi="Times New Roman"/>
          <w:sz w:val="20"/>
        </w:rPr>
        <w:t>March 5,</w:t>
      </w:r>
      <w:r>
        <w:rPr>
          <w:rFonts w:ascii="Times New Roman" w:hAnsi="Times New Roman"/>
          <w:sz w:val="20"/>
        </w:rPr>
        <w:t xml:space="preserve"> </w:t>
      </w:r>
      <w:r>
        <w:rPr>
          <w:rStyle w:val="Emphasis"/>
          <w:rFonts w:ascii="Times New Roman" w:hAnsi="Times New Roman"/>
          <w:sz w:val="20"/>
        </w:rPr>
        <w:t>2019</w:t>
      </w:r>
      <w:r>
        <w:rPr>
          <w:rFonts w:ascii="Times New Roman" w:hAnsi="Times New Roman"/>
          <w:sz w:val="20"/>
        </w:rPr>
        <w:t xml:space="preserve"> (the “Indenture”), between the Company and Wells Fargo Bank, National Association, as trustee, paying agent, and conversion agent (the “Trustee”). The Notes bear interest at a rate of </w:t>
      </w:r>
      <w:r>
        <w:rPr>
          <w:rStyle w:val="Emphasis"/>
          <w:rFonts w:ascii="Times New Roman" w:hAnsi="Times New Roman"/>
          <w:sz w:val="20"/>
        </w:rPr>
        <w:t>5.00%</w:t>
      </w:r>
      <w:r>
        <w:rPr>
          <w:rFonts w:ascii="Times New Roman" w:hAnsi="Times New Roman"/>
          <w:sz w:val="20"/>
        </w:rPr>
        <w:t xml:space="preserve"> per year, payable in cash semi-annually in arrears on </w:t>
      </w:r>
      <w:r>
        <w:rPr>
          <w:rStyle w:val="Emphasis"/>
          <w:rFonts w:ascii="Times New Roman" w:hAnsi="Times New Roman"/>
          <w:sz w:val="20"/>
        </w:rPr>
        <w:t>March 15</w:t>
      </w:r>
      <w:r>
        <w:rPr>
          <w:rFonts w:ascii="Times New Roman" w:hAnsi="Times New Roman"/>
          <w:sz w:val="20"/>
        </w:rPr>
        <w:t xml:space="preserve"> and </w:t>
      </w:r>
      <w:r>
        <w:rPr>
          <w:rStyle w:val="Emphasis"/>
          <w:rFonts w:ascii="Times New Roman" w:hAnsi="Times New Roman"/>
          <w:sz w:val="20"/>
        </w:rPr>
        <w:t>September 15</w:t>
      </w:r>
      <w:r>
        <w:rPr>
          <w:rFonts w:ascii="Times New Roman" w:hAnsi="Times New Roman"/>
          <w:sz w:val="20"/>
        </w:rPr>
        <w:t xml:space="preserve"> of each year, beginning on </w:t>
      </w:r>
      <w:r>
        <w:rPr>
          <w:rStyle w:val="Emphasis"/>
          <w:rFonts w:ascii="Times New Roman" w:hAnsi="Times New Roman"/>
          <w:sz w:val="20"/>
        </w:rPr>
        <w:t>September 15,</w:t>
      </w:r>
      <w:r>
        <w:rPr>
          <w:rFonts w:ascii="Times New Roman" w:hAnsi="Times New Roman"/>
          <w:sz w:val="20"/>
        </w:rPr>
        <w:t xml:space="preserve"> </w:t>
      </w:r>
      <w:r>
        <w:rPr>
          <w:rStyle w:val="Emphasis"/>
          <w:rFonts w:ascii="Times New Roman" w:hAnsi="Times New Roman"/>
          <w:sz w:val="20"/>
        </w:rPr>
        <w:t>2019.</w:t>
      </w:r>
      <w:r>
        <w:rPr>
          <w:rFonts w:ascii="Times New Roman" w:hAnsi="Times New Roman"/>
          <w:sz w:val="20"/>
        </w:rPr>
        <w:t xml:space="preserve"> The Notes will mature on </w:t>
      </w:r>
      <w:r>
        <w:rPr>
          <w:rStyle w:val="Emphasis"/>
          <w:rFonts w:ascii="Times New Roman" w:hAnsi="Times New Roman"/>
          <w:sz w:val="20"/>
        </w:rPr>
        <w:t>March 15,</w:t>
      </w:r>
      <w:r>
        <w:rPr>
          <w:rFonts w:ascii="Times New Roman" w:hAnsi="Times New Roman"/>
          <w:sz w:val="20"/>
        </w:rPr>
        <w:t xml:space="preserve"> </w:t>
      </w:r>
      <w:r>
        <w:rPr>
          <w:rStyle w:val="Emphasis"/>
          <w:rFonts w:ascii="Times New Roman" w:hAnsi="Times New Roman"/>
          <w:sz w:val="20"/>
        </w:rPr>
        <w:t>2024,</w:t>
      </w:r>
      <w:r>
        <w:rPr>
          <w:rFonts w:ascii="Times New Roman" w:hAnsi="Times New Roman"/>
          <w:sz w:val="20"/>
        </w:rPr>
        <w:t xml:space="preserve"> unless earlier repurchased, redeemed or converted in accordance with their terms.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Truist Bank and the remainder will be used for general corporate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 presents the carrying value of the Notes for the periods indicated (in thousands):</w:t>
      </w:r>
    </w:p>
    <w:p>
      <w:pPr>
        <w:pStyle w:val="TextBody"/>
        <w:bidi w:val="0"/>
        <w:spacing w:before="0" w:after="0"/>
        <w:ind w:left="0" w:right="0" w:firstLine="941"/>
        <w:jc w:val="left"/>
        <w:rPr/>
      </w:pPr>
      <w:r>
        <w:rPr/>
        <w:t>​</w:t>
      </w:r>
    </w:p>
    <w:tbl>
      <w:tblPr>
        <w:tblW w:w="4838" w:type="dxa"/>
        <w:jc w:val="left"/>
        <w:tblInd w:w="0" w:type="dxa"/>
        <w:tblLayout w:type="fixed"/>
        <w:tblCellMar>
          <w:top w:w="0" w:type="dxa"/>
          <w:left w:w="0" w:type="dxa"/>
          <w:bottom w:w="0" w:type="dxa"/>
          <w:right w:w="0" w:type="dxa"/>
        </w:tblCellMar>
      </w:tblPr>
      <w:tblGrid>
        <w:gridCol w:w="2675"/>
        <w:gridCol w:w="60"/>
        <w:gridCol w:w="126"/>
        <w:gridCol w:w="598"/>
        <w:gridCol w:w="80"/>
        <w:gridCol w:w="60"/>
        <w:gridCol w:w="199"/>
        <w:gridCol w:w="945"/>
        <w:gridCol w:w="95"/>
      </w:tblGrid>
      <w:tr>
        <w:trPr/>
        <w:tc>
          <w:tcPr>
            <w:tcW w:w="2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December 31,</w:t>
            </w:r>
          </w:p>
        </w:tc>
        <w:tc>
          <w:tcPr>
            <w:tcW w:w="95" w:type="dxa"/>
            <w:tcBorders/>
            <w:shd w:fill="FFFF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2022</w:t>
            </w:r>
          </w:p>
        </w:tc>
        <w:tc>
          <w:tcPr>
            <w:tcW w:w="9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80,500</w:t>
            </w:r>
          </w:p>
        </w:tc>
        <w:tc>
          <w:tcPr>
            <w:tcW w:w="9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Unamortized debt issuance costs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(994</w:t>
            </w:r>
          </w:p>
        </w:tc>
        <w:tc>
          <w:tcPr>
            <w:tcW w:w="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carrying amount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79,506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The Notes are convertible at the option of holders of the Notes at any time until the close of business on the scheduled trading day immediately preceding the maturity date. Upon conversion, holders of the Notes will receive shares of the Company’s common stock, together, if applicable, with cash in lieu of any fractional share, at the then-applicable conversion rate. The initial conversion rate is 56.9801 shares of the Company’s common stock per $1,000 principal amount of Notes (representing an initial conversion price of approximately $17.55 per share of common stock, which represents an initial conversion premium of approximately 30% above the closing price of $13.50 per share of the Company’s common stock on </w:t>
      </w:r>
      <w:r>
        <w:rPr>
          <w:rStyle w:val="Emphasis"/>
          <w:rFonts w:ascii="Times New Roman" w:hAnsi="Times New Roman"/>
          <w:sz w:val="20"/>
        </w:rPr>
        <w:t>February 28,</w:t>
      </w:r>
      <w:r>
        <w:rPr>
          <w:rFonts w:ascii="Times New Roman" w:hAnsi="Times New Roman"/>
          <w:sz w:val="20"/>
        </w:rPr>
        <w:t xml:space="preserve"> </w:t>
      </w:r>
      <w:r>
        <w:rPr>
          <w:rStyle w:val="Emphasis"/>
          <w:rFonts w:ascii="Times New Roman" w:hAnsi="Times New Roman"/>
          <w:sz w:val="20"/>
        </w:rPr>
        <w:t>2019</w:t>
      </w:r>
      <w:r>
        <w:rPr>
          <w:rFonts w:ascii="Times New Roman" w:hAnsi="Times New Roman"/>
          <w:sz w:val="20"/>
        </w:rPr>
        <w:t xml:space="preserve">), subject to customary adjustments. If a make-whole fundamental change (as defined in the Indenture) occurs, and in connection with certain other conversions before </w:t>
      </w:r>
      <w:r>
        <w:rPr>
          <w:rStyle w:val="Emphasis"/>
          <w:rFonts w:ascii="Times New Roman" w:hAnsi="Times New Roman"/>
          <w:sz w:val="20"/>
        </w:rPr>
        <w:t>March 15,</w:t>
      </w:r>
      <w:r>
        <w:rPr>
          <w:rFonts w:ascii="Times New Roman" w:hAnsi="Times New Roman"/>
          <w:sz w:val="20"/>
        </w:rPr>
        <w:t xml:space="preserve"> </w:t>
      </w:r>
      <w:r>
        <w:rPr>
          <w:rStyle w:val="Emphasis"/>
          <w:rFonts w:ascii="Times New Roman" w:hAnsi="Times New Roman"/>
          <w:sz w:val="20"/>
        </w:rPr>
        <w:t>2022,</w:t>
      </w:r>
      <w:r>
        <w:rPr>
          <w:rFonts w:ascii="Times New Roman" w:hAnsi="Times New Roman"/>
          <w:sz w:val="20"/>
        </w:rPr>
        <w:t xml:space="preserve"> the Company will in certain circumstances increase the conversion rate for a specified period of time.</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sz w:val="20"/>
        </w:rPr>
        <w:t>Initially and </w:t>
      </w:r>
      <w:r>
        <w:rPr>
          <w:rFonts w:ascii="Times New Roman" w:hAnsi="Times New Roman"/>
          <w:sz w:val="20"/>
          <w:shd w:fill="FFFFFF" w:val="clear"/>
        </w:rPr>
        <w:t xml:space="preserve">as of </w:t>
      </w:r>
      <w:r>
        <w:rPr>
          <w:rStyle w:val="Emphasis"/>
          <w:rFonts w:ascii="Times New Roman" w:hAnsi="Times New Roman"/>
          <w:sz w:val="20"/>
        </w:rPr>
        <w:t>June 30, 2023</w:t>
      </w:r>
      <w:r>
        <w:rPr>
          <w:rFonts w:ascii="Times New Roman" w:hAnsi="Times New Roman"/>
          <w:sz w:val="20"/>
        </w:rPr>
        <w:t xml:space="preserve">, there are </w:t>
      </w:r>
      <w:r>
        <w:rPr>
          <w:rStyle w:val="Emphasis"/>
          <w:rFonts w:ascii="Times New Roman" w:hAnsi="Times New Roman"/>
          <w:sz w:val="20"/>
        </w:rPr>
        <w:t>no</w:t>
      </w:r>
      <w:r>
        <w:rPr>
          <w:rFonts w:ascii="Times New Roman" w:hAnsi="Times New Roman"/>
          <w:sz w:val="20"/>
        </w:rPr>
        <w:t xml:space="preserve">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sz w:val="20"/>
        </w:rPr>
        <w:t xml:space="preserve">Holders </w:t>
      </w:r>
      <w:r>
        <w:rPr>
          <w:rStyle w:val="Emphasis"/>
          <w:rFonts w:ascii="Times New Roman" w:hAnsi="Times New Roman"/>
          <w:sz w:val="20"/>
        </w:rPr>
        <w:t xml:space="preserve">may </w:t>
      </w:r>
      <w:r>
        <w:rPr>
          <w:rFonts w:ascii="Times New Roman" w:hAnsi="Times New Roman"/>
          <w:sz w:val="20"/>
        </w:rPr>
        <w:t>require the Company to repurchase their Notes upon the occurrence of a fundamental change (as defined in the Indenture) at a cash purchase price equal to the principal amount thereof plus accrued and unpaid interest, if any.</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sz w:val="20"/>
        </w:rPr>
        <w:t xml:space="preserve">After </w:t>
      </w:r>
      <w:r>
        <w:rPr>
          <w:rStyle w:val="Emphasis"/>
          <w:rFonts w:ascii="Times New Roman" w:hAnsi="Times New Roman"/>
          <w:sz w:val="20"/>
        </w:rPr>
        <w:t xml:space="preserve">March 15, 2022, </w:t>
      </w:r>
      <w:r>
        <w:rPr>
          <w:rFonts w:ascii="Times New Roman" w:hAnsi="Times New Roman"/>
          <w:sz w:val="20"/>
        </w:rPr>
        <w:t xml:space="preserve">the Company </w:t>
      </w:r>
      <w:r>
        <w:rPr>
          <w:rStyle w:val="Emphasis"/>
          <w:rFonts w:ascii="Times New Roman" w:hAnsi="Times New Roman"/>
          <w:sz w:val="20"/>
        </w:rPr>
        <w:t xml:space="preserve">may </w:t>
      </w:r>
      <w:r>
        <w:rPr>
          <w:rFonts w:ascii="Times New Roman" w:hAnsi="Times New Roman"/>
          <w:sz w:val="20"/>
        </w:rPr>
        <w:t xml:space="preserve">redeem for cash all or part of the Notes if the last reported sale price per share of the Company’s common stock exceeds 130% of the conversion price on (i) each of at least 20 trading days, whether or </w:t>
      </w:r>
      <w:r>
        <w:rPr>
          <w:rStyle w:val="Emphasis"/>
          <w:rFonts w:ascii="Times New Roman" w:hAnsi="Times New Roman"/>
          <w:sz w:val="20"/>
        </w:rPr>
        <w:t>not</w:t>
      </w:r>
      <w:r>
        <w:rPr>
          <w:rFonts w:ascii="Times New Roman" w:hAnsi="Times New Roman"/>
          <w:sz w:val="20"/>
        </w:rPr>
        <w:t xml:space="preserve">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Indenture contains covenants that limit the Company’s ability and the ability of our subsidiaries to, among other things: (i) incur or guarantee additional indebtedness or issue disqualified stock; and (ii) create or incur liens.</w:t>
      </w:r>
    </w:p>
    <w:p>
      <w:pPr>
        <w:pStyle w:val="TextBody"/>
        <w:bidi w:val="0"/>
        <w:spacing w:before="0" w:after="0"/>
        <w:ind w:left="0" w:right="0" w:firstLine="360"/>
        <w:jc w:val="left"/>
        <w:rPr/>
      </w:pPr>
      <w:r>
        <w:rPr/>
        <w:t>​</w:t>
      </w:r>
    </w:p>
    <w:p>
      <w:pPr>
        <w:pStyle w:val="TextBody"/>
        <w:bidi w:val="0"/>
        <w:spacing w:before="0" w:after="0"/>
        <w:ind w:left="0" w:right="0" w:firstLine="720"/>
        <w:jc w:val="left"/>
        <w:rPr/>
      </w:pPr>
      <w:r>
        <w:rPr>
          <w:rFonts w:ascii="Times New Roman" w:hAnsi="Times New Roman"/>
          <w:sz w:val="20"/>
        </w:rPr>
        <w:t xml:space="preserve">Pursuant to the guidance in ASC </w:t>
      </w:r>
      <w:r>
        <w:rPr>
          <w:rStyle w:val="Emphasis"/>
          <w:rFonts w:ascii="Times New Roman" w:hAnsi="Times New Roman"/>
          <w:sz w:val="20"/>
        </w:rPr>
        <w:t>815</w:t>
      </w:r>
      <w:r>
        <w:rPr>
          <w:rFonts w:ascii="Times New Roman" w:hAnsi="Times New Roman"/>
          <w:sz w:val="20"/>
        </w:rPr>
        <w:t>-</w:t>
      </w:r>
      <w:r>
        <w:rPr>
          <w:rStyle w:val="Emphasis"/>
          <w:rFonts w:ascii="Times New Roman" w:hAnsi="Times New Roman"/>
          <w:sz w:val="20"/>
        </w:rPr>
        <w:t>40,</w:t>
      </w:r>
      <w:r>
        <w:rPr>
          <w:rFonts w:ascii="Times New Roman" w:hAnsi="Times New Roman"/>
          <w:sz w:val="20"/>
        </w:rPr>
        <w:t xml:space="preserve"> Contracts in Entity’s Own Equity, the Company evaluated whether the conversion feature of the note needed to be bifurcated from the host instrument as a freestanding financial instrument. Under ASC </w:t>
      </w:r>
      <w:r>
        <w:rPr>
          <w:rStyle w:val="Emphasis"/>
          <w:rFonts w:ascii="Times New Roman" w:hAnsi="Times New Roman"/>
          <w:sz w:val="20"/>
        </w:rPr>
        <w:t>815</w:t>
      </w:r>
      <w:r>
        <w:rPr>
          <w:rFonts w:ascii="Times New Roman" w:hAnsi="Times New Roman"/>
          <w:sz w:val="20"/>
        </w:rPr>
        <w:t>-</w:t>
      </w:r>
      <w:r>
        <w:rPr>
          <w:rStyle w:val="Emphasis"/>
          <w:rFonts w:ascii="Times New Roman" w:hAnsi="Times New Roman"/>
          <w:sz w:val="20"/>
        </w:rPr>
        <w:t>40,</w:t>
      </w:r>
      <w:r>
        <w:rPr>
          <w:rFonts w:ascii="Times New Roman" w:hAnsi="Times New Roman"/>
          <w:sz w:val="20"/>
        </w:rPr>
        <w:t xml:space="preserve"> to qualify for equity classification (or non-bifurcation, if embedded) the instrument (or embedded feature) must be both (</w:t>
      </w:r>
      <w:r>
        <w:rPr>
          <w:rStyle w:val="Emphasis"/>
          <w:rFonts w:ascii="Times New Roman" w:hAnsi="Times New Roman"/>
          <w:sz w:val="20"/>
        </w:rPr>
        <w:t>1</w:t>
      </w:r>
      <w:r>
        <w:rPr>
          <w:rFonts w:ascii="Times New Roman" w:hAnsi="Times New Roman"/>
          <w:sz w:val="20"/>
        </w:rPr>
        <w:t>) indexed to the issuer’s own stock and (</w:t>
      </w:r>
      <w:r>
        <w:rPr>
          <w:rStyle w:val="Emphasis"/>
          <w:rFonts w:ascii="Times New Roman" w:hAnsi="Times New Roman"/>
          <w:sz w:val="20"/>
        </w:rPr>
        <w:t>2</w:t>
      </w:r>
      <w:r>
        <w:rPr>
          <w:rFonts w:ascii="Times New Roman" w:hAnsi="Times New Roman"/>
          <w:sz w:val="20"/>
        </w:rPr>
        <w:t xml:space="preserve">) meet the requirements of the equity classification guidance. Based upon the Company’s analysis, it was determined the conversion option is indexed to its own stock and also met all the criteria for equity classification contained in ASC </w:t>
      </w:r>
      <w:r>
        <w:rPr>
          <w:rStyle w:val="Emphasis"/>
          <w:rFonts w:ascii="Times New Roman" w:hAnsi="Times New Roman"/>
          <w:sz w:val="20"/>
        </w:rPr>
        <w:t>815</w:t>
      </w:r>
      <w:r>
        <w:rPr>
          <w:rFonts w:ascii="Times New Roman" w:hAnsi="Times New Roman"/>
          <w:sz w:val="20"/>
        </w:rPr>
        <w:t>-</w:t>
      </w:r>
      <w:r>
        <w:rPr>
          <w:rStyle w:val="Emphasis"/>
          <w:rFonts w:ascii="Times New Roman" w:hAnsi="Times New Roman"/>
          <w:sz w:val="20"/>
        </w:rPr>
        <w:t>40</w:t>
      </w:r>
      <w:r>
        <w:rPr>
          <w:rFonts w:ascii="Times New Roman" w:hAnsi="Times New Roman"/>
          <w:sz w:val="20"/>
        </w:rPr>
        <w:t>-</w:t>
      </w:r>
      <w:r>
        <w:rPr>
          <w:rStyle w:val="Emphasis"/>
          <w:rFonts w:ascii="Times New Roman" w:hAnsi="Times New Roman"/>
          <w:sz w:val="20"/>
        </w:rPr>
        <w:t>25</w:t>
      </w:r>
      <w:r>
        <w:rPr>
          <w:rFonts w:ascii="Times New Roman" w:hAnsi="Times New Roman"/>
          <w:sz w:val="20"/>
        </w:rPr>
        <w:t>-</w:t>
      </w:r>
      <w:r>
        <w:rPr>
          <w:rStyle w:val="Emphasis"/>
          <w:rFonts w:ascii="Times New Roman" w:hAnsi="Times New Roman"/>
          <w:sz w:val="20"/>
        </w:rPr>
        <w:t>7</w:t>
      </w:r>
      <w:r>
        <w:rPr>
          <w:rFonts w:ascii="Times New Roman" w:hAnsi="Times New Roman"/>
          <w:sz w:val="20"/>
        </w:rPr>
        <w:t xml:space="preserve"> and </w:t>
      </w:r>
      <w:r>
        <w:rPr>
          <w:rStyle w:val="Emphasis"/>
          <w:rFonts w:ascii="Times New Roman" w:hAnsi="Times New Roman"/>
          <w:sz w:val="20"/>
        </w:rPr>
        <w:t>815</w:t>
      </w:r>
      <w:r>
        <w:rPr>
          <w:rFonts w:ascii="Times New Roman" w:hAnsi="Times New Roman"/>
          <w:sz w:val="20"/>
        </w:rPr>
        <w:t>-</w:t>
      </w:r>
      <w:r>
        <w:rPr>
          <w:rStyle w:val="Emphasis"/>
          <w:rFonts w:ascii="Times New Roman" w:hAnsi="Times New Roman"/>
          <w:sz w:val="20"/>
        </w:rPr>
        <w:t>40</w:t>
      </w:r>
      <w:r>
        <w:rPr>
          <w:rFonts w:ascii="Times New Roman" w:hAnsi="Times New Roman"/>
          <w:sz w:val="20"/>
        </w:rPr>
        <w:t>-</w:t>
      </w:r>
      <w:r>
        <w:rPr>
          <w:rStyle w:val="Emphasis"/>
          <w:rFonts w:ascii="Times New Roman" w:hAnsi="Times New Roman"/>
          <w:sz w:val="20"/>
        </w:rPr>
        <w:t>25</w:t>
      </w:r>
      <w:r>
        <w:rPr>
          <w:rFonts w:ascii="Times New Roman" w:hAnsi="Times New Roman"/>
          <w:sz w:val="20"/>
        </w:rPr>
        <w:t>-</w:t>
      </w:r>
      <w:r>
        <w:rPr>
          <w:rStyle w:val="Emphasis"/>
          <w:rFonts w:ascii="Times New Roman" w:hAnsi="Times New Roman"/>
          <w:sz w:val="20"/>
        </w:rPr>
        <w:t>10.</w:t>
      </w:r>
      <w:r>
        <w:rPr>
          <w:rFonts w:ascii="Times New Roman" w:hAnsi="Times New Roman"/>
          <w:sz w:val="20"/>
        </w:rPr>
        <w:t xml:space="preserve"> Accordingly, the conversion option is </w:t>
      </w:r>
      <w:r>
        <w:rPr>
          <w:rStyle w:val="Emphasis"/>
          <w:rFonts w:ascii="Times New Roman" w:hAnsi="Times New Roman"/>
          <w:sz w:val="20"/>
        </w:rPr>
        <w:t>not</w:t>
      </w:r>
      <w:r>
        <w:rPr>
          <w:rFonts w:ascii="Times New Roman" w:hAnsi="Times New Roman"/>
          <w:sz w:val="20"/>
        </w:rPr>
        <w:t xml:space="preserve">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w:t>
      </w:r>
      <w:r>
        <w:rPr>
          <w:rStyle w:val="Emphasis"/>
          <w:rFonts w:ascii="Times New Roman" w:hAnsi="Times New Roman"/>
          <w:sz w:val="20"/>
        </w:rPr>
        <w:t>470</w:t>
      </w:r>
      <w:r>
        <w:rPr>
          <w:rFonts w:ascii="Times New Roman" w:hAnsi="Times New Roman"/>
          <w:sz w:val="20"/>
        </w:rPr>
        <w:t>-</w:t>
      </w:r>
      <w:r>
        <w:rPr>
          <w:rStyle w:val="Emphasis"/>
          <w:rFonts w:ascii="Times New Roman" w:hAnsi="Times New Roman"/>
          <w:sz w:val="20"/>
        </w:rPr>
        <w:t>20,</w:t>
      </w:r>
      <w:r>
        <w:rPr>
          <w:rFonts w:ascii="Times New Roman" w:hAnsi="Times New Roman"/>
          <w:sz w:val="20"/>
        </w:rPr>
        <w:t xml:space="preserve"> Debt with Conversion and Other Options.  The Company determined that notes should be accounted for in their entirety as a liability.</w:t>
      </w:r>
    </w:p>
    <w:p>
      <w:pPr>
        <w:pStyle w:val="TextBody"/>
        <w:bidi w:val="0"/>
        <w:spacing w:before="0" w:after="0"/>
        <w:ind w:left="0" w:right="0" w:firstLine="720"/>
        <w:jc w:val="left"/>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pStyle w:val="TextBody"/>
        <w:bidi w:val="0"/>
        <w:spacing w:before="0" w:after="0"/>
        <w:ind w:left="0" w:right="0" w:firstLine="360"/>
        <w:jc w:val="left"/>
        <w:rPr/>
      </w:pPr>
      <w:r>
        <w:rPr/>
        <w:t>​</w:t>
      </w:r>
    </w:p>
    <w:p>
      <w:pPr>
        <w:pStyle w:val="TextBody"/>
        <w:bidi w:val="0"/>
        <w:spacing w:before="0" w:after="0"/>
        <w:ind w:left="360" w:right="0" w:firstLine="360"/>
        <w:jc w:val="left"/>
        <w:rPr>
          <w:rFonts w:ascii="Times New Roman" w:hAnsi="Times New Roman"/>
          <w:sz w:val="20"/>
        </w:rPr>
      </w:pPr>
      <w:r>
        <w:rPr>
          <w:rFonts w:ascii="Times New Roman" w:hAnsi="Times New Roman"/>
          <w:sz w:val="20"/>
        </w:rPr>
        <w:t>The following table sets forth interest expense information related to the Notes (in thousands):</w:t>
      </w:r>
    </w:p>
    <w:p>
      <w:pPr>
        <w:pStyle w:val="TextBody"/>
        <w:bidi w:val="0"/>
        <w:spacing w:before="0" w:after="0"/>
        <w:ind w:left="0" w:right="0" w:hanging="0"/>
        <w:jc w:val="left"/>
        <w:rPr/>
      </w:pPr>
      <w:r>
        <w:rPr/>
        <w:t>​</w:t>
      </w:r>
    </w:p>
    <w:tbl>
      <w:tblPr>
        <w:tblW w:w="8043" w:type="dxa"/>
        <w:jc w:val="left"/>
        <w:tblInd w:w="0" w:type="dxa"/>
        <w:tblLayout w:type="fixed"/>
        <w:tblCellMar>
          <w:top w:w="0" w:type="dxa"/>
          <w:left w:w="0" w:type="dxa"/>
          <w:bottom w:w="0" w:type="dxa"/>
          <w:right w:w="0" w:type="dxa"/>
        </w:tblCellMar>
      </w:tblPr>
      <w:tblGrid>
        <w:gridCol w:w="2900"/>
        <w:gridCol w:w="60"/>
        <w:gridCol w:w="207"/>
        <w:gridCol w:w="806"/>
        <w:gridCol w:w="307"/>
        <w:gridCol w:w="99"/>
        <w:gridCol w:w="207"/>
        <w:gridCol w:w="806"/>
        <w:gridCol w:w="185"/>
        <w:gridCol w:w="60"/>
        <w:gridCol w:w="189"/>
        <w:gridCol w:w="736"/>
        <w:gridCol w:w="280"/>
        <w:gridCol w:w="91"/>
        <w:gridCol w:w="189"/>
        <w:gridCol w:w="736"/>
        <w:gridCol w:w="185"/>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30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0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28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9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Contractual 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1,006</w:t>
            </w:r>
          </w:p>
        </w:tc>
        <w:tc>
          <w:tcPr>
            <w:tcW w:w="30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2,013</w:t>
            </w:r>
          </w:p>
        </w:tc>
        <w:tc>
          <w:tcPr>
            <w:tcW w:w="28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2,013</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p>
        </w:tc>
        <w:tc>
          <w:tcPr>
            <w:tcW w:w="30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w:t>
            </w:r>
          </w:p>
        </w:tc>
        <w:tc>
          <w:tcPr>
            <w:tcW w:w="28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interest cost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w:t>
            </w:r>
          </w:p>
        </w:tc>
        <w:tc>
          <w:tcPr>
            <w:tcW w:w="30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2,423</w:t>
            </w:r>
          </w:p>
        </w:tc>
        <w:tc>
          <w:tcPr>
            <w:tcW w:w="28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2,423</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interest rate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3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2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360"/>
        <w:jc w:val="left"/>
        <w:rPr/>
      </w:pPr>
      <w:r>
        <w:rPr/>
        <w:t>​</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Times;serif" w:hAnsi="Times New Roman;Times;serif"/>
          <w:b/>
          <w:sz w:val="20"/>
        </w:rPr>
        <w:t xml:space="preserve">Note </w:t>
      </w:r>
      <w:r>
        <w:rPr>
          <w:rStyle w:val="Emphasis"/>
          <w:rFonts w:ascii="Times New Roman;Times;serif" w:hAnsi="Times New Roman;Times;serif"/>
          <w:b/>
          <w:sz w:val="20"/>
        </w:rPr>
        <w:t>13.</w:t>
      </w:r>
      <w:r>
        <w:rPr>
          <w:rFonts w:ascii="Times New Roman;Times;serif" w:hAnsi="Times New Roman;Times;serif"/>
          <w:b/>
          <w:sz w:val="20"/>
        </w:rPr>
        <w:t>  Accrued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Accrued liabilities consisted of the following for the periods indicated (in thousands):</w:t>
      </w:r>
    </w:p>
    <w:p>
      <w:pPr>
        <w:pStyle w:val="TextBody"/>
        <w:bidi w:val="0"/>
        <w:spacing w:before="0" w:after="0"/>
        <w:ind w:left="0" w:right="0" w:firstLine="720"/>
        <w:jc w:val="left"/>
        <w:rPr/>
      </w:pPr>
      <w:r>
        <w:rPr/>
        <w:t>​</w:t>
      </w:r>
    </w:p>
    <w:tbl>
      <w:tblPr>
        <w:tblW w:w="5533" w:type="dxa"/>
        <w:jc w:val="left"/>
        <w:tblInd w:w="0" w:type="dxa"/>
        <w:tblLayout w:type="fixed"/>
        <w:tblCellMar>
          <w:top w:w="0" w:type="dxa"/>
          <w:left w:w="0" w:type="dxa"/>
          <w:bottom w:w="0" w:type="dxa"/>
          <w:right w:w="0" w:type="dxa"/>
        </w:tblCellMar>
      </w:tblPr>
      <w:tblGrid>
        <w:gridCol w:w="2495"/>
        <w:gridCol w:w="60"/>
        <w:gridCol w:w="208"/>
        <w:gridCol w:w="981"/>
        <w:gridCol w:w="60"/>
        <w:gridCol w:w="60"/>
        <w:gridCol w:w="280"/>
        <w:gridCol w:w="1329"/>
        <w:gridCol w:w="60"/>
      </w:tblGrid>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June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December 31, 2022</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payroll</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9,702</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employee benefits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3,265</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state and local taxes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0"/>
              <w:ind w:left="0" w:right="0" w:hanging="0"/>
              <w:jc w:val="left"/>
              <w:rPr/>
            </w:pPr>
            <w:r>
              <w:rPr/>
              <w:t> </w:t>
            </w:r>
          </w:p>
        </w:tc>
        <w:tc>
          <w:tcPr>
            <w:tcW w:w="98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 w:type="dxa"/>
            <w:tcBorders/>
            <w:shd w:fill="FFFFFF" w:val="clear"/>
            <w:vAlign w:val="center"/>
          </w:tcPr>
          <w:p>
            <w:pPr>
              <w:pStyle w:val="TableContents"/>
              <w:bidi w:val="0"/>
              <w:spacing w:before="0" w:after="0"/>
              <w:ind w:left="0" w:right="0" w:hanging="0"/>
              <w:jc w:val="left"/>
              <w:rPr/>
            </w:pPr>
            <w:r>
              <w:rPr/>
              <w:t> </w:t>
            </w:r>
          </w:p>
        </w:tc>
        <w:tc>
          <w:tcPr>
            <w:tcW w:w="132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1,597</w:t>
            </w:r>
          </w:p>
        </w:tc>
        <w:tc>
          <w:tcPr>
            <w:tcW w:w="60" w:type="dxa"/>
            <w:tcBorders/>
            <w:shd w:fill="FFFFFF" w:val="clear"/>
            <w:vAlign w:val="center"/>
          </w:tcPr>
          <w:p>
            <w:pPr>
              <w:pStyle w:val="TableContents"/>
              <w:bidi w:val="0"/>
              <w:spacing w:before="0" w:after="0"/>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Advanced payments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commission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0"/>
              <w:ind w:left="0" w:right="0" w:hanging="0"/>
              <w:jc w:val="left"/>
              <w:rPr/>
            </w:pPr>
            <w:r>
              <w:rPr/>
              <w:t> </w:t>
            </w:r>
          </w:p>
        </w:tc>
        <w:tc>
          <w:tcPr>
            <w:tcW w:w="98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 w:type="dxa"/>
            <w:tcBorders/>
            <w:shd w:fill="FFFFFF" w:val="clear"/>
            <w:vAlign w:val="center"/>
          </w:tcPr>
          <w:p>
            <w:pPr>
              <w:pStyle w:val="TableContents"/>
              <w:bidi w:val="0"/>
              <w:spacing w:before="0" w:after="0"/>
              <w:ind w:left="0" w:right="0" w:hanging="0"/>
              <w:jc w:val="left"/>
              <w:rPr/>
            </w:pPr>
            <w:r>
              <w:rPr/>
              <w:t> </w:t>
            </w:r>
          </w:p>
        </w:tc>
        <w:tc>
          <w:tcPr>
            <w:tcW w:w="132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937</w:t>
            </w:r>
          </w:p>
        </w:tc>
        <w:tc>
          <w:tcPr>
            <w:tcW w:w="60" w:type="dxa"/>
            <w:tcBorders/>
            <w:shd w:fill="FFFFFF" w:val="clear"/>
            <w:vAlign w:val="center"/>
          </w:tcPr>
          <w:p>
            <w:pPr>
              <w:pStyle w:val="TableContents"/>
              <w:bidi w:val="0"/>
              <w:spacing w:before="0" w:after="0"/>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professional fees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product warranty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accrued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17,222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14.</w:t>
      </w:r>
      <w:r>
        <w:rPr>
          <w:rFonts w:ascii="Times New Roman" w:hAnsi="Times New Roman"/>
          <w:b/>
          <w:sz w:val="20"/>
        </w:rPr>
        <w:t>  Other Income and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Other income and (expense) consisted of the following for the periods indicated (in thousands):</w:t>
      </w:r>
    </w:p>
    <w:p>
      <w:pPr>
        <w:pStyle w:val="TextBody"/>
        <w:bidi w:val="0"/>
        <w:spacing w:before="0" w:after="0"/>
        <w:ind w:left="0" w:right="0" w:hanging="0"/>
        <w:jc w:val="left"/>
        <w:rPr/>
      </w:pPr>
      <w:r>
        <w:rPr/>
        <w:t> </w:t>
      </w:r>
    </w:p>
    <w:tbl>
      <w:tblPr>
        <w:tblW w:w="8239" w:type="dxa"/>
        <w:jc w:val="left"/>
        <w:tblInd w:w="0" w:type="dxa"/>
        <w:tblLayout w:type="fixed"/>
        <w:tblCellMar>
          <w:top w:w="0" w:type="dxa"/>
          <w:left w:w="0" w:type="dxa"/>
          <w:bottom w:w="0" w:type="dxa"/>
          <w:right w:w="0" w:type="dxa"/>
        </w:tblCellMar>
      </w:tblPr>
      <w:tblGrid>
        <w:gridCol w:w="3305"/>
        <w:gridCol w:w="60"/>
        <w:gridCol w:w="239"/>
        <w:gridCol w:w="929"/>
        <w:gridCol w:w="153"/>
        <w:gridCol w:w="115"/>
        <w:gridCol w:w="239"/>
        <w:gridCol w:w="757"/>
        <w:gridCol w:w="80"/>
        <w:gridCol w:w="60"/>
        <w:gridCol w:w="218"/>
        <w:gridCol w:w="849"/>
        <w:gridCol w:w="140"/>
        <w:gridCol w:w="105"/>
        <w:gridCol w:w="218"/>
        <w:gridCol w:w="692"/>
        <w:gridCol w:w="80"/>
      </w:tblGrid>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5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9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exchange transaction gain (loss)</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w:t>
            </w:r>
          </w:p>
        </w:tc>
        <w:tc>
          <w:tcPr>
            <w:tcW w:w="15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Government subsidy income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w:t>
            </w:r>
          </w:p>
        </w:tc>
        <w:tc>
          <w:tcPr>
            <w:tcW w:w="15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w:t>
            </w:r>
          </w:p>
        </w:tc>
        <w:tc>
          <w:tcPr>
            <w:tcW w:w="14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non-operating gain</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15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(loss) on disposal of assets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15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5"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1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(expenses) , net</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1,167</w:t>
            </w:r>
          </w:p>
        </w:tc>
        <w:tc>
          <w:tcPr>
            <w:tcW w:w="15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1,145</w:t>
            </w:r>
          </w:p>
        </w:tc>
        <w:tc>
          <w:tcPr>
            <w:tcW w:w="14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15.</w:t>
      </w:r>
      <w:r>
        <w:rPr>
          <w:rFonts w:ascii="Times New Roman" w:hAnsi="Times New Roman"/>
          <w:b/>
          <w:sz w:val="20"/>
        </w:rPr>
        <w:t>  Share-Based Compensation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Equity Plans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Company’s board of directors and stockholders approved the following equity plans:</w:t>
      </w:r>
    </w:p>
    <w:p>
      <w:pPr>
        <w:pStyle w:val="TextBody"/>
        <w:bidi w:val="0"/>
        <w:spacing w:before="0" w:after="0"/>
        <w:ind w:left="720" w:right="0" w:hanging="720"/>
        <w:jc w:val="left"/>
        <w:rPr/>
      </w:pPr>
      <w:r>
        <w:rPr/>
        <w:t>​</w:t>
      </w:r>
    </w:p>
    <w:tbl>
      <w:tblPr>
        <w:tblW w:w="3970" w:type="dxa"/>
        <w:jc w:val="left"/>
        <w:tblInd w:w="0" w:type="dxa"/>
        <w:tblLayout w:type="fixed"/>
        <w:tblCellMar>
          <w:top w:w="0" w:type="dxa"/>
          <w:left w:w="0" w:type="dxa"/>
          <w:bottom w:w="0" w:type="dxa"/>
          <w:right w:w="0" w:type="dxa"/>
        </w:tblCellMar>
      </w:tblPr>
      <w:tblGrid>
        <w:gridCol w:w="60"/>
        <w:gridCol w:w="170"/>
        <w:gridCol w:w="3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740" w:type="dxa"/>
            <w:tcBorders/>
            <w:vAlign w:val="center"/>
          </w:tcPr>
          <w:p>
            <w:pPr>
              <w:pStyle w:val="TableContents"/>
              <w:bidi w:val="0"/>
              <w:spacing w:before="0" w:after="0"/>
              <w:ind w:left="0" w:right="0" w:hanging="0"/>
              <w:jc w:val="left"/>
              <w:rPr/>
            </w:pPr>
            <w:r>
              <w:rPr>
                <w:rFonts w:ascii="Times New Roman" w:hAnsi="Times New Roman"/>
                <w:sz w:val="20"/>
              </w:rPr>
              <w:t xml:space="preserve">the </w:t>
            </w:r>
            <w:r>
              <w:rPr>
                <w:rStyle w:val="Emphasis"/>
                <w:rFonts w:ascii="Times New Roman" w:hAnsi="Times New Roman"/>
                <w:sz w:val="20"/>
              </w:rPr>
              <w:t>2013</w:t>
            </w:r>
            <w:r>
              <w:rPr>
                <w:rFonts w:ascii="Times New Roman" w:hAnsi="Times New Roman"/>
                <w:sz w:val="20"/>
              </w:rPr>
              <w:t xml:space="preserve"> Equity Incentive Plan (</w:t>
            </w:r>
            <w:r>
              <w:rPr>
                <w:rStyle w:val="Emphasis"/>
                <w:rFonts w:ascii="Times New Roman" w:hAnsi="Times New Roman"/>
                <w:sz w:val="20"/>
              </w:rPr>
              <w:t>“2013</w:t>
            </w:r>
            <w:r>
              <w:rPr>
                <w:rFonts w:ascii="Times New Roman" w:hAnsi="Times New Roman"/>
                <w:sz w:val="20"/>
              </w:rPr>
              <w:t xml:space="preserve"> Plan”)</w:t>
            </w:r>
          </w:p>
        </w:tc>
      </w:tr>
    </w:tbl>
    <w:tbl>
      <w:tblPr>
        <w:tblW w:w="3970" w:type="dxa"/>
        <w:jc w:val="left"/>
        <w:tblInd w:w="0" w:type="dxa"/>
        <w:tblLayout w:type="fixed"/>
        <w:tblCellMar>
          <w:top w:w="0" w:type="dxa"/>
          <w:left w:w="0" w:type="dxa"/>
          <w:bottom w:w="0" w:type="dxa"/>
          <w:right w:w="0" w:type="dxa"/>
        </w:tblCellMar>
      </w:tblPr>
      <w:tblGrid>
        <w:gridCol w:w="60"/>
        <w:gridCol w:w="170"/>
        <w:gridCol w:w="3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740" w:type="dxa"/>
            <w:tcBorders/>
            <w:vAlign w:val="center"/>
          </w:tcPr>
          <w:p>
            <w:pPr>
              <w:pStyle w:val="TableContents"/>
              <w:bidi w:val="0"/>
              <w:spacing w:before="0" w:after="0"/>
              <w:ind w:left="0" w:right="0" w:hanging="0"/>
              <w:jc w:val="left"/>
              <w:rPr/>
            </w:pPr>
            <w:r>
              <w:rPr>
                <w:rFonts w:ascii="Times New Roman" w:hAnsi="Times New Roman"/>
                <w:sz w:val="20"/>
              </w:rPr>
              <w:t xml:space="preserve">the </w:t>
            </w:r>
            <w:r>
              <w:rPr>
                <w:rStyle w:val="Emphasis"/>
                <w:rFonts w:ascii="Times New Roman" w:hAnsi="Times New Roman"/>
                <w:sz w:val="20"/>
              </w:rPr>
              <w:t>2021</w:t>
            </w:r>
            <w:r>
              <w:rPr>
                <w:rFonts w:ascii="Times New Roman" w:hAnsi="Times New Roman"/>
                <w:sz w:val="20"/>
              </w:rPr>
              <w:t xml:space="preserve"> Equity Incentive Plan (</w:t>
            </w:r>
            <w:r>
              <w:rPr>
                <w:rStyle w:val="Emphasis"/>
                <w:rFonts w:ascii="Times New Roman" w:hAnsi="Times New Roman"/>
                <w:sz w:val="20"/>
              </w:rPr>
              <w:t>“2021</w:t>
            </w:r>
            <w:r>
              <w:rPr>
                <w:rFonts w:ascii="Times New Roman" w:hAnsi="Times New Roman"/>
                <w:sz w:val="20"/>
              </w:rPr>
              <w:t xml:space="preserve"> Plan”)</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The Company issued stock options, restricted stock awards (“RSAs”) and restricted stock units (“RSUs”) to employees, consultants and non-employee directors. Stock option awards generally vest over a four-year period and have a maximum term of ten years. Stock options under these plans have been granted with an exercise price equal to the fair market value on the date of the grant. Nonqualified and Incentive Stock Options, RSAs and RSUs </w:t>
      </w:r>
      <w:r>
        <w:rPr>
          <w:rStyle w:val="Emphasis"/>
          <w:rFonts w:ascii="Times New Roman" w:hAnsi="Times New Roman"/>
          <w:sz w:val="20"/>
        </w:rPr>
        <w:t xml:space="preserve">may </w:t>
      </w:r>
      <w:r>
        <w:rPr>
          <w:rFonts w:ascii="Times New Roman" w:hAnsi="Times New Roman"/>
          <w:sz w:val="20"/>
        </w:rPr>
        <w:t xml:space="preserve">be granted from these plans. Prior to the Company’s initial public offering in </w:t>
      </w:r>
      <w:r>
        <w:rPr>
          <w:rStyle w:val="Emphasis"/>
          <w:rFonts w:ascii="Times New Roman" w:hAnsi="Times New Roman"/>
          <w:sz w:val="20"/>
        </w:rPr>
        <w:t xml:space="preserve">September 2013, </w:t>
      </w:r>
      <w:r>
        <w:rPr>
          <w:rFonts w:ascii="Times New Roman" w:hAnsi="Times New Roman"/>
          <w:sz w:val="20"/>
        </w:rPr>
        <w:t xml:space="preserve">the fair market value of the Company’s stock had been historically determined by the board of directors and from time to time with the assistance of </w:t>
      </w:r>
      <w:r>
        <w:rPr>
          <w:rStyle w:val="Emphasis"/>
          <w:rFonts w:ascii="Times New Roman" w:hAnsi="Times New Roman"/>
          <w:sz w:val="20"/>
        </w:rPr>
        <w:t>third</w:t>
      </w:r>
      <w:r>
        <w:rPr>
          <w:rFonts w:ascii="Times New Roman" w:hAnsi="Times New Roman"/>
          <w:sz w:val="20"/>
        </w:rPr>
        <w:t>-party valuation specialists.</w:t>
      </w:r>
    </w:p>
    <w:p>
      <w:pPr>
        <w:pStyle w:val="TextBody"/>
        <w:bidi w:val="0"/>
        <w:spacing w:before="0" w:after="0"/>
        <w:ind w:left="0" w:right="0" w:firstLine="720"/>
        <w:jc w:val="left"/>
        <w:rPr/>
      </w:pPr>
      <w:r>
        <w:rPr/>
        <w:t>​</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Stock Options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Options have been granted to the Company’s employees under the </w:t>
      </w:r>
      <w:r>
        <w:rPr>
          <w:rStyle w:val="Emphasis"/>
          <w:rFonts w:ascii="Times New Roman" w:hAnsi="Times New Roman"/>
          <w:sz w:val="20"/>
        </w:rPr>
        <w:t>two</w:t>
      </w:r>
      <w:r>
        <w:rPr>
          <w:rFonts w:ascii="Times New Roman" w:hAnsi="Times New Roman"/>
          <w:sz w:val="20"/>
        </w:rPr>
        <w:t xml:space="preserve"> incentive plans and generally become exercisable as to 25% of the shares on the </w:t>
      </w:r>
      <w:r>
        <w:rPr>
          <w:rStyle w:val="Emphasis"/>
          <w:rFonts w:ascii="Times New Roman" w:hAnsi="Times New Roman"/>
          <w:sz w:val="20"/>
        </w:rPr>
        <w:t>first</w:t>
      </w:r>
      <w:r>
        <w:rPr>
          <w:rFonts w:ascii="Times New Roman" w:hAnsi="Times New Roman"/>
          <w:sz w:val="20"/>
        </w:rPr>
        <w:t xml:space="preserve"> anniversary date following the date of grant and 12.5% on a semi-annual basis thereafter. All options expire </w:t>
      </w:r>
      <w:r>
        <w:rPr>
          <w:rStyle w:val="Emphasis"/>
          <w:rFonts w:ascii="Times New Roman" w:hAnsi="Times New Roman"/>
          <w:sz w:val="20"/>
        </w:rPr>
        <w:t>ten</w:t>
      </w:r>
      <w:r>
        <w:rPr>
          <w:rFonts w:ascii="Times New Roman" w:hAnsi="Times New Roman"/>
          <w:sz w:val="20"/>
        </w:rPr>
        <w:t xml:space="preserve"> years after the date of grant.</w:t>
      </w:r>
    </w:p>
    <w:p>
      <w:pPr>
        <w:pStyle w:val="TextBody"/>
        <w:bidi w:val="0"/>
        <w:spacing w:before="0" w:after="0"/>
        <w:ind w:left="0" w:right="0" w:firstLine="720"/>
        <w:jc w:val="left"/>
        <w:rPr/>
      </w:pPr>
      <w:r>
        <w:rPr/>
        <w:t>​</w:t>
      </w:r>
    </w:p>
    <w:p>
      <w:pPr>
        <w:pStyle w:val="TextBody"/>
        <w:bidi w:val="0"/>
        <w:spacing w:before="0" w:after="0"/>
        <w:ind w:left="720" w:right="0" w:hanging="0"/>
        <w:jc w:val="left"/>
        <w:rPr>
          <w:rFonts w:ascii="Times New Roman" w:hAnsi="Times New Roman"/>
          <w:sz w:val="20"/>
        </w:rPr>
      </w:pPr>
      <w:r>
        <w:rPr>
          <w:rFonts w:ascii="Times New Roman" w:hAnsi="Times New Roman"/>
          <w:sz w:val="20"/>
        </w:rPr>
        <w:t>The following is a summary of option activity:</w:t>
      </w:r>
    </w:p>
    <w:p>
      <w:pPr>
        <w:pStyle w:val="TextBody"/>
        <w:bidi w:val="0"/>
        <w:spacing w:before="0" w:after="0"/>
        <w:ind w:left="720" w:right="0" w:hanging="0"/>
        <w:jc w:val="left"/>
        <w:rPr/>
      </w:pPr>
      <w:r>
        <w:rPr/>
        <w:t>​</w:t>
      </w:r>
    </w:p>
    <w:tbl>
      <w:tblPr>
        <w:tblW w:w="8827" w:type="dxa"/>
        <w:jc w:val="left"/>
        <w:tblInd w:w="0" w:type="dxa"/>
        <w:tblLayout w:type="fixed"/>
        <w:tblCellMar>
          <w:top w:w="0" w:type="dxa"/>
          <w:left w:w="0" w:type="dxa"/>
          <w:bottom w:w="0" w:type="dxa"/>
          <w:right w:w="0" w:type="dxa"/>
        </w:tblCellMar>
      </w:tblPr>
      <w:tblGrid>
        <w:gridCol w:w="2555"/>
        <w:gridCol w:w="60"/>
        <w:gridCol w:w="134"/>
        <w:gridCol w:w="755"/>
        <w:gridCol w:w="80"/>
        <w:gridCol w:w="60"/>
        <w:gridCol w:w="167"/>
        <w:gridCol w:w="648"/>
        <w:gridCol w:w="60"/>
        <w:gridCol w:w="60"/>
        <w:gridCol w:w="489"/>
        <w:gridCol w:w="490"/>
        <w:gridCol w:w="60"/>
        <w:gridCol w:w="60"/>
        <w:gridCol w:w="230"/>
        <w:gridCol w:w="704"/>
        <w:gridCol w:w="60"/>
        <w:gridCol w:w="60"/>
        <w:gridCol w:w="139"/>
        <w:gridCol w:w="886"/>
        <w:gridCol w:w="60"/>
        <w:gridCol w:w="60"/>
        <w:gridCol w:w="542"/>
        <w:gridCol w:w="348"/>
        <w:gridCol w:w="6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on Date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Life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152"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price data)</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January 1, 2023</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49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7.50</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9" w:type="dxa"/>
            <w:tcBorders/>
            <w:shd w:fill="FFFFFF" w:val="clear"/>
            <w:vAlign w:val="center"/>
          </w:tcPr>
          <w:p>
            <w:pPr>
              <w:pStyle w:val="TableContents"/>
              <w:bidi w:val="0"/>
              <w:spacing w:before="0" w:after="0"/>
              <w:ind w:left="0" w:right="0" w:hanging="0"/>
              <w:jc w:val="left"/>
              <w:rPr/>
            </w:pPr>
            <w:r>
              <w:rPr/>
              <w:t> </w:t>
            </w:r>
          </w:p>
        </w:tc>
        <w:tc>
          <w:tcPr>
            <w:tcW w:w="49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June 30, 2023</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10.84</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Exercisable, June 30, 2023</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10.84</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9" w:type="dxa"/>
            <w:tcBorders/>
            <w:shd w:fill="FFFFFF" w:val="clear"/>
            <w:vAlign w:val="center"/>
          </w:tcPr>
          <w:p>
            <w:pPr>
              <w:pStyle w:val="TableContents"/>
              <w:bidi w:val="0"/>
              <w:spacing w:before="0" w:after="0"/>
              <w:ind w:left="0" w:right="0" w:hanging="0"/>
              <w:jc w:val="left"/>
              <w:rPr/>
            </w:pPr>
            <w:r>
              <w:rPr/>
              <w:t>​</w:t>
            </w:r>
          </w:p>
        </w:tc>
        <w:tc>
          <w:tcPr>
            <w:tcW w:w="49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 and expected to vest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10.84</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June 30, 2023</w:t>
      </w:r>
      <w:r>
        <w:rPr>
          <w:rFonts w:ascii="Times New Roman" w:hAnsi="Times New Roman"/>
          <w:sz w:val="20"/>
        </w:rPr>
        <w:t>, there was no unrecognized stock option expense.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Performance Based Incentive Plan</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w:t>
      </w:r>
      <w:r>
        <w:rPr>
          <w:rFonts w:ascii="Times New Roman" w:hAnsi="Times New Roman"/>
          <w:sz w:val="20"/>
        </w:rPr>
        <w:t xml:space="preserve">The Company approved to grant restricted performance stock units (“PSUs”) to senior executives as a part of our long-term equity compensation program starting from </w:t>
      </w:r>
      <w:r>
        <w:rPr>
          <w:rStyle w:val="Emphasis"/>
          <w:rFonts w:ascii="Times New Roman" w:hAnsi="Times New Roman"/>
          <w:sz w:val="20"/>
        </w:rPr>
        <w:t xml:space="preserve">June 2021. </w:t>
      </w:r>
      <w:r>
        <w:rPr>
          <w:rFonts w:ascii="Times New Roman" w:hAnsi="Times New Roman"/>
          <w:sz w:val="20"/>
        </w:rPr>
        <w:t xml:space="preserve">The number of shares of common stock that will ultimately be issued to settle PSUs granted ranges from 0% to 200% of the number granted and is determined based on certain performance criteria over a </w:t>
      </w:r>
      <w:r>
        <w:rPr>
          <w:rStyle w:val="Emphasis"/>
          <w:rFonts w:ascii="Times New Roman" w:hAnsi="Times New Roman"/>
          <w:sz w:val="20"/>
        </w:rPr>
        <w:t>three</w:t>
      </w:r>
      <w:r>
        <w:rPr>
          <w:rFonts w:ascii="Times New Roman" w:hAnsi="Times New Roman"/>
          <w:sz w:val="20"/>
        </w:rPr>
        <w:t xml:space="preserve">-year measurement period. The performance criteria for the PSUs are based on a combination of the performance of our stock price and the Total Shareholder Return (“TSR”) for the performance period compared with the TSR of certain peer companies or index for the performance period. PSUs granted vest 100% on the </w:t>
      </w:r>
      <w:r>
        <w:rPr>
          <w:rStyle w:val="Emphasis"/>
          <w:rFonts w:ascii="Times New Roman" w:hAnsi="Times New Roman"/>
          <w:sz w:val="20"/>
        </w:rPr>
        <w:t>third</w:t>
      </w:r>
      <w:r>
        <w:rPr>
          <w:rFonts w:ascii="Times New Roman" w:hAnsi="Times New Roman"/>
          <w:sz w:val="20"/>
        </w:rPr>
        <w:t> anniversary of their grant, assuming achievement of the applicable performance criteria. We estimated the fair value of the PSUs using a Monte Carlo simulation model on the date of grant. Compensation expense is recognized ratably over the explicit service period</w:t>
      </w:r>
      <w:r>
        <w:rPr>
          <w:rFonts w:ascii="Times New Roman" w:hAnsi="Times New Roman"/>
          <w:sz w:val="20"/>
          <w:shd w:fill="FFFFFF" w:val="clear"/>
        </w:rPr>
        <w:t xml:space="preserve">. The Company recognized </w:t>
      </w:r>
      <w:r>
        <w:rPr>
          <w:rFonts w:ascii="Times New Roman" w:hAnsi="Times New Roman"/>
          <w:sz w:val="20"/>
        </w:rPr>
        <w:t xml:space="preserve">PSU expenses for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 xml:space="preserve">June 30, 2023 </w:t>
      </w:r>
      <w:r>
        <w:rPr>
          <w:rFonts w:ascii="Times New Roman" w:hAnsi="Times New Roman"/>
          <w:sz w:val="20"/>
        </w:rPr>
        <w:t xml:space="preserve">and </w:t>
      </w:r>
      <w:r>
        <w:rPr>
          <w:rStyle w:val="Emphasis"/>
          <w:rFonts w:ascii="Times New Roman" w:hAnsi="Times New Roman"/>
          <w:sz w:val="20"/>
        </w:rPr>
        <w:t>2022</w:t>
      </w:r>
      <w:r>
        <w:rPr>
          <w:rFonts w:ascii="Times New Roman" w:hAnsi="Times New Roman"/>
          <w:sz w:val="20"/>
        </w:rPr>
        <w:t> of $0.5 million and $0.4 million, respectively. </w:t>
      </w:r>
      <w:r>
        <w:rPr>
          <w:rFonts w:ascii="Times New Roman" w:hAnsi="Times New Roman"/>
          <w:sz w:val="20"/>
          <w:shd w:fill="FFFFFF" w:val="clear"/>
        </w:rPr>
        <w:t xml:space="preserve">The Company recognized </w:t>
      </w:r>
      <w:r>
        <w:rPr>
          <w:rFonts w:ascii="Times New Roman" w:hAnsi="Times New Roman"/>
          <w:sz w:val="20"/>
        </w:rPr>
        <w:t xml:space="preserve">PSU expenses for the </w:t>
      </w:r>
      <w:r>
        <w:rPr>
          <w:rStyle w:val="Emphasis"/>
          <w:rFonts w:ascii="Times New Roman" w:hAnsi="Times New Roman"/>
          <w:sz w:val="20"/>
        </w:rPr>
        <w:t>six</w:t>
      </w:r>
      <w:r>
        <w:rPr>
          <w:rFonts w:ascii="Times New Roman" w:hAnsi="Times New Roman"/>
          <w:sz w:val="20"/>
        </w:rPr>
        <w:t xml:space="preserve"> months ended </w:t>
      </w:r>
      <w:r>
        <w:rPr>
          <w:rStyle w:val="Emphasis"/>
          <w:rFonts w:ascii="Times New Roman" w:hAnsi="Times New Roman"/>
          <w:sz w:val="20"/>
        </w:rPr>
        <w:t xml:space="preserve">June 30, 2023 </w:t>
      </w:r>
      <w:r>
        <w:rPr>
          <w:rFonts w:ascii="Times New Roman" w:hAnsi="Times New Roman"/>
          <w:sz w:val="20"/>
        </w:rPr>
        <w:t xml:space="preserve">and </w:t>
      </w:r>
      <w:r>
        <w:rPr>
          <w:rStyle w:val="Emphasis"/>
          <w:rFonts w:ascii="Times New Roman" w:hAnsi="Times New Roman"/>
          <w:sz w:val="20"/>
        </w:rPr>
        <w:t>2022</w:t>
      </w:r>
      <w:r>
        <w:rPr>
          <w:rFonts w:ascii="Times New Roman" w:hAnsi="Times New Roman"/>
          <w:sz w:val="20"/>
        </w:rPr>
        <w:t> of $0.9 million and $0.7 million, respectively.</w:t>
      </w:r>
    </w:p>
    <w:p>
      <w:pPr>
        <w:pStyle w:val="TextBody"/>
        <w:bidi w:val="0"/>
        <w:spacing w:before="0" w:after="0"/>
        <w:ind w:left="0" w:right="0" w:firstLine="720"/>
        <w:jc w:val="left"/>
        <w:rPr/>
      </w:pPr>
      <w:r>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is a summary of PSU activity:</w:t>
      </w:r>
    </w:p>
    <w:p>
      <w:pPr>
        <w:pStyle w:val="TextBody"/>
        <w:bidi w:val="0"/>
        <w:spacing w:before="0" w:after="0"/>
        <w:ind w:left="160" w:right="0" w:firstLine="540"/>
        <w:jc w:val="left"/>
        <w:rPr>
          <w:caps w:val="false"/>
          <w:smallCaps w:val="false"/>
        </w:rPr>
      </w:pPr>
      <w:r>
        <w:rPr>
          <w:caps w:val="false"/>
          <w:smallCaps w:val="false"/>
        </w:rPr>
        <w:t> </w:t>
      </w:r>
    </w:p>
    <w:tbl>
      <w:tblPr>
        <w:tblW w:w="7177" w:type="dxa"/>
        <w:jc w:val="left"/>
        <w:tblInd w:w="0" w:type="dxa"/>
        <w:tblLayout w:type="fixed"/>
        <w:tblCellMar>
          <w:top w:w="0" w:type="dxa"/>
          <w:left w:w="0" w:type="dxa"/>
          <w:bottom w:w="0" w:type="dxa"/>
          <w:right w:w="0" w:type="dxa"/>
        </w:tblCellMar>
      </w:tblPr>
      <w:tblGrid>
        <w:gridCol w:w="2555"/>
        <w:gridCol w:w="60"/>
        <w:gridCol w:w="96"/>
        <w:gridCol w:w="793"/>
        <w:gridCol w:w="60"/>
        <w:gridCol w:w="60"/>
        <w:gridCol w:w="616"/>
        <w:gridCol w:w="618"/>
        <w:gridCol w:w="60"/>
        <w:gridCol w:w="60"/>
        <w:gridCol w:w="278"/>
        <w:gridCol w:w="851"/>
        <w:gridCol w:w="60"/>
        <w:gridCol w:w="60"/>
        <w:gridCol w:w="182"/>
        <w:gridCol w:w="708"/>
        <w:gridCol w:w="6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 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of Release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502"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price data)</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January 1, 2023</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1,447</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3,566</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Released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ind w:left="0" w:right="0" w:hanging="0"/>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June 30, 2023</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9,134</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 and expected to vest</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9,134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June 30, 2023</w:t>
      </w:r>
      <w:r>
        <w:rPr>
          <w:rFonts w:ascii="Times New Roman" w:hAnsi="Times New Roman"/>
          <w:sz w:val="20"/>
        </w:rPr>
        <w:t>, there was $8.7 mil</w:t>
      </w:r>
      <w:r>
        <w:rPr>
          <w:rFonts w:ascii="Times New Roman" w:hAnsi="Times New Roman"/>
          <w:sz w:val="20"/>
          <w:shd w:fill="FFFFFF" w:val="clear"/>
        </w:rPr>
        <w:t>lion</w:t>
      </w:r>
      <w:r>
        <w:rPr>
          <w:rFonts w:ascii="Times New Roman" w:hAnsi="Times New Roman"/>
          <w:sz w:val="20"/>
        </w:rPr>
        <w:t xml:space="preserve"> of unrecognized compensation expense related to these PSUs. This expense is expected to be recognized over 2.5 y</w:t>
      </w:r>
      <w:r>
        <w:rPr>
          <w:rFonts w:ascii="Times New Roman" w:hAnsi="Times New Roman"/>
          <w:sz w:val="20"/>
          <w:shd w:fill="FFFFFF" w:val="clear"/>
        </w:rPr>
        <w:t>ears</w:t>
      </w:r>
      <w:r>
        <w:rPr>
          <w:rFonts w:ascii="Times New Roman" w:hAnsi="Times New Roman"/>
          <w:sz w:val="20"/>
        </w:rPr>
        <w:t>.</w:t>
      </w:r>
    </w:p>
    <w:p>
      <w:pPr>
        <w:pStyle w:val="TextBody"/>
        <w:bidi w:val="0"/>
        <w:spacing w:before="0" w:after="0"/>
        <w:ind w:left="0" w:right="0" w:firstLine="720"/>
        <w:jc w:val="left"/>
        <w:rPr/>
      </w:pPr>
      <w:r>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Restricted Stock Units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is a summary of RSU activity:</w:t>
      </w:r>
    </w:p>
    <w:p>
      <w:pPr>
        <w:pStyle w:val="TextBody"/>
        <w:bidi w:val="0"/>
        <w:spacing w:before="0" w:after="0"/>
        <w:ind w:left="160" w:right="0" w:firstLine="540"/>
        <w:jc w:val="left"/>
        <w:rPr>
          <w:caps w:val="false"/>
          <w:smallCaps w:val="false"/>
        </w:rPr>
      </w:pPr>
      <w:r>
        <w:rPr>
          <w:caps w:val="false"/>
          <w:smallCaps w:val="false"/>
        </w:rPr>
        <w:t> </w:t>
      </w:r>
    </w:p>
    <w:tbl>
      <w:tblPr>
        <w:tblW w:w="7197" w:type="dxa"/>
        <w:jc w:val="left"/>
        <w:tblInd w:w="0" w:type="dxa"/>
        <w:tblLayout w:type="fixed"/>
        <w:tblCellMar>
          <w:top w:w="0" w:type="dxa"/>
          <w:left w:w="0" w:type="dxa"/>
          <w:bottom w:w="0" w:type="dxa"/>
          <w:right w:w="0" w:type="dxa"/>
        </w:tblCellMar>
      </w:tblPr>
      <w:tblGrid>
        <w:gridCol w:w="2555"/>
        <w:gridCol w:w="60"/>
        <w:gridCol w:w="96"/>
        <w:gridCol w:w="793"/>
        <w:gridCol w:w="80"/>
        <w:gridCol w:w="60"/>
        <w:gridCol w:w="616"/>
        <w:gridCol w:w="618"/>
        <w:gridCol w:w="60"/>
        <w:gridCol w:w="60"/>
        <w:gridCol w:w="278"/>
        <w:gridCol w:w="851"/>
        <w:gridCol w:w="60"/>
        <w:gridCol w:w="60"/>
        <w:gridCol w:w="155"/>
        <w:gridCol w:w="735"/>
        <w:gridCol w:w="6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Average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Price 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Average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of Release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522" w:type="dxa"/>
            <w:gridSpan w:val="14"/>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(in thousands, except price data)</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at January 1, 2023</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4" w:type="dxa"/>
            <w:gridSpan w:val="2"/>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4,175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bidi w:val="0"/>
              <w:spacing w:before="0" w:after="0"/>
              <w:ind w:left="0" w:right="0" w:hanging="0"/>
              <w:jc w:val="left"/>
              <w:rPr/>
            </w:pPr>
            <w:r>
              <w:rPr/>
              <w:t> </w:t>
            </w:r>
          </w:p>
        </w:tc>
        <w:tc>
          <w:tcPr>
            <w:tcW w:w="96" w:type="dxa"/>
            <w:tcBorders/>
            <w:shd w:fill="FFFFFF" w:val="clear"/>
            <w:vAlign w:val="center"/>
          </w:tcPr>
          <w:p>
            <w:pPr>
              <w:pStyle w:val="TableContents"/>
              <w:bidi w:val="0"/>
              <w:spacing w:before="0" w:after="0"/>
              <w:ind w:left="0" w:right="0" w:hanging="0"/>
              <w:jc w:val="left"/>
              <w:rPr/>
            </w:pPr>
            <w:r>
              <w:rPr/>
              <w:t> </w:t>
            </w:r>
          </w:p>
        </w:tc>
        <w:tc>
          <w:tcPr>
            <w:tcW w:w="7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8" w:type="dxa"/>
            <w:tcBorders/>
            <w:shd w:fill="FFFFFF" w:val="clear"/>
            <w:vAlign w:val="center"/>
          </w:tcPr>
          <w:p>
            <w:pPr>
              <w:pStyle w:val="TableContents"/>
              <w:bidi w:val="0"/>
              <w:spacing w:before="0" w:after="0"/>
              <w:ind w:left="0" w:right="0" w:hanging="0"/>
              <w:jc w:val="left"/>
              <w:rPr/>
            </w:pPr>
            <w:r>
              <w:rPr/>
              <w:t> </w:t>
            </w:r>
          </w:p>
        </w:tc>
        <w:tc>
          <w:tcPr>
            <w:tcW w:w="85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9,540</w:t>
            </w:r>
          </w:p>
        </w:tc>
        <w:tc>
          <w:tcPr>
            <w:tcW w:w="60" w:type="dxa"/>
            <w:tcBorders/>
            <w:shd w:fill="FFFFFF" w:val="clear"/>
            <w:vAlign w:val="center"/>
          </w:tcPr>
          <w:p>
            <w:pPr>
              <w:pStyle w:val="TableContents"/>
              <w:bidi w:val="0"/>
              <w:spacing w:before="0" w:after="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Released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1,321</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June 30, 2023</w:t>
            </w:r>
          </w:p>
        </w:tc>
        <w:tc>
          <w:tcPr>
            <w:tcW w:w="60" w:type="dxa"/>
            <w:tcBorders/>
            <w:shd w:fill="CCEEFF" w:val="clear"/>
            <w:vAlign w:val="center"/>
          </w:tcPr>
          <w:p>
            <w:pPr>
              <w:pStyle w:val="TableContents"/>
              <w:bidi w:val="0"/>
              <w:spacing w:before="0" w:after="0"/>
              <w:ind w:left="0" w:right="0" w:hanging="0"/>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34" w:type="dxa"/>
            <w:gridSpan w:val="2"/>
            <w:tcBorders/>
            <w:shd w:fill="CCEEFF" w:val="clear"/>
            <w:vAlign w:val="center"/>
          </w:tcPr>
          <w:p>
            <w:pPr>
              <w:pStyle w:val="TableContents"/>
              <w:bidi w:val="0"/>
              <w:spacing w:before="0" w:after="0"/>
              <w:ind w:left="0" w:right="0" w:hanging="0"/>
              <w:jc w:val="righ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78"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21,422</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 and expected to vest</w:t>
            </w:r>
          </w:p>
        </w:tc>
        <w:tc>
          <w:tcPr>
            <w:tcW w:w="60" w:type="dxa"/>
            <w:tcBorders/>
            <w:shd w:fill="FFFFFF" w:val="clear"/>
            <w:vAlign w:val="center"/>
          </w:tcPr>
          <w:p>
            <w:pPr>
              <w:pStyle w:val="TableContents"/>
              <w:bidi w:val="0"/>
              <w:spacing w:before="0" w:after="0"/>
              <w:ind w:left="0" w:right="0" w:hanging="0"/>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8" w:type="dxa"/>
            <w:tcBorders/>
            <w:shd w:fill="FFFFFF" w:val="clear"/>
            <w:vAlign w:val="center"/>
          </w:tcPr>
          <w:p>
            <w:pPr>
              <w:pStyle w:val="TableContents"/>
              <w:bidi w:val="0"/>
              <w:spacing w:before="0" w:after="0"/>
              <w:ind w:left="0" w:right="0" w:hanging="0"/>
              <w:jc w:val="left"/>
              <w:rPr/>
            </w:pPr>
            <w:r>
              <w:rPr/>
              <w:t> </w:t>
            </w:r>
          </w:p>
        </w:tc>
        <w:tc>
          <w:tcPr>
            <w:tcW w:w="85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21,422</w:t>
            </w:r>
          </w:p>
        </w:tc>
        <w:tc>
          <w:tcPr>
            <w:tcW w:w="6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June 30, 2023</w:t>
      </w:r>
      <w:r>
        <w:rPr>
          <w:rFonts w:ascii="Times New Roman" w:hAnsi="Times New Roman"/>
          <w:sz w:val="20"/>
        </w:rPr>
        <w:t>, there was</w:t>
      </w:r>
      <w:r>
        <w:rPr>
          <w:rFonts w:ascii="Times New Roman" w:hAnsi="Times New Roman"/>
          <w:sz w:val="20"/>
          <w:shd w:fill="FFFFFF" w:val="clear"/>
        </w:rPr>
        <w:t xml:space="preserve"> $15.8 million</w:t>
      </w:r>
      <w:r>
        <w:rPr>
          <w:rFonts w:ascii="Times New Roman" w:hAnsi="Times New Roman"/>
          <w:sz w:val="20"/>
        </w:rPr>
        <w:t xml:space="preserve"> of unrecognized compensation expense related to these RSUs. This expense is expected to be recognized over </w:t>
      </w:r>
      <w:r>
        <w:rPr>
          <w:rFonts w:ascii="Times New Roman" w:hAnsi="Times New Roman"/>
          <w:sz w:val="20"/>
          <w:shd w:fill="FFFFFF" w:val="clear"/>
        </w:rPr>
        <w:t>2.5 years</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Share-Based Compensation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Employee share-based compensation expenses recognized for the periods indicated (in thousands):</w:t>
      </w:r>
    </w:p>
    <w:p>
      <w:pPr>
        <w:pStyle w:val="TextBody"/>
        <w:bidi w:val="0"/>
        <w:spacing w:before="0" w:after="0"/>
        <w:ind w:left="0" w:right="0" w:hanging="0"/>
        <w:jc w:val="left"/>
        <w:rPr/>
      </w:pPr>
      <w:r>
        <w:rPr/>
        <w:t>​</w:t>
      </w:r>
    </w:p>
    <w:tbl>
      <w:tblPr>
        <w:tblW w:w="7044" w:type="dxa"/>
        <w:jc w:val="left"/>
        <w:tblInd w:w="0" w:type="dxa"/>
        <w:tblLayout w:type="fixed"/>
        <w:tblCellMar>
          <w:top w:w="0" w:type="dxa"/>
          <w:left w:w="0" w:type="dxa"/>
          <w:bottom w:w="0" w:type="dxa"/>
          <w:right w:w="0" w:type="dxa"/>
        </w:tblCellMar>
      </w:tblPr>
      <w:tblGrid>
        <w:gridCol w:w="3650"/>
        <w:gridCol w:w="60"/>
        <w:gridCol w:w="157"/>
        <w:gridCol w:w="609"/>
        <w:gridCol w:w="75"/>
        <w:gridCol w:w="75"/>
        <w:gridCol w:w="157"/>
        <w:gridCol w:w="609"/>
        <w:gridCol w:w="60"/>
        <w:gridCol w:w="60"/>
        <w:gridCol w:w="137"/>
        <w:gridCol w:w="533"/>
        <w:gridCol w:w="66"/>
        <w:gridCol w:w="66"/>
        <w:gridCol w:w="137"/>
        <w:gridCol w:w="533"/>
        <w:gridCol w:w="60"/>
      </w:tblGrid>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2"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 - by expense type</w:t>
            </w:r>
          </w:p>
        </w:tc>
        <w:tc>
          <w:tcPr>
            <w:tcW w:w="60" w:type="dxa"/>
            <w:tcBorders/>
            <w:shd w:fill="CCEEFF" w:val="clear"/>
            <w:vAlign w:val="center"/>
          </w:tcPr>
          <w:p>
            <w:pPr>
              <w:pStyle w:val="TableContents"/>
              <w:bidi w:val="0"/>
              <w:spacing w:before="0" w:after="283"/>
              <w:ind w:left="0" w:right="0" w:hanging="0"/>
              <w:jc w:val="left"/>
              <w:rPr/>
            </w:pPr>
            <w:r>
              <w:rPr/>
              <w:t> </w:t>
            </w:r>
          </w:p>
        </w:tc>
        <w:tc>
          <w:tcPr>
            <w:tcW w:w="76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76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5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5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5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5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412</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2,135</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3,279</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share-based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shd w:fill="FFFFFF" w:val="clear"/>
        </w:rPr>
        <w:t xml:space="preserve">Note </w:t>
      </w:r>
      <w:r>
        <w:rPr>
          <w:rStyle w:val="Emphasis"/>
          <w:rFonts w:ascii="Times New Roman;Times;serif" w:hAnsi="Times New Roman;Times;serif"/>
          <w:b/>
          <w:sz w:val="20"/>
          <w:shd w:fill="FFFFFF" w:val="clear"/>
        </w:rPr>
        <w:t>16.</w:t>
      </w:r>
      <w:r>
        <w:rPr>
          <w:rFonts w:ascii="Times New Roman;Times;serif" w:hAnsi="Times New Roman;Times;serif"/>
          <w:b/>
          <w:sz w:val="20"/>
          <w:shd w:fill="FFFFFF" w:val="clear"/>
        </w:rPr>
        <w:t xml:space="preserve">  Income Taxes </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16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effective tax rate varied from the federal statutory rate of 21% primarily due to the change of the valuation allowance on federal, state, Taiwan, and China deferred tax assets ("DTA").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pPr>
      <w:r>
        <w:rPr>
          <w:rFonts w:ascii="Times New Roman" w:hAnsi="Times New Roman"/>
          <w:caps w:val="false"/>
          <w:smallCaps w:val="false"/>
          <w:sz w:val="20"/>
        </w:rPr>
        <w:t xml:space="preserve">The Company continually monitors and performs an assessment of the realizability of its DTAs,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standard. In making such assessment, more weight was given to evidence that could be objectively verified, including recent cumulative losses. Based on the Company’s review of this evidence, management determined that a full valuation allowance against all of the Company’s net deferred tax assets at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was appropriate.</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17.</w:t>
      </w:r>
      <w:r>
        <w:rPr>
          <w:rFonts w:ascii="Times New Roman" w:hAnsi="Times New Roman"/>
          <w:b/>
          <w:sz w:val="20"/>
        </w:rPr>
        <w:t>  Geographic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pStyle w:val="TextBody"/>
        <w:bidi w:val="0"/>
        <w:spacing w:before="0" w:after="0"/>
        <w:ind w:left="0" w:right="0" w:hanging="0"/>
        <w:jc w:val="left"/>
        <w:rPr/>
      </w:pPr>
      <w:r>
        <w:rPr/>
        <w:t>​</w:t>
      </w:r>
    </w:p>
    <w:tbl>
      <w:tblPr>
        <w:tblW w:w="5995" w:type="dxa"/>
        <w:jc w:val="left"/>
        <w:tblInd w:w="0" w:type="dxa"/>
        <w:tblLayout w:type="fixed"/>
        <w:tblCellMar>
          <w:top w:w="0" w:type="dxa"/>
          <w:left w:w="0" w:type="dxa"/>
          <w:bottom w:w="0" w:type="dxa"/>
          <w:right w:w="0" w:type="dxa"/>
        </w:tblCellMar>
      </w:tblPr>
      <w:tblGrid>
        <w:gridCol w:w="1100"/>
        <w:gridCol w:w="60"/>
        <w:gridCol w:w="196"/>
        <w:gridCol w:w="926"/>
        <w:gridCol w:w="94"/>
        <w:gridCol w:w="94"/>
        <w:gridCol w:w="196"/>
        <w:gridCol w:w="926"/>
        <w:gridCol w:w="60"/>
        <w:gridCol w:w="60"/>
        <w:gridCol w:w="168"/>
        <w:gridCol w:w="793"/>
        <w:gridCol w:w="80"/>
        <w:gridCol w:w="80"/>
        <w:gridCol w:w="168"/>
        <w:gridCol w:w="934"/>
        <w:gridCol w:w="60"/>
      </w:tblGrid>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1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1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12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12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61"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10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2,702</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9,141</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3,705</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Taiwan</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34,271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76,657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64,984</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4,642</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8,847</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35,851</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41,615</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94,645</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104,540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793" w:type="dxa"/>
        <w:jc w:val="left"/>
        <w:tblInd w:w="0" w:type="dxa"/>
        <w:tblLayout w:type="fixed"/>
        <w:tblCellMar>
          <w:top w:w="0" w:type="dxa"/>
          <w:left w:w="0" w:type="dxa"/>
          <w:bottom w:w="0" w:type="dxa"/>
          <w:right w:w="0" w:type="dxa"/>
        </w:tblCellMar>
      </w:tblPr>
      <w:tblGrid>
        <w:gridCol w:w="1520"/>
        <w:gridCol w:w="60"/>
        <w:gridCol w:w="132"/>
        <w:gridCol w:w="736"/>
        <w:gridCol w:w="63"/>
        <w:gridCol w:w="63"/>
        <w:gridCol w:w="174"/>
        <w:gridCol w:w="970"/>
        <w:gridCol w:w="75"/>
      </w:tblGrid>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As of the period ended</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June 30,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Long-lived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868" w:type="dxa"/>
            <w:gridSpan w:val="2"/>
            <w:tcBorders/>
            <w:shd w:fill="CCEEFF" w:val="clear"/>
            <w:vAlign w:val="center"/>
          </w:tcPr>
          <w:p>
            <w:pPr>
              <w:pStyle w:val="TableContents"/>
              <w:bidi w:val="0"/>
              <w:spacing w:before="0" w:after="0"/>
              <w:ind w:left="0" w:right="0" w:hanging="0"/>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144" w:type="dxa"/>
            <w:gridSpan w:val="2"/>
            <w:tcBorders/>
            <w:shd w:fill="CCEEFF" w:val="clear"/>
            <w:vAlign w:val="center"/>
          </w:tcPr>
          <w:p>
            <w:pPr>
              <w:pStyle w:val="TableContents"/>
              <w:bidi w:val="0"/>
              <w:spacing w:before="0" w:after="0"/>
              <w:ind w:left="0" w:right="0" w:hanging="0"/>
              <w:jc w:val="lef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76,605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7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80,048</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Taiwan</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47,002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50,777</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China</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88,193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93,888</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211,800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224,713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18.</w:t>
      </w:r>
      <w:r>
        <w:rPr>
          <w:rFonts w:ascii="Times New Roman;Times;serif" w:hAnsi="Times New Roman;Times;serif"/>
          <w:b/>
          <w:sz w:val="20"/>
        </w:rPr>
        <w:t>  Contingencies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Litigation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Overview</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From time to time,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be subject to legal proceedings and litigation arising in the ordinary course of business, including, but </w:t>
      </w:r>
      <w:r>
        <w:rPr>
          <w:rStyle w:val="Emphasis"/>
          <w:rFonts w:ascii="Times New Roman;Times;serif" w:hAnsi="Times New Roman;Times;serif"/>
          <w:sz w:val="20"/>
        </w:rPr>
        <w:t>not</w:t>
      </w:r>
      <w:r>
        <w:rPr>
          <w:rFonts w:ascii="Times New Roman;Times;serif" w:hAnsi="Times New Roman;Times;serif"/>
          <w:sz w:val="20"/>
        </w:rPr>
        <w:t xml:space="preserve"> limited to, inquiries, investigations, audits and other regulatory proceedings, such as described below. The Company records a loss provision when it believes it is both probable that a liability has been incurred and the amount can be reasonably estimated.</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Company believes that there are </w:t>
      </w:r>
      <w:r>
        <w:rPr>
          <w:rStyle w:val="Emphasis"/>
          <w:rFonts w:ascii="Times New Roman;Times;serif" w:hAnsi="Times New Roman;Times;serif"/>
          <w:sz w:val="20"/>
          <w:shd w:fill="FFFFFF" w:val="clear"/>
        </w:rPr>
        <w:t>no</w:t>
      </w:r>
      <w:r>
        <w:rPr>
          <w:rFonts w:ascii="Times New Roman;Times;serif" w:hAnsi="Times New Roman;Times;serif"/>
          <w:sz w:val="20"/>
          <w:shd w:fill="FFFFFF" w:val="clear"/>
        </w:rPr>
        <w:t xml:space="preserve"> claims or actions pending or threatened against it, the ultimate disposition of which would have a material adverse effect on it.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Contingencies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shd w:fill="FFFFFF" w:val="clear"/>
        </w:rPr>
        <w:t>On </w:t>
      </w:r>
      <w:r>
        <w:rPr>
          <w:rStyle w:val="Emphasis"/>
          <w:rFonts w:ascii="Times New Roman" w:hAnsi="Times New Roman"/>
          <w:caps w:val="false"/>
          <w:smallCaps w:val="false"/>
          <w:sz w:val="20"/>
          <w:shd w:fill="FFFFFF" w:val="clear"/>
        </w:rPr>
        <w:t xml:space="preserve"> August 9, 2021, </w:t>
      </w:r>
      <w:r>
        <w:rPr>
          <w:rFonts w:ascii="Times New Roman" w:hAnsi="Times New Roman"/>
          <w:caps w:val="false"/>
          <w:smallCaps w:val="false"/>
          <w:sz w:val="20"/>
          <w:shd w:fill="FFFFFF" w:val="clear"/>
        </w:rPr>
        <w:t>the Company received a Taxes Notification of Audit Result (“Notice”) from the Texas Comptroller’s Office (the “Comptroller”), for fiscal years between </w:t>
      </w:r>
      <w:r>
        <w:rPr>
          <w:rStyle w:val="Emphasis"/>
          <w:rFonts w:ascii="Times New Roman" w:hAnsi="Times New Roman"/>
          <w:caps w:val="false"/>
          <w:smallCaps w:val="false"/>
          <w:sz w:val="20"/>
          <w:shd w:fill="FFFFFF" w:val="clear"/>
        </w:rPr>
        <w:t>2016</w:t>
      </w:r>
      <w:r>
        <w:rPr>
          <w:rFonts w:ascii="Times New Roman" w:hAnsi="Times New Roman"/>
          <w:caps w:val="false"/>
          <w:smallCaps w:val="false"/>
          <w:sz w:val="20"/>
          <w:shd w:fill="FFFFFF" w:val="clear"/>
        </w:rPr>
        <w:t> and </w:t>
      </w:r>
      <w:r>
        <w:rPr>
          <w:rStyle w:val="Emphasis"/>
          <w:rFonts w:ascii="Times New Roman" w:hAnsi="Times New Roman"/>
          <w:caps w:val="false"/>
          <w:smallCaps w:val="false"/>
          <w:sz w:val="20"/>
          <w:shd w:fill="FFFFFF" w:val="clear"/>
        </w:rPr>
        <w:t>2019,</w:t>
      </w:r>
      <w:r>
        <w:rPr>
          <w:rFonts w:ascii="Times New Roman" w:hAnsi="Times New Roman"/>
          <w:caps w:val="false"/>
          <w:smallCaps w:val="false"/>
          <w:sz w:val="20"/>
          <w:shd w:fill="FFFFFF" w:val="clear"/>
        </w:rPr>
        <w:t> informing the Company that the Comptroller believes the Company did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qualify for certain sales and use tax exemptions on various Research and Development purchases and accordingly the Company is liable for Sale and Use Tax in the amount of approximately $1.0 million including interest charges. The Company paid $0.4 million for the tax notice in </w:t>
      </w:r>
      <w:r>
        <w:rPr>
          <w:rStyle w:val="Emphasis"/>
          <w:rFonts w:ascii="Times New Roman" w:hAnsi="Times New Roman"/>
          <w:caps w:val="false"/>
          <w:smallCaps w:val="false"/>
          <w:sz w:val="20"/>
          <w:shd w:fill="FFFFFF" w:val="clear"/>
        </w:rPr>
        <w:t xml:space="preserve">May 2021, </w:t>
      </w:r>
      <w:r>
        <w:rPr>
          <w:rFonts w:ascii="Times New Roman" w:hAnsi="Times New Roman"/>
          <w:caps w:val="false"/>
          <w:smallCaps w:val="false"/>
          <w:sz w:val="20"/>
          <w:shd w:fill="FFFFFF" w:val="clear"/>
        </w:rPr>
        <w:t>but challenged the remaining tax assessments and vigorously defended its position. </w:t>
      </w:r>
      <w:r>
        <w:rPr>
          <w:rFonts w:ascii="Times New Roman" w:hAnsi="Times New Roman"/>
          <w:caps w:val="false"/>
          <w:smallCaps w:val="false"/>
          <w:sz w:val="20"/>
        </w:rPr>
        <w:t xml:space="preserve">The Comptroller’s office exhausted its redetermination period and therefore moved AOI’s case to the hearing process. In </w:t>
      </w:r>
      <w:r>
        <w:rPr>
          <w:rStyle w:val="Emphasis"/>
          <w:rFonts w:ascii="Times New Roman" w:hAnsi="Times New Roman"/>
          <w:caps w:val="false"/>
          <w:smallCaps w:val="false"/>
          <w:sz w:val="20"/>
        </w:rPr>
        <w:t xml:space="preserve">April 2023 </w:t>
      </w:r>
      <w:r>
        <w:rPr>
          <w:rFonts w:ascii="Times New Roman" w:hAnsi="Times New Roman"/>
          <w:caps w:val="false"/>
          <w:smallCaps w:val="false"/>
          <w:sz w:val="20"/>
        </w:rPr>
        <w:t xml:space="preserve">the Company received a notice from an attorney representing the Administrative Hearings Section ("AHS") to issue a Position Letter.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updated action was taken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19.</w:t>
      </w:r>
      <w:r>
        <w:rPr>
          <w:rFonts w:ascii="Times New Roman;Times;serif" w:hAnsi="Times New Roman;Times;serif"/>
          <w:b/>
          <w:sz w:val="20"/>
        </w:rPr>
        <w:t>  Subsequent Events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pPr>
      <w:r>
        <w:rPr>
          <w:rFonts w:ascii="Times New Roman;Times;serif" w:hAnsi="Times New Roman;Times;serif"/>
          <w:sz w:val="20"/>
          <w:shd w:fill="FFFFFF" w:val="clear"/>
        </w:rPr>
        <w:t>T</w:t>
      </w:r>
      <w:r>
        <w:rPr>
          <w:rFonts w:ascii="Times New Roman;Times;serif" w:hAnsi="Times New Roman;Times;serif"/>
          <w:sz w:val="20"/>
        </w:rPr>
        <w:t xml:space="preserve">he Company repaid its revolving bank line of credit with CIT in the amount of $5.8 million on </w:t>
      </w:r>
      <w:r>
        <w:rPr>
          <w:rStyle w:val="Emphasis"/>
          <w:rFonts w:ascii="Times New Roman;Times;serif" w:hAnsi="Times New Roman;Times;serif"/>
          <w:sz w:val="20"/>
        </w:rPr>
        <w:t>July 13, 2023.</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1" w:name="item2"/>
      <w:bookmarkEnd w:id="11"/>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consolidated financial statements and the accompanying notes appearing elsewhere in this Quarterly Report on Form 10-Q for the period ended June 30, 2023 and the audited consolidated financial statements and notes thereto and management’s discussion and analysis of financial condition and results of operations for the fiscal year ended December 31, 2022 included in our Annual Report. References to “Applied Optoelectronics,” “we,” “our” and “us” are to Applied Optoelectronics, Inc. and its subsidiaries unless otherwise specified or the context otherwise requires.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2022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 leading, vertically integrated provider of fiber-optic networking products. We target four networking end-markets: CATV, internet data centers, telecom and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CATV, internet data center,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four end markets we target are all driven by significant bandwidth demand fueled by the growth of network-connected devices, video traffic, cloud computing and online social networking. Within the CATV market, we benefit from a number of ongoing trends including the build-out of CATV infrastructure in the US and other countries, the move to higher bandwidth networks among CATV service providers and the outsourcing of system design among CATV networking equipment companies. Within the internet data center market, we benefit from the increasing use of higher-capacity optical networking technology as a replacement for copper cables, particularly as speeds reach 400 Gbps and above, as well as the movement to open internet data center architectures and the increasing use of in-house equipment design among leading internet companies. In the FTTH market, we benefit from continuing PON deployments and system upgrades among telecom service providers. In the telecom market, we benefit from deployment of new high-speed fiber-optic networks by telecom network operators, including 5G networks.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CATV transmitters (at the headend), CATV outdoor equipment (at the node) and internet data center market. Each manufacturing facility conducts testing on the components, modules or subsystems it manufactures and each facility is certified to </w:t>
      </w:r>
      <w:r>
        <w:rPr>
          <w:rFonts w:ascii="Times New Roman;Times;serif" w:hAnsi="Times New Roman;Times;serif"/>
          <w:sz w:val="20"/>
          <w:shd w:fill="FFFFFF" w:val="clear"/>
        </w:rPr>
        <w:t>ISO 9001:2015. Our facilities in Ningbo, China, Taipei, Taiwan, and Sugar Land, Texas are all certified to ISO 14001:2015.</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principal executive offices are located at 13139 Jess Pirtle Blvd., Sugar Land, TX 77478, and our telephone number is (281) 295-1800.</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Divestiture Agreement with Yuhan Optoelectronic Technology (Shanghai)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15, 2022, we entered into a definitive purchase agreement and announced the planned divestiture to sell the manufacturing facilities in the People's Republic of China ("PRC") and certain assets related to our transceiver business and multi-channel optical sub-assembly products to Yuhan Optoelectronic Technology (Shanghai) Co., Ltd. ("Purchaser"), which is a company incorporated in the PRC. The transaction is expected to close in late 2023 or 2024 subject to satisfaction of certain closing conditions, including CFIUS approval.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purchase price will be an amount equal to the $150 million USD equivalent of Renminbi, less a holdback amount. Prior to the closing of the transaction the Company anticipates investing an amount equal to between 4% and 10% of the estimated proceeds from the transaction in exchange for a 10% equity interest in the Purchaser. The proceeds from the transaction will enable the Company to make strategic investments in higher margin and higher growth opportunities. By exiting the transceiver market, the Company will focus its resources on its CATV business and manufacturing lasers and laser components for the CATV, datacenter, telecom and FTTH markets.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management has performed an evaluation as required by ASC-360-10-45-9 to determine whether to classify certain of our assets and liabilities as held for sale as of June 30, 2023. ASC 360 requires that a company classifies a business as held for sale in the period in which management commits to a plan to sell the business, the business is available for immediate sale in its present condition, an active program to complete the plan to sell the business is initiated, the sale of the business within one year is probable and the business is being marketed at a reasonable price in relation to its fair value. Although we have announced the execution of a definitive purchase agreement regarding the Divestiture, completion of this transaction is not certain for reasons that include the fact that the proposed sale is subject to regulatory approval in the US and China, the timing and likelihood of which is uncertain and beyond our control, and the fact that we cannot be certain that the buyer will not request modification of terms within the definitive purchase agreement. As a result, we have concluded that at the present time the business is not "available for immediate sale" under the meaning defined in ASC 360 and therefore none of our assets or liabilities should be classified as held for sale.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 forth our consolidated results of operations for the periods presented and as a percentage of our revenue for those periods (in thousands, except percentages):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26"/>
        <w:gridCol w:w="60"/>
        <w:gridCol w:w="147"/>
        <w:gridCol w:w="771"/>
        <w:gridCol w:w="94"/>
        <w:gridCol w:w="70"/>
        <w:gridCol w:w="70"/>
        <w:gridCol w:w="574"/>
        <w:gridCol w:w="236"/>
        <w:gridCol w:w="60"/>
        <w:gridCol w:w="147"/>
        <w:gridCol w:w="771"/>
        <w:gridCol w:w="94"/>
        <w:gridCol w:w="70"/>
        <w:gridCol w:w="70"/>
        <w:gridCol w:w="574"/>
        <w:gridCol w:w="236"/>
        <w:gridCol w:w="60"/>
        <w:gridCol w:w="126"/>
        <w:gridCol w:w="661"/>
        <w:gridCol w:w="80"/>
        <w:gridCol w:w="60"/>
        <w:gridCol w:w="60"/>
        <w:gridCol w:w="492"/>
        <w:gridCol w:w="281"/>
        <w:gridCol w:w="60"/>
        <w:gridCol w:w="125"/>
        <w:gridCol w:w="695"/>
        <w:gridCol w:w="80"/>
        <w:gridCol w:w="60"/>
        <w:gridCol w:w="60"/>
        <w:gridCol w:w="485"/>
        <w:gridCol w:w="250"/>
      </w:tblGrid>
      <w:tr>
        <w:trPr/>
        <w:tc>
          <w:tcPr>
            <w:tcW w:w="25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w:t>
            </w:r>
          </w:p>
        </w:tc>
        <w:tc>
          <w:tcPr>
            <w:tcW w:w="2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w:t>
            </w:r>
          </w:p>
        </w:tc>
        <w:tc>
          <w:tcPr>
            <w:tcW w:w="2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79"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r>
          </w:p>
        </w:tc>
        <w:tc>
          <w:tcPr>
            <w:tcW w:w="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5"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r>
          </w:p>
        </w:tc>
        <w:tc>
          <w:tcPr>
            <w:tcW w:w="250" w:type="dxa"/>
            <w:tcBorders/>
            <w:vAlign w:val="center"/>
          </w:tcPr>
          <w:p>
            <w:pPr>
              <w:pStyle w:val="TableContents"/>
              <w:bidi w:val="0"/>
              <w:spacing w:before="0" w:after="283"/>
              <w:jc w:val="left"/>
              <w:rPr/>
            </w:pPr>
            <w:r>
              <w:rPr/>
              <w:t> </w:t>
            </w:r>
          </w:p>
        </w:tc>
      </w:tr>
      <w:tr>
        <w:trPr/>
        <w:tc>
          <w:tcPr>
            <w:tcW w:w="252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2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2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7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250" w:type="dxa"/>
            <w:tcBorders/>
            <w:vAlign w:val="center"/>
          </w:tcPr>
          <w:p>
            <w:pPr>
              <w:pStyle w:val="TableContents"/>
              <w:bidi w:val="0"/>
              <w:spacing w:before="0" w:after="283"/>
              <w:jc w:val="left"/>
              <w:rPr/>
            </w:pPr>
            <w:r>
              <w:rPr/>
              <w:t> </w:t>
            </w:r>
          </w:p>
        </w:tc>
      </w:tr>
      <w:tr>
        <w:trPr/>
        <w:tc>
          <w:tcPr>
            <w:tcW w:w="252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2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7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250" w:type="dxa"/>
            <w:tcBorders/>
            <w:vAlign w:val="center"/>
          </w:tcPr>
          <w:p>
            <w:pPr>
              <w:pStyle w:val="TableContents"/>
              <w:bidi w:val="0"/>
              <w:spacing w:before="0" w:after="283"/>
              <w:jc w:val="left"/>
              <w:rPr/>
            </w:pPr>
            <w:r>
              <w:rPr/>
              <w:t> </w:t>
            </w:r>
          </w:p>
        </w:tc>
      </w:tr>
      <w:tr>
        <w:trPr/>
        <w:tc>
          <w:tcPr>
            <w:tcW w:w="252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41,615</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52,299</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104,540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33,717</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w:t>
            </w:r>
          </w:p>
        </w:tc>
        <w:tc>
          <w:tcPr>
            <w:tcW w:w="2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43,671</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83.5</w:t>
            </w:r>
          </w:p>
        </w:tc>
        <w:tc>
          <w:tcPr>
            <w:tcW w:w="2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81.9</w:t>
            </w:r>
          </w:p>
        </w:tc>
        <w:tc>
          <w:tcPr>
            <w:tcW w:w="2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86,888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83.1</w:t>
            </w:r>
          </w:p>
        </w:tc>
        <w:tc>
          <w:tcPr>
            <w:tcW w:w="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2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7,898</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8,628</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w:t>
            </w:r>
          </w:p>
        </w:tc>
        <w:tc>
          <w:tcPr>
            <w:tcW w:w="2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w:t>
            </w:r>
          </w:p>
        </w:tc>
        <w:tc>
          <w:tcPr>
            <w:tcW w:w="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91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r>
      <w:tr>
        <w:trPr/>
        <w:tc>
          <w:tcPr>
            <w:tcW w:w="252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8,640</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8,328</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w:t>
            </w:r>
          </w:p>
        </w:tc>
        <w:tc>
          <w:tcPr>
            <w:tcW w:w="2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w:t>
            </w:r>
          </w:p>
        </w:tc>
        <w:tc>
          <w:tcPr>
            <w:tcW w:w="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2,269</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2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2,164</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2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2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2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12,954</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11,035</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w:t>
            </w:r>
          </w:p>
        </w:tc>
        <w:tc>
          <w:tcPr>
            <w:tcW w:w="2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w:t>
            </w:r>
          </w:p>
        </w:tc>
        <w:tc>
          <w:tcPr>
            <w:tcW w:w="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23,863</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w:t>
            </w:r>
          </w:p>
        </w:tc>
        <w:tc>
          <w:tcPr>
            <w:tcW w:w="2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21,527</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41.2</w:t>
            </w:r>
          </w:p>
        </w:tc>
        <w:tc>
          <w:tcPr>
            <w:tcW w:w="2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w:t>
            </w:r>
          </w:p>
        </w:tc>
        <w:tc>
          <w:tcPr>
            <w:tcW w:w="2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w:t>
            </w:r>
          </w:p>
        </w:tc>
        <w:tc>
          <w:tcPr>
            <w:tcW w:w="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2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(15,965</w:t>
            </w:r>
          </w:p>
        </w:tc>
        <w:tc>
          <w:tcPr>
            <w:tcW w:w="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(12,899</w:t>
            </w:r>
          </w:p>
        </w:tc>
        <w:tc>
          <w:tcPr>
            <w:tcW w:w="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w:t>
            </w:r>
          </w:p>
        </w:tc>
        <w:tc>
          <w:tcPr>
            <w:tcW w:w="2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w:t>
            </w:r>
          </w:p>
        </w:tc>
        <w:tc>
          <w:tcPr>
            <w:tcW w:w="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91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r>
      <w:tr>
        <w:trPr/>
        <w:tc>
          <w:tcPr>
            <w:tcW w:w="252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(2,175</w:t>
            </w:r>
          </w:p>
        </w:tc>
        <w:tc>
          <w:tcPr>
            <w:tcW w:w="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2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(1,408</w:t>
            </w:r>
          </w:p>
        </w:tc>
        <w:tc>
          <w:tcPr>
            <w:tcW w:w="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2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2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1,167</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2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w:t>
            </w:r>
          </w:p>
        </w:tc>
        <w:tc>
          <w:tcPr>
            <w:tcW w:w="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(971</w:t>
            </w:r>
          </w:p>
        </w:tc>
        <w:tc>
          <w:tcPr>
            <w:tcW w:w="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2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(1,557</w:t>
            </w:r>
          </w:p>
        </w:tc>
        <w:tc>
          <w:tcPr>
            <w:tcW w:w="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2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2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2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(16,936</w:t>
            </w:r>
          </w:p>
        </w:tc>
        <w:tc>
          <w:tcPr>
            <w:tcW w:w="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(14,456</w:t>
            </w:r>
          </w:p>
        </w:tc>
        <w:tc>
          <w:tcPr>
            <w:tcW w:w="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w:t>
            </w:r>
          </w:p>
        </w:tc>
        <w:tc>
          <w:tcPr>
            <w:tcW w:w="2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w:t>
            </w:r>
          </w:p>
        </w:tc>
        <w:tc>
          <w:tcPr>
            <w:tcW w:w="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2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2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2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2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(16,944</w:t>
            </w:r>
          </w:p>
        </w:tc>
        <w:tc>
          <w:tcPr>
            <w:tcW w:w="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(14,456</w:t>
            </w:r>
          </w:p>
        </w:tc>
        <w:tc>
          <w:tcPr>
            <w:tcW w:w="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w:t>
            </w:r>
          </w:p>
        </w:tc>
        <w:tc>
          <w:tcPr>
            <w:tcW w:w="2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w:t>
            </w:r>
          </w:p>
        </w:tc>
        <w:tc>
          <w:tcPr>
            <w:tcW w:w="2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w:t>
            </w:r>
          </w:p>
        </w:tc>
        <w:tc>
          <w:tcPr>
            <w:tcW w:w="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Financial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generate revenue through the sale of our products to equipment providers and network operators for the CATV, internet data center, telecom and FTTH markets. We derive a significant portion of our revenue from our top ten customers, and we anticipate that we will continue to do so for the foreseeable future. The following charts provide the revenue contribution from each of the markets we served for the three and six months ended June 30, 2023 and 2022 (in thousands, except percentages):</w:t>
      </w:r>
    </w:p>
    <w:p>
      <w:pPr>
        <w:pStyle w:val="TextBody"/>
        <w:bidi w:val="0"/>
        <w:spacing w:before="0" w:after="0"/>
        <w:ind w:left="0" w:right="0" w:hanging="0"/>
        <w:jc w:val="left"/>
        <w:rPr/>
      </w:pPr>
      <w:r>
        <w:rPr/>
        <w:t>​</w:t>
      </w:r>
    </w:p>
    <w:tbl>
      <w:tblPr>
        <w:tblW w:w="6625" w:type="dxa"/>
        <w:jc w:val="left"/>
        <w:tblInd w:w="0" w:type="dxa"/>
        <w:tblLayout w:type="fixed"/>
        <w:tblCellMar>
          <w:top w:w="0" w:type="dxa"/>
          <w:left w:w="0" w:type="dxa"/>
          <w:bottom w:w="0" w:type="dxa"/>
          <w:right w:w="0" w:type="dxa"/>
        </w:tblCellMar>
      </w:tblPr>
      <w:tblGrid>
        <w:gridCol w:w="1220"/>
        <w:gridCol w:w="60"/>
        <w:gridCol w:w="125"/>
        <w:gridCol w:w="590"/>
        <w:gridCol w:w="60"/>
        <w:gridCol w:w="60"/>
        <w:gridCol w:w="81"/>
        <w:gridCol w:w="659"/>
        <w:gridCol w:w="185"/>
        <w:gridCol w:w="60"/>
        <w:gridCol w:w="125"/>
        <w:gridCol w:w="590"/>
        <w:gridCol w:w="60"/>
        <w:gridCol w:w="60"/>
        <w:gridCol w:w="81"/>
        <w:gridCol w:w="659"/>
        <w:gridCol w:w="185"/>
        <w:gridCol w:w="60"/>
        <w:gridCol w:w="125"/>
        <w:gridCol w:w="650"/>
        <w:gridCol w:w="80"/>
        <w:gridCol w:w="60"/>
        <w:gridCol w:w="60"/>
        <w:gridCol w:w="485"/>
        <w:gridCol w:w="24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9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CATV</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(14,370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Data Center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FTTH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107.1</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(10,684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tbl>
      <w:tblPr>
        <w:tblW w:w="6685" w:type="dxa"/>
        <w:jc w:val="left"/>
        <w:tblInd w:w="0" w:type="dxa"/>
        <w:tblLayout w:type="fixed"/>
        <w:tblCellMar>
          <w:top w:w="0" w:type="dxa"/>
          <w:left w:w="0" w:type="dxa"/>
          <w:bottom w:w="0" w:type="dxa"/>
          <w:right w:w="0" w:type="dxa"/>
        </w:tblCellMar>
      </w:tblPr>
      <w:tblGrid>
        <w:gridCol w:w="1220"/>
        <w:gridCol w:w="60"/>
        <w:gridCol w:w="125"/>
        <w:gridCol w:w="590"/>
        <w:gridCol w:w="60"/>
        <w:gridCol w:w="60"/>
        <w:gridCol w:w="81"/>
        <w:gridCol w:w="659"/>
        <w:gridCol w:w="185"/>
        <w:gridCol w:w="60"/>
        <w:gridCol w:w="125"/>
        <w:gridCol w:w="695"/>
        <w:gridCol w:w="60"/>
        <w:gridCol w:w="60"/>
        <w:gridCol w:w="81"/>
        <w:gridCol w:w="659"/>
        <w:gridCol w:w="185"/>
        <w:gridCol w:w="60"/>
        <w:gridCol w:w="125"/>
        <w:gridCol w:w="650"/>
        <w:gridCol w:w="80"/>
        <w:gridCol w:w="60"/>
        <w:gridCol w:w="60"/>
        <w:gridCol w:w="440"/>
        <w:gridCol w:w="24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CATV</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Data Center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FTTH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(54.3</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104,540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(9,895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decrease in revenue during the three and six months ended June 30, 2023 was </w:t>
      </w:r>
      <w:r>
        <w:rPr>
          <w:rFonts w:ascii="Times New Roman;Times;serif" w:hAnsi="Times New Roman;Times;serif"/>
          <w:sz w:val="20"/>
        </w:rPr>
        <w:t>primarily by less demand from a CATV major customer but partially offset by strong demand in data center product sales arising from another major customer.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begun to see increased orders for our 400G data center products from several large customers. Based on forecasts from our customers, we expect increased demand for these products through the end of 2023. We entered into a supply agreement with Microsoft to design certain datacenter goods and build a supply chain to manufacture, assemble, sell and ship the goods to them or an authorized purchasing entity. The initial term of the agreement is five years with automatic renewal unless terminated earlier.</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For the three months ended </w:t>
      </w:r>
      <w:r>
        <w:rPr>
          <w:rFonts w:ascii="Times New Roman;Times;serif" w:hAnsi="Times New Roman;Times;serif"/>
          <w:sz w:val="20"/>
        </w:rPr>
        <w:t>June 30, 2023 and 2022</w:t>
      </w:r>
      <w:r>
        <w:rPr>
          <w:rFonts w:ascii="Times New Roman;Times;serif" w:hAnsi="Times New Roman;Times;serif"/>
          <w:sz w:val="20"/>
          <w:shd w:fill="FFFFFF" w:val="clear"/>
        </w:rPr>
        <w:t xml:space="preserve">, our top ten customers represented 88.1% and 87.1% of our revenue, respectively. For the six months ended </w:t>
      </w:r>
      <w:r>
        <w:rPr>
          <w:rFonts w:ascii="Times New Roman;Times;serif" w:hAnsi="Times New Roman;Times;serif"/>
          <w:sz w:val="20"/>
        </w:rPr>
        <w:t>June 30, 2023 and 2022</w:t>
      </w:r>
      <w:r>
        <w:rPr>
          <w:rFonts w:ascii="Times New Roman;Times;serif" w:hAnsi="Times New Roman;Times;serif"/>
          <w:sz w:val="20"/>
          <w:shd w:fill="FFFFFF" w:val="clear"/>
        </w:rPr>
        <w:t>, our top ten customers represented 90.6% and 87.9%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 We continue to prioritize new customer acquisition and growth of diverse revenue streams.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Cost of goods sold and gross margin</w:t>
      </w:r>
    </w:p>
    <w:p>
      <w:pPr>
        <w:pStyle w:val="TextBody"/>
        <w:bidi w:val="0"/>
        <w:spacing w:before="0" w:after="0"/>
        <w:ind w:left="0" w:right="0" w:hanging="0"/>
        <w:jc w:val="left"/>
        <w:rPr/>
      </w:pPr>
      <w:r>
        <w:rPr/>
        <w:t>​</w:t>
      </w:r>
    </w:p>
    <w:tbl>
      <w:tblPr>
        <w:tblW w:w="6815" w:type="dxa"/>
        <w:jc w:val="left"/>
        <w:tblInd w:w="0" w:type="dxa"/>
        <w:tblLayout w:type="fixed"/>
        <w:tblCellMar>
          <w:top w:w="0" w:type="dxa"/>
          <w:left w:w="0" w:type="dxa"/>
          <w:bottom w:w="0" w:type="dxa"/>
          <w:right w:w="0" w:type="dxa"/>
        </w:tblCellMar>
      </w:tblPr>
      <w:tblGrid>
        <w:gridCol w:w="1535"/>
        <w:gridCol w:w="60"/>
        <w:gridCol w:w="125"/>
        <w:gridCol w:w="590"/>
        <w:gridCol w:w="60"/>
        <w:gridCol w:w="60"/>
        <w:gridCol w:w="100"/>
        <w:gridCol w:w="640"/>
        <w:gridCol w:w="185"/>
        <w:gridCol w:w="60"/>
        <w:gridCol w:w="125"/>
        <w:gridCol w:w="590"/>
        <w:gridCol w:w="60"/>
        <w:gridCol w:w="60"/>
        <w:gridCol w:w="100"/>
        <w:gridCol w:w="640"/>
        <w:gridCol w:w="185"/>
        <w:gridCol w:w="60"/>
        <w:gridCol w:w="129"/>
        <w:gridCol w:w="566"/>
        <w:gridCol w:w="80"/>
        <w:gridCol w:w="60"/>
        <w:gridCol w:w="60"/>
        <w:gridCol w:w="440"/>
        <w:gridCol w:w="24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9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975"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w:t>
      </w:r>
    </w:p>
    <w:tbl>
      <w:tblPr>
        <w:tblW w:w="6815" w:type="dxa"/>
        <w:jc w:val="left"/>
        <w:tblInd w:w="0" w:type="dxa"/>
        <w:tblLayout w:type="fixed"/>
        <w:tblCellMar>
          <w:top w:w="0" w:type="dxa"/>
          <w:left w:w="0" w:type="dxa"/>
          <w:bottom w:w="0" w:type="dxa"/>
          <w:right w:w="0" w:type="dxa"/>
        </w:tblCellMar>
      </w:tblPr>
      <w:tblGrid>
        <w:gridCol w:w="1535"/>
        <w:gridCol w:w="60"/>
        <w:gridCol w:w="125"/>
        <w:gridCol w:w="590"/>
        <w:gridCol w:w="60"/>
        <w:gridCol w:w="60"/>
        <w:gridCol w:w="100"/>
        <w:gridCol w:w="640"/>
        <w:gridCol w:w="185"/>
        <w:gridCol w:w="60"/>
        <w:gridCol w:w="125"/>
        <w:gridCol w:w="590"/>
        <w:gridCol w:w="60"/>
        <w:gridCol w:w="60"/>
        <w:gridCol w:w="100"/>
        <w:gridCol w:w="640"/>
        <w:gridCol w:w="185"/>
        <w:gridCol w:w="60"/>
        <w:gridCol w:w="129"/>
        <w:gridCol w:w="566"/>
        <w:gridCol w:w="80"/>
        <w:gridCol w:w="60"/>
        <w:gridCol w:w="60"/>
        <w:gridCol w:w="440"/>
        <w:gridCol w:w="24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9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975"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Cost of goods sold decreased by $10.0 million, or 22.8% for the three months ended </w:t>
      </w:r>
      <w:r>
        <w:rPr>
          <w:rFonts w:ascii="Times New Roman;Times;serif" w:hAnsi="Times New Roman;Times;serif"/>
          <w:sz w:val="20"/>
        </w:rPr>
        <w:t>June 30, 2023</w:t>
      </w:r>
      <w:r>
        <w:rPr>
          <w:rFonts w:ascii="Times New Roman;Times;serif" w:hAnsi="Times New Roman;Times;serif"/>
          <w:sz w:val="20"/>
          <w:shd w:fill="FFFFFF" w:val="clear"/>
        </w:rPr>
        <w:t xml:space="preserve"> as compared to the three months ended </w:t>
      </w:r>
      <w:r>
        <w:rPr>
          <w:rFonts w:ascii="Times New Roman;Times;serif" w:hAnsi="Times New Roman;Times;serif"/>
          <w:sz w:val="20"/>
        </w:rPr>
        <w:t>June 30, 2022</w:t>
      </w:r>
      <w:r>
        <w:rPr>
          <w:rFonts w:ascii="Times New Roman;Times;serif" w:hAnsi="Times New Roman;Times;serif"/>
          <w:sz w:val="20"/>
          <w:shd w:fill="FFFFFF" w:val="clear"/>
        </w:rPr>
        <w:t xml:space="preserve">, primarily due to the 20.4% sales decrease. Cost of goods sold decreased by $9.4 million for the six months ended </w:t>
      </w:r>
      <w:r>
        <w:rPr>
          <w:rFonts w:ascii="Times New Roman;Times;serif" w:hAnsi="Times New Roman;Times;serif"/>
          <w:sz w:val="20"/>
        </w:rPr>
        <w:t>June 30, 2023</w:t>
      </w:r>
      <w:r>
        <w:rPr>
          <w:rFonts w:ascii="Times New Roman;Times;serif" w:hAnsi="Times New Roman;Times;serif"/>
          <w:sz w:val="20"/>
          <w:shd w:fill="FFFFFF" w:val="clear"/>
        </w:rPr>
        <w:t xml:space="preserve"> as compared to the six months ended </w:t>
      </w:r>
      <w:r>
        <w:rPr>
          <w:rFonts w:ascii="Times New Roman;Times;serif" w:hAnsi="Times New Roman;Times;serif"/>
          <w:sz w:val="20"/>
        </w:rPr>
        <w:t>June 30, 2022</w:t>
      </w:r>
      <w:r>
        <w:rPr>
          <w:rFonts w:ascii="Times New Roman;Times;serif" w:hAnsi="Times New Roman;Times;serif"/>
          <w:sz w:val="20"/>
          <w:shd w:fill="FFFFFF" w:val="clear"/>
        </w:rPr>
        <w:t>, primarily due to the 9.5% sales decrease and offset with more cost saving.</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Gross profit decreased by $0.7 million, but gross margin increased by 2.5% for the three months ended </w:t>
      </w:r>
      <w:r>
        <w:rPr>
          <w:rFonts w:ascii="Times New Roman;Times;serif" w:hAnsi="Times New Roman;Times;serif"/>
          <w:sz w:val="20"/>
        </w:rPr>
        <w:t>June 30, 2023</w:t>
      </w:r>
      <w:r>
        <w:rPr>
          <w:rFonts w:ascii="Times New Roman;Times;serif" w:hAnsi="Times New Roman;Times;serif"/>
          <w:sz w:val="20"/>
          <w:shd w:fill="FFFFFF" w:val="clear"/>
        </w:rPr>
        <w:t xml:space="preserve"> as compared to the three months ended </w:t>
      </w:r>
      <w:r>
        <w:rPr>
          <w:rFonts w:ascii="Times New Roman;Times;serif" w:hAnsi="Times New Roman;Times;serif"/>
          <w:sz w:val="20"/>
        </w:rPr>
        <w:t>June 30, 2022</w:t>
      </w:r>
      <w:r>
        <w:rPr>
          <w:rFonts w:ascii="Times New Roman;Times;serif" w:hAnsi="Times New Roman;Times;serif"/>
          <w:sz w:val="20"/>
          <w:shd w:fill="FFFFFF" w:val="clear"/>
        </w:rPr>
        <w:t xml:space="preserve">, primarily as a result of less sales for some of our CATV products and offset with more cost saving. Gross profit decreased $0.5 million, but gross margin increased by 1.2% for the six months ended </w:t>
      </w:r>
      <w:r>
        <w:rPr>
          <w:rFonts w:ascii="Times New Roman;Times;serif" w:hAnsi="Times New Roman;Times;serif"/>
          <w:sz w:val="20"/>
        </w:rPr>
        <w:t>June 30, 2023</w:t>
      </w:r>
      <w:r>
        <w:rPr>
          <w:rFonts w:ascii="Times New Roman;Times;serif" w:hAnsi="Times New Roman;Times;serif"/>
          <w:sz w:val="20"/>
          <w:shd w:fill="FFFFFF" w:val="clear"/>
        </w:rPr>
        <w:t xml:space="preserve"> as compared to the six months ended </w:t>
      </w:r>
      <w:r>
        <w:rPr>
          <w:rFonts w:ascii="Times New Roman;Times;serif" w:hAnsi="Times New Roman;Times;serif"/>
          <w:sz w:val="20"/>
        </w:rPr>
        <w:t>June 30, 2022</w:t>
      </w:r>
      <w:r>
        <w:rPr>
          <w:rFonts w:ascii="Times New Roman;Times;serif" w:hAnsi="Times New Roman;Times;serif"/>
          <w:sz w:val="20"/>
          <w:shd w:fill="FFFFFF" w:val="clear"/>
        </w:rPr>
        <w:t>, primarily as a result of less sales for some of our CATV products and offset with more cost saving.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expenses</w:t>
      </w:r>
    </w:p>
    <w:p>
      <w:pPr>
        <w:pStyle w:val="TextBody"/>
        <w:bidi w:val="0"/>
        <w:spacing w:before="0" w:after="0"/>
        <w:ind w:left="0" w:right="0" w:hanging="0"/>
        <w:jc w:val="left"/>
        <w:rPr/>
      </w:pPr>
      <w:r>
        <w:rPr/>
        <w:t>​</w:t>
      </w:r>
    </w:p>
    <w:tbl>
      <w:tblPr>
        <w:tblW w:w="7260" w:type="dxa"/>
        <w:jc w:val="left"/>
        <w:tblInd w:w="0" w:type="dxa"/>
        <w:tblLayout w:type="fixed"/>
        <w:tblCellMar>
          <w:top w:w="0" w:type="dxa"/>
          <w:left w:w="0" w:type="dxa"/>
          <w:bottom w:w="0" w:type="dxa"/>
          <w:right w:w="0" w:type="dxa"/>
        </w:tblCellMar>
      </w:tblPr>
      <w:tblGrid>
        <w:gridCol w:w="2210"/>
        <w:gridCol w:w="60"/>
        <w:gridCol w:w="125"/>
        <w:gridCol w:w="590"/>
        <w:gridCol w:w="60"/>
        <w:gridCol w:w="60"/>
        <w:gridCol w:w="94"/>
        <w:gridCol w:w="601"/>
        <w:gridCol w:w="185"/>
        <w:gridCol w:w="60"/>
        <w:gridCol w:w="125"/>
        <w:gridCol w:w="590"/>
        <w:gridCol w:w="60"/>
        <w:gridCol w:w="60"/>
        <w:gridCol w:w="94"/>
        <w:gridCol w:w="601"/>
        <w:gridCol w:w="185"/>
        <w:gridCol w:w="60"/>
        <w:gridCol w:w="142"/>
        <w:gridCol w:w="553"/>
        <w:gridCol w:w="60"/>
        <w:gridCol w:w="60"/>
        <w:gridCol w:w="60"/>
        <w:gridCol w:w="380"/>
        <w:gridCol w:w="18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805"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tbl>
      <w:tblPr>
        <w:tblW w:w="7340" w:type="dxa"/>
        <w:jc w:val="left"/>
        <w:tblInd w:w="0" w:type="dxa"/>
        <w:tblLayout w:type="fixed"/>
        <w:tblCellMar>
          <w:top w:w="0" w:type="dxa"/>
          <w:left w:w="0" w:type="dxa"/>
          <w:bottom w:w="0" w:type="dxa"/>
          <w:right w:w="0" w:type="dxa"/>
        </w:tblCellMar>
      </w:tblPr>
      <w:tblGrid>
        <w:gridCol w:w="2210"/>
        <w:gridCol w:w="60"/>
        <w:gridCol w:w="125"/>
        <w:gridCol w:w="590"/>
        <w:gridCol w:w="60"/>
        <w:gridCol w:w="60"/>
        <w:gridCol w:w="94"/>
        <w:gridCol w:w="601"/>
        <w:gridCol w:w="185"/>
        <w:gridCol w:w="60"/>
        <w:gridCol w:w="125"/>
        <w:gridCol w:w="590"/>
        <w:gridCol w:w="60"/>
        <w:gridCol w:w="60"/>
        <w:gridCol w:w="94"/>
        <w:gridCol w:w="601"/>
        <w:gridCol w:w="185"/>
        <w:gridCol w:w="60"/>
        <w:gridCol w:w="142"/>
        <w:gridCol w:w="553"/>
        <w:gridCol w:w="80"/>
        <w:gridCol w:w="60"/>
        <w:gridCol w:w="60"/>
        <w:gridCol w:w="380"/>
        <w:gridCol w:w="24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825"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Research and development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Research and development expense increased by $0.3 million, or 3.8% for the three months ended </w:t>
      </w:r>
      <w:r>
        <w:rPr>
          <w:rFonts w:ascii="Times New Roman;Times;serif" w:hAnsi="Times New Roman;Times;serif"/>
          <w:sz w:val="20"/>
        </w:rPr>
        <w:t>June 30, 2023</w:t>
      </w:r>
      <w:r>
        <w:rPr>
          <w:rFonts w:ascii="Times New Roman;Times;serif" w:hAnsi="Times New Roman;Times;serif"/>
          <w:sz w:val="20"/>
          <w:shd w:fill="FFFFFF" w:val="clear"/>
        </w:rPr>
        <w:t xml:space="preserve"> as compared to the three months ended </w:t>
      </w:r>
      <w:r>
        <w:rPr>
          <w:rFonts w:ascii="Times New Roman;Times;serif" w:hAnsi="Times New Roman;Times;serif"/>
          <w:sz w:val="20"/>
        </w:rPr>
        <w:t>June 30, 2022</w:t>
      </w:r>
      <w:r>
        <w:rPr>
          <w:rFonts w:ascii="Times New Roman;Times;serif" w:hAnsi="Times New Roman;Times;serif"/>
          <w:sz w:val="20"/>
          <w:shd w:fill="FFFFFF" w:val="clear"/>
        </w:rPr>
        <w:t xml:space="preserve">. </w:t>
      </w:r>
      <w:r>
        <w:rPr>
          <w:rFonts w:ascii="Times New Roman;Times;serif" w:hAnsi="Times New Roman;Times;serif"/>
          <w:sz w:val="20"/>
        </w:rPr>
        <w:t>The increases were primarily due to more personnel-related expense for hiring of engineers. </w:t>
      </w:r>
      <w:r>
        <w:rPr>
          <w:rFonts w:ascii="Times New Roman;Times;serif" w:hAnsi="Times New Roman;Times;serif"/>
          <w:sz w:val="20"/>
          <w:shd w:fill="FFFFFF" w:val="clear"/>
        </w:rPr>
        <w:t xml:space="preserve">Research and development expense decreased by $0.6 million, or 3.6% for the six months ended </w:t>
      </w:r>
      <w:r>
        <w:rPr>
          <w:rFonts w:ascii="Times New Roman;Times;serif" w:hAnsi="Times New Roman;Times;serif"/>
          <w:sz w:val="20"/>
        </w:rPr>
        <w:t>June 30, 2023</w:t>
      </w:r>
      <w:r>
        <w:rPr>
          <w:rFonts w:ascii="Times New Roman;Times;serif" w:hAnsi="Times New Roman;Times;serif"/>
          <w:sz w:val="20"/>
          <w:shd w:fill="FFFFFF" w:val="clear"/>
        </w:rPr>
        <w:t xml:space="preserve"> as compared to the six months ended </w:t>
      </w:r>
      <w:r>
        <w:rPr>
          <w:rFonts w:ascii="Times New Roman;Times;serif" w:hAnsi="Times New Roman;Times;serif"/>
          <w:sz w:val="20"/>
        </w:rPr>
        <w:t>June 30, 2022</w:t>
      </w:r>
      <w:r>
        <w:rPr>
          <w:rFonts w:ascii="Times New Roman;Times;serif" w:hAnsi="Times New Roman;Times;serif"/>
          <w:sz w:val="20"/>
          <w:shd w:fill="FFFFFF" w:val="clear"/>
        </w:rPr>
        <w:t xml:space="preserve">. </w:t>
      </w:r>
      <w:r>
        <w:rPr>
          <w:rFonts w:ascii="Times New Roman;Times;serif" w:hAnsi="Times New Roman;Times;serif"/>
          <w:sz w:val="20"/>
        </w:rPr>
        <w:t>The decreases were primarily due to less machine depreciation, materials and supplies used in R&amp;D activities combined with Asian currency exchange rate effects. </w:t>
      </w:r>
      <w:r>
        <w:rPr>
          <w:rFonts w:ascii="Times New Roman;Times;serif" w:hAnsi="Times New Roman;Times;serif"/>
          <w:sz w:val="20"/>
          <w:shd w:fill="FFFFFF" w:val="clear"/>
        </w:rPr>
        <w:t xml:space="preserve">Research and development costs consist of R&amp;D work orders, R&amp;D material usage and other project related costs related to 100 Gbps, 200/400 Gbps data center products, DOCSIS 3.1 capable CATV products and other new product development, and depreciation expense resulting from R&amp;D equipment investments.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Sales and marketing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Sales and marketing expense increased by $0.1 million, or 4.8% for the three months ended June 30, 2023 as compared to the three months ended June 30, 2022. Sales and marketing expense decreased by $0.1 million, or 2.7% for the six months ended June 30, 2023 as compared to the six months ended June 30, 2022. Sales and marketing expense spending stayed at a flat level.</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General and administrative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General and administrative expense increased by $1.9 million, or 17.4% for the three months ended </w:t>
      </w:r>
      <w:r>
        <w:rPr>
          <w:rFonts w:ascii="Times New Roman;Times;serif" w:hAnsi="Times New Roman;Times;serif"/>
          <w:sz w:val="20"/>
        </w:rPr>
        <w:t>June 30, 2023</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June 30, 2022</w:t>
      </w:r>
      <w:r>
        <w:rPr>
          <w:rFonts w:ascii="Times New Roman;Times;serif" w:hAnsi="Times New Roman;Times;serif"/>
          <w:sz w:val="20"/>
          <w:shd w:fill="FFFFFF" w:val="clear"/>
        </w:rPr>
        <w:t xml:space="preserve">. This increase was primarily due to an increase in </w:t>
      </w:r>
      <w:r>
        <w:rPr>
          <w:rFonts w:ascii="Times New Roman;Times;serif" w:hAnsi="Times New Roman;Times;serif"/>
          <w:sz w:val="20"/>
        </w:rPr>
        <w:t>personnel-related costs including share-based compensation expense and </w:t>
      </w:r>
      <w:r>
        <w:rPr>
          <w:rFonts w:ascii="Times New Roman;Times;serif" w:hAnsi="Times New Roman;Times;serif"/>
          <w:sz w:val="20"/>
          <w:shd w:fill="FFFFFF" w:val="clear"/>
        </w:rPr>
        <w:t xml:space="preserve">professional service fees incurred due to the transaction for China </w:t>
      </w:r>
      <w:r>
        <w:rPr>
          <w:rFonts w:ascii="Times New Roman;Times;serif" w:hAnsi="Times New Roman;Times;serif"/>
          <w:sz w:val="20"/>
        </w:rPr>
        <w:t>divestiture agreement</w:t>
      </w:r>
      <w:r>
        <w:rPr>
          <w:rFonts w:ascii="Times New Roman;Times;serif" w:hAnsi="Times New Roman;Times;serif"/>
          <w:sz w:val="20"/>
          <w:shd w:fill="FFFFFF" w:val="clear"/>
        </w:rPr>
        <w:t xml:space="preserve">, taxes and fees. General and administrative expense increased by $3.2 million, or 14.6% for the six months ended </w:t>
      </w:r>
      <w:r>
        <w:rPr>
          <w:rFonts w:ascii="Times New Roman;Times;serif" w:hAnsi="Times New Roman;Times;serif"/>
          <w:sz w:val="20"/>
        </w:rPr>
        <w:t>June 30, 2023</w:t>
      </w:r>
      <w:r>
        <w:rPr>
          <w:rFonts w:ascii="Times New Roman;Times;serif" w:hAnsi="Times New Roman;Times;serif"/>
          <w:sz w:val="20"/>
          <w:shd w:fill="FFFFFF" w:val="clear"/>
        </w:rPr>
        <w:t xml:space="preserve"> compared to the six months ended </w:t>
      </w:r>
      <w:r>
        <w:rPr>
          <w:rFonts w:ascii="Times New Roman;Times;serif" w:hAnsi="Times New Roman;Times;serif"/>
          <w:sz w:val="20"/>
        </w:rPr>
        <w:t>June 30, 2022</w:t>
      </w:r>
      <w:r>
        <w:rPr>
          <w:rFonts w:ascii="Times New Roman;Times;serif" w:hAnsi="Times New Roman;Times;serif"/>
          <w:sz w:val="20"/>
          <w:shd w:fill="FFFFFF" w:val="clear"/>
        </w:rPr>
        <w:t xml:space="preserve">. This increase was primarily due to an increase in </w:t>
      </w:r>
      <w:r>
        <w:rPr>
          <w:rFonts w:ascii="Times New Roman;Times;serif" w:hAnsi="Times New Roman;Times;serif"/>
          <w:sz w:val="20"/>
        </w:rPr>
        <w:t>personnel-related costs including share-based compensation expense and </w:t>
      </w:r>
      <w:r>
        <w:rPr>
          <w:rFonts w:ascii="Times New Roman;Times;serif" w:hAnsi="Times New Roman;Times;serif"/>
          <w:sz w:val="20"/>
          <w:shd w:fill="FFFFFF" w:val="clear"/>
        </w:rPr>
        <w:t xml:space="preserve">professional service fees incurred due to the transaction for China </w:t>
      </w:r>
      <w:r>
        <w:rPr>
          <w:rFonts w:ascii="Times New Roman;Times;serif" w:hAnsi="Times New Roman;Times;serif"/>
          <w:sz w:val="20"/>
        </w:rPr>
        <w:t>divestiture agreement</w:t>
      </w:r>
      <w:r>
        <w:rPr>
          <w:rFonts w:ascii="Times New Roman;Times;serif" w:hAnsi="Times New Roman;Times;serif"/>
          <w:sz w:val="20"/>
          <w:shd w:fill="FFFFFF" w:val="clear"/>
        </w:rPr>
        <w:t>, taxes and fees.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income (expense), net</w:t>
      </w:r>
    </w:p>
    <w:p>
      <w:pPr>
        <w:pStyle w:val="TextBody"/>
        <w:bidi w:val="0"/>
        <w:spacing w:before="0" w:after="0"/>
        <w:ind w:left="0" w:right="0" w:hanging="0"/>
        <w:jc w:val="left"/>
        <w:rPr/>
      </w:pPr>
      <w:r>
        <w:rPr/>
        <w:t>​</w:t>
      </w:r>
    </w:p>
    <w:tbl>
      <w:tblPr>
        <w:tblW w:w="8150" w:type="dxa"/>
        <w:jc w:val="left"/>
        <w:tblInd w:w="0" w:type="dxa"/>
        <w:tblLayout w:type="fixed"/>
        <w:tblCellMar>
          <w:top w:w="0" w:type="dxa"/>
          <w:left w:w="0" w:type="dxa"/>
          <w:bottom w:w="0" w:type="dxa"/>
          <w:right w:w="0" w:type="dxa"/>
        </w:tblCellMar>
      </w:tblPr>
      <w:tblGrid>
        <w:gridCol w:w="2735"/>
        <w:gridCol w:w="60"/>
        <w:gridCol w:w="129"/>
        <w:gridCol w:w="566"/>
        <w:gridCol w:w="80"/>
        <w:gridCol w:w="60"/>
        <w:gridCol w:w="104"/>
        <w:gridCol w:w="591"/>
        <w:gridCol w:w="245"/>
        <w:gridCol w:w="60"/>
        <w:gridCol w:w="129"/>
        <w:gridCol w:w="566"/>
        <w:gridCol w:w="80"/>
        <w:gridCol w:w="60"/>
        <w:gridCol w:w="104"/>
        <w:gridCol w:w="591"/>
        <w:gridCol w:w="245"/>
        <w:gridCol w:w="60"/>
        <w:gridCol w:w="142"/>
        <w:gridCol w:w="553"/>
        <w:gridCol w:w="80"/>
        <w:gridCol w:w="60"/>
        <w:gridCol w:w="60"/>
        <w:gridCol w:w="545"/>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110"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(749.7</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7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w:t>
      </w:r>
    </w:p>
    <w:tbl>
      <w:tblPr>
        <w:tblW w:w="8150" w:type="dxa"/>
        <w:jc w:val="left"/>
        <w:tblInd w:w="0" w:type="dxa"/>
        <w:tblLayout w:type="fixed"/>
        <w:tblCellMar>
          <w:top w:w="0" w:type="dxa"/>
          <w:left w:w="0" w:type="dxa"/>
          <w:bottom w:w="0" w:type="dxa"/>
          <w:right w:w="0" w:type="dxa"/>
        </w:tblCellMar>
      </w:tblPr>
      <w:tblGrid>
        <w:gridCol w:w="2735"/>
        <w:gridCol w:w="60"/>
        <w:gridCol w:w="129"/>
        <w:gridCol w:w="566"/>
        <w:gridCol w:w="80"/>
        <w:gridCol w:w="60"/>
        <w:gridCol w:w="104"/>
        <w:gridCol w:w="591"/>
        <w:gridCol w:w="245"/>
        <w:gridCol w:w="60"/>
        <w:gridCol w:w="129"/>
        <w:gridCol w:w="566"/>
        <w:gridCol w:w="80"/>
        <w:gridCol w:w="60"/>
        <w:gridCol w:w="104"/>
        <w:gridCol w:w="591"/>
        <w:gridCol w:w="245"/>
        <w:gridCol w:w="60"/>
        <w:gridCol w:w="129"/>
        <w:gridCol w:w="566"/>
        <w:gridCol w:w="80"/>
        <w:gridCol w:w="60"/>
        <w:gridCol w:w="60"/>
        <w:gridCol w:w="545"/>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110"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(282.1</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7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income increased for the three months ended June 30, 2023 compared to the three months ended June 30, 2022. The changes are similar to expected rates of fluctuation with the interest rates and cash balances.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expense increased by $0.8 million, or 54.4% and $1.5 million, or 53.5% each for the three and six months ended June 30, 2023 compared to the three and six months ended June 30, 2022. This increase was due to higher average interest rate and loan balance during the 2023 periods.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Other income increased by $1.3 million, or 749.7%, for the three months ended </w:t>
      </w:r>
      <w:r>
        <w:rPr>
          <w:rFonts w:ascii="Times New Roman;Times;serif" w:hAnsi="Times New Roman;Times;serif"/>
          <w:sz w:val="20"/>
        </w:rPr>
        <w:t>June 30, 2023</w:t>
      </w:r>
      <w:r>
        <w:rPr>
          <w:rFonts w:ascii="Times New Roman;Times;serif" w:hAnsi="Times New Roman;Times;serif"/>
          <w:sz w:val="20"/>
          <w:shd w:fill="FFFFFF" w:val="clear"/>
        </w:rPr>
        <w:t xml:space="preserve"> as compared to the three months ended </w:t>
      </w:r>
      <w:r>
        <w:rPr>
          <w:rFonts w:ascii="Times New Roman;Times;serif" w:hAnsi="Times New Roman;Times;serif"/>
          <w:sz w:val="20"/>
        </w:rPr>
        <w:t>June 30, 2022</w:t>
      </w:r>
      <w:r>
        <w:rPr>
          <w:rFonts w:ascii="Times New Roman;Times;serif" w:hAnsi="Times New Roman;Times;serif"/>
          <w:sz w:val="20"/>
          <w:shd w:fill="FFFFFF" w:val="clear"/>
        </w:rPr>
        <w:t>.</w:t>
      </w:r>
      <w:r>
        <w:rPr>
          <w:rFonts w:ascii="Times New Roman;Times;serif" w:hAnsi="Times New Roman;Times;serif"/>
          <w:sz w:val="20"/>
        </w:rPr>
        <w:t xml:space="preserve"> This increase was mainly due to the other income received in the second quarter of 2023 from the China plant for several local government subsidized income in local city development plans and foreign currency gain arising from favorable exchange rate change.</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Other income increased by $1.8 million, or 282.1%, for the six months ended </w:t>
      </w:r>
      <w:r>
        <w:rPr>
          <w:rFonts w:ascii="Times New Roman;Times;serif" w:hAnsi="Times New Roman;Times;serif"/>
          <w:sz w:val="20"/>
        </w:rPr>
        <w:t>June 30, 2023</w:t>
      </w:r>
      <w:r>
        <w:rPr>
          <w:rFonts w:ascii="Times New Roman;Times;serif" w:hAnsi="Times New Roman;Times;serif"/>
          <w:sz w:val="20"/>
          <w:shd w:fill="FFFFFF" w:val="clear"/>
        </w:rPr>
        <w:t xml:space="preserve"> as compared to the six months ended </w:t>
      </w:r>
      <w:r>
        <w:rPr>
          <w:rFonts w:ascii="Times New Roman;Times;serif" w:hAnsi="Times New Roman;Times;serif"/>
          <w:sz w:val="20"/>
        </w:rPr>
        <w:t>June 30, 2022</w:t>
      </w:r>
      <w:r>
        <w:rPr>
          <w:rFonts w:ascii="Times New Roman;Times;serif" w:hAnsi="Times New Roman;Times;serif"/>
          <w:sz w:val="20"/>
          <w:shd w:fill="FFFFFF" w:val="clear"/>
        </w:rPr>
        <w:t>.</w:t>
      </w:r>
      <w:r>
        <w:rPr>
          <w:rFonts w:ascii="Times New Roman;Times;serif" w:hAnsi="Times New Roman;Times;serif"/>
          <w:sz w:val="20"/>
        </w:rPr>
        <w:t xml:space="preserve"> This increase was mainly due to the other income received in the first half of 2023 from the China plant for several local government subsidized income in local city development plans and foreign currency gain arising from favorable exchange rate change.</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Benefit (provision) for income taxes</w:t>
      </w:r>
    </w:p>
    <w:p>
      <w:pPr>
        <w:pStyle w:val="TextBody"/>
        <w:bidi w:val="0"/>
        <w:spacing w:before="0" w:after="0"/>
        <w:ind w:left="0" w:right="0" w:hanging="0"/>
        <w:jc w:val="left"/>
        <w:rPr/>
      </w:pPr>
      <w:r>
        <w:rPr/>
        <w:t>​</w:t>
      </w:r>
    </w:p>
    <w:tbl>
      <w:tblPr>
        <w:tblW w:w="5929" w:type="dxa"/>
        <w:jc w:val="left"/>
        <w:tblInd w:w="0" w:type="dxa"/>
        <w:tblLayout w:type="fixed"/>
        <w:tblCellMar>
          <w:top w:w="0" w:type="dxa"/>
          <w:left w:w="0" w:type="dxa"/>
          <w:bottom w:w="0" w:type="dxa"/>
          <w:right w:w="0" w:type="dxa"/>
        </w:tblCellMar>
      </w:tblPr>
      <w:tblGrid>
        <w:gridCol w:w="2945"/>
        <w:gridCol w:w="60"/>
        <w:gridCol w:w="232"/>
        <w:gridCol w:w="343"/>
        <w:gridCol w:w="148"/>
        <w:gridCol w:w="111"/>
        <w:gridCol w:w="232"/>
        <w:gridCol w:w="483"/>
        <w:gridCol w:w="111"/>
        <w:gridCol w:w="111"/>
        <w:gridCol w:w="232"/>
        <w:gridCol w:w="343"/>
        <w:gridCol w:w="148"/>
        <w:gridCol w:w="111"/>
        <w:gridCol w:w="111"/>
        <w:gridCol w:w="148"/>
        <w:gridCol w:w="60"/>
      </w:tblGrid>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64"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09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864"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Benefit (provision)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14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1"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3" w:type="dxa"/>
            <w:tcBorders/>
            <w:shd w:fill="CCEEFF" w:val="clear"/>
            <w:vAlign w:val="center"/>
          </w:tcPr>
          <w:p>
            <w:pPr>
              <w:pStyle w:val="TableContents"/>
              <w:bidi w:val="0"/>
              <w:spacing w:before="0" w:after="283"/>
              <w:ind w:left="0" w:right="0" w:hanging="0"/>
              <w:jc w:val="righ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14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926" w:type="dxa"/>
        <w:jc w:val="left"/>
        <w:tblInd w:w="0" w:type="dxa"/>
        <w:tblLayout w:type="fixed"/>
        <w:tblCellMar>
          <w:top w:w="0" w:type="dxa"/>
          <w:left w:w="0" w:type="dxa"/>
          <w:bottom w:w="0" w:type="dxa"/>
          <w:right w:w="0" w:type="dxa"/>
        </w:tblCellMar>
      </w:tblPr>
      <w:tblGrid>
        <w:gridCol w:w="2945"/>
        <w:gridCol w:w="60"/>
        <w:gridCol w:w="232"/>
        <w:gridCol w:w="344"/>
        <w:gridCol w:w="148"/>
        <w:gridCol w:w="110"/>
        <w:gridCol w:w="232"/>
        <w:gridCol w:w="483"/>
        <w:gridCol w:w="110"/>
        <w:gridCol w:w="110"/>
        <w:gridCol w:w="232"/>
        <w:gridCol w:w="344"/>
        <w:gridCol w:w="148"/>
        <w:gridCol w:w="110"/>
        <w:gridCol w:w="110"/>
        <w:gridCol w:w="148"/>
        <w:gridCol w:w="60"/>
      </w:tblGrid>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6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48"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0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861"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Benefit (provision)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14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3" w:type="dxa"/>
            <w:tcBorders/>
            <w:shd w:fill="CCEEFF" w:val="clear"/>
            <w:vAlign w:val="center"/>
          </w:tcPr>
          <w:p>
            <w:pPr>
              <w:pStyle w:val="TableContents"/>
              <w:bidi w:val="0"/>
              <w:spacing w:before="0" w:after="283"/>
              <w:ind w:left="0" w:right="0" w:hanging="0"/>
              <w:jc w:val="right"/>
              <w:rPr/>
            </w:pPr>
            <w:r>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14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Company’s effective tax rate for the three months </w:t>
      </w:r>
      <w:r>
        <w:rPr>
          <w:rFonts w:ascii="Times New Roman;Times;serif" w:hAnsi="Times New Roman;Times;serif"/>
          <w:sz w:val="20"/>
        </w:rPr>
        <w:t>ended June 30, 2023 and 2022</w:t>
      </w:r>
      <w:r>
        <w:rPr>
          <w:rFonts w:ascii="Times New Roman;Times;serif" w:hAnsi="Times New Roman;Times;serif"/>
          <w:sz w:val="20"/>
          <w:shd w:fill="FFFFFF" w:val="clear"/>
        </w:rPr>
        <w:t xml:space="preserve"> was 0%. For the six months </w:t>
      </w:r>
      <w:r>
        <w:rPr>
          <w:rFonts w:ascii="Times New Roman;Times;serif" w:hAnsi="Times New Roman;Times;serif"/>
          <w:sz w:val="20"/>
        </w:rPr>
        <w:t>ended June 30, 2023 and 2022, t</w:t>
      </w:r>
      <w:r>
        <w:rPr>
          <w:rFonts w:ascii="Times New Roman;Times;serif" w:hAnsi="Times New Roman;Times;serif"/>
          <w:sz w:val="20"/>
          <w:shd w:fill="FFFFFF" w:val="clear"/>
        </w:rPr>
        <w:t>he Company’s effective tax rate was 0%. The effective tax rate varied from the federal statutory rate of 21% primarily due to the change of the valuation allowance on federal, state, Taiwan, and China deferred tax assets ("DTA").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9, 2022, the Creating Helpful Incentives to Produce Semiconductors Act ("CHIPS Act") was enacted.  Among its provisions, the bill provides various federal grants, tax credits, and incentives for investment in the United States.  On August 16, 2022, the Inflation Reduction Act (“IRA”) was also signed into law. Among other provisions, the IRA imposes a 15% corporate alternative minimum tax (“Corporate AMT”) for tax years beginning after December 31, 2022, imposes a 1% excise tax on corporate stock repurchases after December 31, 2022, and provides tax incentives to promote various energy efficient initiatives. We are evaluating these laws and their potential impact on our current income tax expense and cash taxes. However, we currently do not believe this will have an impact on our taxes for the 2023 tax year.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Comprehensive Loss</w:t>
      </w:r>
    </w:p>
    <w:p>
      <w:pPr>
        <w:pStyle w:val="TextBody"/>
        <w:bidi w:val="0"/>
        <w:spacing w:before="0" w:after="0"/>
        <w:ind w:left="0" w:right="0" w:hanging="0"/>
        <w:jc w:val="left"/>
        <w:rPr/>
      </w:pPr>
      <w:r>
        <w:rPr/>
        <w:t> </w:t>
      </w:r>
    </w:p>
    <w:tbl>
      <w:tblPr>
        <w:tblW w:w="9915" w:type="dxa"/>
        <w:jc w:val="left"/>
        <w:tblInd w:w="0" w:type="dxa"/>
        <w:tblLayout w:type="fixed"/>
        <w:tblCellMar>
          <w:top w:w="0" w:type="dxa"/>
          <w:left w:w="0" w:type="dxa"/>
          <w:bottom w:w="0" w:type="dxa"/>
          <w:right w:w="0" w:type="dxa"/>
        </w:tblCellMar>
      </w:tblPr>
      <w:tblGrid>
        <w:gridCol w:w="4445"/>
        <w:gridCol w:w="60"/>
        <w:gridCol w:w="125"/>
        <w:gridCol w:w="650"/>
        <w:gridCol w:w="80"/>
        <w:gridCol w:w="60"/>
        <w:gridCol w:w="83"/>
        <w:gridCol w:w="612"/>
        <w:gridCol w:w="245"/>
        <w:gridCol w:w="60"/>
        <w:gridCol w:w="125"/>
        <w:gridCol w:w="650"/>
        <w:gridCol w:w="80"/>
        <w:gridCol w:w="60"/>
        <w:gridCol w:w="83"/>
        <w:gridCol w:w="612"/>
        <w:gridCol w:w="245"/>
        <w:gridCol w:w="60"/>
        <w:gridCol w:w="129"/>
        <w:gridCol w:w="566"/>
        <w:gridCol w:w="80"/>
        <w:gridCol w:w="60"/>
        <w:gridCol w:w="60"/>
        <w:gridCol w:w="440"/>
        <w:gridCol w:w="245"/>
      </w:tblGrid>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2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165"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(16,944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(5,293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tbl>
      <w:tblPr>
        <w:tblW w:w="9915" w:type="dxa"/>
        <w:jc w:val="left"/>
        <w:tblInd w:w="0" w:type="dxa"/>
        <w:tblLayout w:type="fixed"/>
        <w:tblCellMar>
          <w:top w:w="0" w:type="dxa"/>
          <w:left w:w="0" w:type="dxa"/>
          <w:bottom w:w="0" w:type="dxa"/>
          <w:right w:w="0" w:type="dxa"/>
        </w:tblCellMar>
      </w:tblPr>
      <w:tblGrid>
        <w:gridCol w:w="4445"/>
        <w:gridCol w:w="60"/>
        <w:gridCol w:w="125"/>
        <w:gridCol w:w="650"/>
        <w:gridCol w:w="80"/>
        <w:gridCol w:w="60"/>
        <w:gridCol w:w="83"/>
        <w:gridCol w:w="612"/>
        <w:gridCol w:w="245"/>
        <w:gridCol w:w="60"/>
        <w:gridCol w:w="125"/>
        <w:gridCol w:w="650"/>
        <w:gridCol w:w="80"/>
        <w:gridCol w:w="60"/>
        <w:gridCol w:w="83"/>
        <w:gridCol w:w="612"/>
        <w:gridCol w:w="245"/>
        <w:gridCol w:w="60"/>
        <w:gridCol w:w="129"/>
        <w:gridCol w:w="566"/>
        <w:gridCol w:w="80"/>
        <w:gridCol w:w="60"/>
        <w:gridCol w:w="60"/>
        <w:gridCol w:w="440"/>
        <w:gridCol w:w="245"/>
      </w:tblGrid>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2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165"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(8,845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(36,891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(39,363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Comprehensive loss increased by $0.2 million, or 0.9%, for the three months ended </w:t>
      </w:r>
      <w:r>
        <w:rPr>
          <w:rFonts w:ascii="Times New Roman;Times;serif" w:hAnsi="Times New Roman;Times;serif"/>
          <w:sz w:val="20"/>
        </w:rPr>
        <w:t>June 30, 2023</w:t>
      </w:r>
      <w:r>
        <w:rPr>
          <w:rFonts w:ascii="Times New Roman;Times;serif" w:hAnsi="Times New Roman;Times;serif"/>
          <w:sz w:val="20"/>
          <w:shd w:fill="FFFFFF" w:val="clear"/>
        </w:rPr>
        <w:t xml:space="preserve"> as compared to the three months ended </w:t>
      </w:r>
      <w:r>
        <w:rPr>
          <w:rFonts w:ascii="Times New Roman;Times;serif" w:hAnsi="Times New Roman;Times;serif"/>
          <w:sz w:val="20"/>
        </w:rPr>
        <w:t>June 30, 2022</w:t>
      </w:r>
      <w:r>
        <w:rPr>
          <w:rFonts w:ascii="Times New Roman;Times;serif" w:hAnsi="Times New Roman;Times;serif"/>
          <w:sz w:val="20"/>
          <w:shd w:fill="FFFFFF" w:val="clear"/>
        </w:rPr>
        <w:t>, primarily due to increase of net loss of $2.5 million and decrease of $2.3 million in loss on foreign currency translation adjustments for non-U.S. dollar functional currency operations.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Comprehensive loss decreased by $2.5 million, or 6.3%, for the six months ended </w:t>
      </w:r>
      <w:r>
        <w:rPr>
          <w:rFonts w:ascii="Times New Roman;Times;serif" w:hAnsi="Times New Roman;Times;serif"/>
          <w:sz w:val="20"/>
        </w:rPr>
        <w:t>June 30, 2023</w:t>
      </w:r>
      <w:r>
        <w:rPr>
          <w:rFonts w:ascii="Times New Roman;Times;serif" w:hAnsi="Times New Roman;Times;serif"/>
          <w:sz w:val="20"/>
          <w:shd w:fill="FFFFFF" w:val="clear"/>
        </w:rPr>
        <w:t xml:space="preserve"> as compared to the six months ended </w:t>
      </w:r>
      <w:r>
        <w:rPr>
          <w:rFonts w:ascii="Times New Roman;Times;serif" w:hAnsi="Times New Roman;Times;serif"/>
          <w:sz w:val="20"/>
        </w:rPr>
        <w:t>June 30, 2022</w:t>
      </w:r>
      <w:r>
        <w:rPr>
          <w:rFonts w:ascii="Times New Roman;Times;serif" w:hAnsi="Times New Roman;Times;serif"/>
          <w:sz w:val="20"/>
          <w:shd w:fill="FFFFFF" w:val="clear"/>
        </w:rPr>
        <w:t>, primarily due to increase of net loss of $2.7 million and decrease of $5.2 million in loss on foreign currency translation adjustments for non-U.S. dollar functional currency operations.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functional currency for the Company’s operations is generally the applicable local currency. Accordingly, the assets and liabilities of companies whose functional currency is other than the U.S. dollar are included in the consolidated financial statements by translating the assets and liabilities into the U.S. dollar at the exchange rates applicable at the end of the reporting period. Translation gains or losses are accumulated in other comprehensive income (loss) in the consolidated statements of shareholders’ equity and are also included in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2023, we ha</w:t>
      </w:r>
      <w:r>
        <w:rPr>
          <w:rFonts w:ascii="Times New Roman;Times;serif" w:hAnsi="Times New Roman;Times;serif"/>
          <w:sz w:val="20"/>
          <w:shd w:fill="FFFFFF" w:val="clear"/>
        </w:rPr>
        <w:t xml:space="preserve">d $32.5 million </w:t>
      </w:r>
      <w:r>
        <w:rPr>
          <w:rFonts w:ascii="Times New Roman;Times;serif" w:hAnsi="Times New Roman;Times;serif"/>
          <w:sz w:val="20"/>
        </w:rPr>
        <w:t>of unused borrowing capacity from all of our loan agreements. As of June 30, 2023, our cash, cash equivalents and restricted cash totale</w:t>
      </w:r>
      <w:r>
        <w:rPr>
          <w:rFonts w:ascii="Times New Roman;Times;serif" w:hAnsi="Times New Roman;Times;serif"/>
          <w:sz w:val="20"/>
          <w:shd w:fill="FFFFFF" w:val="clear"/>
        </w:rPr>
        <w:t xml:space="preserve">d $28.6 million. </w:t>
      </w:r>
      <w:r>
        <w:rPr>
          <w:rFonts w:ascii="Times New Roman;Times;serif" w:hAnsi="Times New Roman;Times;serif"/>
          <w:sz w:val="20"/>
        </w:rPr>
        <w:t>Cash and cash equivalents are held for working capital purposes and are invested primarily in money market or time deposit funds. We do not enter into investments for trading or speculative purposes.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ATM Offerings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5, 2023, the Company filed a Registration Statement on Form S-3 with the Securities and Exchange Commission, which was declared effective on March 21, 2023, providing for the public offer and sale of certain securities of the Company from time to time, at our discretion, up to an aggregate amount of $185 million. Pursuant to Rule 415(a)(6) under the Securities Act, the securities registered pursuant to this registration statement include unsold securities previously registered for sale pursuant to our previously filed Registration Statement on Form S-3, which became effective on January 9, 2020.</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24, 2023, we entered into an Equity Distribution Agreement (the “Agreement”) with Raymond James &amp; Associates (the “Sales Agent”) pursuant to which the Company may issue and sell shares of the Company’s common stock, par value $0.001 per share (the “Shares”) having an aggregate offering price of up to $35 million (the “ATM Offering”),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Agreement provides that the Sales Agent will be entitled to compensation of up to 2% of the gross sales price of the Shares sold through the Sales Agent from time to time. The Company has also agreed to reimburse the Sales Agent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Additionally, if the Agreement is terminated under certain circumstances, and the Company fails to sell a minimum amount of the Shares as set forth in the Agreement, then the Company has agreed to reimburse the Sales Agent for reasonable out-of-pocket expenses, including the reasonable fees and disbursements of counsel incurred by the Sales Agent, up to a maximum of $30,000 in the aggregate. The Company agreed to indemnify the Sales Agent against certain liabilities, including liabilities under the Securities Act, or to contribute to payments that the Sales Agent may be required to make because of any of those liabilities.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details of the shares of common stock sold through the ATM Offering are as follows (in thousands, except shares and weighted average per share price):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867"/>
        <w:gridCol w:w="60"/>
        <w:gridCol w:w="697"/>
        <w:gridCol w:w="60"/>
        <w:gridCol w:w="136"/>
        <w:gridCol w:w="1110"/>
        <w:gridCol w:w="60"/>
        <w:gridCol w:w="60"/>
        <w:gridCol w:w="160"/>
        <w:gridCol w:w="1594"/>
        <w:gridCol w:w="60"/>
        <w:gridCol w:w="60"/>
        <w:gridCol w:w="177"/>
        <w:gridCol w:w="840"/>
        <w:gridCol w:w="60"/>
        <w:gridCol w:w="60"/>
        <w:gridCol w:w="305"/>
        <w:gridCol w:w="1712"/>
        <w:gridCol w:w="60"/>
        <w:gridCol w:w="60"/>
        <w:gridCol w:w="188"/>
        <w:gridCol w:w="738"/>
        <w:gridCol w:w="81"/>
      </w:tblGrid>
      <w:tr>
        <w:trPr/>
        <w:tc>
          <w:tcPr>
            <w:tcW w:w="1867"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 Agent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46"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Sold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5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Per Share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1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Proceeds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1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to Distribution Agent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26"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Proceeds</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6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7"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June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111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9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 w:type="dxa"/>
            <w:tcBorders/>
            <w:shd w:fill="CCEEFF" w:val="clear"/>
            <w:tcMar>
              <w:bottom w:w="0" w:type="dxa"/>
            </w:tcMar>
            <w:vAlign w:val="center"/>
          </w:tcPr>
          <w:p>
            <w:pPr>
              <w:pStyle w:val="TableContents"/>
              <w:bidi w:val="0"/>
              <w:spacing w:before="0" w:after="283"/>
              <w:ind w:left="0" w:right="0" w:hanging="0"/>
              <w:jc w:val="left"/>
              <w:rPr/>
            </w:pPr>
            <w:r>
              <w:rPr/>
              <w:t> </w:t>
            </w:r>
          </w:p>
        </w:tc>
        <w:tc>
          <w:tcPr>
            <w:tcW w:w="171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9,879</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6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1110" w:type="dxa"/>
            <w:tcBorders>
              <w:top w:val="single" w:sz="2" w:space="0" w:color="000000"/>
              <w:bottom w:val="double" w:sz="6"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59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top w:val="single" w:sz="2" w:space="0" w:color="000000"/>
              <w:bottom w:val="double" w:sz="6"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 w:type="dxa"/>
            <w:tcBorders/>
            <w:shd w:fill="FFFFFF" w:val="clear"/>
            <w:tcMar>
              <w:bottom w:w="0" w:type="dxa"/>
            </w:tcMar>
            <w:vAlign w:val="center"/>
          </w:tcPr>
          <w:p>
            <w:pPr>
              <w:pStyle w:val="TableContents"/>
              <w:bidi w:val="0"/>
              <w:spacing w:before="0" w:after="283"/>
              <w:ind w:left="0" w:right="0" w:hanging="0"/>
              <w:jc w:val="left"/>
              <w:rPr/>
            </w:pPr>
            <w:r>
              <w:rPr/>
              <w:t> </w:t>
            </w:r>
          </w:p>
        </w:tc>
        <w:tc>
          <w:tcPr>
            <w:tcW w:w="1712" w:type="dxa"/>
            <w:tcBorders>
              <w:top w:val="single" w:sz="2" w:space="0" w:color="000000"/>
              <w:bottom w:val="double" w:sz="6"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top w:val="single" w:sz="2" w:space="0" w:color="000000"/>
              <w:bottom w:val="double" w:sz="6"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9,879</w:t>
            </w:r>
          </w:p>
        </w:tc>
        <w:tc>
          <w:tcPr>
            <w:tcW w:w="8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Note Offering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5, 2019, the Company issued $80.5 million of 5% convertible senior notes due 2024 (the "Notes"), bearing interest at a rate of 5% per year maturing on March 15, 2024, unless earlier repurchased, redeemed or converted in accordance with their terms. The sale of the Notes generated net proceeds of $76.4 million, after expenses. Also, refer to Note 12 “Convertible Senior Notes” to the consolidated financial statements for further discussion of the Notes.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0"/>
        <w:ind w:left="0" w:right="0" w:firstLine="18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sets forth selected cash flow data for the periods presented (in thousands):</w:t>
      </w:r>
    </w:p>
    <w:p>
      <w:pPr>
        <w:pStyle w:val="TextBody"/>
        <w:bidi w:val="0"/>
        <w:spacing w:before="0" w:after="0"/>
        <w:ind w:left="0" w:right="0" w:firstLine="720"/>
        <w:jc w:val="left"/>
        <w:rPr/>
      </w:pPr>
      <w:r>
        <w:rPr/>
        <w:t>​</w:t>
      </w:r>
    </w:p>
    <w:tbl>
      <w:tblPr>
        <w:tblW w:w="6732" w:type="dxa"/>
        <w:jc w:val="left"/>
        <w:tblInd w:w="0" w:type="dxa"/>
        <w:tblLayout w:type="fixed"/>
        <w:tblCellMar>
          <w:top w:w="0" w:type="dxa"/>
          <w:left w:w="0" w:type="dxa"/>
          <w:bottom w:w="0" w:type="dxa"/>
          <w:right w:w="0" w:type="dxa"/>
        </w:tblCellMar>
      </w:tblPr>
      <w:tblGrid>
        <w:gridCol w:w="4355"/>
        <w:gridCol w:w="60"/>
        <w:gridCol w:w="176"/>
        <w:gridCol w:w="918"/>
        <w:gridCol w:w="113"/>
        <w:gridCol w:w="84"/>
        <w:gridCol w:w="176"/>
        <w:gridCol w:w="770"/>
        <w:gridCol w:w="80"/>
      </w:tblGrid>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9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5,868</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w:t>
            </w:r>
          </w:p>
        </w:tc>
        <w:tc>
          <w:tcPr>
            <w:tcW w:w="1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(11,786</w:t>
            </w:r>
          </w:p>
        </w:tc>
        <w:tc>
          <w:tcPr>
            <w:tcW w:w="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w:t>
            </w:r>
          </w:p>
        </w:tc>
        <w:tc>
          <w:tcPr>
            <w:tcW w:w="8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(6,975</w:t>
            </w:r>
          </w:p>
        </w:tc>
        <w:tc>
          <w:tcPr>
            <w:tcW w:w="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2023, net cash generated in operating activities was $5.9 million. Net cash provided by operating activities consisted of our net loss of $33.2 million after exclusion of non-cash items of $20.4 million. Cash increased due to a net decrease in accounts and trade notes receivable of $18.1 million, together with a decrease in inventory of $7.0 million and a major customer advance payment for unearned revenue of $8.7 million, offset with a decrease in accounts payable of $12.7 million and accrued liabilities of $2.4 million, respectively. </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w:t>
      </w:r>
      <w:r>
        <w:rPr>
          <w:rFonts w:ascii="Times New Roman;Times;serif" w:hAnsi="Times New Roman;Times;serif"/>
          <w:sz w:val="20"/>
          <w:shd w:fill="FFFFFF" w:val="clear"/>
        </w:rPr>
        <w:t xml:space="preserve">six months ended </w:t>
      </w:r>
      <w:r>
        <w:rPr>
          <w:rFonts w:ascii="Times New Roman;Times;serif" w:hAnsi="Times New Roman;Times;serif"/>
          <w:sz w:val="20"/>
        </w:rPr>
        <w:t>June 30, 2022</w:t>
      </w:r>
      <w:r>
        <w:rPr>
          <w:rFonts w:ascii="Times New Roman;Times;serif" w:hAnsi="Times New Roman;Times;serif"/>
          <w:sz w:val="20"/>
          <w:shd w:fill="FFFFFF" w:val="clear"/>
        </w:rPr>
        <w:t>,</w:t>
      </w:r>
      <w:r>
        <w:rPr>
          <w:rFonts w:ascii="Times New Roman;Times;serif" w:hAnsi="Times New Roman;Times;serif"/>
          <w:sz w:val="20"/>
        </w:rPr>
        <w:t xml:space="preserve"> net cash used in operating activities was $1.4 million. Net cash used in operating activities consisted of our net loss of $30.5 million after exclusion of non-cash items of $20.8 million. Cash decreased due to an increase in inventory of $11.5 million, a decrease in accrued liabilities of $2.7 million and an increase of $2.1 million in other current assets, offset with an increase in accounts payable of $11 million and a net decrease in accounts and trade notes receivable from our customers of $13.8 million.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Investing activities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2023, net cash used in investing activities was $1.9 million, mainly from the purchase of additional plant, machinery and equipment.</w:t>
      </w:r>
    </w:p>
    <w:p>
      <w:pPr>
        <w:pStyle w:val="TextBody"/>
        <w:bidi w:val="0"/>
        <w:spacing w:before="0" w:after="0"/>
        <w:ind w:left="0" w:right="0" w:firstLine="720"/>
        <w:jc w:val="left"/>
        <w:rPr/>
      </w:pPr>
      <w:r>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2022, net cash used in investing activities was $2.0 million, mainly from the purchase of additional plant, machinery and equipment.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2023, net cash used in financing activities was $11.8 million. This decrease in cash was due to repayment of $18.6 million on our lines of credit and repayment of $3.3 million bank acceptances payable, offset by net proceeds of $10.3 million from the ATM Offering.</w:t>
      </w:r>
    </w:p>
    <w:p>
      <w:pPr>
        <w:pStyle w:val="TextBody"/>
        <w:bidi w:val="0"/>
        <w:spacing w:before="0" w:after="0"/>
        <w:ind w:left="0" w:right="0" w:firstLine="720"/>
        <w:jc w:val="left"/>
        <w:rPr/>
      </w:pPr>
      <w:r>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 xml:space="preserve">For the </w:t>
      </w:r>
      <w:r>
        <w:rPr>
          <w:rFonts w:ascii="Times New Roman" w:hAnsi="Times New Roman"/>
          <w:caps w:val="false"/>
          <w:smallCaps w:val="false"/>
          <w:sz w:val="20"/>
          <w:shd w:fill="FFFFFF" w:val="clear"/>
        </w:rPr>
        <w:t xml:space="preserve">six months ended </w:t>
      </w:r>
      <w:r>
        <w:rPr>
          <w:rFonts w:ascii="Times New Roman" w:hAnsi="Times New Roman"/>
          <w:caps w:val="false"/>
          <w:smallCaps w:val="false"/>
          <w:sz w:val="20"/>
        </w:rPr>
        <w:t>June 30, 2022</w:t>
      </w:r>
      <w:r>
        <w:rPr>
          <w:rFonts w:ascii="Times New Roman" w:hAnsi="Times New Roman"/>
          <w:caps w:val="false"/>
          <w:smallCaps w:val="false"/>
          <w:sz w:val="20"/>
          <w:shd w:fill="FFFFFF" w:val="clear"/>
        </w:rPr>
        <w:t>,</w:t>
      </w:r>
      <w:r>
        <w:rPr>
          <w:rFonts w:ascii="Times New Roman" w:hAnsi="Times New Roman"/>
          <w:caps w:val="false"/>
          <w:smallCaps w:val="false"/>
          <w:sz w:val="20"/>
        </w:rPr>
        <w:t xml:space="preserve"> our financing activities generated $2.0 million in cash. This increase in cash was due to $6.9 million net proceeds from lines of credit and $2.7 million net proceeds from acceptances, offset by repayment of loan of $7.3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Loans and commitments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lending arrangements with several financial institutions. In the US, we have a revolving line of credit with CIT. The line of credit contains financial covenants that may limit the amount and types of debt that we may incur. As of June 30, 2023, we were in compliance with these covenants.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As of </w:t>
      </w:r>
      <w:r>
        <w:rPr>
          <w:rFonts w:ascii="Times New Roman;Times;serif" w:hAnsi="Times New Roman;Times;serif"/>
          <w:sz w:val="20"/>
        </w:rPr>
        <w:t>June 30, 2023</w:t>
      </w:r>
      <w:r>
        <w:rPr>
          <w:rFonts w:ascii="Times New Roman;Times;serif" w:hAnsi="Times New Roman;Times;serif"/>
          <w:sz w:val="20"/>
          <w:shd w:fill="FFFFFF" w:val="clear"/>
        </w:rPr>
        <w:t>, we had $32.5 million of unused borrowing capacity.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5, 2019, we issued $80.5 million of 5% convertible senior notes due in 2024. The Notes will mature on March 15, 2024, unless earlier repurchased, redeemed or converted in accordance with their terms.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Note 11 “Notes Payable and Long-term Debt” and Note 12 “Convertible Senior Notes” of our Condensed Consolidated Financial Statements for a description of our notes payable and long-term debt and convertible senior notes.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China factory construction</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June 30, 2023, construction of the building shell is complete, and approximately $27.4 million of this total cost has been paid and the remaining portion will be paid in yearly installments for three years after final inspection. We anticipate additional expenses for building improvements to the factory and we are in the process of evaluating the timing of these expenditures and obtaining bids for any such work. Based on forecasts, we believe the factory will be placed in service in the year 2024 after the construction is completed for the building interior work. Property will be transferred from construction in progress to building and improvement at that time.</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Future liquidity needs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had cash, cash equivalents and restricted cash of $28.6 million as of June 30, 2023, a decrease of approximately $7.0 million compared to December 31, 2022.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a new factory and other facilities at our Ningbo, China location, changes in our manufacturing capacity and the continuing market acceptance of our products.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2023, we had a total loan balance (excluding convertible notes) of $38.3 million from various lenders in the US and China and had $32.5 million available borrowing capacity on existing credit lines. Should additional liquidity be needed, our Board has authorized issuance of equity totaling up to $35 million under the ATM Offering (see the discussion of "Liquidity and Capital Resources" in Item 2).</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15, 2022, the Company entered into a definitive purchase agreement with Yuhan Optoelectronic Technology (Shanghai) Co., Ltd ("Purchaser"), which is a company incorporated in the People's Republic of China ("PRC"), to divest our manufacturing facilities in PRC and certain assets related to our transceiver business and multi-channel optical sub-assembly products (collectively, the "Divestiture"). The purchase price will be an amount equal to the $150 million USD equivalent of Renminbi, less a holdback amount. Prior to the closing of the transaction we anticipate investing an amount equal to between 4% and 10% of the estimated proceeds from the transaction in exchange for a 10% equity interest in the Purchaser.  The remaining funds from this transaction will significantly enhance our liquidity.</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pStyle w:val="TextBody"/>
        <w:bidi w:val="0"/>
        <w:spacing w:before="0" w:after="0"/>
        <w:ind w:left="0" w:right="0" w:firstLine="360"/>
        <w:jc w:val="left"/>
        <w:rPr/>
      </w:pPr>
      <w:r>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Contractual Obligations and Commitments</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Please refer to Item 7 "Management's Discussion and Analysis of Financial Condition and Results of Operations" in the Company's Annual Report on Form 10-K for the fiscal year ended December 31, 2022 for a complete discussion of its contractual obligations and commitments.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w:t>
      </w:r>
      <w:r>
        <w:rPr>
          <w:rFonts w:ascii="Times New Roman;Times;serif" w:hAnsi="Times New Roman;Times;serif"/>
          <w:sz w:val="20"/>
        </w:rPr>
        <w:t>The annual inflation rate in 2022 slowed down to 2.95% in Taiwan, which should remain the same in 2023 and was 6.5% in the US. Estimated inflation rate in the US is expected to continue to decline in 2023 based on U.S. Federal monetary policy “tapering” to address inflation.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Cost inflation included increases in shipping costs, labor rates, and costs of some raw materials. We currently</w:t>
      </w:r>
      <w:r>
        <w:rPr>
          <w:rFonts w:cs="Times New Roman;Times;serif"/>
          <w:szCs w:val="20"/>
        </w:rPr>
        <w:t xml:space="preserve">﻿ </w:t>
      </w:r>
      <w:r>
        <w:rPr>
          <w:rFonts w:ascii="Times New Roman;Times;serif" w:hAnsi="Times New Roman;Times;serif"/>
          <w:sz w:val="20"/>
        </w:rPr>
        <w:t>believe these increases are related to the COVID-19 pandemic, however we cannot be sure when or if prices will return to pre-pandemic levels.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is no guarantee that we can increase selling prices or reduce costs to fully mitigate the effect of inflation on our costs, which may adversely impact our sales margins and profitability.</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Compared to other major economies in the world, China has a low level of inflation or even in deflation, which has not had a significant impact on our sales or operating results.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our Annual Report for the year ended December 31, 2022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service and product warranties, share based compensation expense, estimated useful lives of property and equipment,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2" w:name="item3"/>
      <w:bookmarkEnd w:id="12"/>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quantitative and qualitative disclosures about market risk affecting the Company, see Item 7A – Quantitative and Qualitative Disclosures about Market Risk in our Annual Report for the fiscal year ended December 31, 2022. We do not believe the Company’s exposure to market risk has changed materially since December 31, 2022.</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3" w:name="item4"/>
      <w:bookmarkEnd w:id="13"/>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June 30, 2023. Based upon that evaluation, our Chief Executive Officer and Chief Financial Officer concluded that, as of the end of the period covered by this report, our disclosure controls and procedures were effective.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pStyle w:val="TextBody"/>
        <w:bidi w:val="0"/>
        <w:spacing w:before="0" w:after="0"/>
        <w:ind w:left="0" w:right="0" w:firstLine="720"/>
        <w:jc w:val="left"/>
        <w:rPr/>
      </w:pPr>
      <w:r>
        <w:rPr/>
        <w:t> </w:t>
      </w:r>
    </w:p>
    <w:p>
      <w:pPr>
        <w:pStyle w:val="TextBody"/>
        <w:bidi w:val="0"/>
        <w:spacing w:before="0" w:after="0"/>
        <w:ind w:left="0" w:right="0" w:firstLine="720"/>
        <w:jc w:val="center"/>
        <w:rPr>
          <w:rFonts w:ascii="Times New Roman;Times;serif" w:hAnsi="Times New Roman;Times;serif"/>
          <w:b/>
          <w:sz w:val="20"/>
        </w:rPr>
      </w:pPr>
      <w:bookmarkStart w:id="14" w:name="part2"/>
      <w:bookmarkEnd w:id="14"/>
      <w:r>
        <w:rPr>
          <w:rFonts w:ascii="Times New Roman;Times;serif" w:hAnsi="Times New Roman;Times;serif"/>
          <w:b/>
          <w:sz w:val="20"/>
        </w:rPr>
        <w:t>Part II. Other Information</w:t>
      </w:r>
    </w:p>
    <w:p>
      <w:pPr>
        <w:pStyle w:val="TextBody"/>
        <w:bidi w:val="0"/>
        <w:spacing w:before="0" w:after="283"/>
        <w:jc w:val="left"/>
        <w:rPr/>
      </w:pPr>
      <w:r>
        <w:rPr/>
        <w:t>​</w:t>
      </w:r>
    </w:p>
    <w:p>
      <w:pPr>
        <w:pStyle w:val="TextBody"/>
        <w:bidi w:val="0"/>
        <w:spacing w:before="0" w:after="0"/>
        <w:ind w:left="0" w:right="0" w:hanging="0"/>
        <w:jc w:val="left"/>
        <w:rPr>
          <w:rFonts w:ascii="Times New Roman;Times;serif" w:hAnsi="Times New Roman;Times;serif"/>
          <w:b/>
          <w:sz w:val="20"/>
        </w:rPr>
      </w:pPr>
      <w:bookmarkStart w:id="15" w:name="legal"/>
      <w:bookmarkEnd w:id="15"/>
      <w:r>
        <w:rPr>
          <w:rFonts w:ascii="Times New Roman;Times;serif" w:hAnsi="Times New Roman;Times;serif"/>
          <w:b/>
          <w:sz w:val="20"/>
        </w:rPr>
        <w:t>Item 1.   Legal Proceedings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Information with respect to legal proceedings can be found in Note 18 to the Condensed Consolidated Financial Statements contained in Part 1, Item 1 of this report.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bookmarkStart w:id="16" w:name="risk"/>
      <w:bookmarkEnd w:id="16"/>
      <w:r>
        <w:rPr>
          <w:rFonts w:ascii="Times New Roman;Times;serif" w:hAnsi="Times New Roman;Times;serif"/>
          <w:b/>
          <w:sz w:val="20"/>
        </w:rPr>
        <w:t>Item 1A.  Risk Factors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Investing in our common stock involves a high degree of risk. See Part I, Item 1A, Risk Factors, of our Annual Report on Form 10-K for the year ended</w:t>
      </w:r>
      <w:r>
        <w:rPr>
          <w:rFonts w:ascii="Times New Roman;Times;serif" w:hAnsi="Times New Roman;Times;serif"/>
          <w:sz w:val="20"/>
          <w:shd w:fill="FFFFFF" w:val="clear"/>
        </w:rPr>
        <w:t xml:space="preserve"> December 31, 2022 f</w:t>
      </w:r>
      <w:r>
        <w:rPr>
          <w:rFonts w:ascii="Times New Roman;Times;serif" w:hAnsi="Times New Roman;Times;serif"/>
          <w:sz w:val="20"/>
        </w:rPr>
        <w:t>or a detailed discussion of the risk factors affecting our Company. As of June 30, 2023, there have been no material changes to those risk factors, except as described below.</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 xml:space="preserve">The announcement and pendency of our proposed sale of our China manufacturing facilities could materially adversely affect our business, financial condition, and results of operations.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September 15, 2022, AOI and Prime World International Holdings Ltd. (the "Seller"), which is a company incorporated in the British Virgin Islands and wholly owned subsidiary of AOI, entered into a definitive agreement (the "Purchase Agreement") with Yuhan Optoelectronic Technology (Shanghai) Co., Ltd. (the "Purchaser"), which is a company incorporated in the PRC, under which AOI would divest its manufacturing facilities located in the PRC and certain assets related to its transceiver business and multichannel optical sub-assembly products for the internet data center, FTTH and telecom markets. The purchase price payable by the Purchaser to the Seller will be an amount equal to the $150 million USD equivalent of Renminbi, less a holdback amount. Prior to the closing of this transaction, AOI anticipates investing an amount equal to between 4% and 10% of the estimated proceeds from the transaction in exchange for a 10% equity interest in the Purchaser. This transaction is expected to close in late 2023 or 2024, subject to customary closing conditions and regulatory approval.</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announcement and pendency of our proposed divestiture could disrupt our business and create uncertainty about our future, which could have a material and negative impact on our business, financial condition, and results of operations, regardless of whether the divestiture is completed. These risks to our business, all of which could be exacerbated by any delay in the closing of the divestiture, include: </w:t>
      </w:r>
    </w:p>
    <w:p>
      <w:pPr>
        <w:pStyle w:val="TextBody"/>
        <w:bidi w:val="0"/>
        <w:spacing w:before="0" w:after="0"/>
        <w:ind w:left="0" w:right="0" w:firstLine="72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restrictions in the Purchase Agreement on the conduct of our business prior to the closing of the divestiture, which prevent us from taking specified actions without the prior consent of Purchaser, which actions we might otherwise take in the absence of the Purchase Agreement.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attention of our management may be directed towards the closing of the divestiture and may be diverted from our day-to-day business operations, and matters related to the divestiture may require commitments of time and resources that could otherwise have been devoted to other opportunities that might have been beneficial to us;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customers, suppliers and other third parties may decide not to renew or seek to terminate, change or renegotiate their relationships with us, whether pursuant to the terms of their existing agreements with us or otherwise;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employees may experience uncertainty regarding their future roles, which might adversely affect our ability to retain, recruit and motivate key personnel;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potential litigation relating to the divestiture and the related costs.</w:t>
            </w:r>
          </w:p>
        </w:tc>
      </w:tr>
    </w:tbl>
    <w:p>
      <w:pPr>
        <w:pStyle w:val="TextBody"/>
        <w:bidi w:val="0"/>
        <w:spacing w:before="0" w:after="0"/>
        <w:ind w:left="124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of these matters could adversely affect our stock price, business, financial condition, results of operations, or business prospects. In addition, divestiture of our manufacturing facilities in the PRC also contains inherent risks that may impact our ability to fully realize the benefits of such divestiture, including possible delays in closing and potential post-closing claims for indemnification. The divestiture may also have a dilutive impact on our future earnings if we are unable to offset the dilutive impact from the loss of revenue associated with the divestiture, as well as significant write-offs, including those related to goodwill and other intangible assets. If any of these risks materialize, the benefits of such divestiture may not be fully realized, if at all, and our business, financial condition, and results of operations could be negatively impacted.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 Other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7" w:name="exhibits"/>
      <w:bookmarkEnd w:id="17"/>
      <w:r>
        <w:rPr>
          <w:rFonts w:ascii="Times New Roman;Times;serif" w:hAnsi="Times New Roman;Times;serif"/>
          <w:b/>
          <w:sz w:val="20"/>
        </w:rPr>
        <w:t>Item 6.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Exhibit Index.</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28" w:type="dxa"/>
          <w:right w:w="0" w:type="dxa"/>
        </w:tblCellMar>
      </w:tblPr>
      <w:tblGrid>
        <w:gridCol w:w="756"/>
        <w:gridCol w:w="240"/>
        <w:gridCol w:w="9209"/>
      </w:tblGrid>
      <w:tr>
        <w:trPr/>
        <w:tc>
          <w:tcPr>
            <w:tcW w:w="75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9209"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756" w:type="dxa"/>
            <w:tcBorders/>
            <w:tcMar>
              <w:bottom w:w="0" w:type="dxa"/>
            </w:tcMar>
            <w:vAlign w:val="center"/>
          </w:tcPr>
          <w:p>
            <w:pPr>
              <w:pStyle w:val="TableContents"/>
              <w:bidi w:val="0"/>
              <w:spacing w:before="0" w:after="283"/>
              <w:jc w:val="left"/>
              <w:rPr/>
            </w:pPr>
            <w:r>
              <w:rPr/>
              <w:t>2.1*</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hyperlink r:id="rId2">
              <w:r>
                <w:rPr>
                  <w:rStyle w:val="InternetLink"/>
                  <w:u w:val="single"/>
                </w:rPr>
                <w:t>Agreement for the Sale and Purchase of a New Company to Be Established in Hong Kong Special Administrative Region of The People’s Republic of China, dated as of September 15, 2022, by and between Prime World International Holdings Ltd., Applied Optoelectronics, Inc. and Yuhan Optoelectronic Technology (Shanghai) Co., Ltd. (filed as Exhibit 2.1 to the Registrant’s Current Report on Form 8-K filed with the Securities and Exchange Commission on September 15, 2022).</w:t>
              </w:r>
            </w:hyperlink>
          </w:p>
        </w:tc>
      </w:tr>
      <w:tr>
        <w:trPr/>
        <w:tc>
          <w:tcPr>
            <w:tcW w:w="75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sz w:val="20"/>
                </w:rPr>
                <w:t>Amended and Restated Certificate of Incorporation, as currently in effect (filed as Exhibit 3.1 to the Registrant’s Quarterly Report on Form 10-Q filed with the Securities and Exchange Commission on November 14, 2013).</w:t>
              </w:r>
            </w:hyperlink>
          </w:p>
        </w:tc>
      </w:tr>
      <w:tr>
        <w:trPr/>
        <w:tc>
          <w:tcPr>
            <w:tcW w:w="75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sz w:val="20"/>
                </w:rPr>
                <w:t>Amended and Restated Bylaws, as currently in effect (filed as Exhibit 3.2 to the Registrant’s Quarterly Report on Form 10-Q filed with the Securities and Exchange Commission on November 14, 2013).</w:t>
              </w:r>
            </w:hyperlink>
          </w:p>
        </w:tc>
      </w:tr>
      <w:tr>
        <w:trPr/>
        <w:tc>
          <w:tcPr>
            <w:tcW w:w="75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sz w:val="20"/>
                </w:rPr>
                <w:t>Common Stock Specimen (filed as Exhibit 4.1 to the Registrant’s Current Report on Form 8-K filed with the Securities and Exchange Commission on July 15, 2015).</w:t>
              </w:r>
            </w:hyperlink>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sz w:val="20"/>
                </w:rPr>
                <w:t>Indenture, dated as of March 5, 2019 between Applied Optoelectronics, Inc. and Wells Fargo Bank, National Association, as trustee, paying agent, and conversion agent (filed as Exhibit 4.1 to the Registrant’s Current Report on Form 8-K filed with the Securities and Exchange Commission on March 5, 2019).</w:t>
              </w:r>
            </w:hyperlink>
          </w:p>
        </w:tc>
      </w:tr>
      <w:tr>
        <w:trPr/>
        <w:tc>
          <w:tcPr>
            <w:tcW w:w="75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sz w:val="20"/>
                </w:rPr>
                <w:t>Form of Note representing the Company’s 5.00% Convertible Senior Notes due 2024 (included as Exhibit A to the Indenture filed as Exhibit 4.1 to the Registrant’s Current Report on Form 8-K filed with the Securities and Exchange Commission on March 5, 2019).</w:t>
              </w:r>
            </w:hyperlink>
          </w:p>
        </w:tc>
      </w:tr>
      <w:tr>
        <w:trPr/>
        <w:tc>
          <w:tcPr>
            <w:tcW w:w="75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283"/>
              <w:jc w:val="left"/>
              <w:rPr/>
            </w:pPr>
            <w:r>
              <w:rPr/>
              <w:t>10.1*</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hyperlink r:id="rId8">
              <w:r>
                <w:rPr>
                  <w:rStyle w:val="InternetLink"/>
                </w:rPr>
                <w:t xml:space="preserve">Statement of Work No. 1 </w:t>
              </w:r>
              <w:r>
                <w:rPr>
                  <w:rStyle w:val="InternetLink"/>
                </w:rPr>
                <w:t xml:space="preserve">﻿– </w:t>
              </w:r>
              <w:r>
                <w:rPr>
                  <w:rStyle w:val="InternetLink"/>
                </w:rPr>
                <w:t>Foundry between Applied Optoelectronics, Inc. and Microsoft Corporation, effective December 16, 2022 (filed as Exhibit 10.1 to the Registrant’s Current Report on Form 8-K filed with the Securities and Exchange Commission on May 3, 2023).</w:t>
              </w:r>
            </w:hyperlink>
          </w:p>
        </w:tc>
      </w:tr>
      <w:tr>
        <w:trPr/>
        <w:tc>
          <w:tcPr>
            <w:tcW w:w="75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283"/>
              <w:jc w:val="left"/>
              <w:rPr/>
            </w:pPr>
            <w:r>
              <w:rPr/>
              <w:t>10.2*</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hyperlink r:id="rId9">
              <w:r>
                <w:rPr>
                  <w:rStyle w:val="InternetLink"/>
                </w:rPr>
                <w:t>Microsoft Corporation Purchase Order Terms &amp; Conditions (included as Appendix C to Statement of Work No. 1 filed as Exhibit 10.1 to the Registrant’s Current Report on Form 8-K filed with the Securities and Exchange Commission on May 3, 2023).</w:t>
              </w:r>
            </w:hyperlink>
          </w:p>
        </w:tc>
      </w:tr>
      <w:tr>
        <w:trPr/>
        <w:tc>
          <w:tcPr>
            <w:tcW w:w="75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283"/>
              <w:jc w:val="left"/>
              <w:rPr/>
            </w:pPr>
            <w:r>
              <w:rPr/>
              <w:t>10.3*</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hyperlink r:id="rId10">
              <w:r>
                <w:rPr>
                  <w:rStyle w:val="InternetLink"/>
                </w:rPr>
                <w:t>Third Amendment to Lease, dated June 9, 2023, between Applied Optoelectronics, Inc. and Albany Road-Breck Exchange LLC (filed as Exhibit 10.1 to the Registrant’s Current Report on Form 8-K filed with the Securities and Exchange Commission on June 14, 2023).</w:t>
              </w:r>
            </w:hyperlink>
          </w:p>
        </w:tc>
      </w:tr>
      <w:tr>
        <w:trPr/>
        <w:tc>
          <w:tcPr>
            <w:tcW w:w="75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283"/>
              <w:jc w:val="left"/>
              <w:rPr/>
            </w:pPr>
            <w:r>
              <w:rPr/>
              <w:t>10.4*</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hyperlink r:id="rId11">
              <w:r>
                <w:rPr>
                  <w:rStyle w:val="InternetLink"/>
                </w:rPr>
                <w:t>Statement of Work No. 2 – Design and Assembly, between Applied Optoelectronics, Inc. and Microsoft Corporation, effective June 21, 2023 (filed as Exhibit 10.1 to the Registrant’s Current Report on Form 8-K filed with the Securities and Exchange Commission on June 21, 2023).</w:t>
              </w:r>
            </w:hyperlink>
          </w:p>
        </w:tc>
      </w:tr>
      <w:tr>
        <w:trPr/>
        <w:tc>
          <w:tcPr>
            <w:tcW w:w="75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283"/>
              <w:jc w:val="left"/>
              <w:rPr/>
            </w:pPr>
            <w:r>
              <w:rPr/>
              <w:t>10.5*</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hyperlink r:id="rId12">
              <w:r>
                <w:rPr>
                  <w:rStyle w:val="InternetLink"/>
                </w:rPr>
                <w:t>Microsoft Corporation Purchase Order Terms &amp; Conditions (included as Appendix J to Statement of Work No. 2 filed as Exhibit 10.1 to the Registrant’s Current Report on Form 8-K filed with the Securities and Exchange Commission on June 21, 2023).</w:t>
              </w:r>
            </w:hyperlink>
          </w:p>
        </w:tc>
      </w:tr>
      <w:tr>
        <w:trPr/>
        <w:tc>
          <w:tcPr>
            <w:tcW w:w="75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hyperlink w:anchor="ex_536763.htm">
              <w:r>
                <w:rPr>
                  <w:rStyle w:val="InternetLink"/>
                  <w:rFonts w:ascii="Times New Roman;Times;serif" w:hAnsi="Times New Roman;Times;serif"/>
                  <w:sz w:val="20"/>
                </w:rPr>
                <w:t>Certification of Chief Executive Officer pursuant to Exchange Act Rule, 13a-14(a) and 15d-14(a), as adopted pursuant to Section 302 of the Sarbanes-Oxley Act of 2002.</w:t>
              </w:r>
            </w:hyperlink>
          </w:p>
        </w:tc>
      </w:tr>
      <w:tr>
        <w:trPr/>
        <w:tc>
          <w:tcPr>
            <w:tcW w:w="75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hyperlink w:anchor="ex_536764.htm">
              <w:r>
                <w:rPr>
                  <w:rStyle w:val="InternetLink"/>
                  <w:rFonts w:ascii="Times New Roman;Times;serif" w:hAnsi="Times New Roman;Times;serif"/>
                  <w:sz w:val="20"/>
                </w:rPr>
                <w:t>Certification of Chief Financial Officer pursuant to Exchange Act Rule, 13a-14(a) and 15d-14(a), as adopted pursuant to Section 302 of the Sarbanes-Oxley Act of 2002.</w:t>
              </w:r>
            </w:hyperlink>
          </w:p>
        </w:tc>
      </w:tr>
      <w:tr>
        <w:trPr/>
        <w:tc>
          <w:tcPr>
            <w:tcW w:w="75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hyperlink w:anchor="ex_536765.htm">
              <w:r>
                <w:rPr>
                  <w:rStyle w:val="InternetLink"/>
                  <w:rFonts w:ascii="Times New Roman;Times;serif" w:hAnsi="Times New Roman;Times;serif"/>
                  <w:sz w:val="20"/>
                </w:rPr>
                <w:t>Certification pursuant to 18 U.S.C. 1350, adopted pursuant to Section 906 of the Sarbanes-Oxley Act of 2002, by Chief Executive Officer and Chief Financial Officer.</w:t>
              </w:r>
            </w:hyperlink>
          </w:p>
        </w:tc>
      </w:tr>
      <w:tr>
        <w:trPr/>
        <w:tc>
          <w:tcPr>
            <w:tcW w:w="75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 the instance document does not appear in the Interactive Data File because its XBRL tags are embedded within the Inline XBRL document.</w:t>
            </w:r>
          </w:p>
        </w:tc>
      </w:tr>
      <w:tr>
        <w:trPr/>
        <w:tc>
          <w:tcPr>
            <w:tcW w:w="75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5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Incorporated herein by reference to the indicated filing.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8" w:name="sigs"/>
      <w:bookmarkEnd w:id="18"/>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7080" w:type="dxa"/>
        <w:jc w:val="left"/>
        <w:tblInd w:w="0" w:type="dxa"/>
        <w:tblLayout w:type="fixed"/>
        <w:tblCellMar>
          <w:top w:w="0" w:type="dxa"/>
          <w:left w:w="0" w:type="dxa"/>
          <w:bottom w:w="0" w:type="dxa"/>
          <w:right w:w="0" w:type="dxa"/>
        </w:tblCellMar>
      </w:tblPr>
      <w:tblGrid>
        <w:gridCol w:w="1745"/>
        <w:gridCol w:w="320"/>
        <w:gridCol w:w="5015"/>
      </w:tblGrid>
      <w:tr>
        <w:trPr/>
        <w:tc>
          <w:tcPr>
            <w:tcW w:w="1745" w:type="dxa"/>
            <w:tcBorders/>
            <w:vAlign w:val="center"/>
          </w:tcPr>
          <w:p>
            <w:pPr>
              <w:pStyle w:val="TableContents"/>
              <w:bidi w:val="0"/>
              <w:spacing w:before="0" w:after="0"/>
              <w:ind w:left="0" w:right="0" w:hanging="0"/>
              <w:jc w:val="left"/>
              <w:rPr/>
            </w:pPr>
            <w:r>
              <w:rPr/>
              <w:t>​</w:t>
            </w:r>
          </w:p>
        </w:tc>
        <w:tc>
          <w:tcPr>
            <w:tcW w:w="533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APPLIED OPTOELECTRONICS, INC.</w:t>
            </w:r>
          </w:p>
        </w:tc>
      </w:tr>
      <w:tr>
        <w:trPr/>
        <w:tc>
          <w:tcPr>
            <w:tcW w:w="174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pPr>
            <w:r>
              <w:rPr/>
              <w:t>​</w:t>
            </w:r>
          </w:p>
        </w:tc>
      </w:tr>
      <w:tr>
        <w:trPr/>
        <w:tc>
          <w:tcPr>
            <w:tcW w:w="17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3, 2023</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174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smallCaps/>
                <w:sz w:val="20"/>
              </w:rPr>
              <w:t>Stefan J. Murry</w:t>
            </w:r>
          </w:p>
        </w:tc>
      </w:tr>
      <w:tr>
        <w:trPr/>
        <w:tc>
          <w:tcPr>
            <w:tcW w:w="174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jc w:val="center"/>
        <w:rPr>
          <w:rFonts w:ascii="Times New Roman" w:hAnsi="Times New Roman"/>
          <w:sz w:val="20"/>
        </w:rPr>
      </w:pPr>
      <w:r>
        <w:rPr>
          <w:rFonts w:ascii="Times New Roman" w:hAnsi="Times New Roman"/>
          <w:sz w:val="20"/>
        </w:rPr>
        <w:t xml:space="preserve">30 </w:t>
      </w:r>
    </w:p>
    <w:p>
      <w:pPr>
        <w:pStyle w:val="TextBody"/>
        <w:bidi w:val="0"/>
        <w:spacing w:before="0" w:after="0"/>
        <w:ind w:left="0" w:right="0" w:hanging="0"/>
        <w:jc w:val="right"/>
        <w:rPr>
          <w:rFonts w:ascii="Times New Roman;Times;serif" w:hAnsi="Times New Roman;Times;serif"/>
          <w:sz w:val="20"/>
        </w:rPr>
      </w:pPr>
      <w:bookmarkStart w:id="19" w:name="ex_536763.htm"/>
      <w:bookmarkStart w:id="20" w:name="ksex_536763"/>
      <w:bookmarkEnd w:id="19"/>
      <w:bookmarkEnd w:id="20"/>
      <w:r>
        <w:rPr>
          <w:rFonts w:ascii="Times New Roman;Times;serif" w:hAnsi="Times New Roman;Times;serif"/>
          <w:b/>
          <w:sz w:val="20"/>
        </w:rPr>
        <w:t>Exhibit 31.1</w:t>
      </w:r>
      <w:r>
        <w:rPr>
          <w:rFonts w:ascii="Times New Roman;Times;serif" w:hAnsi="Times New Roman;Times;serif"/>
          <w:sz w:val="20"/>
        </w:rPr>
        <w:t> </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Chih-Hsiang (Thompson) Lin, certify that:</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170"/>
        <w:gridCol w:w="6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3, 2023</w:t>
      </w:r>
    </w:p>
    <w:p>
      <w:pPr>
        <w:pStyle w:val="TextBody"/>
        <w:bidi w:val="0"/>
        <w:spacing w:before="0" w:after="0"/>
        <w:ind w:left="0" w:right="0" w:hanging="0"/>
        <w:jc w:val="center"/>
        <w:rPr/>
      </w:pPr>
      <w:r>
        <w:rPr/>
        <w:t>  </w:t>
      </w:r>
    </w:p>
    <w:tbl>
      <w:tblPr>
        <w:tblW w:w="3140" w:type="dxa"/>
        <w:jc w:val="left"/>
        <w:tblInd w:w="0" w:type="dxa"/>
        <w:tblLayout w:type="fixed"/>
        <w:tblCellMar>
          <w:top w:w="0" w:type="dxa"/>
          <w:left w:w="0" w:type="dxa"/>
          <w:bottom w:w="28" w:type="dxa"/>
          <w:right w:w="0" w:type="dxa"/>
        </w:tblCellMar>
      </w:tblPr>
      <w:tblGrid>
        <w:gridCol w:w="3080"/>
        <w:gridCol w:w="60"/>
      </w:tblGrid>
      <w:tr>
        <w:trP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1" w:name="ex_536764.htm"/>
      <w:bookmarkStart w:id="22" w:name="ksex_536764"/>
      <w:bookmarkEnd w:id="21"/>
      <w:bookmarkEnd w:id="22"/>
      <w:r>
        <w:rPr>
          <w:rFonts w:ascii="Times New Roman;Times;serif" w:hAnsi="Times New Roman;Times;serif"/>
          <w:b/>
          <w:sz w:val="20"/>
        </w:rPr>
        <w:t>Exhibit 31.2</w:t>
      </w:r>
      <w:r>
        <w:rPr>
          <w:rFonts w:ascii="Times New Roman;Times;serif" w:hAnsi="Times New Roman;Times;serif"/>
          <w:sz w:val="2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Stefan J. Murry, certify that:</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170"/>
        <w:gridCol w:w="6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3, 2023</w:t>
      </w:r>
    </w:p>
    <w:p>
      <w:pPr>
        <w:pStyle w:val="TextBody"/>
        <w:bidi w:val="0"/>
        <w:spacing w:before="0" w:after="0"/>
        <w:ind w:left="0" w:right="0" w:hanging="0"/>
        <w:jc w:val="left"/>
        <w:rPr/>
      </w:pPr>
      <w:r>
        <w:rPr/>
        <w:t>    </w:t>
      </w:r>
    </w:p>
    <w:tbl>
      <w:tblPr>
        <w:tblW w:w="1970" w:type="dxa"/>
        <w:jc w:val="left"/>
        <w:tblInd w:w="0" w:type="dxa"/>
        <w:tblLayout w:type="fixed"/>
        <w:tblCellMar>
          <w:top w:w="0" w:type="dxa"/>
          <w:left w:w="0" w:type="dxa"/>
          <w:bottom w:w="28" w:type="dxa"/>
          <w:right w:w="0" w:type="dxa"/>
        </w:tblCellMar>
      </w:tblPr>
      <w:tblGrid>
        <w:gridCol w:w="1910"/>
        <w:gridCol w:w="60"/>
      </w:tblGrid>
      <w:tr>
        <w:trPr/>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3" w:name="ex_536765.htm"/>
      <w:bookmarkStart w:id="24" w:name="ksex_536765"/>
      <w:bookmarkEnd w:id="23"/>
      <w:bookmarkEnd w:id="24"/>
      <w:r>
        <w:rPr>
          <w:rFonts w:ascii="Times New Roman;Times;serif" w:hAnsi="Times New Roman;Times;serif"/>
          <w:b/>
          <w:sz w:val="20"/>
        </w:rPr>
        <w:t>Exhibit 32.1</w:t>
      </w:r>
      <w:r>
        <w:rPr>
          <w:rFonts w:ascii="Times New Roman;Times;serif" w:hAnsi="Times New Roman;Times;serif"/>
          <w:sz w:val="2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5"/>
        <w:gridCol w:w="10000"/>
      </w:tblGrid>
      <w:tr>
        <w:trPr/>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Quarterly Report on Form 10-Q for the period ended </w:t>
            </w:r>
            <w:bookmarkStart w:id="25" w:name="led53890F20214271622125673980"/>
            <w:bookmarkEnd w:id="25"/>
            <w:r>
              <w:rPr>
                <w:rFonts w:ascii="Times New Roman;Times;serif" w:hAnsi="Times New Roman;Times;serif"/>
                <w:sz w:val="20"/>
              </w:rPr>
              <w:t>June 30, 2023, to which this Certification is attached as Exhibit 32.1 (the “Quarterly Report”) fully complies with the requirements of Section 13(a) or Section 15(d) of the Exchange Act; and</w:t>
            </w:r>
          </w:p>
        </w:tc>
      </w:tr>
    </w:tbl>
    <w:p>
      <w:pPr>
        <w:pStyle w:val="TextBody"/>
        <w:bidi w:val="0"/>
        <w:spacing w:before="0" w:after="0"/>
        <w:ind w:left="864" w:right="0" w:hanging="504"/>
        <w:jc w:val="both"/>
        <w:rPr/>
      </w:pPr>
      <w:r>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Quarterly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3rd day of August 2023.</w:t>
      </w:r>
    </w:p>
    <w:p>
      <w:pPr>
        <w:pStyle w:val="TextBody"/>
        <w:bidi w:val="0"/>
        <w:spacing w:before="0" w:after="0"/>
        <w:ind w:left="0" w:right="0" w:hanging="0"/>
        <w:jc w:val="center"/>
        <w:rPr/>
      </w:pPr>
      <w:r>
        <w:rPr/>
        <w:t>  </w:t>
      </w:r>
    </w:p>
    <w:tbl>
      <w:tblPr>
        <w:tblW w:w="5230" w:type="dxa"/>
        <w:jc w:val="left"/>
        <w:tblInd w:w="0" w:type="dxa"/>
        <w:tblLayout w:type="fixed"/>
        <w:tblCellMar>
          <w:top w:w="0" w:type="dxa"/>
          <w:left w:w="0" w:type="dxa"/>
          <w:bottom w:w="28" w:type="dxa"/>
          <w:right w:w="0" w:type="dxa"/>
        </w:tblCellMar>
      </w:tblPr>
      <w:tblGrid>
        <w:gridCol w:w="3080"/>
        <w:gridCol w:w="240"/>
        <w:gridCol w:w="1910"/>
      </w:tblGrid>
      <w:tr>
        <w:trP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58114/000110465922100456/tm2225831d1_ex2-1.htm" TargetMode="External"/><Relationship Id="rId3" Type="http://schemas.openxmlformats.org/officeDocument/2006/relationships/hyperlink" Target="http://www.sec.gov/Archives/edgar/data/1158114/000101968713004306/aaoi_10q-ex0301.htm" TargetMode="External"/><Relationship Id="rId4" Type="http://schemas.openxmlformats.org/officeDocument/2006/relationships/hyperlink" Target="http://www.sec.gov/Archives/edgar/data/1158114/000101968713004306/aaoi_10q-ex0302.htm" TargetMode="External"/><Relationship Id="rId5" Type="http://schemas.openxmlformats.org/officeDocument/2006/relationships/hyperlink" Target="http://www.sec.gov/Archives/edgar/data/1158114/000110465915051289/a15-15715_1ex4d1.htm" TargetMode="External"/><Relationship Id="rId6" Type="http://schemas.openxmlformats.org/officeDocument/2006/relationships/hyperlink" Target="http://www.sec.gov/Archives/edgar/data/1158114/000110465919012900/a19-4821_4ex4d1.htm" TargetMode="External"/><Relationship Id="rId7" Type="http://schemas.openxmlformats.org/officeDocument/2006/relationships/hyperlink" Target="http://www.sec.gov/Archives/edgar/data/1158114/000110465919012900/a19-4821_4ex4d1.htm" TargetMode="External"/><Relationship Id="rId8" Type="http://schemas.openxmlformats.org/officeDocument/2006/relationships/hyperlink" Target="http://www.sec.gov/Archives/edgar/data/1158114/000168316823002885/aaoi_ex1001.htm" TargetMode="External"/><Relationship Id="rId9" Type="http://schemas.openxmlformats.org/officeDocument/2006/relationships/hyperlink" Target="http://www.sec.gov/Archives/edgar/data/1158114/000168316823002885/aaoi_ex1001.htm" TargetMode="External"/><Relationship Id="rId10" Type="http://schemas.openxmlformats.org/officeDocument/2006/relationships/hyperlink" Target="http://www.sec.gov/Archives/edgar/data/1158114/000168316823004130/applied_ex1001.htm" TargetMode="External"/><Relationship Id="rId11" Type="http://schemas.openxmlformats.org/officeDocument/2006/relationships/hyperlink" Target="http://www.sec.gov/Archives/edgar/data/1158114/000168316823004319/aaoi_ex1001.htm" TargetMode="External"/><Relationship Id="rId12" Type="http://schemas.openxmlformats.org/officeDocument/2006/relationships/hyperlink" Target="http://www.sec.gov/Archives/edgar/data/1158114/000168316823004319/aaoi_ex100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17927</Words>
  <Characters>94812</Characters>
  <CharactersWithSpaces>115250</CharactersWithSpaces>
  <Paragraphs>8421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