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r>
        <w:rPr>
          <w:rFonts w:ascii="Times New Roman" w:cs="Times New Roman" w:eastAsia="Times New Roman" w:hAnsi="Times New Roman"/>
          <w:sz w:val="18"/>
          <w:szCs w:val="18"/>
          <w:color w:val="auto"/>
        </w:rPr>
        <w:t>/A</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3900" w:right="1680" w:hanging="3892"/>
        <w:spacing w:after="0" w:line="488" w:lineRule="auto"/>
        <w:tabs>
          <w:tab w:leader="none" w:pos="5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225" w:right="2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13115 Jess Pirtle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ind w:left="5580" w:hanging="428"/>
        <w:spacing w:after="0"/>
        <w:tabs>
          <w:tab w:leader="none" w:pos="5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295-1800</w:t>
      </w:r>
    </w:p>
    <w:p>
      <w:pPr>
        <w:spacing w:after="0" w:line="31" w:lineRule="exact"/>
        <w:rPr>
          <w:rFonts w:ascii="Times New Roman" w:cs="Times New Roman" w:eastAsia="Times New Roman" w:hAnsi="Times New Roman"/>
          <w:sz w:val="18"/>
          <w:szCs w:val="18"/>
          <w:b w:val="1"/>
          <w:bCs w:val="1"/>
          <w:color w:val="auto"/>
        </w:rPr>
      </w:pPr>
    </w:p>
    <w:p>
      <w:pPr>
        <w:ind w:left="4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(Registrant’s telephone number)</w:t>
      </w:r>
    </w:p>
    <w:p>
      <w:pPr>
        <w:spacing w:after="0" w:line="207" w:lineRule="exact"/>
        <w:rPr>
          <w:sz w:val="24"/>
          <w:szCs w:val="24"/>
          <w:color w:val="auto"/>
        </w:rPr>
      </w:pPr>
    </w:p>
    <w:p>
      <w:pPr>
        <w:jc w:val="both"/>
        <w:ind w:firstLine="4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firstLine="4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type w:val="continuous"/>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4">
            <w:col w:w="2280" w:space="720"/>
            <w:col w:w="4180" w:space="720"/>
            <w:col w:w="2240" w:space="720"/>
            <w:col w:w="560"/>
          </w:cols>
          <w:pgMar w:left="240" w:top="225"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19" w:lineRule="exact"/>
        <w:rPr>
          <w:sz w:val="24"/>
          <w:szCs w:val="24"/>
          <w:color w:val="auto"/>
        </w:rPr>
      </w:pPr>
    </w:p>
    <w:p>
      <w:pPr>
        <w:sectPr>
          <w:pgSz w:w="11900" w:h="16838" w:orient="portrait"/>
          <w:cols w:equalWidth="0" w:num="4">
            <w:col w:w="2280" w:space="720"/>
            <w:col w:w="4180" w:space="720"/>
            <w:col w:w="2240" w:space="720"/>
            <w:col w:w="560"/>
          </w:cols>
          <w:pgMar w:left="240" w:top="225" w:right="239" w:bottom="1440" w:gutter="0" w:footer="0" w:header="0"/>
          <w:type w:val="continuous"/>
        </w:sect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4" w:lineRule="exact"/>
        <w:rPr>
          <w:sz w:val="24"/>
          <w:szCs w:val="24"/>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May 5, 2015 there were 14,940,596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This Amendment No. 1 to Form 10-Q (this “Amendment”) amends the Quarterly Report on Form 10-Q for the quarterly period ended March 31, 2015, originally filed on May 11, 2015 (the “Original 10-Q”), of Applied Optoelectronics, Inc., a Delaware corporation (the “Company” or “we”). The purpose of this Amendment is to clarify certain prior disclosures. This Amendment contains changes to Part I—Item 4 (Controls and Procedures), Part II—Item 1A (Risk Factors) and Part II--Item 6 (Exhibits).</w:t>
      </w:r>
    </w:p>
    <w:p>
      <w:pPr>
        <w:spacing w:after="0" w:line="180"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In accordance with Sections 302 and 906 of the Sarbanes-Oxley Act of 2002, currently dated certifications of the Company’s principal executive officer and principal financial officer are attached to this Form 10-Q as Exhibits 31.1 and 31.2.</w:t>
      </w:r>
    </w:p>
    <w:p>
      <w:pPr>
        <w:spacing w:after="0" w:line="16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This Amendment should be read in conjunction with the Original 10-Q and the Company’s other filings made with the SEC subsequent to the filing of the Original 10-Q on May 11, 2015. The Original 10-Q has not been amended or updated to reflect events occurring after May 11, 2015, except as specifically 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1632585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Condensed Consolidated Balance Sheets as of March 31, 2015 and December 31, 2014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 Months ended March 31, 2015 and 2014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0080" w:type="dxa"/>
            <w:vAlign w:val="bottom"/>
            <w:gridSpan w:val="3"/>
            <w:shd w:val="clear" w:color="auto" w:fill="EEEEEE"/>
          </w:tcPr>
          <w:p>
            <w:pPr>
              <w:ind w:left="140"/>
              <w:spacing w:after="0" w:line="198"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(Loss) for the Three Months Ended March 31, 2015 and 2014</w:t>
            </w:r>
          </w:p>
        </w:tc>
        <w:tc>
          <w:tcPr>
            <w:tcW w:w="56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(Unaudited)</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2015 and 2014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3.</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4.</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1A.</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3.</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4.</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6.</w:t>
            </w: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80" w:type="dxa"/>
            <w:vAlign w:val="bottom"/>
            <w:gridSpan w:val="3"/>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Signatures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gridSpan w:val="3"/>
          </w:tcPr>
          <w:p>
            <w:pPr>
              <w:ind w:left="48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20" w:type="dxa"/>
            <w:vAlign w:val="bottom"/>
          </w:tcPr>
          <w:p>
            <w:pPr>
              <w:spacing w:after="0"/>
              <w:rPr>
                <w:sz w:val="20"/>
                <w:szCs w:val="20"/>
                <w:color w:val="auto"/>
              </w:rPr>
            </w:pP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9,909</w:t>
            </w:r>
          </w:p>
        </w:tc>
        <w:tc>
          <w:tcPr>
            <w:tcW w:w="540" w:type="dxa"/>
            <w:vAlign w:val="bottom"/>
            <w:gridSpan w:val="2"/>
            <w:shd w:val="clear" w:color="auto" w:fill="EEEEEE"/>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32,175</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8,190</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8,189</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29,962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31,589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43,565</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33,780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receivable</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7,814</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6,017</w:t>
            </w:r>
          </w:p>
        </w:tc>
        <w:tc>
          <w:tcPr>
            <w:tcW w:w="80" w:type="dxa"/>
            <w:vAlign w:val="bottom"/>
            <w:shd w:val="clear" w:color="auto" w:fill="EEEEEE"/>
          </w:tcPr>
          <w:p>
            <w:pPr>
              <w:spacing w:after="0"/>
              <w:rPr>
                <w:sz w:val="19"/>
                <w:szCs w:val="19"/>
                <w:color w:val="auto"/>
              </w:rPr>
            </w:pPr>
          </w:p>
        </w:tc>
      </w:tr>
      <w:tr>
        <w:trPr>
          <w:trHeight w:val="210"/>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101,139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Cash restricted for construction in progress</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8,993</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69,512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64,808</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Land use rights, net</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3,833</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1,823</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EEEEEE"/>
          </w:tcPr>
          <w:p>
            <w:pPr>
              <w:spacing w:after="0"/>
              <w:rPr>
                <w:sz w:val="19"/>
                <w:szCs w:val="19"/>
                <w:color w:val="auto"/>
              </w:rPr>
            </w:pPr>
          </w:p>
        </w:tc>
      </w:tr>
      <w:tr>
        <w:trPr>
          <w:trHeight w:val="263"/>
        </w:trPr>
        <w:tc>
          <w:tcPr>
            <w:tcW w:w="7780" w:type="dxa"/>
            <w:vAlign w:val="bottom"/>
            <w:tcBorders>
              <w:bottom w:val="single" w:sz="8" w:color="EEEEEE"/>
            </w:tcBorders>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186,215</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183,670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7780" w:type="dxa"/>
            <w:vAlign w:val="bottom"/>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18,721</w:t>
            </w:r>
          </w:p>
        </w:tc>
        <w:tc>
          <w:tcPr>
            <w:tcW w:w="540" w:type="dxa"/>
            <w:vAlign w:val="bottom"/>
            <w:gridSpan w:val="2"/>
            <w:shd w:val="clear" w:color="auto" w:fill="EEEEEE"/>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9,591</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25,301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30,799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Bank acceptance payable</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1,445</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6,318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6,940</w:t>
            </w:r>
          </w:p>
        </w:tc>
        <w:tc>
          <w:tcPr>
            <w:tcW w:w="8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51,785</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48,601</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payable and long-term debt, less current portion</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18,773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19,057</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4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EEEEEE"/>
          </w:tcPr>
          <w:p>
            <w:pPr>
              <w:spacing w:after="0"/>
              <w:rPr>
                <w:sz w:val="19"/>
                <w:szCs w:val="19"/>
                <w:color w:val="auto"/>
              </w:rPr>
            </w:pPr>
          </w:p>
        </w:tc>
      </w:tr>
      <w:tr>
        <w:trPr>
          <w:trHeight w:val="210"/>
        </w:trPr>
        <w:tc>
          <w:tcPr>
            <w:tcW w:w="7780" w:type="dxa"/>
            <w:vAlign w:val="bottom"/>
            <w:tcBorders>
              <w:bottom w:val="single" w:sz="8" w:color="EEEEEE"/>
            </w:tcBorders>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71,308</w:t>
            </w:r>
          </w:p>
        </w:tc>
        <w:tc>
          <w:tcPr>
            <w:tcW w:w="3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68,658</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198"/>
        </w:trPr>
        <w:tc>
          <w:tcPr>
            <w:tcW w:w="77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Preferred Stock: 5,000 shares authorized; no shares issued and outstanding at March 31, 2015 and</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December 31, 2014, $0.001 par value</w:t>
            </w:r>
          </w:p>
        </w:tc>
        <w:tc>
          <w:tcPr>
            <w:tcW w:w="14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80" w:type="dxa"/>
            <w:vAlign w:val="bottom"/>
            <w:shd w:val="clear" w:color="auto" w:fill="EEEEEE"/>
          </w:tcPr>
          <w:p>
            <w:pPr>
              <w:ind w:left="300"/>
              <w:spacing w:after="0" w:line="198" w:lineRule="exact"/>
              <w:rPr>
                <w:sz w:val="20"/>
                <w:szCs w:val="20"/>
                <w:color w:val="auto"/>
              </w:rPr>
            </w:pPr>
            <w:r>
              <w:rPr>
                <w:rFonts w:ascii="Times New Roman" w:cs="Times New Roman" w:eastAsia="Times New Roman" w:hAnsi="Times New Roman"/>
                <w:sz w:val="18"/>
                <w:szCs w:val="18"/>
                <w:color w:val="auto"/>
              </w:rPr>
              <w:t>Common Stock: 45,000 shares authorized; 14,893 shares issued and outstanding at March 31, 2015,</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778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$0.001 par value; 14,824 shares issued and outstanding at December 31, 2014, $0.001 par value</w:t>
            </w:r>
          </w:p>
        </w:tc>
        <w:tc>
          <w:tcPr>
            <w:tcW w:w="140" w:type="dxa"/>
            <w:vAlign w:val="bottom"/>
            <w:shd w:val="clear" w:color="auto" w:fill="EEEEEE"/>
          </w:tcPr>
          <w:p>
            <w:pPr>
              <w:spacing w:after="0"/>
              <w:rPr>
                <w:sz w:val="20"/>
                <w:szCs w:val="20"/>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EEEEEE"/>
          </w:tcPr>
          <w:p>
            <w:pPr>
              <w:spacing w:after="0"/>
              <w:rPr>
                <w:sz w:val="20"/>
                <w:szCs w:val="20"/>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192,705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192,112</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1,902</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(79,715)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(79,040)</w:t>
            </w:r>
          </w:p>
        </w:tc>
      </w:tr>
      <w:tr>
        <w:trPr>
          <w:trHeight w:val="210"/>
        </w:trPr>
        <w:tc>
          <w:tcPr>
            <w:tcW w:w="7780" w:type="dxa"/>
            <w:vAlign w:val="bottom"/>
            <w:tcBorders>
              <w:top w:val="single" w:sz="8" w:color="EEEEEE"/>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114,907</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115,012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186,215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 Mar 31,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top w:val="single" w:sz="8" w:color="auto"/>
              <w:bottom w:val="single" w:sz="8" w:color="EEEEEE"/>
            </w:tcBorders>
          </w:tcPr>
          <w:p>
            <w:pPr>
              <w:spacing w:after="0"/>
              <w:rPr>
                <w:sz w:val="19"/>
                <w:szCs w:val="19"/>
                <w:color w:val="auto"/>
              </w:rPr>
            </w:pPr>
          </w:p>
        </w:tc>
        <w:tc>
          <w:tcPr>
            <w:tcW w:w="16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6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24,859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20,183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16,206</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4,805</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5,003</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EEEEEE"/>
          </w:tcPr>
          <w:p>
            <w:pPr>
              <w:spacing w:after="0"/>
              <w:rPr>
                <w:sz w:val="18"/>
                <w:szCs w:val="18"/>
                <w:color w:val="auto"/>
              </w:rPr>
            </w:pPr>
          </w:p>
        </w:tc>
        <w:tc>
          <w:tcPr>
            <w:tcW w:w="3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top w:val="single" w:sz="8" w:color="auto"/>
              <w:bottom w:val="single" w:sz="8" w:color="auto"/>
            </w:tcBorders>
            <w:shd w:val="clear" w:color="auto" w:fill="EE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500" w:type="dxa"/>
            <w:vAlign w:val="bottom"/>
            <w:gridSpan w:val="2"/>
            <w:shd w:val="clear" w:color="auto" w:fill="EEEEEE"/>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50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14,844,211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12,792,322</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14,844,211</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13,787,580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2015</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2014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Borders>
              <w:top w:val="single" w:sz="8" w:color="auto"/>
            </w:tcBorders>
            <w:shd w:val="clear" w:color="auto" w:fill="EEEEEE"/>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120" w:type="dxa"/>
            <w:vAlign w:val="bottom"/>
            <w:tcBorders>
              <w:top w:val="single" w:sz="8" w:color="auto"/>
              <w:bottom w:val="single" w:sz="8" w:color="auto"/>
            </w:tcBorders>
            <w:shd w:val="clear" w:color="auto" w:fill="EEEEEE"/>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w:t>
            </w:r>
          </w:p>
        </w:tc>
        <w:tc>
          <w:tcPr>
            <w:tcW w:w="1240" w:type="dxa"/>
            <w:vAlign w:val="bottom"/>
            <w:gridSpan w:val="2"/>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2,034</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Share-based compensation and warrant expense</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1,643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acceptance receivable</w:t>
            </w: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(10,543)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current assets</w:t>
            </w:r>
          </w:p>
        </w:tc>
        <w:tc>
          <w:tcPr>
            <w:tcW w:w="10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(5,263)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30"/>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liabilities</w:t>
            </w: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160" w:type="dxa"/>
            <w:vAlign w:val="bottom"/>
            <w:tcBorders>
              <w:top w:val="single" w:sz="8" w:color="EEEEEE"/>
            </w:tcBorders>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restricted cash for construction in progress</w:t>
            </w:r>
          </w:p>
        </w:tc>
        <w:tc>
          <w:tcPr>
            <w:tcW w:w="10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(8,993)_</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(6,333)</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disposal of equipment</w:t>
            </w:r>
          </w:p>
        </w:tc>
        <w:tc>
          <w:tcPr>
            <w:tcW w:w="10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Deposits and deferred charges</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(956)</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(16,407</w:t>
            </w:r>
          </w:p>
        </w:tc>
        <w:tc>
          <w:tcPr>
            <w:tcW w:w="160" w:type="dxa"/>
            <w:vAlign w:val="bottom"/>
            <w:tcBorders>
              <w:top w:val="single" w:sz="8" w:color="EEEEEE"/>
            </w:tcBorders>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Proceeds from issuance of notes payable and long-term debt</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of long-term debt and notes payable</w:t>
            </w:r>
          </w:p>
        </w:tc>
        <w:tc>
          <w:tcPr>
            <w:tcW w:w="10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Proceeds from line of credit borrowings</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25,091</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5,788</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line of credit borrowings</w:t>
            </w:r>
          </w:p>
        </w:tc>
        <w:tc>
          <w:tcPr>
            <w:tcW w:w="10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(16,253)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(14,954)</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Proceeds from bank acceptance payable</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1,267</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bank acceptance payable</w:t>
            </w:r>
          </w:p>
        </w:tc>
        <w:tc>
          <w:tcPr>
            <w:tcW w:w="10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10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common stock offering, net</w:t>
            </w:r>
          </w:p>
        </w:tc>
        <w:tc>
          <w:tcPr>
            <w:tcW w:w="10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45,671</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39,780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Borders>
              <w:bottom w:val="single" w:sz="8" w:color="EEEEEE"/>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EEEEEE"/>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0"/>
              </w:rPr>
              <w:t>(22,266)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30,405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32,175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22,006</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0" w:type="dxa"/>
            <w:vAlign w:val="bottom"/>
            <w:tcBorders>
              <w:top w:val="single" w:sz="8" w:color="auto"/>
              <w:bottom w:val="single" w:sz="8" w:color="auto"/>
            </w:tcBorders>
            <w:shd w:val="clear" w:color="auto" w:fill="EEEEEE"/>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52,411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Cash paid for:</w:t>
            </w: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1240" w:type="dxa"/>
            <w:vAlign w:val="bottom"/>
            <w:gridSpan w:val="2"/>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shd w:val="clear" w:color="auto" w:fill="EEEEEE"/>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Purchase of intangible assets with notes payable</w:t>
            </w:r>
          </w:p>
        </w:tc>
        <w:tc>
          <w:tcPr>
            <w:tcW w:w="1000" w:type="dxa"/>
            <w:vAlign w:val="bottom"/>
            <w:shd w:val="clear" w:color="auto" w:fill="EEEEEE"/>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7" w:name="page8"/>
    <w:bookmarkEnd w:id="7"/>
    <w:p>
      <w:pPr>
        <w:jc w:val="center"/>
        <w:ind w:left="280" w:right="2720"/>
        <w:spacing w:after="0" w:line="27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NOTES TO CONDENSED CONSOLIDATED FINANCIAL STATEMENTS (Unaudited)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Applied Optoelectronics, Inc., or AOI, was originally incorporated in Texas in February of 1997 and then converted to a Delaware corporation in March of 2013. AOI together with its wholly-owned subsidiaries are collectively referred to as the Company. The Company is a leading, vertically integrated provider of fiber-optic networking products, primarily for three networking end-markets: cable television, fiber-to-the-home and internet data centers. The Company designs and manufactures a wide range of optical communications products at varying levels of integration, from components, subassemblies and modules to complete turn-key equipment.</w:t>
      </w:r>
    </w:p>
    <w:p>
      <w:pPr>
        <w:spacing w:after="0" w:line="18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has manufacturing and research and development facilities in all three of its locations, located in the U.S., Taiwan and China. At its corporate headquarters and manufacturing facilities in Sugar Land, Texas, the Company primarily manufactures lasers and laser components and performs research and development activities for laser component products. The Company operates a division in Taipei, Taiwan that primarily manufactures transceivers for both the data center and fiber-to-the-home (“FTTH”) markets and performs research and development activities for the transceiver products. The Company operates in Ningbo, China through its wholly-owned subsidiary Prime World International Holdings, Ltd. (incorporated in the British Virgin Islands), the sole parent of Global Technology, Inc. (incorporated in the People’s Republic of China). Through Global Technology, the Company primarily manufactures Cable TV Broadband (“CATV”) systems and equipment and performs research and development activities for the CATV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as of March 31, 2015 and December 31, 2014 and for the three months ended March 31, 2015 and March 31, 2014, have been prepared in accordance with the instructions on Form 10-Q pursuant to the rules and regulations of the Securities and Exchange Commission (“SEC”). In accordance with those rules and regulations, the Company has omitted certain information and notes normally provided in the Company’s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but does not include all disclosures required by U.S. generally accepted accounting principles (“GAAP”). These condensed consolidated financial statements should be read in conjunction with the Consolidated Financial Statements and Notes thereto included in the Company’s Annual Report on Form 10-K (“Annual Report”) for the fiscal year ended December 31, 2014. The results of operations for the three months ended March 31, 2015 are not necessarily indicative of the results expected for the entire fiscal year. All significant intercompany accounts and transactions have been eliminated.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valuation allowances for deferred tax assets, inventory reserve, share-based compensation expense, estimated useful lives of property and equipment, and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for the three months ended March 31, 2015, as compared to the significant accounting policies described in its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2014-09”). The standard provides companies with a single model for use in accounting for revenue arising from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customers and supersedes current revenue recognition guidance, including industry-specific revenue guidance. The core principle of the model is to recognize revenue when control of the goods or services transfers to the customer, as opposed to recognizing revenue when the risks and rewards transfer to the customer under the existing revenue guidance. ASU 2014-09 is effective for annual reporting periods beginning after December 15, 2016. Early adoption is not permitted. The guidance permits companies to either apply the requirements retrospectively to all prior periods presented, or apply the requirements in the year of adoption, through a cumulative adjustment. The Company is in the process of evaluating the impact of adoption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3"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financial instruments measured at fair value on a recurring basis for the periods indicated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As of March 31, 2015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2014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22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7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32,175</w:t>
            </w:r>
          </w:p>
        </w:tc>
      </w:tr>
      <w:tr>
        <w:trPr>
          <w:trHeight w:val="216"/>
        </w:trPr>
        <w:tc>
          <w:tcPr>
            <w:tcW w:w="224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10,041</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10,041</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8,189</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8,189</w:t>
            </w:r>
          </w:p>
        </w:tc>
      </w:tr>
      <w:tr>
        <w:trPr>
          <w:trHeight w:val="230"/>
        </w:trPr>
        <w:tc>
          <w:tcPr>
            <w:tcW w:w="224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Notes receivable</w:t>
            </w: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651</w:t>
            </w:r>
          </w:p>
        </w:tc>
        <w:tc>
          <w:tcPr>
            <w:tcW w:w="820" w:type="dxa"/>
            <w:vAlign w:val="bottom"/>
            <w:shd w:val="clear" w:color="auto" w:fill="EEEEEE"/>
          </w:tcPr>
          <w:p>
            <w:pPr>
              <w:spacing w:after="0"/>
              <w:rPr>
                <w:sz w:val="19"/>
                <w:szCs w:val="19"/>
                <w:color w:val="auto"/>
              </w:rPr>
            </w:pPr>
          </w:p>
        </w:tc>
        <w:tc>
          <w:tcPr>
            <w:tcW w:w="32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EEEEEE"/>
          </w:tcPr>
          <w:p>
            <w:pPr>
              <w:spacing w:after="0"/>
              <w:rPr>
                <w:sz w:val="19"/>
                <w:szCs w:val="19"/>
                <w:color w:val="auto"/>
              </w:rPr>
            </w:pPr>
          </w:p>
        </w:tc>
        <w:tc>
          <w:tcPr>
            <w:tcW w:w="920" w:type="dxa"/>
            <w:vAlign w:val="bottom"/>
            <w:gridSpan w:val="2"/>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r>
      <w:tr>
        <w:trPr>
          <w:trHeight w:val="263"/>
        </w:trPr>
        <w:tc>
          <w:tcPr>
            <w:tcW w:w="22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28,140</w:t>
            </w:r>
          </w:p>
        </w:tc>
        <w:tc>
          <w:tcPr>
            <w:tcW w:w="1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tcBorders>
              <w:bottom w:val="single" w:sz="8" w:color="EEEEEE"/>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28,791</w:t>
            </w:r>
          </w:p>
        </w:tc>
        <w:tc>
          <w:tcPr>
            <w:tcW w:w="1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w:t>
            </w:r>
          </w:p>
        </w:tc>
        <w:tc>
          <w:tcPr>
            <w:tcW w:w="2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41,853</w:t>
            </w:r>
          </w:p>
        </w:tc>
        <w:tc>
          <w:tcPr>
            <w:tcW w:w="100" w:type="dxa"/>
            <w:vAlign w:val="bottom"/>
            <w:tcBorders>
              <w:bottom w:val="single" w:sz="8" w:color="EEEEEE"/>
            </w:tcBorders>
          </w:tcPr>
          <w:p>
            <w:pPr>
              <w:spacing w:after="0"/>
              <w:rPr>
                <w:sz w:val="22"/>
                <w:szCs w:val="22"/>
                <w:color w:val="auto"/>
              </w:rPr>
            </w:pPr>
          </w:p>
        </w:tc>
      </w:tr>
      <w:tr>
        <w:trPr>
          <w:trHeight w:val="197"/>
        </w:trPr>
        <w:tc>
          <w:tcPr>
            <w:tcW w:w="2240" w:type="dxa"/>
            <w:vAlign w:val="bottom"/>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acceptance payable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1,445</w:t>
            </w:r>
          </w:p>
        </w:tc>
        <w:tc>
          <w:tcPr>
            <w:tcW w:w="82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r>
      <w:tr>
        <w:trPr>
          <w:trHeight w:val="223"/>
        </w:trPr>
        <w:tc>
          <w:tcPr>
            <w:tcW w:w="22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820" w:type="dxa"/>
            <w:vAlign w:val="bottom"/>
            <w:tcBorders>
              <w:top w:val="single" w:sz="8" w:color="auto"/>
              <w:bottom w:val="single" w:sz="8" w:color="auto"/>
            </w:tcBorders>
            <w:shd w:val="clear" w:color="auto" w:fill="EEEEEE"/>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EEEEEE"/>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carrying value amounts of accounts receivable, prepaid expenses and other current assets, borrowings from our credit facility, accounts payable, accrued expenses and other current liabilities approximate fair value because of the short-term maturity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stock options, restricted stock units/awards and warrants outstanding during the period. In periods with net losses, normally dilutive shares become anti-dilutive, and therefore for those periods basic and dilutive earnings per share are the same.</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for the periods indicated (in thousands, except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2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(675)</w:t>
            </w:r>
          </w:p>
        </w:tc>
        <w:tc>
          <w:tcPr>
            <w:tcW w:w="12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2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of dilutive options and warrants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220" w:type="dxa"/>
            <w:vAlign w:val="bottom"/>
            <w:tcBorders>
              <w:top w:val="single" w:sz="8" w:color="EEEEEE"/>
            </w:tcBorders>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gridSpan w:val="2"/>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220" w:type="dxa"/>
            <w:vAlign w:val="bottom"/>
            <w:gridSpan w:val="2"/>
            <w:shd w:val="clear" w:color="auto" w:fill="EEEEEE"/>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2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648"/>
        </w:trPr>
        <w:tc>
          <w:tcPr>
            <w:tcW w:w="638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9" w:name="page10"/>
    <w:bookmarkEnd w:id="9"/>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income (loss) per share as their effect would have been anti-dilutive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Borders>
              <w:top w:val="single" w:sz="8" w:color="auto"/>
              <w:bottom w:val="single" w:sz="8" w:color="EEEEEE"/>
            </w:tcBorders>
          </w:tcPr>
          <w:p>
            <w:pPr>
              <w:spacing w:after="0"/>
              <w:rPr>
                <w:sz w:val="19"/>
                <w:szCs w:val="19"/>
                <w:color w:val="auto"/>
              </w:rPr>
            </w:pPr>
          </w:p>
        </w:tc>
        <w:tc>
          <w:tcPr>
            <w:tcW w:w="20" w:type="dxa"/>
            <w:vAlign w:val="bottom"/>
            <w:tcBorders>
              <w:top w:val="single" w:sz="8" w:color="auto"/>
              <w:bottom w:val="single" w:sz="8" w:color="EEEEEE"/>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units/awards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spacing w:after="0"/>
              <w:rPr>
                <w:sz w:val="19"/>
                <w:szCs w:val="19"/>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auto"/>
              <w:bottom w:val="single" w:sz="8" w:color="auto"/>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Inventory</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for the periods indicated (in thousands):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320" w:type="dxa"/>
            <w:vAlign w:val="bottom"/>
            <w:tcBorders>
              <w:top w:val="single" w:sz="8" w:color="EEEEEE"/>
            </w:tcBorders>
            <w:gridSpan w:val="2"/>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EEEEEE"/>
          </w:tcPr>
          <w:p>
            <w:pPr>
              <w:spacing w:after="0"/>
              <w:rPr>
                <w:sz w:val="19"/>
                <w:szCs w:val="19"/>
                <w:color w:val="auto"/>
              </w:rPr>
            </w:pPr>
          </w:p>
        </w:tc>
        <w:tc>
          <w:tcPr>
            <w:tcW w:w="20" w:type="dxa"/>
            <w:vAlign w:val="bottom"/>
            <w:tcBorders>
              <w:bottom w:val="single" w:sz="8" w:color="auto"/>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320" w:type="dxa"/>
            <w:vAlign w:val="bottom"/>
            <w:gridSpan w:val="2"/>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lower of cost or market adjustment expensed for inventory for the three months ended March 31, 2015 and 2014 was $0.6 million and $0.3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&amp;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for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December 31, 2014</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65,384</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EEEEEE"/>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98,161</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84,748</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(32,412)</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62,642</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52,336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and 2014, depreciation expense of property, plant and equipment was $1.9 million and $1.2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87"/>
        </w:trPr>
        <w:tc>
          <w:tcPr>
            <w:tcW w:w="5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8"/>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8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1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w:t>
            </w:r>
          </w:p>
        </w:tc>
        <w:tc>
          <w:tcPr>
            <w:tcW w:w="15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tcBorders>
              <w:top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1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5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spacing w:after="0"/>
              <w:rPr>
                <w:sz w:val="19"/>
                <w:szCs w:val="19"/>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6"/>
        </w:trPr>
        <w:tc>
          <w:tcPr>
            <w:tcW w:w="5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3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8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r>
      <w:tr>
        <w:trPr>
          <w:trHeight w:val="210"/>
        </w:trPr>
        <w:tc>
          <w:tcPr>
            <w:tcW w:w="31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w:t>
            </w:r>
          </w:p>
        </w:tc>
        <w:tc>
          <w:tcPr>
            <w:tcW w:w="15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tcBorders>
              <w:top w:val="single" w:sz="8" w:color="EEEEEE"/>
            </w:tcBorders>
            <w:shd w:val="clear" w:color="auto" w:fill="EEEEEE"/>
          </w:tcPr>
          <w:p>
            <w:pPr>
              <w:spacing w:after="0"/>
              <w:rPr>
                <w:sz w:val="18"/>
                <w:szCs w:val="18"/>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r>
      <w:tr>
        <w:trPr>
          <w:trHeight w:val="223"/>
        </w:trPr>
        <w:tc>
          <w:tcPr>
            <w:tcW w:w="31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5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spacing w:after="0"/>
              <w:rPr>
                <w:sz w:val="19"/>
                <w:szCs w:val="19"/>
                <w:color w:val="auto"/>
              </w:rPr>
            </w:pPr>
          </w:p>
        </w:tc>
        <w:tc>
          <w:tcPr>
            <w:tcW w:w="1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spacing w:after="0"/>
              <w:rPr>
                <w:sz w:val="19"/>
                <w:szCs w:val="19"/>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2015 and 2014, amortization expense for intangible assets, included in general and administrative expenses on the income statement, was $100,000 and $69,000, respectively. The remaining weighted average amortization period for intangible assets is approximately 10 years.</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2014 the Company acquired an intangible asset from an unrelated company in the form of a license to various patents related to transceiver product technology. The weighted-average amortization period for the license is 10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Notes Payable and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160" w:type="dxa"/>
            <w:vAlign w:val="bottom"/>
          </w:tcPr>
          <w:p>
            <w:pPr>
              <w:spacing w:after="0"/>
              <w:rPr>
                <w:sz w:val="20"/>
                <w:szCs w:val="20"/>
                <w:color w:val="auto"/>
              </w:rPr>
            </w:pP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0" w:type="dxa"/>
            <w:vAlign w:val="bottom"/>
          </w:tcPr>
          <w:p>
            <w:pPr>
              <w:spacing w:after="0"/>
              <w:rPr>
                <w:sz w:val="1"/>
                <w:szCs w:val="1"/>
                <w:color w:val="auto"/>
              </w:rPr>
            </w:pPr>
          </w:p>
        </w:tc>
      </w:tr>
      <w:tr>
        <w:trPr>
          <w:trHeight w:val="178"/>
        </w:trPr>
        <w:tc>
          <w:tcPr>
            <w:tcW w:w="7540" w:type="dxa"/>
            <w:vAlign w:val="bottom"/>
            <w:tcBorders>
              <w:top w:val="single" w:sz="8" w:color="EEEEEE"/>
            </w:tcBorders>
            <w:shd w:val="clear" w:color="auto" w:fill="EEEEEE"/>
          </w:tcPr>
          <w:p>
            <w:pPr>
              <w:spacing w:after="0" w:line="178" w:lineRule="exact"/>
              <w:rPr>
                <w:sz w:val="20"/>
                <w:szCs w:val="20"/>
                <w:color w:val="auto"/>
              </w:rPr>
            </w:pPr>
            <w:r>
              <w:rPr>
                <w:rFonts w:ascii="Times New Roman" w:cs="Times New Roman" w:eastAsia="Times New Roman" w:hAnsi="Times New Roman"/>
                <w:sz w:val="18"/>
                <w:szCs w:val="18"/>
                <w:color w:val="auto"/>
              </w:rPr>
              <w:t>Revolving line of credit with a U.S. bank up to $15,000 with interest at LIBOR plus 2.75%, maturing</w:t>
            </w:r>
          </w:p>
        </w:tc>
        <w:tc>
          <w:tcPr>
            <w:tcW w:w="24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146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580" w:type="dxa"/>
            <w:vAlign w:val="bottom"/>
            <w:tcBorders>
              <w:top w:val="single" w:sz="8" w:color="auto"/>
            </w:tcBorders>
            <w:shd w:val="clear" w:color="auto" w:fill="EEEEEE"/>
          </w:tcPr>
          <w:p>
            <w:pPr>
              <w:spacing w:after="0"/>
              <w:rPr>
                <w:sz w:val="15"/>
                <w:szCs w:val="15"/>
                <w:color w:val="auto"/>
              </w:rPr>
            </w:pPr>
          </w:p>
        </w:tc>
        <w:tc>
          <w:tcPr>
            <w:tcW w:w="100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July 15, 2017</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 LIBOR plus 2.75%,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maturing July 31, 2019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4,906</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$3,000 with interest based on the bank’s corporate</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rate index+ 1.5%, or 2.40% maturing on November 15, 2015</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2,769</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Revolving line of credit with a Taiwan bank up to $4,000 with interest at LIBOR plus 1.2% maturing 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6, 2016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w w:val="99"/>
              </w:rPr>
              <w:t>Revolving line of credit with a Taiwan bank up to $3,000 with interest at LIBOR plus 1.7% maturing on</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February 6, 2016</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2,351</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$4,000 with interest at Taiwan Time Deposit Interest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 Index plus 0.41% or LIBOR plus 1.28% maturing on November 27, 2015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3,572</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Note payable to a finance company due in monthly installments with 4.95% interest, maturing July 30,</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$3,200 with interest ranged from 0.76% to 1.66%,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which mature in April and May 2015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2,557</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$7,200 with interest at 108% of China Prime rate, or</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5.79%, maturing March 17, 2016</w:t>
            </w:r>
          </w:p>
        </w:tc>
        <w:tc>
          <w:tcPr>
            <w:tcW w:w="24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2,442</w:t>
            </w:r>
          </w:p>
        </w:tc>
        <w:tc>
          <w:tcPr>
            <w:tcW w:w="160" w:type="dxa"/>
            <w:vAlign w:val="bottom"/>
            <w:shd w:val="clear" w:color="auto" w:fill="EEEEEE"/>
          </w:tcPr>
          <w:p>
            <w:pPr>
              <w:spacing w:after="0"/>
              <w:rPr>
                <w:sz w:val="21"/>
                <w:szCs w:val="21"/>
                <w:color w:val="auto"/>
              </w:rPr>
            </w:pPr>
          </w:p>
        </w:tc>
        <w:tc>
          <w:tcPr>
            <w:tcW w:w="58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(18,721)</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(9,591)</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 term portion</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2540"/>
              <w:spacing w:after="0"/>
              <w:rPr>
                <w:sz w:val="20"/>
                <w:szCs w:val="20"/>
                <w:color w:val="auto"/>
              </w:rPr>
            </w:pPr>
            <w:r>
              <w:rPr>
                <w:rFonts w:ascii="Times New Roman" w:cs="Times New Roman" w:eastAsia="Times New Roman" w:hAnsi="Times New Roman"/>
                <w:sz w:val="18"/>
                <w:szCs w:val="18"/>
                <w:b w:val="1"/>
                <w:bCs w:val="1"/>
                <w:color w:val="auto"/>
              </w:rPr>
              <w:t>Bank Acceptance Notes Payable</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4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58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540" w:type="dxa"/>
            <w:vAlign w:val="bottom"/>
            <w:shd w:val="clear" w:color="auto" w:fill="EEEEEE"/>
          </w:tcPr>
          <w:p>
            <w:pPr>
              <w:spacing w:after="0" w:line="191" w:lineRule="exact"/>
              <w:rPr>
                <w:sz w:val="20"/>
                <w:szCs w:val="20"/>
                <w:color w:val="auto"/>
              </w:rPr>
            </w:pPr>
            <w:r>
              <w:rPr>
                <w:rFonts w:ascii="Times New Roman" w:cs="Times New Roman" w:eastAsia="Times New Roman" w:hAnsi="Times New Roman"/>
                <w:sz w:val="18"/>
                <w:szCs w:val="18"/>
                <w:color w:val="auto"/>
              </w:rPr>
              <w:t>Bank acceptance notes issued to vendors with a zero percent interest rate, a 30% guarantee deposit</w:t>
            </w:r>
          </w:p>
        </w:tc>
        <w:tc>
          <w:tcPr>
            <w:tcW w:w="2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4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of $434, and maturity dates ranging from April 2015 to September 2015</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1,445</w:t>
            </w:r>
          </w:p>
        </w:tc>
        <w:tc>
          <w:tcPr>
            <w:tcW w:w="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648"/>
        </w:trPr>
        <w:tc>
          <w:tcPr>
            <w:tcW w:w="7540" w:type="dxa"/>
            <w:vAlign w:val="bottom"/>
            <w:tcBorders>
              <w:bottom w:val="single" w:sz="8" w:color="auto"/>
            </w:tcBorders>
          </w:tcPr>
          <w:p>
            <w:pPr>
              <w:ind w:left="56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7" w:right="239" w:bottom="1440" w:gutter="0" w:footer="0" w:header="0"/>
        </w:sectPr>
      </w:pPr>
    </w:p>
    <w:bookmarkStart w:id="11" w:name="page12"/>
    <w:bookmarkEnd w:id="11"/>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March 31, 2015. The one-month LIBOR rate was 0.15% on March 31, 2015.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notes payable and long-term debt are as follows for the future one-year periods ending March 31 (in thousands):</w:t>
      </w:r>
    </w:p>
    <w:p>
      <w:pPr>
        <w:spacing w:after="0" w:line="244"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8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20" w:type="dxa"/>
            <w:vAlign w:val="bottom"/>
            <w:shd w:val="clear" w:color="auto" w:fill="EEEEEE"/>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120" w:type="dxa"/>
            <w:vAlign w:val="bottom"/>
          </w:tcPr>
          <w:p>
            <w:pPr>
              <w:spacing w:after="0"/>
              <w:rPr>
                <w:sz w:val="18"/>
                <w:szCs w:val="18"/>
                <w:color w:val="auto"/>
              </w:rPr>
            </w:pPr>
          </w:p>
        </w:tc>
      </w:tr>
      <w:tr>
        <w:trPr>
          <w:trHeight w:val="216"/>
        </w:trPr>
        <w:tc>
          <w:tcPr>
            <w:tcW w:w="2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shd w:val="clear" w:color="auto" w:fill="EEEEEE"/>
          </w:tcPr>
          <w:p>
            <w:pPr>
              <w:spacing w:after="0"/>
              <w:rPr>
                <w:sz w:val="18"/>
                <w:szCs w:val="18"/>
                <w:color w:val="auto"/>
              </w:rPr>
            </w:pPr>
          </w:p>
        </w:tc>
      </w:tr>
      <w:tr>
        <w:trPr>
          <w:trHeight w:val="230"/>
        </w:trPr>
        <w:tc>
          <w:tcPr>
            <w:tcW w:w="20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2019 thereafter</w:t>
            </w:r>
          </w:p>
        </w:tc>
        <w:tc>
          <w:tcPr>
            <w:tcW w:w="80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EEEEEE"/>
            </w:tcBorders>
          </w:tcPr>
          <w:p>
            <w:pPr>
              <w:spacing w:after="0"/>
              <w:rPr>
                <w:sz w:val="19"/>
                <w:szCs w:val="19"/>
                <w:color w:val="auto"/>
              </w:rPr>
            </w:pPr>
          </w:p>
        </w:tc>
      </w:tr>
      <w:tr>
        <w:trPr>
          <w:trHeight w:val="223"/>
        </w:trPr>
        <w:tc>
          <w:tcPr>
            <w:tcW w:w="202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outstanding</w:t>
            </w:r>
          </w:p>
        </w:tc>
        <w:tc>
          <w:tcPr>
            <w:tcW w:w="800" w:type="dxa"/>
            <w:vAlign w:val="bottom"/>
            <w:tcBorders>
              <w:bottom w:val="single" w:sz="8" w:color="EEEEEE"/>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20" w:type="dxa"/>
            <w:vAlign w:val="bottom"/>
            <w:tcBorders>
              <w:bottom w:val="single" w:sz="8" w:color="EEEEEE"/>
            </w:tcBorders>
            <w:shd w:val="clear" w:color="auto" w:fill="EEEEEE"/>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loan and security agreement in the U.S. with East West Bank included a $15.0 million revolving line of credit which matures on July 15, 2017. Also included with the same bank is a term loan of up to $5.0 million with monthly payments of principal and interest that matures on July 31, 2019. The interest rate on these loans is the LIBOR Borrowing Rate plus 2.75%. As of March 31, 2015, $15.0 million was outstanding under the revolving line of credit and $4.9 million was outstanding under the term loan.</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January 26, 2015, the Company entered into a construction loan agreement with East West Bank for up to $22.0 million dollars to finance the construction of its campus expansion plan in Sugar Land, Texas.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loan agreement, the loan bears interest, at an annual rate based on the one-month LIBOR Borrowing Rate plus 2.75%. As of March 31, there were no amounts outstanding under this loan agreement.</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loan and security agreements with East West Bank require the Company to maintain certain financial covenants, including a minimum current ratio and minimum annual EBITDA. As of March 31, 2015, the Company was in compliance with all covenants contained in these agreements.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January 6, 2015, the Company’s Taiwan location entered into a Credit Facility with CTBC Bank Co. Ltd. in Taipei, Taiwan for 90 million New Taiwan dollar ($3.0 million USD), one year revolving credit facility. Its obligations under the Credit Facility are unsecured. Borrowings under the Credit Facility will bear interest at a rate based on the Bank’s corporate interest rate index plus 1.5%, adjusted monthly. As of the execution of the Credit Facility the Bank’s corporate interest rate swap index is 0.91%. As of March 31, 2015, $2.8 million was outstanding under this credit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9, 2015, the Company’s Taiwan location renewed its $4.0 million, one year revolving credit facility agreement, originally dated December 31, 2013, with E. Sun Commercial Bank. Its obligations under the credit facility are secured by our $4.0 million cash deposit in a one-year CD with such bank and mature on February 6, 2016. The revolving line of credit bears interest at a rate equal to 1.78% for New Taiwan dollar borrowings and LIBOR plus 2.0% and a 0.10% service fee for U.S. dollar borrowings. As of March 31, 2015, $3.6 million was outstanding under this credit facility.</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March 9, 2015, the Company’s Taiwan location entered into an additional credit facility agreement with E. Sun Commercial Bank for a $3.0 million, one year revolving, unsecured credit facility, maturing on February 6, 2016. Borrowings under this credit facility will bear interest at a rate not less than the LIBOR borrowing rate plus 1.7%, divided by 0.946, and will also incur a 0.5% service fee. As of March 31, 2015, there are $2.4 million outstanding under this credit facility.</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March 25, 2015, the Company’s Taiwan location renewed its $4.0 million, one year revolving credit facility agreement, originally dated December 31, 2013, with Mega International Commercial Bank. Obligations under the credit facility are secured by a $4.0 million cash deposit in a one-year CD with such bank and mature on November 27, 2015. Borrowings under this credit facility will bear interest at a rate not less than the LIBOR borrowing rate plus 1.0%, divided by 0.946 for U.S. dollar borrowings, New Taiwan dollar borrowings interest will bear at a rate equal to the Bank’s base lending rate plus 0.76% and all other currency borrowings interest will bear at a rate equal to the Bank’s base lending rate plus 1.0% divided by 0.946. The current Bank base lending rate is 2.875%. As of March 31, 2015, $3.6 million was outstanding under this credit facility.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Taiwan location had an outstanding note payable balance of $0.3 million with a financing company that matures on July 31,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March 31, 2015, the Company’s China subsidiary had credit facilities with China Construction Bank totaling $10.4 million, one line is U.S. currency based and the other is RMB currency based. As of March 31, 2015, the Company had a U.S. currency based loan of $2.6 million outstanding under various notes with three-month terms, maturing from April 2015 to May 2015. There was $2.4 million outstanding under the RMB currency based credit facility as of March 31, 2015, with a maturity date of March 17, 2016.</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2015, the Company had $32.1 million of unused borrowing capacity.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Accrued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for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7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1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1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70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Income and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and expense consisted of the following for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b w:val="1"/>
                <w:bCs w:val="1"/>
                <w:color w:val="auto"/>
              </w:rPr>
              <w:t>2014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13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ind w:right="104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Realized foreign exchange gain (loss)</w:t>
            </w: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Government subsidy income</w:t>
            </w:r>
          </w:p>
        </w:tc>
        <w:tc>
          <w:tcPr>
            <w:tcW w:w="13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gain (loss)</w:t>
            </w: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300" w:type="dxa"/>
            <w:vAlign w:val="bottom"/>
            <w:shd w:val="clear" w:color="auto" w:fill="EEEEEE"/>
          </w:tcPr>
          <w:p>
            <w:pPr>
              <w:spacing w:after="0"/>
              <w:rPr>
                <w:sz w:val="19"/>
                <w:szCs w:val="19"/>
                <w:color w:val="auto"/>
              </w:rPr>
            </w:pPr>
          </w:p>
        </w:tc>
        <w:tc>
          <w:tcPr>
            <w:tcW w:w="114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EEEEEE"/>
          </w:tcPr>
          <w:p>
            <w:pPr>
              <w:spacing w:after="0"/>
              <w:rPr>
                <w:sz w:val="19"/>
                <w:szCs w:val="19"/>
                <w:color w:val="auto"/>
              </w:rPr>
            </w:pPr>
          </w:p>
        </w:tc>
        <w:tc>
          <w:tcPr>
            <w:tcW w:w="116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4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1998 Share Incentive Plan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2000 Share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2004 Share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2006 Share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Equity Incentive Plan (“2013 Plan”)</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issues stock options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restrictive stock awards (“RSAs”) and restrictive stock units (“RSUs”) may be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10"/>
        </w:trPr>
        <w:tc>
          <w:tcPr>
            <w:tcW w:w="41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December 31, 2014</w:t>
            </w: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ind w:left="880"/>
              <w:spacing w:after="0"/>
              <w:rPr>
                <w:sz w:val="20"/>
                <w:szCs w:val="20"/>
                <w:color w:val="auto"/>
              </w:rPr>
            </w:pPr>
            <w:r>
              <w:rPr>
                <w:rFonts w:ascii="Times New Roman" w:cs="Times New Roman" w:eastAsia="Times New Roman" w:hAnsi="Times New Roman"/>
                <w:sz w:val="18"/>
                <w:szCs w:val="18"/>
                <w:color w:val="auto"/>
                <w:w w:val="88"/>
              </w:rPr>
              <w:t>8.96</w:t>
            </w:r>
          </w:p>
        </w:tc>
        <w:tc>
          <w:tcPr>
            <w:tcW w:w="2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4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ind w:left="880"/>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3"/>
        </w:trPr>
        <w:tc>
          <w:tcPr>
            <w:tcW w:w="41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Outstanding, March 31, 2015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EEEEEE"/>
            </w:tcBorders>
            <w:gridSpan w:val="2"/>
          </w:tcPr>
          <w:p>
            <w:pPr>
              <w:ind w:left="88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340" w:type="dxa"/>
            <w:vAlign w:val="bottom"/>
            <w:tcBorders>
              <w:bottom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7.852</w:t>
            </w:r>
          </w:p>
        </w:tc>
        <w:tc>
          <w:tcPr>
            <w:tcW w:w="260" w:type="dxa"/>
            <w:vAlign w:val="bottom"/>
            <w:tcBorders>
              <w:bottom w:val="single" w:sz="8" w:color="EEEE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6,869</w:t>
            </w:r>
          </w:p>
        </w:tc>
        <w:tc>
          <w:tcPr>
            <w:tcW w:w="0" w:type="dxa"/>
            <w:vAlign w:val="bottom"/>
          </w:tcPr>
          <w:p>
            <w:pPr>
              <w:spacing w:after="0"/>
              <w:rPr>
                <w:sz w:val="1"/>
                <w:szCs w:val="1"/>
                <w:color w:val="auto"/>
              </w:rPr>
            </w:pPr>
          </w:p>
        </w:tc>
      </w:tr>
      <w:tr>
        <w:trPr>
          <w:trHeight w:val="197"/>
        </w:trPr>
        <w:tc>
          <w:tcPr>
            <w:tcW w:w="4120" w:type="dxa"/>
            <w:vAlign w:val="bottom"/>
            <w:tcBorders>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Exercisable, March 31, 2015</w:t>
            </w:r>
          </w:p>
        </w:tc>
        <w:tc>
          <w:tcPr>
            <w:tcW w:w="128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687</w:t>
            </w:r>
          </w:p>
        </w:tc>
        <w:tc>
          <w:tcPr>
            <w:tcW w:w="24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EEEEEE"/>
            </w:tcBorders>
            <w:gridSpan w:val="2"/>
            <w:shd w:val="clear" w:color="auto" w:fill="EEEEEE"/>
          </w:tcPr>
          <w:p>
            <w:pPr>
              <w:ind w:left="880"/>
              <w:spacing w:after="0" w:line="196" w:lineRule="exact"/>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EEEEEE"/>
            </w:tcBorders>
            <w:gridSpan w:val="2"/>
            <w:shd w:val="clear" w:color="auto" w:fill="EEEEEE"/>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3.69</w:t>
            </w:r>
          </w:p>
        </w:tc>
        <w:tc>
          <w:tcPr>
            <w:tcW w:w="134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7.357</w:t>
            </w:r>
          </w:p>
        </w:tc>
        <w:tc>
          <w:tcPr>
            <w:tcW w:w="26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7.823</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6,592</w:t>
            </w: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1,326</w:t>
            </w:r>
          </w:p>
        </w:tc>
        <w:tc>
          <w:tcPr>
            <w:tcW w:w="2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2015, there was approximately $3.2 million of unrecognized stock option expense, net of estimated forfeitures, which is expected to be recognized over 2.37 years.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Units/Awards</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RSU/RSA activity:</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20" w:type="dxa"/>
            <w:vAlign w:val="bottom"/>
          </w:tcPr>
          <w:p>
            <w:pPr>
              <w:spacing w:after="0"/>
              <w:rPr>
                <w:sz w:val="24"/>
                <w:szCs w:val="24"/>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5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Exercised/Released</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March 31, 2015</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680" w:type="dxa"/>
            <w:vAlign w:val="bottom"/>
            <w:tcBorders>
              <w:top w:val="single" w:sz="8" w:color="EEEEEE"/>
              <w:bottom w:val="single" w:sz="8" w:color="EEEEEE"/>
            </w:tcBorders>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March 31, 2015</w:t>
            </w: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6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3540" w:type="dxa"/>
            <w:vAlign w:val="bottom"/>
            <w:tcBorders>
              <w:bottom w:val="single" w:sz="8" w:color="EEEEEE"/>
            </w:tcBorders>
            <w:vMerge w:val="continue"/>
          </w:tcPr>
          <w:p>
            <w:pPr>
              <w:spacing w:after="0"/>
              <w:rPr>
                <w:sz w:val="20"/>
                <w:szCs w:val="20"/>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EEEEEE"/>
            </w:tcBorders>
          </w:tcPr>
          <w:p>
            <w:pPr>
              <w:spacing w:after="0"/>
              <w:rPr>
                <w:sz w:val="20"/>
                <w:szCs w:val="20"/>
                <w:color w:val="auto"/>
              </w:rPr>
            </w:pPr>
          </w:p>
        </w:tc>
        <w:tc>
          <w:tcPr>
            <w:tcW w:w="220" w:type="dxa"/>
            <w:vAlign w:val="bottom"/>
            <w:tcBorders>
              <w:bottom w:val="single" w:sz="8" w:color="EEEEEE"/>
            </w:tcBorders>
            <w:gridSpan w:val="2"/>
            <w:vMerge w:val="continue"/>
          </w:tcPr>
          <w:p>
            <w:pPr>
              <w:spacing w:after="0"/>
              <w:rPr>
                <w:sz w:val="20"/>
                <w:szCs w:val="20"/>
                <w:color w:val="auto"/>
              </w:rPr>
            </w:pPr>
          </w:p>
        </w:tc>
        <w:tc>
          <w:tcPr>
            <w:tcW w:w="1520" w:type="dxa"/>
            <w:vAlign w:val="bottom"/>
            <w:tcBorders>
              <w:bottom w:val="single" w:sz="8" w:color="EEEEEE"/>
            </w:tcBorders>
            <w:vMerge w:val="continue"/>
          </w:tcPr>
          <w:p>
            <w:pPr>
              <w:spacing w:after="0"/>
              <w:rPr>
                <w:sz w:val="20"/>
                <w:szCs w:val="20"/>
                <w:color w:val="auto"/>
              </w:rPr>
            </w:pPr>
          </w:p>
        </w:tc>
        <w:tc>
          <w:tcPr>
            <w:tcW w:w="680" w:type="dxa"/>
            <w:vAlign w:val="bottom"/>
            <w:tcBorders>
              <w:bottom w:val="single" w:sz="8" w:color="EEEEEE"/>
            </w:tcBorders>
            <w:gridSpan w:val="2"/>
            <w:vMerge w:val="continue"/>
          </w:tcPr>
          <w:p>
            <w:pPr>
              <w:spacing w:after="0"/>
              <w:rPr>
                <w:sz w:val="20"/>
                <w:szCs w:val="20"/>
                <w:color w:val="auto"/>
              </w:rPr>
            </w:pPr>
          </w:p>
        </w:tc>
        <w:tc>
          <w:tcPr>
            <w:tcW w:w="1300" w:type="dxa"/>
            <w:vAlign w:val="bottom"/>
            <w:tcBorders>
              <w:bottom w:val="single" w:sz="8" w:color="EEEEEE"/>
            </w:tcBorders>
            <w:vMerge w:val="continue"/>
          </w:tcPr>
          <w:p>
            <w:pPr>
              <w:spacing w:after="0"/>
              <w:rPr>
                <w:sz w:val="20"/>
                <w:szCs w:val="20"/>
                <w:color w:val="auto"/>
              </w:rPr>
            </w:pP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3540" w:type="dxa"/>
            <w:vAlign w:val="bottom"/>
            <w:tcBorders>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w:t>
            </w:r>
          </w:p>
        </w:tc>
        <w:tc>
          <w:tcPr>
            <w:tcW w:w="158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680" w:type="dxa"/>
            <w:vAlign w:val="bottom"/>
            <w:tcBorders>
              <w:bottom w:val="single" w:sz="8" w:color="EEEEEE"/>
            </w:tcBorders>
            <w:gridSpan w:val="2"/>
            <w:shd w:val="clear" w:color="auto" w:fill="EEEEEE"/>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1,908</w:t>
            </w: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2015 was $1.0 million of unrecognized compensation expense related to these RSU’s and RSA’s. This expense is expected to be recognized over 3.81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Pr>
          <w:p>
            <w:pPr>
              <w:spacing w:after="0"/>
              <w:rPr>
                <w:sz w:val="19"/>
                <w:szCs w:val="19"/>
                <w:color w:val="auto"/>
              </w:rPr>
            </w:pPr>
          </w:p>
        </w:tc>
        <w:tc>
          <w:tcPr>
            <w:tcW w:w="15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2014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16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sales</w:t>
            </w:r>
          </w:p>
        </w:tc>
        <w:tc>
          <w:tcPr>
            <w:tcW w:w="276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gridSpan w:val="2"/>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and marketing</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00" w:type="dxa"/>
            <w:vAlign w:val="bottom"/>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tcPr>
          <w:p>
            <w:pPr>
              <w:spacing w:after="0"/>
              <w:rPr>
                <w:sz w:val="19"/>
                <w:szCs w:val="19"/>
                <w:color w:val="auto"/>
              </w:rPr>
            </w:pPr>
          </w:p>
        </w:tc>
        <w:tc>
          <w:tcPr>
            <w:tcW w:w="122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2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14" w:name="page15"/>
    <w:bookmarkEnd w:id="14"/>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Pr>
          <w:p>
            <w:pPr>
              <w:spacing w:after="0"/>
              <w:rPr>
                <w:sz w:val="19"/>
                <w:szCs w:val="19"/>
                <w:color w:val="auto"/>
              </w:rPr>
            </w:pPr>
          </w:p>
        </w:tc>
        <w:tc>
          <w:tcPr>
            <w:tcW w:w="15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2014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Share-Based compensation - by award type</w:t>
            </w:r>
          </w:p>
        </w:tc>
        <w:tc>
          <w:tcPr>
            <w:tcW w:w="118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stock options</w:t>
            </w:r>
          </w:p>
        </w:tc>
        <w:tc>
          <w:tcPr>
            <w:tcW w:w="232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520" w:type="dxa"/>
            <w:vAlign w:val="bottom"/>
            <w:gridSpan w:val="2"/>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Restricted stock units/awards</w:t>
            </w:r>
          </w:p>
        </w:tc>
        <w:tc>
          <w:tcPr>
            <w:tcW w:w="11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EEEEEE"/>
            </w:tcBorders>
          </w:tcPr>
          <w:p>
            <w:pPr>
              <w:ind w:left="28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EEEEE"/>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EEEEEE"/>
            </w:tcBorders>
            <w:shd w:val="clear" w:color="auto" w:fill="EEEEEE"/>
          </w:tcPr>
          <w:p>
            <w:pPr>
              <w:spacing w:after="0"/>
              <w:rPr>
                <w:sz w:val="19"/>
                <w:szCs w:val="19"/>
                <w:color w:val="auto"/>
              </w:rPr>
            </w:pPr>
          </w:p>
        </w:tc>
        <w:tc>
          <w:tcPr>
            <w:tcW w:w="118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tcBorders>
              <w:bottom w:val="single" w:sz="8" w:color="EEEEEE"/>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jc w:val="right"/>
              <w:ind w:right="105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up to 5,000,000 shares of preferred stock under the Company’s Amended and Restated Certificate of Incorporation.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2015 and December 31, 2014, the Company had no outstanding warrants to purchase common or preferred stock, but approximately 30,000 outstanding as of March 31,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 of Common Stock</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 September 25, 2013, our registration statement on Form S-1 for our initial public offering was declared effective by the Securities and Exchange Commission. The offering commenced on September 26, and the Company sold 3.6 million shares of its common stock in its initial public offering at a price of $10.00 per share, providing proceeds of $31.5 million, net of expenses and underwriting discounts and commissions. The Company’s initial public offering closed on October 1, 2013.</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March 19, 2014, the Company sold 2.0 million shares of its common stock in a secondary offering at a price of $24.25 per share, providing proceeds of $45.7 million, net of expenses and underwriting discounts and commissions. The Company’s sale of 1.6 million shares in the secondary offering closed on March 25, 2014 and the Company’s sale of an additional 0.4 million shares as a result of the underwriters’ exercise of their option to purchase additional shares closed on March 28,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and Geographic Information</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6" w:lineRule="exact"/>
        <w:rPr>
          <w:sz w:val="20"/>
          <w:szCs w:val="20"/>
          <w:color w:val="auto"/>
        </w:rPr>
      </w:pPr>
    </w:p>
    <w:p>
      <w:pPr>
        <w:jc w:val="both"/>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60" w:type="dxa"/>
            <w:vAlign w:val="bottom"/>
          </w:tcPr>
          <w:p>
            <w:pPr>
              <w:spacing w:after="0"/>
              <w:rPr>
                <w:sz w:val="19"/>
                <w:szCs w:val="19"/>
                <w:color w:val="auto"/>
              </w:rPr>
            </w:pPr>
          </w:p>
        </w:tc>
        <w:tc>
          <w:tcPr>
            <w:tcW w:w="1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26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366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400" w:type="dxa"/>
            <w:vAlign w:val="bottom"/>
            <w:gridSpan w:val="2"/>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Taiwan</w:t>
            </w:r>
          </w:p>
        </w:tc>
        <w:tc>
          <w:tcPr>
            <w:tcW w:w="26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3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60" w:type="dxa"/>
            <w:vAlign w:val="bottom"/>
            <w:tcBorders>
              <w:bottom w:val="single" w:sz="8" w:color="EEEEEE"/>
            </w:tcBorders>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262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300" w:type="dxa"/>
            <w:vAlign w:val="bottom"/>
            <w:tcBorders>
              <w:bottom w:val="single" w:sz="8" w:color="EEEEEE"/>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tcBorders>
              <w:bottom w:val="single" w:sz="8" w:color="EEEEEE"/>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60" w:type="dxa"/>
            <w:vAlign w:val="bottom"/>
            <w:tcBorders>
              <w:bottom w:val="single" w:sz="8" w:color="EEEEEE"/>
            </w:tcBorders>
            <w:shd w:val="clear" w:color="auto" w:fill="EEEEEE"/>
          </w:tcPr>
          <w:p>
            <w:pPr>
              <w:spacing w:after="0"/>
              <w:rPr>
                <w:sz w:val="19"/>
                <w:szCs w:val="19"/>
                <w:color w:val="auto"/>
              </w:rPr>
            </w:pPr>
          </w:p>
        </w:tc>
        <w:tc>
          <w:tcPr>
            <w:tcW w:w="262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30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24,859</w:t>
            </w:r>
          </w:p>
        </w:tc>
        <w:tc>
          <w:tcPr>
            <w:tcW w:w="100" w:type="dxa"/>
            <w:vAlign w:val="bottom"/>
            <w:tcBorders>
              <w:bottom w:val="single" w:sz="8" w:color="EEEEEE"/>
            </w:tcBorders>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2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4" w:right="239" w:bottom="1440" w:gutter="0" w:footer="0" w:header="0"/>
        </w:sectPr>
      </w:pPr>
    </w:p>
    <w:bookmarkStart w:id="15" w:name="page16"/>
    <w:bookmarkEnd w:id="15"/>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As of the period ended</w:t>
            </w: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EEEEEE"/>
            </w:tcBorders>
          </w:tcPr>
          <w:p>
            <w:pPr>
              <w:spacing w:after="0"/>
              <w:rPr>
                <w:sz w:val="18"/>
                <w:szCs w:val="18"/>
                <w:color w:val="auto"/>
              </w:rPr>
            </w:pPr>
          </w:p>
        </w:tc>
        <w:tc>
          <w:tcPr>
            <w:tcW w:w="2100" w:type="dxa"/>
            <w:vAlign w:val="bottom"/>
            <w:tcBorders>
              <w:bottom w:val="single" w:sz="8" w:color="EEEEEE"/>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EEEEEE"/>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2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w:t>
            </w: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Taiwan</w:t>
            </w:r>
          </w:p>
        </w:tc>
        <w:tc>
          <w:tcPr>
            <w:tcW w:w="2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35,688</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80" w:type="dxa"/>
            <w:vAlign w:val="bottom"/>
            <w:tcBorders>
              <w:bottom w:val="single" w:sz="8" w:color="EEEEEE"/>
            </w:tcBorders>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210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30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EEEEEE"/>
            </w:tcBorders>
            <w:shd w:val="clear" w:color="auto" w:fill="EEEEEE"/>
          </w:tcPr>
          <w:p>
            <w:pPr>
              <w:spacing w:after="0"/>
              <w:rPr>
                <w:sz w:val="19"/>
                <w:szCs w:val="19"/>
                <w:color w:val="auto"/>
              </w:rPr>
            </w:pPr>
          </w:p>
        </w:tc>
        <w:tc>
          <w:tcPr>
            <w:tcW w:w="210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74,260</w:t>
            </w:r>
          </w:p>
        </w:tc>
        <w:tc>
          <w:tcPr>
            <w:tcW w:w="3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69,571</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1, 2015, the Company’s Taiwan location entered into a comprehensive credit line agreement with the Taipei branch of China Construction Bank, providing a revolving credit line of $10 million, maturing on April 1, 2016. Borrowings under the credit line agreement are secured by a standby letter of credit issued by the China branch of the bank under existing agreements between the bank and our China subsidiary. Borrowings under the credit line agreement reduce the amounts available under the existing credit line between the bank and its China subsidiary and cannot exceed 97% of the amount of the standby letter of credit issued by the China branch of the bank. Borrowings under the credit line agreement will bear interest at a rate not less than LIBOR plus 1.5% for U.S. dollar borrowings and at a rate of not less than Taiwan Interbank Offered Rate plus 0.9% for New Taiwan dollar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unaudited condensed consolidated financial statements and the related notes thereto included elsewhere in this Quarterly Report on Form 10-Q for the period ended March 31, 2015 and the audited consolidated financial statements and notes thereto and management’s discussion and analysis of financial condition and results of operations for the fiscal year ended December 31, 2014 included in our Annual Report on Form 10-K. References to “Applied Optoelectronics” “we,” “our” and “us” are to Applied Optoelectronics, Inc. and its subsidiaries unless otherwise specified or the context otherwise requires.</w:t>
      </w:r>
    </w:p>
    <w:p>
      <w:pPr>
        <w:spacing w:after="0" w:line="168"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“might,” “objective,” “estimate,” “continue,” “anticipate,” “intend,” “should,” “plan,” “expect,” “predict,” “potential,” “will” or the negative of these terms or other similar expressions is intended to identify forward-looking statements.</w:t>
      </w:r>
    </w:p>
    <w:p>
      <w:pPr>
        <w:spacing w:after="0" w:line="18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primarily for three networking end-markets: internet data center, cable television, or CATV, and fiber-to-the-home, or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8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three manufacturing sites: Sugar Land, Texas, Ningbo, China and Taipei, Taiwan. Our research and development functions are partnered with our manufacturing locations. In our U.S. facility, we manufacture laser chips (utilizing our MBE process), subassemblies and components. The subassemblies are used in the manufacture of components by our other manufacturing facilities or sold to third parties as modules. We manufacture our laser chips only within our U.S.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facility conducts testing on the components, modules or subsystems it manufactures and each facility is certified to ISO 9001:2008.</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7" w:name="page18"/>
    <w:bookmarkEnd w:id="17"/>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CATV, FTTH and internet data center customers. Throughout our sales cycle, we work closely with our customers to achieve design wins that we believe provide long-lasting relationships and promotes higher customer retention.</w:t>
      </w:r>
    </w:p>
    <w:p>
      <w:pPr>
        <w:spacing w:after="0" w:line="18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grown our revenue at a 31.7% CAGR between 2009 and 2014, including 66.3% growth year-over-year from 2013 to 2014. Our revenue growth in 2014 was driven primarily by increasing revenue from our internet data center customers. Growth in the first three months of 2015 has been driven primarily by increasing revenue from our internet data center and CATV customers.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13115 Jess Pirtle Blvd., Sugar Land, TX 77478, and our telephone number is (281) 295-1800.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 forth our consolidated results of operations for the periods presented and as a percentage of our revenue for those periods.</w:t>
      </w:r>
    </w:p>
    <w:p>
      <w:pPr>
        <w:spacing w:after="0" w:line="23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520" w:type="dxa"/>
            <w:vAlign w:val="bottom"/>
            <w:gridSpan w:val="2"/>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net</w:t>
            </w:r>
          </w:p>
        </w:tc>
        <w:tc>
          <w:tcPr>
            <w:tcW w:w="98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shd w:val="clear" w:color="auto" w:fill="EEEEEE"/>
          </w:tcPr>
          <w:p>
            <w:pPr>
              <w:spacing w:after="0"/>
              <w:rPr>
                <w:sz w:val="19"/>
                <w:szCs w:val="19"/>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EEEEEE"/>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tcBorders>
              <w:bottom w:val="single" w:sz="8" w:color="EEEEEE"/>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EEEEEE"/>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80" w:type="dxa"/>
            <w:vAlign w:val="bottom"/>
            <w:tcBorders>
              <w:bottom w:val="single" w:sz="8" w:color="auto"/>
            </w:tcBorders>
            <w:shd w:val="clear" w:color="auto" w:fill="EEEEEE"/>
          </w:tcPr>
          <w:p>
            <w:pPr>
              <w:spacing w:after="0"/>
              <w:rPr>
                <w:sz w:val="18"/>
                <w:szCs w:val="18"/>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EEEEEE"/>
          </w:tcPr>
          <w:p>
            <w:pPr>
              <w:spacing w:after="0"/>
              <w:rPr>
                <w:sz w:val="18"/>
                <w:szCs w:val="18"/>
                <w:color w:val="auto"/>
              </w:rPr>
            </w:pPr>
          </w:p>
        </w:tc>
        <w:tc>
          <w:tcPr>
            <w:tcW w:w="16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EEEEEE"/>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EEEEEE"/>
          </w:tcPr>
          <w:p>
            <w:pPr>
              <w:spacing w:after="0"/>
              <w:rPr>
                <w:sz w:val="19"/>
                <w:szCs w:val="19"/>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EEEEEE"/>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top w:val="single" w:sz="8" w:color="auto"/>
              <w:bottom w:val="single" w:sz="8" w:color="auto"/>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and network operators for the CATV, FTTH and internet data center markets. We derive a significant portion of our revenue from our top ten customers, and we anticipate that we will continue to do so for the foreseeable future. We also anticipate that our revenue derived from the internet data center market will continue to increase as a percentage of our revenue as we further penetrate and extend our products into this market. The following charts provide the revenue contribution from each of the markets we served for the three months ended March 31, 2015 and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62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bottom w:val="single" w:sz="8" w:color="EEEEEE"/>
            </w:tcBorders>
          </w:tcPr>
          <w:p>
            <w:pPr>
              <w:spacing w:after="0"/>
              <w:rPr>
                <w:sz w:val="19"/>
                <w:szCs w:val="19"/>
                <w:color w:val="auto"/>
              </w:rPr>
            </w:pPr>
          </w:p>
        </w:tc>
        <w:tc>
          <w:tcPr>
            <w:tcW w:w="2840" w:type="dxa"/>
            <w:vAlign w:val="bottom"/>
            <w:tcBorders>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Borders>
              <w:top w:val="single" w:sz="8" w:color="auto"/>
              <w:bottom w:val="single" w:sz="8" w:color="EEEEEE"/>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284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4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EEEEEE"/>
              <w:bottom w:val="single" w:sz="8" w:color="EEEEEE"/>
            </w:tcBorders>
            <w:shd w:val="clear" w:color="auto" w:fill="EEEEEE"/>
          </w:tcPr>
          <w:p>
            <w:pPr>
              <w:spacing w:after="0"/>
              <w:rPr>
                <w:sz w:val="19"/>
                <w:szCs w:val="19"/>
                <w:color w:val="auto"/>
              </w:rPr>
            </w:pPr>
          </w:p>
        </w:tc>
        <w:tc>
          <w:tcPr>
            <w:tcW w:w="284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4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17</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8" w:name="page19"/>
    <w:bookmarkEnd w:id="18"/>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60" w:type="dxa"/>
            <w:vAlign w:val="bottom"/>
          </w:tcPr>
          <w:p>
            <w:pPr>
              <w:spacing w:after="0"/>
              <w:rPr>
                <w:sz w:val="19"/>
                <w:szCs w:val="19"/>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r>
      <w:tr>
        <w:trPr>
          <w:trHeight w:val="210"/>
        </w:trPr>
        <w:tc>
          <w:tcPr>
            <w:tcW w:w="19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78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320" w:type="dxa"/>
            <w:vAlign w:val="bottom"/>
            <w:tcBorders>
              <w:top w:val="single" w:sz="8" w:color="EEEEEE"/>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34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34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8"/>
                <w:szCs w:val="18"/>
                <w:color w:val="auto"/>
              </w:rPr>
            </w:pPr>
          </w:p>
        </w:tc>
      </w:tr>
      <w:tr>
        <w:trPr>
          <w:trHeight w:val="216"/>
        </w:trPr>
        <w:tc>
          <w:tcPr>
            <w:tcW w:w="1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3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w w:val="98"/>
              </w:rPr>
              <w:t>(2,094)</w:t>
            </w:r>
          </w:p>
        </w:tc>
        <w:tc>
          <w:tcPr>
            <w:tcW w:w="4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r>
      <w:tr>
        <w:trPr>
          <w:trHeight w:val="230"/>
        </w:trPr>
        <w:tc>
          <w:tcPr>
            <w:tcW w:w="19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20" w:type="dxa"/>
            <w:vAlign w:val="bottom"/>
            <w:tcBorders>
              <w:bottom w:val="single" w:sz="8" w:color="EEEEEE"/>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340" w:type="dxa"/>
            <w:vAlign w:val="bottom"/>
            <w:tcBorders>
              <w:bottom w:val="single" w:sz="8" w:color="EEEEEE"/>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4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EEEEEE"/>
            </w:tcBorders>
          </w:tcPr>
          <w:p>
            <w:pPr>
              <w:spacing w:after="0"/>
              <w:rPr>
                <w:sz w:val="19"/>
                <w:szCs w:val="19"/>
                <w:color w:val="auto"/>
              </w:rPr>
            </w:pPr>
          </w:p>
        </w:tc>
      </w:tr>
      <w:tr>
        <w:trPr>
          <w:trHeight w:val="223"/>
        </w:trPr>
        <w:tc>
          <w:tcPr>
            <w:tcW w:w="1980" w:type="dxa"/>
            <w:vAlign w:val="bottom"/>
            <w:tcBorders>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320" w:type="dxa"/>
            <w:vAlign w:val="bottom"/>
            <w:tcBorders>
              <w:bottom w:val="single" w:sz="8" w:color="EEEEEE"/>
            </w:tcBorders>
            <w:shd w:val="clear" w:color="auto" w:fill="EEEEEE"/>
          </w:tcPr>
          <w:p>
            <w:pPr>
              <w:spacing w:after="0"/>
              <w:rPr>
                <w:sz w:val="19"/>
                <w:szCs w:val="19"/>
                <w:color w:val="auto"/>
              </w:rPr>
            </w:pPr>
          </w:p>
        </w:tc>
        <w:tc>
          <w:tcPr>
            <w:tcW w:w="1080" w:type="dxa"/>
            <w:vAlign w:val="bottom"/>
            <w:tcBorders>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24,859</w:t>
            </w:r>
          </w:p>
        </w:tc>
        <w:tc>
          <w:tcPr>
            <w:tcW w:w="34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34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EEEEEE"/>
            </w:tcBorders>
            <w:shd w:val="clear" w:color="auto" w:fill="EEEEEE"/>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Revenues in the internet data center market were driven primarily by increasing demand for our 40 gigabits per second transceivers as our customers continued to upgrade their technology infrastructure. The decrease in revenue in our FTTH market is due to decreased demand from our major FTTH customer. The increase in revenues in the CATV market for the year was a result of continuing shipments of older products along with revenue derived from newly-designed products that have begun to be sold in higher quantities by our customers.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2015, our top ten customers represented 90.5% of our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20,183</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16,206</w:t>
            </w: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ind w:right="450"/>
              <w:spacing w:after="0"/>
              <w:rPr>
                <w:sz w:val="20"/>
                <w:szCs w:val="20"/>
                <w:color w:val="auto"/>
              </w:rPr>
            </w:pPr>
            <w:r>
              <w:rPr>
                <w:rFonts w:ascii="Times New Roman" w:cs="Times New Roman" w:eastAsia="Times New Roman" w:hAnsi="Times New Roman"/>
                <w:sz w:val="18"/>
                <w:szCs w:val="18"/>
                <w:color w:val="auto"/>
              </w:rPr>
              <w:t>3,977</w:t>
            </w:r>
          </w:p>
        </w:tc>
        <w:tc>
          <w:tcPr>
            <w:tcW w:w="7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Cost of goods sold increased by $4.0 million, or 24.5%, from the three months ended March 31, 2014 to 2015, primarily due to a 21.6% increase in sales over the prior year. Within our markets, we sell similar products in different geographic regions at different prices, resulting in different gross margins among our products. The decrease in gross margin was primarily the result of a product mix in our internet data center products.</w:t>
      </w:r>
    </w:p>
    <w:p>
      <w:pPr>
        <w:sectPr>
          <w:pgSz w:w="11900" w:h="16838" w:orient="portrait"/>
          <w:cols w:equalWidth="0" w:num="1">
            <w:col w:w="11380"/>
          </w:cols>
          <w:pgMar w:left="240" w:top="914" w:right="279" w:bottom="144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9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7"/>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-599440</wp:posOffset>
            </wp:positionV>
            <wp:extent cx="65176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-1835150</wp:posOffset>
            </wp:positionH>
            <wp:positionV relativeFrom="paragraph">
              <wp:posOffset>-325120</wp:posOffset>
            </wp:positionV>
            <wp:extent cx="651764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720"/>
            <w:col w:w="7900"/>
          </w:cols>
          <w:pgMar w:left="240" w:top="914" w:right="27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14" w:right="2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$1.3 million, or 35.5%, from the three months ended March 31, 2014 compared to the three months ended March 31, 2015. This was primarily due to increases in personnel costs, rent and utilities, R&amp;D work orders and project costs related to WDM-PON products, 40G and 100G data center products and other new product development, and increase in depreciation expense resulting from additional R&amp;D equipment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$0.2 million, or 17.0%, from the three months ended March 31, 2014 compared to the three months ended March 31, 2015. This was due to an increase in personnel costs from additional sales and marketing staff to better serve our customers, expenses for a new sales incentive program and an increase in sales commissions directly related to our revenue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$1.4 million, or 40.8%, from the three months ended March 31, 2014 compared to the three months ended March 31, 2015. This was primarily due to an increase in payroll and benefits, share-based compensation expense and professional fees as well as non-recurring expenses related to the relocation of our Taiwan plant.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9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EEEEEE"/>
          </w:tcPr>
          <w:p>
            <w:pPr>
              <w:spacing w:after="0"/>
              <w:rPr>
                <w:sz w:val="18"/>
                <w:szCs w:val="18"/>
                <w:color w:val="auto"/>
              </w:rPr>
            </w:pP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9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(2663.0%)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(682.7%</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decreased over the same prior year periods due to lower cash and investment balances.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decreased overall for the periods due to the benefit of lower interest rates as well as lower loan balances.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$0.7 million from the three months ended March 31, 2014 compared to the three months ended March 31, 2015 due to unrealized foreign exchange gain resulting from the appreciation of Asia currencies against the U.S. dollar compared to the same prior year period. We qualify as a high-tech enterprise in China, as determined by the Chinese government, and are paid subsidies from time to time by the Chinese government to foster local high-tech manufacturing. We received $0.1 million more subsidy in the three months ended March 31, 2015 as compared to the same period in 2014.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72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EEEEEE"/>
          </w:tcPr>
          <w:p>
            <w:pPr>
              <w:jc w:val="right"/>
              <w:ind w:right="590"/>
              <w:spacing w:after="0"/>
              <w:rPr>
                <w:sz w:val="20"/>
                <w:szCs w:val="20"/>
                <w:color w:val="auto"/>
              </w:rPr>
            </w:pPr>
            <w:r>
              <w:rPr>
                <w:rFonts w:ascii="Times New Roman" w:cs="Times New Roman" w:eastAsia="Times New Roman" w:hAnsi="Times New Roman"/>
                <w:sz w:val="18"/>
                <w:szCs w:val="18"/>
                <w:color w:val="auto"/>
              </w:rPr>
              <w:t>25</w:t>
            </w:r>
          </w:p>
        </w:tc>
        <w:tc>
          <w:tcPr>
            <w:tcW w:w="1660" w:type="dxa"/>
            <w:vAlign w:val="bottom"/>
            <w:shd w:val="clear" w:color="auto" w:fill="EEEEEE"/>
          </w:tcPr>
          <w:p>
            <w:pPr>
              <w:jc w:val="right"/>
              <w:ind w:right="570"/>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income tax expense for the three months ended March 31, 2014 consists of U.S. alternative minimum tax recorded during the periods. Due to historic losses in the U.S., our net deferred tax assets are fully offset by a deferred tax valuation allowance.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From inception until our initial public offering, we financed our operations through private sales of equity securities, cash generated from operations and from various lending arrangements. On October 1, 2013, we completed our initial public offering, in which we issued and sold 3.6 million shares of our common stock at a public offering price of $10.00 per share, providing proceeds of $31.5 million, net of underwriting discounts and commissions and offering expenses. On March 25, 2014, we completed a secondary offering, in which we issued and sold 1.6 million shares of our common stock at an offering price of $24.25 per share, and on March 28, 2014, we sold an additional 0.4 million shares as a result of the underwriters’ exercise of their option to purchase additional shares, providing proceeds of $45.7 million, net of underwriting discounts and commissions and offering expenses. As of March 31, 2015, our cash, cash equivalents, restricted cash and short-term investments totaled $28.1 million. Cash and cash equivalents are held for working capital purposes and are invested primarily in money market or time deposit funds. We do not enter into investments for trading or speculative purposes.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selected cash flow data for the periods presented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2014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(13,798)</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(16,407)</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(8,708)</w:t>
            </w: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40,030</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(22,266</w:t>
            </w:r>
          </w:p>
        </w:tc>
        <w:tc>
          <w:tcPr>
            <w:tcW w:w="180" w:type="dxa"/>
            <w:vAlign w:val="bottom"/>
            <w:tcBorders>
              <w:top w:val="single" w:sz="8" w:color="EEEEEE"/>
              <w:bottom w:val="single" w:sz="8" w:color="EEEEEE"/>
            </w:tcBorders>
            <w:shd w:val="clear" w:color="auto" w:fill="EEEEEE"/>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30,405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2015, net cash used in operating activities was $14.0 million. During the three months ended March 31, 2015, we recorded a net loss of $0.7 million. The net loss incorporated non-cash charges, including depreciation and amortization of $2.0 million, share-based compensation expenses of $0.5 million and non-cash increases to our inventory reserve account of $0.6 million. Cash used in operating activities primarily related to an increase in inventory related to sales orders, a decrease in accounts payable to our vendors and an increase in prepaid and other current assets.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2014, net cash used in operating activities was $1.0 million. During the three months ended March 31, 2014, we recorded a $0.1 million net income. The net income incorporated non-cash charges, including depreciation and amortization of $1.2 million, share-based compensation expenses of $0.5 million and non-cash increases to our inventory reserve account of $0.3 million. Cash used in operating activities primarily related to an increase in accounts payable and an increase in accrued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net cash used in investing activities was $6.0 million for the purchase of additional machinery and equipment, for investment in construction of our U.S. plant expansion, offset by a decrease in deferred charges.</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net cash used in investing activities was $8.7 million for the purchase of additional machinery and equipment and the payment for intellectual property licenses to support new product development efforts and manufacturing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Our financing activities consisted primarily of proceeds from the issuance of common stock and activity associated with our various lending arrangements.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our financing activities used $0.8 million in cash. We repaid $8.9 million in net borrowings associated with our bank loans and increased restricted cash of $9.5 million related to our U.S. plant expansion project and bank loan requirements.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our financing activities provided $40.0 million in cash. We received $45.7 million in net proceeds from a secondary offering of common stock. This increase was offset by the repayment of $5.7 million in net borrowings associated with our bank loans.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3"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a revolving line of credit and a term loan with East West Bank in the U.S., lines of credit and financing agreements for our Taiwan location and several lines of credit arrangements for our China subsidiary. As of March 31, 2015, we had $32.1 million of unused borrowing capacity.</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March 31, 2015, our loan and security agreement in the U.S. with East West Bank included a $15.0 million revolving line of credit which matures on July 15, 2017. Also included with the same bank is a term loan of up to $5.0 million with monthly payments of principal and interest that matures on July 31, 2019. The interest rate on these loans is the LIBOR Borrowing Rate plus 2.75%. As of March 31, 2015, we had $15.0 million outstanding under the revolving line of credit and $4.9 million outstanding under the term loan.</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January 26, 2015, we entered into a construction loan agreement with East West Bank for up to $22.0 million dollars to finance the construction of our campus expansion plan in Sugar Land, Texas.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We may pay without penalty all or a portion of the amount owed earlier than due. Under the loan agreement, the loan bears interest, at an annual rate based on the one-month LIBOR Borrowing Rate plus 2.75%. As of March 31, there were no amounts outstanding under this loan agreement.</w:t>
      </w:r>
    </w:p>
    <w:p>
      <w:pPr>
        <w:spacing w:after="0" w:line="18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loan and security agreements with East West Bank require us to maintain certain financial covenants, including a minimum current ratio and minimum annual EBITDA. As of March 31, 2015, we were in compliance with all covenants contained in these agreements.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January 6, 2015, our Taiwan location entered into a Credit Facility with CTBC Bank Co. Ltd. in Taipei, Taiwan for 90.0 million New Taiwan dollar ($3.0 million USD), one year revolving credit facility. Our obligations under the Credit Facility are unsecured. Borrowings under the Credit Facility will bear interest at a rate based on the Bank’s corporate interest rate index plus 1.5%, adjusted monthly. As of the execution of the Credit Facility the Bank’s corporate interest rate swap index is 0.91%. As of March 31, 2015, $2.8 million was outstanding under this credit facility.</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March 9, 2015, our Taiwan location renewed its $4.0 million, one year revolving credit facility agreement, originally dated December 31, 2013, with E. Sun Commercial Bank. Our obligations under the credit facility are secured by our $4.0 million cash deposit in a one-year CD with such bank and mature on February 6, 2016. The revolving line of credit bears interest at a rate equal to 1.78% for New Taiwan Dollar borrowings and LIBOR plus 2.0% and a 0.10% service fee for U.S. dollar borrowings. As of March 31, 2015, $3.6 million was outstanding under this credit facility.</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March 9, 2015, our Taiwan location entered into an additional credit facility agreement with E. Sun Commercial Bank for a $3.0 million, one year revolving, unsecured credit facility, maturing on February 6, 2016. Borrowings under this credit facility will bear interest at a rate not less than the LIBOR borrowing rate plus 1.7%, divided by 0.946, and will also incur a 0.5% service fee. As of March 31, 2015, there are $2.4 million outstanding under this credit facility.</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25, 2015, our Taiwan location renewed its $4.0 million, one year revolving credit facility agreement, originally dated December 31, 2013, with Mega International Commercial Bank. Our obligations under the credit facility are secured by our $4.0 million cash deposit in a one-year CD with such bank and mature on November 27, 2015. Borrowings under this credit facility will bear interest at a rate not less than the LIBOR borrowing rate plus 1.0%, divided by 0.946 for U.S. dollar borrowings, New Taiwan dollar borrowings interest will bear at a rate equal to the Bank’s base lending rate plus 0.76% and all other currency borrowings interest will bear at a rate equal to the Bank’s base lending rate plus 1.0% divided by 0.946. The current Bank base lending rate is 2.875%. As of March 31, 2015, $3.6 million was outstanding under this credit facility.</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1, 2015, our Taiwan location entered into a comprehensive credit line agreement with the Taipei branch of China Construction Bank, providing a revolving credit line of $10 million, maturing on April 1, 2016. Borrowings under the credit line agreement are secured by a standby letter of credit issued by the China branch of the bank under existing agreements between the bank and our China subsidiary. Borrowings under the credit line agreement reduce the amounts available under of the existing credit line between the bank and our China subsidiary and cannot exceed 97% of the amount of the standby letter of credit issued by the China branch of the bank. Borrowings under the credit line agreement will bear interest at a rate not less than LIBOR plus 1.5% for US dollar borrowings and at a rate of not less than Taiwan Interbank Offered Rate plus 0.9% for New Taiwan dollar borrowings.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5" w:right="29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Our Taiwan location had an outstanding note payable balance of $0.3 million with a financing company that matures on July 31, 2015.</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March 31, 2015, our China subsidiary had credit facilities with China Construction Bank totaling $10.4 million, one line is U.S. currency based and the other is RMB currency based. As of March 31, 2015, we had a U.S. currency based loan of $2.6 million outstanding under various notes with three-month terms, maturing from April 2015 to May 2015. There was $2.4 million outstanding under the RMB currency based credit facility as of March 31, 2015, with a maturity date of March 17, 2016.</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 As of March 31, 2015, our restricted cash related to these bank acceptance notes totaled $0.4 million, and our outstanding bank acceptance notes payable was $1.4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flows from our operating activities,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The sale of additional equity or debt security could result in additional dilution to our stockholders, and its terms and prices may not be acceptable to us. If we are unable to raise additional capital when desired, our business, operating results and financial condition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March 31, 2015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Less than 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100" w:type="dxa"/>
            <w:vAlign w:val="bottom"/>
            <w:gridSpan w:val="2"/>
          </w:tcPr>
          <w:p>
            <w:pPr>
              <w:spacing w:after="0"/>
              <w:rPr>
                <w:sz w:val="16"/>
                <w:szCs w:val="16"/>
                <w:color w:val="auto"/>
              </w:rPr>
            </w:pPr>
          </w:p>
        </w:tc>
      </w:tr>
      <w:tr>
        <w:trPr>
          <w:trHeight w:val="238"/>
        </w:trPr>
        <w:tc>
          <w:tcPr>
            <w:tcW w:w="41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0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0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Borders>
              <w:bottom w:val="single" w:sz="8" w:color="EEEEEE"/>
            </w:tcBorders>
            <w:gridSpan w:val="2"/>
          </w:tcPr>
          <w:p>
            <w:pPr>
              <w:spacing w:after="0"/>
              <w:rPr>
                <w:sz w:val="20"/>
                <w:szCs w:val="20"/>
                <w:color w:val="auto"/>
              </w:rPr>
            </w:pPr>
          </w:p>
        </w:tc>
      </w:tr>
      <w:tr>
        <w:trPr>
          <w:trHeight w:val="291"/>
        </w:trPr>
        <w:tc>
          <w:tcPr>
            <w:tcW w:w="4120" w:type="dxa"/>
            <w:vAlign w:val="bottom"/>
            <w:shd w:val="clear" w:color="auto" w:fill="EEEEEE"/>
          </w:tcPr>
          <w:p>
            <w:pPr>
              <w:spacing w:after="0" w:line="291" w:lineRule="exact"/>
              <w:rPr>
                <w:sz w:val="20"/>
                <w:szCs w:val="20"/>
                <w:color w:val="auto"/>
              </w:rPr>
            </w:pPr>
            <w:r>
              <w:rPr>
                <w:rFonts w:ascii="Times New Roman" w:cs="Times New Roman" w:eastAsia="Times New Roman" w:hAnsi="Times New Roman"/>
                <w:sz w:val="18"/>
                <w:szCs w:val="18"/>
                <w:color w:val="auto"/>
              </w:rPr>
              <w:t>Bank acceptance payable and long-term debt</w:t>
            </w:r>
            <w:r>
              <w:rPr>
                <w:rFonts w:ascii="Times New Roman" w:cs="Times New Roman" w:eastAsia="Times New Roman" w:hAnsi="Times New Roman"/>
                <w:sz w:val="30"/>
                <w:szCs w:val="30"/>
                <w:color w:val="auto"/>
                <w:vertAlign w:val="superscript"/>
              </w:rPr>
              <w:t>(1)</w:t>
            </w: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38,939</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20,166</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17,358</w:t>
            </w:r>
          </w:p>
        </w:tc>
        <w:tc>
          <w:tcPr>
            <w:tcW w:w="2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shd w:val="clear" w:color="auto" w:fill="EEEEEE"/>
          </w:tcPr>
          <w:p>
            <w:pPr>
              <w:spacing w:after="0"/>
              <w:rPr>
                <w:sz w:val="24"/>
                <w:szCs w:val="24"/>
                <w:color w:val="auto"/>
              </w:rPr>
            </w:pPr>
          </w:p>
        </w:tc>
        <w:tc>
          <w:tcPr>
            <w:tcW w:w="114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80" w:type="dxa"/>
            <w:vAlign w:val="bottom"/>
            <w:shd w:val="clear" w:color="auto" w:fill="EEEEEE"/>
          </w:tcPr>
          <w:p>
            <w:pPr>
              <w:spacing w:after="0"/>
              <w:rPr>
                <w:sz w:val="24"/>
                <w:szCs w:val="24"/>
                <w:color w:val="auto"/>
              </w:rPr>
            </w:pPr>
          </w:p>
        </w:tc>
      </w:tr>
      <w:tr>
        <w:trPr>
          <w:trHeight w:val="324"/>
        </w:trPr>
        <w:tc>
          <w:tcPr>
            <w:tcW w:w="412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30"/>
                <w:szCs w:val="30"/>
                <w:color w:val="auto"/>
                <w:vertAlign w:val="superscript"/>
              </w:rPr>
              <w:t>(2)</w:t>
            </w:r>
          </w:p>
        </w:tc>
        <w:tc>
          <w:tcPr>
            <w:tcW w:w="28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14,225</w:t>
            </w:r>
          </w:p>
        </w:tc>
        <w:tc>
          <w:tcPr>
            <w:tcW w:w="14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9,735</w:t>
            </w:r>
          </w:p>
        </w:tc>
        <w:tc>
          <w:tcPr>
            <w:tcW w:w="80" w:type="dxa"/>
            <w:vAlign w:val="bottom"/>
          </w:tcPr>
          <w:p>
            <w:pPr>
              <w:spacing w:after="0"/>
              <w:rPr>
                <w:sz w:val="24"/>
                <w:szCs w:val="24"/>
                <w:color w:val="auto"/>
              </w:rPr>
            </w:pPr>
          </w:p>
        </w:tc>
      </w:tr>
      <w:tr>
        <w:trPr>
          <w:trHeight w:val="264"/>
        </w:trPr>
        <w:tc>
          <w:tcPr>
            <w:tcW w:w="4120" w:type="dxa"/>
            <w:vAlign w:val="bottom"/>
            <w:tcBorders>
              <w:top w:val="single" w:sz="8" w:color="EEEEEE"/>
            </w:tcBorders>
            <w:shd w:val="clear" w:color="auto" w:fill="EEEEEE"/>
          </w:tcPr>
          <w:p>
            <w:pPr>
              <w:spacing w:after="0"/>
              <w:rPr>
                <w:sz w:val="22"/>
                <w:szCs w:val="22"/>
                <w:color w:val="auto"/>
              </w:rPr>
            </w:pPr>
          </w:p>
        </w:tc>
        <w:tc>
          <w:tcPr>
            <w:tcW w:w="280" w:type="dxa"/>
            <w:vAlign w:val="bottom"/>
            <w:tcBorders>
              <w:top w:val="single" w:sz="8" w:color="auto"/>
            </w:tcBorders>
            <w:shd w:val="clear" w:color="auto" w:fill="EEEEEE"/>
          </w:tcPr>
          <w:p>
            <w:pPr>
              <w:spacing w:after="0"/>
              <w:rPr>
                <w:sz w:val="22"/>
                <w:szCs w:val="22"/>
                <w:color w:val="auto"/>
              </w:rPr>
            </w:pPr>
          </w:p>
        </w:tc>
        <w:tc>
          <w:tcPr>
            <w:tcW w:w="1000" w:type="dxa"/>
            <w:vAlign w:val="bottom"/>
            <w:tcBorders>
              <w:top w:val="single" w:sz="8" w:color="auto"/>
            </w:tcBorders>
            <w:shd w:val="clear" w:color="auto" w:fill="EEEEEE"/>
          </w:tcPr>
          <w:p>
            <w:pPr>
              <w:spacing w:after="0"/>
              <w:rPr>
                <w:sz w:val="22"/>
                <w:szCs w:val="22"/>
                <w:color w:val="auto"/>
              </w:rPr>
            </w:pPr>
          </w:p>
        </w:tc>
        <w:tc>
          <w:tcPr>
            <w:tcW w:w="240" w:type="dxa"/>
            <w:vAlign w:val="bottom"/>
            <w:tcBorders>
              <w:top w:val="single" w:sz="8" w:color="EEEEEE"/>
            </w:tcBorders>
            <w:shd w:val="clear" w:color="auto" w:fill="EEEEEE"/>
          </w:tcPr>
          <w:p>
            <w:pPr>
              <w:spacing w:after="0"/>
              <w:rPr>
                <w:sz w:val="22"/>
                <w:szCs w:val="22"/>
                <w:color w:val="auto"/>
              </w:rPr>
            </w:pPr>
          </w:p>
        </w:tc>
        <w:tc>
          <w:tcPr>
            <w:tcW w:w="140" w:type="dxa"/>
            <w:vAlign w:val="bottom"/>
            <w:tcBorders>
              <w:top w:val="single" w:sz="8" w:color="auto"/>
            </w:tcBorders>
            <w:shd w:val="clear" w:color="auto" w:fill="EEEEEE"/>
          </w:tcPr>
          <w:p>
            <w:pPr>
              <w:spacing w:after="0"/>
              <w:rPr>
                <w:sz w:val="22"/>
                <w:szCs w:val="22"/>
                <w:color w:val="auto"/>
              </w:rPr>
            </w:pPr>
          </w:p>
        </w:tc>
        <w:tc>
          <w:tcPr>
            <w:tcW w:w="1120" w:type="dxa"/>
            <w:vAlign w:val="bottom"/>
            <w:tcBorders>
              <w:top w:val="single" w:sz="8" w:color="auto"/>
            </w:tcBorders>
            <w:shd w:val="clear" w:color="auto" w:fill="EEEEEE"/>
          </w:tcPr>
          <w:p>
            <w:pPr>
              <w:spacing w:after="0"/>
              <w:rPr>
                <w:sz w:val="22"/>
                <w:szCs w:val="22"/>
                <w:color w:val="auto"/>
              </w:rPr>
            </w:pPr>
          </w:p>
        </w:tc>
        <w:tc>
          <w:tcPr>
            <w:tcW w:w="260" w:type="dxa"/>
            <w:vAlign w:val="bottom"/>
            <w:tcBorders>
              <w:top w:val="single" w:sz="8" w:color="EEEEEE"/>
            </w:tcBorders>
            <w:shd w:val="clear" w:color="auto" w:fill="EEEEEE"/>
          </w:tcPr>
          <w:p>
            <w:pPr>
              <w:spacing w:after="0"/>
              <w:rPr>
                <w:sz w:val="22"/>
                <w:szCs w:val="22"/>
                <w:color w:val="auto"/>
              </w:rPr>
            </w:pPr>
          </w:p>
        </w:tc>
        <w:tc>
          <w:tcPr>
            <w:tcW w:w="160" w:type="dxa"/>
            <w:vAlign w:val="bottom"/>
            <w:tcBorders>
              <w:top w:val="single" w:sz="8" w:color="auto"/>
            </w:tcBorders>
            <w:shd w:val="clear" w:color="auto" w:fill="EEEEEE"/>
          </w:tcPr>
          <w:p>
            <w:pPr>
              <w:spacing w:after="0"/>
              <w:rPr>
                <w:sz w:val="22"/>
                <w:szCs w:val="22"/>
                <w:color w:val="auto"/>
              </w:rPr>
            </w:pPr>
          </w:p>
        </w:tc>
        <w:tc>
          <w:tcPr>
            <w:tcW w:w="1080" w:type="dxa"/>
            <w:vAlign w:val="bottom"/>
            <w:tcBorders>
              <w:top w:val="single" w:sz="8" w:color="auto"/>
            </w:tcBorders>
            <w:shd w:val="clear" w:color="auto" w:fill="EEEEEE"/>
          </w:tcPr>
          <w:p>
            <w:pPr>
              <w:spacing w:after="0"/>
              <w:rPr>
                <w:sz w:val="22"/>
                <w:szCs w:val="22"/>
                <w:color w:val="auto"/>
              </w:rPr>
            </w:pPr>
          </w:p>
        </w:tc>
        <w:tc>
          <w:tcPr>
            <w:tcW w:w="100" w:type="dxa"/>
            <w:vAlign w:val="bottom"/>
            <w:tcBorders>
              <w:top w:val="single" w:sz="8" w:color="EEEEEE"/>
            </w:tcBorders>
            <w:shd w:val="clear" w:color="auto" w:fill="EEEEEE"/>
          </w:tcPr>
          <w:p>
            <w:pPr>
              <w:spacing w:after="0"/>
              <w:rPr>
                <w:sz w:val="22"/>
                <w:szCs w:val="22"/>
                <w:color w:val="auto"/>
              </w:rPr>
            </w:pPr>
          </w:p>
        </w:tc>
        <w:tc>
          <w:tcPr>
            <w:tcW w:w="120" w:type="dxa"/>
            <w:vAlign w:val="bottom"/>
            <w:tcBorders>
              <w:top w:val="single" w:sz="8" w:color="EEEEEE"/>
            </w:tcBorders>
            <w:shd w:val="clear" w:color="auto" w:fill="EEEEEE"/>
          </w:tcPr>
          <w:p>
            <w:pPr>
              <w:spacing w:after="0"/>
              <w:rPr>
                <w:sz w:val="22"/>
                <w:szCs w:val="22"/>
                <w:color w:val="auto"/>
              </w:rPr>
            </w:pPr>
          </w:p>
        </w:tc>
        <w:tc>
          <w:tcPr>
            <w:tcW w:w="160" w:type="dxa"/>
            <w:vAlign w:val="bottom"/>
            <w:tcBorders>
              <w:top w:val="single" w:sz="8" w:color="auto"/>
            </w:tcBorders>
            <w:shd w:val="clear" w:color="auto" w:fill="EEEEEE"/>
          </w:tcPr>
          <w:p>
            <w:pPr>
              <w:spacing w:after="0"/>
              <w:rPr>
                <w:sz w:val="22"/>
                <w:szCs w:val="22"/>
                <w:color w:val="auto"/>
              </w:rPr>
            </w:pPr>
          </w:p>
        </w:tc>
        <w:tc>
          <w:tcPr>
            <w:tcW w:w="1080" w:type="dxa"/>
            <w:vAlign w:val="bottom"/>
            <w:tcBorders>
              <w:top w:val="single" w:sz="8" w:color="auto"/>
            </w:tcBorders>
            <w:shd w:val="clear" w:color="auto" w:fill="EEEEEE"/>
          </w:tcPr>
          <w:p>
            <w:pPr>
              <w:spacing w:after="0"/>
              <w:rPr>
                <w:sz w:val="22"/>
                <w:szCs w:val="22"/>
                <w:color w:val="auto"/>
              </w:rPr>
            </w:pPr>
          </w:p>
        </w:tc>
        <w:tc>
          <w:tcPr>
            <w:tcW w:w="200" w:type="dxa"/>
            <w:vAlign w:val="bottom"/>
            <w:tcBorders>
              <w:top w:val="single" w:sz="8" w:color="EEEEEE"/>
            </w:tcBorders>
            <w:shd w:val="clear" w:color="auto" w:fill="EEEEEE"/>
          </w:tcPr>
          <w:p>
            <w:pPr>
              <w:spacing w:after="0"/>
              <w:rPr>
                <w:sz w:val="22"/>
                <w:szCs w:val="22"/>
                <w:color w:val="auto"/>
              </w:rPr>
            </w:pPr>
          </w:p>
        </w:tc>
        <w:tc>
          <w:tcPr>
            <w:tcW w:w="120" w:type="dxa"/>
            <w:vAlign w:val="bottom"/>
            <w:tcBorders>
              <w:top w:val="single" w:sz="8" w:color="auto"/>
            </w:tcBorders>
            <w:shd w:val="clear" w:color="auto" w:fill="EEEEEE"/>
          </w:tcPr>
          <w:p>
            <w:pPr>
              <w:spacing w:after="0"/>
              <w:rPr>
                <w:sz w:val="22"/>
                <w:szCs w:val="22"/>
                <w:color w:val="auto"/>
              </w:rPr>
            </w:pPr>
          </w:p>
        </w:tc>
        <w:tc>
          <w:tcPr>
            <w:tcW w:w="1140" w:type="dxa"/>
            <w:vAlign w:val="bottom"/>
            <w:tcBorders>
              <w:top w:val="single" w:sz="8" w:color="auto"/>
            </w:tcBorders>
            <w:shd w:val="clear" w:color="auto" w:fill="EEEEEE"/>
          </w:tcPr>
          <w:p>
            <w:pPr>
              <w:spacing w:after="0"/>
              <w:rPr>
                <w:sz w:val="22"/>
                <w:szCs w:val="22"/>
                <w:color w:val="auto"/>
              </w:rPr>
            </w:pPr>
          </w:p>
        </w:tc>
        <w:tc>
          <w:tcPr>
            <w:tcW w:w="20" w:type="dxa"/>
            <w:vAlign w:val="bottom"/>
            <w:tcBorders>
              <w:top w:val="single" w:sz="8" w:color="EEEEEE"/>
            </w:tcBorders>
            <w:shd w:val="clear" w:color="auto" w:fill="EEEEEE"/>
          </w:tcPr>
          <w:p>
            <w:pPr>
              <w:spacing w:after="0"/>
              <w:rPr>
                <w:sz w:val="22"/>
                <w:szCs w:val="22"/>
                <w:color w:val="auto"/>
              </w:rPr>
            </w:pPr>
          </w:p>
        </w:tc>
        <w:tc>
          <w:tcPr>
            <w:tcW w:w="80" w:type="dxa"/>
            <w:vAlign w:val="bottom"/>
            <w:tcBorders>
              <w:top w:val="single" w:sz="8" w:color="EEEEEE"/>
            </w:tcBorders>
            <w:shd w:val="clear" w:color="auto" w:fill="EEEEEE"/>
          </w:tcPr>
          <w:p>
            <w:pPr>
              <w:spacing w:after="0"/>
              <w:rPr>
                <w:sz w:val="22"/>
                <w:szCs w:val="22"/>
                <w:color w:val="auto"/>
              </w:rPr>
            </w:pPr>
          </w:p>
        </w:tc>
      </w:tr>
      <w:tr>
        <w:trPr>
          <w:trHeight w:val="29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53,164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21,082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9,735</w:t>
            </w:r>
          </w:p>
        </w:tc>
        <w:tc>
          <w:tcPr>
            <w:tcW w:w="8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right="280" w:hanging="352"/>
        <w:spacing w:after="0" w:line="261"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several loan and security agreements in China, Taiwan and the U.S. that provide various credit facilities, including lines of credit, term loans and bank acceptance notes. The amount presented in the table represents the principal portion of the obligations.</w:t>
      </w: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various non-cancellable operating lease agreements for our offices in Taiwan and the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2015, we did not, and we do not currently, have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2014, we identified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76"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following the fifth anniversary of the date of its initial public offering of common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in which it has annual gross revenue of $1.0 billion or more;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during the previous three-year period, issued more than $1.0 billion in non-convertible debt; and</w:t>
      </w:r>
    </w:p>
    <w:p>
      <w:pPr>
        <w:spacing w:after="0" w:line="225" w:lineRule="exact"/>
        <w:rPr>
          <w:rFonts w:ascii="Times New Roman" w:cs="Times New Roman" w:eastAsia="Times New Roman" w:hAnsi="Times New Roman"/>
          <w:sz w:val="18"/>
          <w:szCs w:val="18"/>
          <w:color w:val="auto"/>
        </w:rPr>
      </w:pPr>
    </w:p>
    <w:p>
      <w:pPr>
        <w:ind w:left="980" w:right="2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deemed to be a “large accelerated filer,” which will occur at such time as the company (a)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this definition, we are an “emerging growth company” and could remain one until as late as December 31, 2018.</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statements through adverse changes in interest rates, foreign exchange rates and inflation. Our market risk exposure results primarily from fluctuations in foreign exchange rates. We manage our exposure to these market risks through our regular operating and financing activities. We have not historically attempted to reduce our market risks through hedging instruments; we may, however, do so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4" w:name="page25"/>
    <w:bookmarkEnd w:id="24"/>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 due to the possibility of changing interest rates associated with certain debt instruments. As of March 31, 2015, our U.S. debt bears a variable rate of interest that is based on LIBOR. The debt subject to variable rates is subject to fluctuation in the LIBOR. As of March 31, 2015, the interest on our China debt varied based on when each term loan is drawn. Once drawn the interest remains fixed for the term of that draw. As of March 31, 2015, we had not hedged our interest rate risk.</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our interest expense for the three months ended March 31, 2015, an increase of 1.0% in each of our interest rates would have resulted in an increase of $0.4 million in our interest expense for such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because we have revenue and expenses in each of these foreign currencies. We maintain certain assets, including certain bank accounts, accounts receivables, land and building, in RMB and the NT dollar, which are sensitive to foreign currency exchange rate fluctuations. Certain of our current and long-term liabilities are denominated in these currencies. Additionally, the value of the RMB against the U.S. dollar and other currencies fluctuates and is affected by, among other things, changes in political and economic conditions in China. Under China’s current exchange rate regime, the RMB may appreciate or depreciate significantly in value against the U.S. dollar in the medium to long term.</w:t>
      </w:r>
    </w:p>
    <w:p>
      <w:pPr>
        <w:spacing w:after="0" w:line="185"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7"/>
          <w:szCs w:val="17"/>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w:t>
      </w:r>
    </w:p>
    <w:p>
      <w:pPr>
        <w:spacing w:after="0" w:line="17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2015, 4.1% of our revenue was denominated in RMB and no revenue was denominated in NT dollars. In the three months ended March 31, 2015, 15.8% of our operating expenses were denominated in RMB and 33.3% of our operating expenses were denominated in NT dollars. Accordingly, fluctuations in exchange rates directly affect our cost of goods sold and net income, and have a significant impact on our operating margins. If exchange rates for RMB and NT dollars for U.S. dollars were 1% higher during the three months ended March 31, 2015, our operating expenses would have been higher by $0.1 million.</w:t>
      </w:r>
    </w:p>
    <w:p>
      <w:pPr>
        <w:spacing w:after="0" w:line="18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2015, we held the U.S. dollar equivalent of approximately $10.2 million in RMB and $0.8 million in NT dollars, including cash and cash equivalents. With respect to our cash and cash equivalents as of March 31, 2015, a 1.0% change in the exchange rates between the RMB and the U.S. dollar or the NT dollar and the U.S. dollar would result in an immaterial change in our total cash and cash equivalents.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2015 and 2014, we recognized a $0.4 million foreign currency transaction gain.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relatively low rate of inflation in the U.S. over the past few years has not had a significant impact on our sales or operating results or on the prices of raw materials. However, an increase in the rate of inflation in the future may have an adverse effect on our levels of gross profit if material prices rise and if sales prices for our products do not proportionately increase. Changes in the proportion of our operations in China or Taiwan may result in the rate of inflation having a more significant impact on our operating results in the future.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management, including our Chief Executive Officer and Chief Financial Officer, of the effectiveness of the design and operation of the disclosure controls and procedures as of March 31, 2015, the end of the period covered by this report.</w:t>
      </w:r>
    </w:p>
    <w:p>
      <w:pPr>
        <w:spacing w:after="0" w:line="176"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As noted below, management is responsible for establishing and maintaining adequate internal control over financial reporting. Due to a clerical error, however, certain clauses in the certifications required by Section 302 of the Sarbanes-Oxley Act of 2002 relating to designing, establishing and maintaining internal control over financial reporting were inadvertently omitted. As a result of this clerical error, our Chief Executive Officer and Chief Financial Officer conclude that our disclosure controls and procedures were not effective at the reasonable assurance level at March 31, 2015.</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has implemented form requirement checks and additional pre-filing review controls, effective immediately, to ensure the effectiveness of our disclosure controls and procedures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2015, we were not involved in any material pending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and all other information contained in this Quarterly Report on Form 10-Q, including our condensed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Our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generate much of our revenue from a limited number of customers. In 2014, 2013 and 2012 and the three months ended March 31, 2015, our top ten customers represented 87.2%, 76.9%, 77.6% and 90.5% of our revenue, respectively. In 2014, Amazon represented 45.8% of our revenue, Cisco Systems, Inc. represented 8.9% of our revenue and a leading internet service provider represented 6.7% of our total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8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customers do not qualify our products for use on a timely basis, our results of operations may suffer.</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is difficult to forecast accurately and, as a result, we may be unable to match production with customer demand.</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markets in which we compete and any future downturn will likely reduce demand for our products and revenue.</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8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0"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product specifications and customer requirements;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engineering complexities;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reallocating engineering resources and overcoming resource limitations;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technology or competitive product requirements.</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8" w:name="page29"/>
    <w:bookmarkEnd w:id="28"/>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CATV market does not continue to develop as we expect, or if there is any downturn in this market, our business would be adversely affected.</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Historically, we have generated much of our revenue from the CATV market. In 2014, 2013 and 2012, the CATV market represented 36.3%, 60.4% and 78.6%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 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9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in the internet data center and FTTH markets, and our business could be harmed if these markets do not develop as we expect.</w:t>
      </w:r>
    </w:p>
    <w:p>
      <w:pPr>
        <w:spacing w:after="0" w:line="159"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For 2014, we generated 49.4% and 10.4% of our revenue from the data center and FTTH markets, respectively. We have only recently begun offering products to the FTTH market. Our business in these markets is dependent on the deployment of our optical components, modules and subassemblies. In the internet data center market, we are relying on the emergence of new internet data center providers and their adoption of open internet data center architectures that use a mix of systems and components from a variety of vendors, including non-traditional equipment vendors. In the FTTH market, we are relying on increasing demand for bandwidth-intensive services and telecommunications service providers’ acceptance and deployment of WDM-PON as a technology supporting 1 gigabit per second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internet data centers may elect to use larger vendors that require internet data center operators to purchase the optical modules for their systems from such larger vendors. Also, internet data centers may not expand as much or as quickly as expected and any slowdown in expansion could adversely impact our business and growth prospects.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we may lose sales and damage our customer relationships.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Molecular Beam Epitaxy, or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costs and shifts in product mix may adversely impact our gross margins.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a high fixed cost base due to our vertically integrated business model, including the fact that 1,206 of our employees as of December 31, 2014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have a substantial accumulated deficit.</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have a history of losses and have a substantial accumulated deficit. In the years ended December 31, 2013 and 2012, we experienced net losses of $1.4 million and $0.9 million, respectively. In 2014, we experienced a profit of $4.3 million. As of December 31, 2014 and 2013, our accumulated deficit was $79.0 million and $83.3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quarter-to-quarter due to a number of factors, which may lead to volatility in our stock price.</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76"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size and mix of sales of our products;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 including the increase, decrease, rescheduling or cancellation of significant customer orders;</w:t>
      </w:r>
    </w:p>
    <w:p>
      <w:pPr>
        <w:spacing w:after="0" w:line="9" w:lineRule="exact"/>
        <w:rPr>
          <w:rFonts w:ascii="Times New Roman" w:cs="Times New Roman" w:eastAsia="Times New Roman" w:hAnsi="Times New Roman"/>
          <w:sz w:val="18"/>
          <w:szCs w:val="18"/>
          <w:color w:val="auto"/>
        </w:rPr>
      </w:pPr>
    </w:p>
    <w:p>
      <w:pPr>
        <w:ind w:left="980" w:right="7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manufacture and deliver products to our customers in a timely and cost-effective manner and that meet customer requirements;</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enhancements by us or our competitors;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key customers;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our present and potential customers and end users adopt our technologies;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 for certain raw materials and components used in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of our outside contract manufacturers for a portion of the manufacturing process for some of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 and variability of the sales cycles of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costs or expenses;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capital expenditure and budget cycles for our customers, affecting the timing of their spending for our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stability in the areas of the world in which we operate;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and unpredictable nature of the markets for products incorporating our solutions;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changes in such conditions specific to our target markets.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30" w:name="page31"/>
    <w:bookmarkEnd w:id="30"/>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negatively impact our results of operations and market share.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to develop and maintain our technology and manage our business in a rapidly changing market.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and any supply interruption could have an adverse effect on our business.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outside contract manufacturers for a portion of the manufacturing process for some of our products.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 were unable or unwilling to manufacture such produce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could contain defects that may cause us to incur significant costs or result in a loss of customers.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our international sales and operations.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 from sales to international customers. In 2014, 2013 and 2012, 29.5%, 41.0% and 55.7%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0"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managing and supporting operations in more than one country;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foreign legal systems;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legal protections for intellectual property in foreign jurisdictions;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taxation issues and international trade barriers;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any necessary governmental authorizations for the export of our products to certain foreign jurisdictions;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economies;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and interest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travel restrictions;</w:t>
      </w:r>
    </w:p>
    <w:p>
      <w:pPr>
        <w:spacing w:after="0" w:line="9" w:lineRule="exact"/>
        <w:rPr>
          <w:rFonts w:ascii="Times New Roman" w:cs="Times New Roman" w:eastAsia="Times New Roman" w:hAnsi="Times New Roman"/>
          <w:sz w:val="18"/>
          <w:szCs w:val="18"/>
          <w:color w:val="auto"/>
        </w:rPr>
      </w:pPr>
    </w:p>
    <w:p>
      <w:pPr>
        <w:ind w:left="980" w:right="6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or political changes, hostilities and other disruptions in regions where we currently operate or may operate in the future;</w:t>
      </w:r>
    </w:p>
    <w:p>
      <w:pPr>
        <w:ind w:left="980" w:right="12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expenses in complying with a variety of U.S. and foreign laws, regulations and trade standards, including the Foreign Corrupt Practices Act; and</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changing legal and regulatory requirements in the jurisdictions in which we currently operate or may operate in the future.</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32" w:name="page33"/>
    <w:bookmarkEnd w:id="32"/>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may adversely affect our financial condition and results of operations.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agreements contain restrictive covenants that may adversely affect our ability to conduct our business.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loan agreements with East West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in the U.S.,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research and development;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manufacturing capabilities;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technical, sales and other personnel;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complementary businesses.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adversely affect our financial condition and results of operations.</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7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acquired business;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liabilities or changes related to research in progress and product development;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our existing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business relationships with suppliers and customers of the acquired business with our existing business relationships;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have little or no prior experience;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organizations.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may be subject to volatility as a result of exposure to fluctuations in currency exchange rates.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4" w:name="page35"/>
    <w:bookmarkEnd w:id="34"/>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could harm our operations.</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88"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claiming infringement a license to the relevant technology, which may not be available on reasonable terms, or at all;</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selling, incorporating or using our products that use the challenged intellectual property;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redesign the products that use the technology and to develop non-infringing technology.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w:t>
      </w:r>
    </w:p>
    <w:p>
      <w:pPr>
        <w:ind w:right="600"/>
        <w:spacing w:after="0" w:line="255" w:lineRule="auto"/>
        <w:rPr>
          <w:sz w:val="20"/>
          <w:szCs w:val="20"/>
          <w:color w:val="auto"/>
        </w:rPr>
      </w:pPr>
      <w:r>
        <w:rPr>
          <w:rFonts w:ascii="Times New Roman" w:cs="Times New Roman" w:eastAsia="Times New Roman" w:hAnsi="Times New Roman"/>
          <w:sz w:val="18"/>
          <w:szCs w:val="18"/>
          <w:color w:val="auto"/>
        </w:rPr>
        <w:t>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6" w:name="page37"/>
    <w:bookmarkEnd w:id="36"/>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may be limited.</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2014, we had U.S. accumulated net operating losses, or NOLs, of approximately $56.5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is limited in dollar amount. As of December 31, 2014, of the total accumulated NOL, only $31.5 million is available for utilization in future periods to offset federal taxable income. Each year after 2014, an additional $0.3 million is added to the total available NOL, until a maximum of $34.9 million is reached.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adversely affect our results of operation and our business.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and increased expenses and business risk as a result of Restriction on Hazardous Substances, or RoHS directives.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could subject us to penalties and other adverse consequences.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standards and regulations could make our products obsolete, which would cause our revenue and results of operations to suffer.</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regulations related to conflict minerals could increase costs and affect the manufacturing and sale of our products.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China</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5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8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and expiration or unavailability of our preferential tax treatments in China may have a material adverse effect on our operating results.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applies to calendar years 2014, 2013 and 2012. We applied for an additional three years of preferential status with the Chinese government in 2014 and received approval as a high-technology enterprise through September 2017. Any future increase in the enterprise income tax rate applicable to us or the expiration or other limitation of preferential tax rates available to us could increase our tax liabilities and reduce our net income.</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 regulation of loans and direct investment by offshore holding companies to China entities may delay or prevent us from making loans or additional capital contributions to our China subsidiary.</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Our China subsidiary is subject to Chinese labor laws and regulations and Chinese labor laws may increase our operating costs in China.</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8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our labor costs in China may adversely affect our business and our profitability.</w:t>
      </w:r>
    </w:p>
    <w:p>
      <w:pPr>
        <w:spacing w:after="0" w:line="22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establishing and maintaining adequate management and financial controls over our China operations.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be volatile.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0" w:name="page41"/>
    <w:bookmarkEnd w:id="4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5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new board committees and adopted new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1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currently do not plan to declare or pay dividends on shares of our common stock in the foreseeable future. In addition, the terms of our loan and security agreement with East West Bank restrict our ability to pay dividends.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5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and</w:t>
      </w:r>
    </w:p>
    <w:p>
      <w:pPr>
        <w:spacing w:after="0" w:line="9" w:lineRule="exact"/>
        <w:rPr>
          <w:rFonts w:ascii="Times New Roman" w:cs="Times New Roman" w:eastAsia="Times New Roman" w:hAnsi="Times New Roman"/>
          <w:sz w:val="18"/>
          <w:szCs w:val="18"/>
          <w:color w:val="auto"/>
        </w:rPr>
      </w:pPr>
    </w:p>
    <w:p>
      <w:pPr>
        <w:ind w:left="980" w:right="280" w:hanging="324"/>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in our stock incentive plans, and the individual stock option agreements, which provide that a change of control may accelerate the vesting of the stock options issued under such plans.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the provisions of Section 203 of the Delaware General Corporate Law governs us.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 Anti-takeover effects of Delaware law.”</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41" w:name="page42"/>
    <w:bookmarkEnd w:id="41"/>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5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5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rules under the Securities Act. We have in this Quarterly Report on Form 10-Q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right="8860" w:hanging="652"/>
        <w:spacing w:after="0" w:line="501" w:lineRule="auto"/>
        <w:tabs>
          <w:tab w:leader="none" w:pos="2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Unregistered Securities None.</w:t>
      </w: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September 25, 2013, our registration statement on Form S-1 (File No. 333-190591) for our initial public offering was declared effective by the Securities and Exchange Commission. The offering commenced on September 26, 2013. We sold 3,600,000 shares of our common stock at a price to the public of $10.00 per share and the transaction was completed on October 1, 2013. Raymond James &amp; Associates, Inc. and Piper Jaffray &amp; Co. were the managing underwriters. We received net proceeds of $31.5 million after deducting underwriting discounts and commissions of $2.5 million and other offering expenses of approximately $2.0 million.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2" w:name="page43"/>
    <w:bookmarkEnd w:id="42"/>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25, 2014, we closed our follow-on public offering of 3,000,000 shares of common stock, at a price of $24.25 per share before underwriting discounts and commissions. We sold 1,575,235 of such shares and existing stockholders sold an aggregate of 1,424,765 of such shares. On March 28, 2014 we sold an additional 450,000 shares as a result of the underwriters’ exercise of their option to purchase additional shares. Raymond James &amp; Associates, Inc. and Piper Jaffray &amp; Co. were the managing underwriters. The follow-on public offering generated net proceeds to us of $45.7 million, after deducting underwriting discounts and commissions of $2.7 million and other offering expenses of approximately $0.8 million. We did not receive any proceeds from the sale of shares by the selling stockholders in the follow-on public offering.</w:t>
      </w:r>
    </w:p>
    <w:p>
      <w:pPr>
        <w:spacing w:after="0" w:line="18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use of proceeds from our initial public offering and our follow-on public offering from that described in our registration statements filed with the SEC. As of December 31, 2014, we have used the entire net proceeds for working capital, the continued expansion of our existing business and general corporate purposes including the repayment of outstanding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on page 44.</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43" w:name="page44"/>
    <w:bookmarkEnd w:id="43"/>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Amendment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506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r>
      <w:tr>
        <w:trPr>
          <w:trHeight w:val="60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2015</w:t>
            </w:r>
          </w:p>
        </w:tc>
        <w:tc>
          <w:tcPr>
            <w:tcW w:w="506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STEFAN J. MURRY</w:t>
            </w:r>
          </w:p>
        </w:tc>
      </w:tr>
      <w:tr>
        <w:trPr>
          <w:trHeight w:val="218"/>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c>
          <w:tcPr>
            <w:tcW w:w="820" w:type="dxa"/>
            <w:vAlign w:val="bottom"/>
          </w:tcPr>
          <w:p>
            <w:pPr>
              <w:spacing w:after="0"/>
              <w:rPr>
                <w:sz w:val="18"/>
                <w:szCs w:val="18"/>
                <w:color w:val="auto"/>
              </w:rPr>
            </w:pPr>
          </w:p>
        </w:tc>
      </w:tr>
      <w:tr>
        <w:trPr>
          <w:trHeight w:val="214"/>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tc>
      </w:tr>
      <w:tr>
        <w:trPr>
          <w:trHeight w:val="236"/>
        </w:trPr>
        <w:tc>
          <w:tcPr>
            <w:tcW w:w="3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874" w:right="919" w:bottom="1440" w:gutter="0" w:footer="0" w:header="0"/>
        </w:sectPr>
      </w:pPr>
    </w:p>
    <w:bookmarkStart w:id="44" w:name="page45"/>
    <w:bookmarkEnd w:id="44"/>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as currently in effect (filed as Exhibit 3.1 to the Registrant’s Quarterly Report on Form</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 filed with the Securities and Exchange Commission on November 14, 2013).</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as currently in effect (filed as Exhibit 3.2 to the Registrant’s Quarterly Report on Form 10-Q filed with the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and Exchange Commission on November 14, 2013).</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Agreement, dated January 6, 2015, between Applied Optoelectronics, Inc. and CTBC Bank Co. Ltd. (filed as Exhibit 10.1 to the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Registrant’s Current Report on Form 8-K filed with the Securities and Exchange Commission on January 12,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Loan Agreement, dated January 26, 2014, between Applied Optoelectronics, Inc. and East West Bank (filed as Exhibit 10.1 to</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Registrant’s Current Report on Form 8-K filed with the Securities and Exchange Commission on January 30,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Commercial Security Agreement, dated January 26, 2014, between Applied Optoelectronics, Inc. and East West Bank (filed as Exhibit 10.2 to</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Registrant’s Current Report on Form 8-K filed with the Securities and Exchange Commission on January 30,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Promissory Note, dated January 26, 2014, between Applied Optoelectronics, Inc. and East West Bank (filed as Exhibit 10.3 to the Registrant’s</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filed with the Securities and Exchange Commission on January 30,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of Chinese form of RMB Working Capital Loan Agreement between the Global Technology Inc. and China Construction Bank –</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line of credit with a China bank up to $12 million (Schedule updated as of March 31, 2015) (filed as Exhibit 10.29 to the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Securities and Exchange Commission on March 5,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of Chinese form of USD Trust Receipt Loan Agreement between Global Technology Inc. and China Construction Bank -</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line of credit with a China bank up to $3.3 million (Schedule updated as of March 31, 2015) (filed as Exhibit 10.30 to the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Securities and Exchange Commission on March 5,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of $4 Million Credit Facility Agreement, dated March 9, 2015, between Applied Optoelectronics, Inc. and E. Sun Commercial</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Co., Ltd. (filed as Exhibit 10.1 to the Registrant’s Current Report on Form 8-K filed with the Securities and Exchange Commission on</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13,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of $3 Million Credit Facility Agreement, dated March 9, 2015, between Applied Optoelectronics, Inc. and E. Sun Commercial</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Co., Ltd. (filed as Exhibit 10.2 to the Registrant’s Current Report on Form 8-K filed with the Securities and Exchange Commission on</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13,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of Loan Approval Notice of E. Sun Commercial Bank Co., Ltd., dated March 12, 2015 (filed as Exhibit 10.3 to the Registrant’s</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filed with the Securities and Exchange Commission on March 13,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Translation of US$4 Million Credit Facility Agreement, dated March 25, 2015, between Applied Optoelectronics, Inc. and Mega International</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Bank Co., Ltd (filed as Exhibit 10.1 to the Registrant’s Current Report on Form 8-K filed with the Securities and Exchange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on March 31,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of Comprehensive Credit Line Contract and General Agreement, dated April 1, 2015, between Applied Optoelectronics, Inc.,</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Taiwan Branch, and China Construction Bank, Taipei Branch (filed as Exhibit 10.1 to the Registrant’s Current Report on Form 8-K filed with</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Securities and Exchange Commission on April 7,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of Approval Notice of China Construction Bank, Taipei Branch (filed as Exhibit 10.2 to the Registrant’s Current Report on Form</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 filed with the Securities and Exchange Commission on April 7,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Exchange Act Rule, 13a-14(a) and 15d-14(a), as adopted pursuant to Section 302 of the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Exchange Act Rule, 13a-14(a) and 15d-14(a), as adopted pursuant to Section 302 of the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Certification pursuant to 18 U.S.C. 1350, adopted pursuant to Section 906 of the Sarbanes-Oxley Act of 2002, by Chief Executive Officer and</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w:t>
      </w:r>
    </w:p>
    <w:p>
      <w:pPr>
        <w:sectPr>
          <w:pgSz w:w="11900" w:h="16861" w:orient="portrait"/>
          <w:cols w:equalWidth="0" w:num="1">
            <w:col w:w="11400"/>
          </w:cols>
          <w:pgMar w:left="240" w:top="873" w:right="259" w:bottom="0" w:gutter="0" w:footer="0" w:header="0"/>
        </w:sectPr>
      </w:pPr>
    </w:p>
    <w:bookmarkStart w:id="45" w:name="page46"/>
    <w:bookmarkEnd w:id="45"/>
    <w:p>
      <w:pPr>
        <w:ind w:left="532" w:hanging="532"/>
        <w:spacing w:after="0"/>
        <w:tabs>
          <w:tab w:leader="none" w:pos="5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rFonts w:ascii="Times New Roman" w:cs="Times New Roman" w:eastAsia="Times New Roman" w:hAnsi="Times New Roman"/>
          <w:sz w:val="18"/>
          <w:szCs w:val="18"/>
          <w:color w:val="auto"/>
        </w:rPr>
      </w:pPr>
    </w:p>
    <w:p>
      <w:pPr>
        <w:jc w:val="both"/>
        <w:ind w:left="532" w:hanging="532"/>
        <w:spacing w:after="0" w:line="266" w:lineRule="auto"/>
        <w:tabs>
          <w:tab w:leader="none" w:pos="5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(Extensible Business Reporting Language) information is furnished and not filed or part of a registration statement or prospectus for purposes of Sections 11 or 12 of the Securities Exchange Act of 1933, as amended, is deemed not filed for purpose of Section 18 of the Securities Exchange Act of 1934, as amended, and is not otherwise subject to liability under these Sections.</w:t>
      </w: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380" w:hanging="237"/>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Applied Optoelectronics, Inc.;</w:t>
      </w:r>
    </w:p>
    <w:p>
      <w:pPr>
        <w:spacing w:after="0" w:line="225"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237"/>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23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40" w:hanging="24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237"/>
        <w:spacing w:after="0" w:line="282"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24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237"/>
        <w:spacing w:after="0" w:line="282"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247"/>
        <w:spacing w:after="0" w:line="282"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18,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CHIH-HSIANG (THOMPSON) 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380" w:hanging="237"/>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Applied Optoelectronics, Inc.;</w:t>
      </w:r>
    </w:p>
    <w:p>
      <w:pPr>
        <w:spacing w:after="0" w:line="225"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20" w:hanging="237"/>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237"/>
        <w:spacing w:after="0" w:line="266"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40" w:hanging="247"/>
        <w:spacing w:after="0" w:line="266"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237"/>
        <w:spacing w:after="0" w:line="282"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247"/>
        <w:spacing w:after="0" w:line="266"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237"/>
        <w:spacing w:after="0" w:line="282"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247"/>
        <w:spacing w:after="0" w:line="282"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18,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STEFAN J. MURRY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76" w:lineRule="exact"/>
        <w:rPr>
          <w:sz w:val="20"/>
          <w:szCs w:val="20"/>
          <w:color w:val="auto"/>
        </w:rPr>
      </w:pPr>
    </w:p>
    <w:p>
      <w:pPr>
        <w:ind w:left="980" w:right="1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10-Q/A for the period ended March 31, 2015, to which this Certification is attached as Exhibit 32.1 (the “Quarterly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the operation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18th day of December,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CHIH-HSIANG (THOMPSON) LIN</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w w:val="97"/>
              </w:rPr>
              <w:t>/s/ STEFAN J. MURRY</w:t>
            </w:r>
          </w:p>
        </w:tc>
      </w:tr>
      <w:tr>
        <w:trPr>
          <w:trHeight w:val="218"/>
        </w:trPr>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tc>
        <w:tc>
          <w:tcPr>
            <w:tcW w:w="282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sectPr>
      <w:pgSz w:w="11900" w:h="16838" w:orient="portrait"/>
      <w:cols w:equalWidth="0" w:num="1">
        <w:col w:w="11360"/>
      </w:cols>
      <w:pgMar w:left="240" w:top="11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28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2019-12-07T21:44:12Z</dcterms:created>
  <dcterms:modified xsi:type="dcterms:W3CDTF">2019-12-07T21:44:12Z</dcterms:modified>
</cp:coreProperties>
</file>