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50930_10q.htm"/>
      <w:bookmarkStart w:id="1" w:name="ksaaoi20250930_10q"/>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60"/>
        <w:gridCol w:w="1820"/>
        <w:gridCol w:w="29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3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November 3, 2025, there w</w:t>
      </w:r>
      <w:r>
        <w:rPr>
          <w:rFonts w:ascii="Times New Roman" w:hAnsi="Times New Roman"/>
          <w:sz w:val="20"/>
          <w:shd w:fill="FFFFFF" w:val="clear"/>
        </w:rPr>
        <w:t>ere 68,278,417 sh</w:t>
      </w:r>
      <w:r>
        <w:rPr>
          <w:rFonts w:ascii="Times New Roman" w:hAnsi="Times New Roman"/>
          <w:sz w:val="20"/>
        </w:rPr>
        <w:t>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32"/>
        <w:gridCol w:w="9162"/>
        <w:gridCol w:w="411"/>
      </w:tblGrid>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2"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September 30, 2025 (Unaudited) and December 31, 2024</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and Nine Months ended September 30, 2025 and 2024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and Nine Months ended September 30, 2025 and 2024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and Nine Months ended September 30, 2025 and 2024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Nine Months ended September 30, 2025 and 2024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8</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9</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62"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21</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62"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29</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62"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29</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2"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29</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62"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29</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pPr>
            <w:r>
              <w:rPr/>
              <w:t>Item 5.</w:t>
            </w:r>
          </w:p>
        </w:tc>
        <w:tc>
          <w:tcPr>
            <w:tcW w:w="9162"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30</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62"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30</w:t>
              </w:r>
            </w:hyperlink>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pPr>
            <w:r>
              <w:rPr/>
              <w:t> </w:t>
            </w:r>
          </w:p>
        </w:tc>
        <w:tc>
          <w:tcPr>
            <w:tcW w:w="9162"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32</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852"/>
        <w:gridCol w:w="60"/>
        <w:gridCol w:w="137"/>
        <w:gridCol w:w="932"/>
        <w:gridCol w:w="80"/>
        <w:gridCol w:w="60"/>
        <w:gridCol w:w="142"/>
        <w:gridCol w:w="859"/>
        <w:gridCol w:w="83"/>
      </w:tblGrid>
      <w:tr>
        <w:trPr/>
        <w:tc>
          <w:tcPr>
            <w:tcW w:w="78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sz w:val="20"/>
              </w:rPr>
            </w:pPr>
            <w:r>
              <w:rPr>
                <w:sz w:val="20"/>
              </w:rPr>
              <w:t>$</w:t>
            </w:r>
          </w:p>
        </w:tc>
        <w:tc>
          <w:tcPr>
            <w:tcW w:w="932" w:type="dxa"/>
            <w:tcBorders/>
            <w:shd w:fill="CCEEFF" w:val="clear"/>
            <w:vAlign w:val="center"/>
          </w:tcPr>
          <w:p>
            <w:pPr>
              <w:pStyle w:val="TableContents"/>
              <w:bidi w:val="0"/>
              <w:spacing w:before="0" w:after="283"/>
              <w:ind w:left="0" w:right="0" w:hanging="0"/>
              <w:jc w:val="right"/>
              <w:rPr>
                <w:sz w:val="20"/>
              </w:rPr>
            </w:pPr>
            <w:r>
              <w:rPr>
                <w:sz w:val="20"/>
              </w:rPr>
              <w:t>136,961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sz w:val="20"/>
              </w:rPr>
            </w:pPr>
            <w:r>
              <w:rPr>
                <w:sz w:val="20"/>
              </w:rPr>
              <w:t>$</w:t>
            </w:r>
          </w:p>
        </w:tc>
        <w:tc>
          <w:tcPr>
            <w:tcW w:w="859" w:type="dxa"/>
            <w:tcBorders/>
            <w:shd w:fill="CCEEFF" w:val="clear"/>
            <w:vAlign w:val="center"/>
          </w:tcPr>
          <w:p>
            <w:pPr>
              <w:pStyle w:val="TableContents"/>
              <w:bidi w:val="0"/>
              <w:spacing w:before="0" w:after="283"/>
              <w:ind w:left="0" w:right="0" w:hanging="0"/>
              <w:jc w:val="right"/>
              <w:rPr>
                <w:sz w:val="20"/>
              </w:rPr>
            </w:pPr>
            <w:r>
              <w:rPr>
                <w:sz w:val="20"/>
              </w:rPr>
              <w:t>67,428</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13,756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11,705</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224,028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116,801</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170,214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88,135</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30,353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17,199</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575,312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301,268</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310,303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219,235</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4,804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4,837</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42,048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9,646</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3,640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3,680</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assets, net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42,421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8,366</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978,528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547,032</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sz w:val="20"/>
              </w:rPr>
            </w:pPr>
            <w:r>
              <w:rPr>
                <w:sz w:val="20"/>
              </w:rPr>
              <w:t>$</w:t>
            </w:r>
          </w:p>
        </w:tc>
        <w:tc>
          <w:tcPr>
            <w:tcW w:w="932" w:type="dxa"/>
            <w:tcBorders/>
            <w:shd w:fill="CCEEFF" w:val="clear"/>
            <w:vAlign w:val="center"/>
          </w:tcPr>
          <w:p>
            <w:pPr>
              <w:pStyle w:val="TableContents"/>
              <w:bidi w:val="0"/>
              <w:spacing w:before="0" w:after="283"/>
              <w:ind w:left="0" w:right="0" w:hanging="0"/>
              <w:jc w:val="right"/>
              <w:rPr>
                <w:sz w:val="20"/>
              </w:rPr>
            </w:pPr>
            <w:r>
              <w:rPr>
                <w:sz w:val="20"/>
              </w:rPr>
              <w:t>150,145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sz w:val="20"/>
              </w:rPr>
            </w:pPr>
            <w:r>
              <w:rPr>
                <w:sz w:val="20"/>
              </w:rPr>
              <w:t>$</w:t>
            </w:r>
          </w:p>
        </w:tc>
        <w:tc>
          <w:tcPr>
            <w:tcW w:w="859" w:type="dxa"/>
            <w:tcBorders/>
            <w:shd w:fill="CCEEFF" w:val="clear"/>
            <w:vAlign w:val="center"/>
          </w:tcPr>
          <w:p>
            <w:pPr>
              <w:pStyle w:val="TableContents"/>
              <w:bidi w:val="0"/>
              <w:spacing w:before="0" w:after="283"/>
              <w:ind w:left="0" w:right="0" w:hanging="0"/>
              <w:jc w:val="right"/>
              <w:rPr>
                <w:sz w:val="20"/>
              </w:rPr>
            </w:pPr>
            <w:r>
              <w:rPr>
                <w:sz w:val="20"/>
              </w:rPr>
              <w:t>104,969</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34,046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19,259</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34,135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22,091</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lease liabilities - operating</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2,838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1,380</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27,978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22,370</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249,142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170,069</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Non-current lease liabilities - operating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40,181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9,041</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4,313</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130,120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134,497</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419,443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317,920</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Preferred Stock; 5,000 shares authorized at $0.001 par value; no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Common Stock; 120,000 and 80,000 shares authorized at $0.001 par value; 68,065 and 49,393 shares issued and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49</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sz w:val="20"/>
              </w:rPr>
            </w:pPr>
            <w:r>
              <w:rPr>
                <w:sz w:val="20"/>
              </w:rPr>
              <w:t>1,045,986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sz w:val="20"/>
              </w:rPr>
            </w:pPr>
            <w:r>
              <w:rPr>
                <w:sz w:val="20"/>
              </w:rPr>
              <w:t>683,462</w:t>
            </w:r>
          </w:p>
        </w:tc>
        <w:tc>
          <w:tcPr>
            <w:tcW w:w="83" w:type="dxa"/>
            <w:tcBorders/>
            <w:shd w:fill="CCEEFF"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sz w:val="20"/>
              </w:rPr>
            </w:pPr>
            <w:r>
              <w:rPr>
                <w:sz w:val="20"/>
              </w:rPr>
              <w:t>1,088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sz w:val="20"/>
              </w:rPr>
            </w:pPr>
            <w:r>
              <w:rPr>
                <w:sz w:val="20"/>
              </w:rPr>
              <w:t>(2,548</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85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(488,057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(451,851</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85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559,085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229,112</w:t>
            </w:r>
          </w:p>
        </w:tc>
        <w:tc>
          <w:tcPr>
            <w:tcW w:w="83" w:type="dxa"/>
            <w:tcBorders/>
            <w:shd w:fill="FFFFFF" w:val="clear"/>
            <w:vAlign w:val="center"/>
          </w:tcPr>
          <w:p>
            <w:pPr>
              <w:pStyle w:val="TableContents"/>
              <w:bidi w:val="0"/>
              <w:spacing w:before="0" w:after="283"/>
              <w:jc w:val="left"/>
              <w:rPr/>
            </w:pPr>
            <w:r>
              <w:rPr/>
              <w:t> </w:t>
            </w:r>
          </w:p>
        </w:tc>
      </w:tr>
      <w:tr>
        <w:trPr/>
        <w:tc>
          <w:tcPr>
            <w:tcW w:w="785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978,528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547,032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479"/>
        <w:gridCol w:w="60"/>
        <w:gridCol w:w="198"/>
        <w:gridCol w:w="1106"/>
        <w:gridCol w:w="126"/>
        <w:gridCol w:w="95"/>
        <w:gridCol w:w="198"/>
        <w:gridCol w:w="1034"/>
        <w:gridCol w:w="80"/>
        <w:gridCol w:w="60"/>
        <w:gridCol w:w="188"/>
        <w:gridCol w:w="1049"/>
        <w:gridCol w:w="120"/>
        <w:gridCol w:w="89"/>
        <w:gridCol w:w="188"/>
        <w:gridCol w:w="1049"/>
        <w:gridCol w:w="86"/>
      </w:tblGrid>
      <w:tr>
        <w:trPr/>
        <w:tc>
          <w:tcPr>
            <w:tcW w:w="4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106" w:type="dxa"/>
            <w:tcBorders/>
            <w:shd w:fill="CCEEFF" w:val="clear"/>
            <w:vAlign w:val="center"/>
          </w:tcPr>
          <w:p>
            <w:pPr>
              <w:pStyle w:val="TableContents"/>
              <w:bidi w:val="0"/>
              <w:spacing w:before="0" w:after="283"/>
              <w:ind w:left="0" w:right="0" w:hanging="0"/>
              <w:jc w:val="right"/>
              <w:rPr>
                <w:sz w:val="20"/>
              </w:rPr>
            </w:pPr>
            <w:r>
              <w:rPr>
                <w:sz w:val="20"/>
              </w:rPr>
              <w:t>118,630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034" w:type="dxa"/>
            <w:tcBorders/>
            <w:shd w:fill="CCEEFF" w:val="clear"/>
            <w:vAlign w:val="center"/>
          </w:tcPr>
          <w:p>
            <w:pPr>
              <w:pStyle w:val="TableContents"/>
              <w:bidi w:val="0"/>
              <w:spacing w:before="0" w:after="283"/>
              <w:ind w:left="0" w:right="0" w:hanging="0"/>
              <w:jc w:val="right"/>
              <w:rPr>
                <w:sz w:val="20"/>
              </w:rPr>
            </w:pPr>
            <w:r>
              <w:rPr>
                <w:sz w:val="20"/>
              </w:rPr>
              <w:t>65,151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sz w:val="20"/>
              </w:rPr>
            </w:pPr>
            <w:r>
              <w:rPr>
                <w:sz w:val="20"/>
              </w:rPr>
              <w:t>$</w:t>
            </w:r>
          </w:p>
        </w:tc>
        <w:tc>
          <w:tcPr>
            <w:tcW w:w="1049" w:type="dxa"/>
            <w:tcBorders/>
            <w:shd w:fill="CCEEFF" w:val="clear"/>
            <w:vAlign w:val="center"/>
          </w:tcPr>
          <w:p>
            <w:pPr>
              <w:pStyle w:val="TableContents"/>
              <w:bidi w:val="0"/>
              <w:spacing w:before="0" w:after="283"/>
              <w:ind w:left="0" w:right="0" w:hanging="0"/>
              <w:jc w:val="right"/>
              <w:rPr>
                <w:sz w:val="20"/>
              </w:rPr>
            </w:pPr>
            <w:r>
              <w:rPr>
                <w:sz w:val="20"/>
              </w:rPr>
              <w:t>321,441</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sz w:val="20"/>
              </w:rPr>
            </w:pPr>
            <w:r>
              <w:rPr>
                <w:sz w:val="20"/>
              </w:rPr>
              <w:t>$</w:t>
            </w:r>
          </w:p>
        </w:tc>
        <w:tc>
          <w:tcPr>
            <w:tcW w:w="1049" w:type="dxa"/>
            <w:tcBorders/>
            <w:shd w:fill="CCEEFF" w:val="clear"/>
            <w:vAlign w:val="center"/>
          </w:tcPr>
          <w:p>
            <w:pPr>
              <w:pStyle w:val="TableContents"/>
              <w:bidi w:val="0"/>
              <w:spacing w:before="0" w:after="283"/>
              <w:ind w:left="0" w:right="0" w:hanging="0"/>
              <w:jc w:val="right"/>
              <w:rPr>
                <w:sz w:val="20"/>
              </w:rPr>
            </w:pPr>
            <w:r>
              <w:rPr>
                <w:sz w:val="20"/>
              </w:rPr>
              <w:t>149,094</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85,367</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49,234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226,472</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116,023</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sz w:val="20"/>
              </w:rPr>
            </w:pPr>
            <w:r>
              <w:rPr>
                <w:sz w:val="20"/>
              </w:rPr>
              <w:t>33,263</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sz w:val="20"/>
              </w:rPr>
            </w:pPr>
            <w:r>
              <w:rPr>
                <w:sz w:val="20"/>
              </w:rPr>
              <w:t>15,917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94,969</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33,071</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sz w:val="20"/>
              </w:rPr>
            </w:pPr>
            <w:r>
              <w:rPr>
                <w:sz w:val="20"/>
              </w:rPr>
              <w:t>21,265</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sz w:val="20"/>
              </w:rPr>
            </w:pPr>
            <w:r>
              <w:rPr>
                <w:sz w:val="20"/>
              </w:rPr>
              <w:t>13,428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59,687</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38,218</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sz w:val="20"/>
              </w:rPr>
            </w:pPr>
            <w:r>
              <w:rPr>
                <w:sz w:val="20"/>
              </w:rPr>
              <w:t>9,871</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sz w:val="20"/>
              </w:rPr>
            </w:pPr>
            <w:r>
              <w:rPr>
                <w:sz w:val="20"/>
              </w:rPr>
              <w:t>4,796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23,363</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14,503</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20,314</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55,020</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44,786</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51,450</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138,070</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97,507</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(18,187</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(16,547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(43,101</w:t>
            </w:r>
          </w:p>
        </w:tc>
        <w:tc>
          <w:tcPr>
            <w:tcW w:w="120"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(64,436</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sz w:val="20"/>
              </w:rPr>
            </w:pPr>
            <w:r>
              <w:rPr>
                <w:sz w:val="20"/>
              </w:rPr>
              <w:t>451</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sz w:val="20"/>
              </w:rPr>
            </w:pPr>
            <w:r>
              <w:rPr>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961</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509</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sz w:val="20"/>
              </w:rPr>
            </w:pPr>
            <w:r>
              <w:rPr>
                <w:sz w:val="20"/>
              </w:rPr>
              <w:t>(902</w:t>
            </w:r>
          </w:p>
        </w:tc>
        <w:tc>
          <w:tcPr>
            <w:tcW w:w="126" w:type="dxa"/>
            <w:tcBorders/>
            <w:shd w:fill="FFFFFF" w:val="clear"/>
            <w:vAlign w:val="center"/>
          </w:tcPr>
          <w:p>
            <w:pPr>
              <w:pStyle w:val="TableContents"/>
              <w:bidi w:val="0"/>
              <w:spacing w:before="0" w:after="283"/>
              <w:jc w:val="lef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sz w:val="20"/>
              </w:rPr>
            </w:pPr>
            <w:r>
              <w:rPr>
                <w:sz w:val="20"/>
              </w:rPr>
              <w:t>(1,702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(2,653</w:t>
            </w:r>
          </w:p>
        </w:tc>
        <w:tc>
          <w:tcPr>
            <w:tcW w:w="120" w:type="dxa"/>
            <w:tcBorders/>
            <w:shd w:fill="FFFFFF" w:val="clear"/>
            <w:vAlign w:val="center"/>
          </w:tcPr>
          <w:p>
            <w:pPr>
              <w:pStyle w:val="TableContents"/>
              <w:bidi w:val="0"/>
              <w:spacing w:before="0" w:after="283"/>
              <w:jc w:val="lef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(5,072</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702</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8,587</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1,957</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251</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(1,210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6,895</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(2,606</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447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sz w:val="20"/>
              </w:rPr>
            </w:pPr>
            <w:r>
              <w:rPr>
                <w:sz w:val="20"/>
              </w:rPr>
              <w:t>(17,936</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sz w:val="20"/>
              </w:rPr>
            </w:pPr>
            <w:r>
              <w:rPr>
                <w:sz w:val="20"/>
              </w:rPr>
              <w:t>(17,757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(36,206</w:t>
            </w:r>
          </w:p>
        </w:tc>
        <w:tc>
          <w:tcPr>
            <w:tcW w:w="120"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(67,042</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(17,936</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(17,757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(36,206</w:t>
            </w:r>
          </w:p>
        </w:tc>
        <w:tc>
          <w:tcPr>
            <w:tcW w:w="120"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(67,042</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106" w:type="dxa"/>
            <w:tcBorders/>
            <w:shd w:fill="CCEEFF" w:val="clear"/>
            <w:vAlign w:val="center"/>
          </w:tcPr>
          <w:p>
            <w:pPr>
              <w:pStyle w:val="TableContents"/>
              <w:bidi w:val="0"/>
              <w:spacing w:before="0" w:after="283"/>
              <w:ind w:left="0" w:right="0" w:hanging="0"/>
              <w:jc w:val="right"/>
              <w:rPr>
                <w:sz w:val="20"/>
              </w:rPr>
            </w:pPr>
            <w:r>
              <w:rPr>
                <w:sz w:val="20"/>
              </w:rPr>
              <w:t>(0.28</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034" w:type="dxa"/>
            <w:tcBorders/>
            <w:shd w:fill="CCEEFF" w:val="clear"/>
            <w:vAlign w:val="center"/>
          </w:tcPr>
          <w:p>
            <w:pPr>
              <w:pStyle w:val="TableContents"/>
              <w:bidi w:val="0"/>
              <w:spacing w:before="0" w:after="283"/>
              <w:ind w:left="0" w:right="0" w:hanging="0"/>
              <w:jc w:val="right"/>
              <w:rPr>
                <w:sz w:val="20"/>
              </w:rPr>
            </w:pPr>
            <w:r>
              <w:rPr>
                <w:sz w:val="20"/>
              </w:rPr>
              <w:t>(0.42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sz w:val="20"/>
              </w:rPr>
            </w:pPr>
            <w:r>
              <w:rPr>
                <w:sz w:val="20"/>
              </w:rPr>
              <w:t>$</w:t>
            </w:r>
          </w:p>
        </w:tc>
        <w:tc>
          <w:tcPr>
            <w:tcW w:w="1049" w:type="dxa"/>
            <w:tcBorders/>
            <w:shd w:fill="CCEEFF" w:val="clear"/>
            <w:vAlign w:val="center"/>
          </w:tcPr>
          <w:p>
            <w:pPr>
              <w:pStyle w:val="TableContents"/>
              <w:bidi w:val="0"/>
              <w:spacing w:before="0" w:after="283"/>
              <w:ind w:left="0" w:right="0" w:hanging="0"/>
              <w:jc w:val="right"/>
              <w:rPr>
                <w:sz w:val="20"/>
              </w:rPr>
            </w:pPr>
            <w:r>
              <w:rPr>
                <w:sz w:val="20"/>
              </w:rPr>
              <w:t>(0.64</w:t>
            </w:r>
          </w:p>
        </w:tc>
        <w:tc>
          <w:tcPr>
            <w:tcW w:w="120"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sz w:val="20"/>
              </w:rPr>
            </w:pPr>
            <w:r>
              <w:rPr>
                <w:sz w:val="20"/>
              </w:rPr>
              <w:t>$</w:t>
            </w:r>
          </w:p>
        </w:tc>
        <w:tc>
          <w:tcPr>
            <w:tcW w:w="1049" w:type="dxa"/>
            <w:tcBorders/>
            <w:shd w:fill="CCEEFF" w:val="clear"/>
            <w:vAlign w:val="center"/>
          </w:tcPr>
          <w:p>
            <w:pPr>
              <w:pStyle w:val="TableContents"/>
              <w:bidi w:val="0"/>
              <w:spacing w:before="0" w:after="283"/>
              <w:ind w:left="0" w:right="0" w:hanging="0"/>
              <w:jc w:val="right"/>
              <w:rPr>
                <w:sz w:val="20"/>
              </w:rPr>
            </w:pPr>
            <w:r>
              <w:rPr>
                <w:sz w:val="20"/>
              </w:rPr>
              <w:t>(1.68</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447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sz w:val="20"/>
              </w:rPr>
            </w:pPr>
            <w:r>
              <w:rPr>
                <w:sz w:val="20"/>
              </w:rPr>
              <w:t>$</w:t>
            </w:r>
          </w:p>
        </w:tc>
        <w:tc>
          <w:tcPr>
            <w:tcW w:w="1106" w:type="dxa"/>
            <w:tcBorders/>
            <w:shd w:fill="FFFFFF" w:val="clear"/>
            <w:vAlign w:val="center"/>
          </w:tcPr>
          <w:p>
            <w:pPr>
              <w:pStyle w:val="TableContents"/>
              <w:bidi w:val="0"/>
              <w:spacing w:before="0" w:after="283"/>
              <w:ind w:left="0" w:right="0" w:hanging="0"/>
              <w:jc w:val="right"/>
              <w:rPr>
                <w:sz w:val="20"/>
              </w:rPr>
            </w:pPr>
            <w:r>
              <w:rPr>
                <w:sz w:val="20"/>
              </w:rPr>
              <w:t>(0.28</w:t>
            </w:r>
          </w:p>
        </w:tc>
        <w:tc>
          <w:tcPr>
            <w:tcW w:w="126" w:type="dxa"/>
            <w:tcBorders/>
            <w:shd w:fill="FFFFFF" w:val="clear"/>
            <w:vAlign w:val="center"/>
          </w:tcPr>
          <w:p>
            <w:pPr>
              <w:pStyle w:val="TableContents"/>
              <w:bidi w:val="0"/>
              <w:spacing w:before="0" w:after="283"/>
              <w:jc w:val="left"/>
              <w:rPr>
                <w:sz w:val="20"/>
              </w:rPr>
            </w:pPr>
            <w:r>
              <w:rPr>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sz w:val="20"/>
              </w:rPr>
            </w:pPr>
            <w:r>
              <w:rPr>
                <w:sz w:val="20"/>
              </w:rPr>
              <w:t>$</w:t>
            </w:r>
          </w:p>
        </w:tc>
        <w:tc>
          <w:tcPr>
            <w:tcW w:w="1034" w:type="dxa"/>
            <w:tcBorders/>
            <w:shd w:fill="FFFFFF" w:val="clear"/>
            <w:vAlign w:val="center"/>
          </w:tcPr>
          <w:p>
            <w:pPr>
              <w:pStyle w:val="TableContents"/>
              <w:bidi w:val="0"/>
              <w:spacing w:before="0" w:after="283"/>
              <w:ind w:left="0" w:right="0" w:hanging="0"/>
              <w:jc w:val="right"/>
              <w:rPr>
                <w:sz w:val="20"/>
              </w:rPr>
            </w:pPr>
            <w:r>
              <w:rPr>
                <w:sz w:val="20"/>
              </w:rPr>
              <w:t>(0.42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sz w:val="20"/>
              </w:rPr>
            </w:pPr>
            <w:r>
              <w:rPr>
                <w:sz w:val="20"/>
              </w:rPr>
              <w:t>$</w:t>
            </w:r>
          </w:p>
        </w:tc>
        <w:tc>
          <w:tcPr>
            <w:tcW w:w="1049" w:type="dxa"/>
            <w:tcBorders/>
            <w:shd w:fill="FFFFFF" w:val="clear"/>
            <w:vAlign w:val="center"/>
          </w:tcPr>
          <w:p>
            <w:pPr>
              <w:pStyle w:val="TableContents"/>
              <w:bidi w:val="0"/>
              <w:spacing w:before="0" w:after="283"/>
              <w:ind w:left="0" w:right="0" w:hanging="0"/>
              <w:jc w:val="right"/>
              <w:rPr>
                <w:sz w:val="20"/>
              </w:rPr>
            </w:pPr>
            <w:r>
              <w:rPr>
                <w:sz w:val="20"/>
              </w:rPr>
              <w:t>(0.64</w:t>
            </w:r>
          </w:p>
        </w:tc>
        <w:tc>
          <w:tcPr>
            <w:tcW w:w="120" w:type="dxa"/>
            <w:tcBorders/>
            <w:shd w:fill="FFFFFF" w:val="clear"/>
            <w:vAlign w:val="center"/>
          </w:tcPr>
          <w:p>
            <w:pPr>
              <w:pStyle w:val="TableContents"/>
              <w:bidi w:val="0"/>
              <w:spacing w:before="0" w:after="283"/>
              <w:jc w:val="left"/>
              <w:rPr>
                <w:sz w:val="20"/>
              </w:rPr>
            </w:pPr>
            <w:r>
              <w:rPr>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sz w:val="20"/>
              </w:rPr>
            </w:pPr>
            <w:r>
              <w:rPr>
                <w:sz w:val="20"/>
              </w:rPr>
              <w:t>$</w:t>
            </w:r>
          </w:p>
        </w:tc>
        <w:tc>
          <w:tcPr>
            <w:tcW w:w="1049" w:type="dxa"/>
            <w:tcBorders/>
            <w:shd w:fill="FFFFFF" w:val="clear"/>
            <w:vAlign w:val="center"/>
          </w:tcPr>
          <w:p>
            <w:pPr>
              <w:pStyle w:val="TableContents"/>
              <w:bidi w:val="0"/>
              <w:spacing w:before="0" w:after="283"/>
              <w:ind w:left="0" w:right="0" w:hanging="0"/>
              <w:jc w:val="right"/>
              <w:rPr>
                <w:sz w:val="20"/>
              </w:rPr>
            </w:pPr>
            <w:r>
              <w:rPr>
                <w:sz w:val="20"/>
              </w:rPr>
              <w:t>(1.68</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4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4" w:type="dxa"/>
            <w:gridSpan w:val="2"/>
            <w:tcBorders/>
            <w:shd w:fill="CCEEFF" w:val="clear"/>
            <w:vAlign w:val="center"/>
          </w:tcPr>
          <w:p>
            <w:pPr>
              <w:pStyle w:val="TableContents"/>
              <w:bidi w:val="0"/>
              <w:spacing w:before="0" w:after="283"/>
              <w:jc w:val="center"/>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32"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7" w:type="dxa"/>
            <w:gridSpan w:val="2"/>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37" w:type="dxa"/>
            <w:gridSpan w:val="2"/>
            <w:tcBorders/>
            <w:shd w:fill="CCEEFF" w:val="clear"/>
            <w:vAlign w:val="center"/>
          </w:tcPr>
          <w:p>
            <w:pPr>
              <w:pStyle w:val="TableContents"/>
              <w:bidi w:val="0"/>
              <w:spacing w:before="0" w:after="283"/>
              <w:jc w:val="center"/>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47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sz w:val="20"/>
              </w:rPr>
            </w:pPr>
            <w:r>
              <w:rPr>
                <w:sz w:val="20"/>
              </w:rPr>
              <w:t>63,329</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sz w:val="20"/>
              </w:rPr>
            </w:pPr>
            <w:r>
              <w:rPr>
                <w:sz w:val="20"/>
              </w:rPr>
              <w:t>42,312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56,762</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sz w:val="20"/>
              </w:rPr>
            </w:pPr>
            <w:r>
              <w:rPr>
                <w:sz w:val="20"/>
              </w:rPr>
              <w:t>40,021</w:t>
            </w:r>
          </w:p>
        </w:tc>
        <w:tc>
          <w:tcPr>
            <w:tcW w:w="86" w:type="dxa"/>
            <w:tcBorders/>
            <w:shd w:fill="CCEEFF" w:val="clear"/>
            <w:vAlign w:val="center"/>
          </w:tcPr>
          <w:p>
            <w:pPr>
              <w:pStyle w:val="TableContents"/>
              <w:bidi w:val="0"/>
              <w:spacing w:before="0" w:after="283"/>
              <w:jc w:val="left"/>
              <w:rPr/>
            </w:pPr>
            <w:r>
              <w:rPr/>
              <w:t> </w:t>
            </w:r>
          </w:p>
        </w:tc>
      </w:tr>
      <w:tr>
        <w:trPr/>
        <w:tc>
          <w:tcPr>
            <w:tcW w:w="447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sz w:val="20"/>
              </w:rPr>
            </w:pPr>
            <w:r>
              <w:rPr>
                <w:sz w:val="20"/>
              </w:rPr>
              <w:t>63,329</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sz w:val="20"/>
              </w:rPr>
            </w:pPr>
            <w:r>
              <w:rPr>
                <w:sz w:val="20"/>
              </w:rPr>
              <w:t>42,312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56,762</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sz w:val="20"/>
              </w:rPr>
            </w:pPr>
            <w:r>
              <w:rPr>
                <w:sz w:val="20"/>
              </w:rPr>
              <w:t>40,021</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291"/>
        <w:gridCol w:w="60"/>
        <w:gridCol w:w="211"/>
        <w:gridCol w:w="1100"/>
        <w:gridCol w:w="135"/>
        <w:gridCol w:w="100"/>
        <w:gridCol w:w="211"/>
        <w:gridCol w:w="1100"/>
        <w:gridCol w:w="80"/>
        <w:gridCol w:w="60"/>
        <w:gridCol w:w="204"/>
        <w:gridCol w:w="1067"/>
        <w:gridCol w:w="131"/>
        <w:gridCol w:w="97"/>
        <w:gridCol w:w="204"/>
        <w:gridCol w:w="1067"/>
        <w:gridCol w:w="87"/>
      </w:tblGrid>
      <w:tr>
        <w:trPr/>
        <w:tc>
          <w:tcPr>
            <w:tcW w:w="4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3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1100" w:type="dxa"/>
            <w:tcBorders/>
            <w:shd w:fill="CCEEFF" w:val="clear"/>
            <w:vAlign w:val="center"/>
          </w:tcPr>
          <w:p>
            <w:pPr>
              <w:pStyle w:val="TableContents"/>
              <w:bidi w:val="0"/>
              <w:spacing w:before="0" w:after="283"/>
              <w:ind w:left="0" w:right="0" w:hanging="0"/>
              <w:jc w:val="right"/>
              <w:rPr>
                <w:sz w:val="20"/>
              </w:rPr>
            </w:pPr>
            <w:r>
              <w:rPr>
                <w:sz w:val="20"/>
              </w:rPr>
              <w:t>(17,936</w:t>
            </w:r>
          </w:p>
        </w:tc>
        <w:tc>
          <w:tcPr>
            <w:tcW w:w="135"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1100" w:type="dxa"/>
            <w:tcBorders/>
            <w:shd w:fill="CCEEFF" w:val="clear"/>
            <w:vAlign w:val="center"/>
          </w:tcPr>
          <w:p>
            <w:pPr>
              <w:pStyle w:val="TableContents"/>
              <w:bidi w:val="0"/>
              <w:spacing w:before="0" w:after="283"/>
              <w:ind w:left="0" w:right="0" w:hanging="0"/>
              <w:jc w:val="right"/>
              <w:rPr>
                <w:sz w:val="20"/>
              </w:rPr>
            </w:pPr>
            <w:r>
              <w:rPr>
                <w:sz w:val="20"/>
              </w:rPr>
              <w:t>(17,757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sz w:val="20"/>
              </w:rPr>
            </w:pPr>
            <w:r>
              <w:rPr>
                <w:sz w:val="20"/>
              </w:rPr>
              <w:t>$</w:t>
            </w:r>
          </w:p>
        </w:tc>
        <w:tc>
          <w:tcPr>
            <w:tcW w:w="1067" w:type="dxa"/>
            <w:tcBorders/>
            <w:shd w:fill="CCEEFF" w:val="clear"/>
            <w:vAlign w:val="center"/>
          </w:tcPr>
          <w:p>
            <w:pPr>
              <w:pStyle w:val="TableContents"/>
              <w:bidi w:val="0"/>
              <w:spacing w:before="0" w:after="283"/>
              <w:ind w:left="0" w:right="0" w:hanging="0"/>
              <w:jc w:val="right"/>
              <w:rPr>
                <w:sz w:val="20"/>
              </w:rPr>
            </w:pPr>
            <w:r>
              <w:rPr>
                <w:sz w:val="20"/>
              </w:rPr>
              <w:t>(36,206</w:t>
            </w:r>
          </w:p>
        </w:tc>
        <w:tc>
          <w:tcPr>
            <w:tcW w:w="131"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sz w:val="20"/>
              </w:rPr>
            </w:pPr>
            <w:r>
              <w:rPr>
                <w:sz w:val="20"/>
              </w:rPr>
              <w:t>$</w:t>
            </w:r>
          </w:p>
        </w:tc>
        <w:tc>
          <w:tcPr>
            <w:tcW w:w="1067" w:type="dxa"/>
            <w:tcBorders/>
            <w:shd w:fill="CCEEFF" w:val="clear"/>
            <w:vAlign w:val="center"/>
          </w:tcPr>
          <w:p>
            <w:pPr>
              <w:pStyle w:val="TableContents"/>
              <w:bidi w:val="0"/>
              <w:spacing w:before="0" w:after="283"/>
              <w:ind w:left="0" w:right="0" w:hanging="0"/>
              <w:jc w:val="right"/>
              <w:rPr>
                <w:sz w:val="20"/>
              </w:rPr>
            </w:pPr>
            <w:r>
              <w:rPr>
                <w:sz w:val="20"/>
              </w:rPr>
              <w:t>(67,042</w:t>
            </w:r>
          </w:p>
        </w:tc>
        <w:tc>
          <w:tcPr>
            <w:tcW w:w="87" w:type="dxa"/>
            <w:tcBorders/>
            <w:shd w:fill="CCEEFF" w:val="clear"/>
            <w:vAlign w:val="center"/>
          </w:tcPr>
          <w:p>
            <w:pPr>
              <w:pStyle w:val="TableContents"/>
              <w:bidi w:val="0"/>
              <w:spacing w:before="0" w:after="283"/>
              <w:jc w:val="left"/>
              <w:rPr>
                <w:sz w:val="20"/>
              </w:rPr>
            </w:pPr>
            <w:r>
              <w:rPr>
                <w:sz w:val="20"/>
              </w:rPr>
              <w:t>)</w:t>
            </w:r>
          </w:p>
        </w:tc>
      </w:tr>
      <w:tr>
        <w:trPr/>
        <w:tc>
          <w:tcPr>
            <w:tcW w:w="429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(25</w:t>
            </w:r>
          </w:p>
        </w:tc>
        <w:tc>
          <w:tcPr>
            <w:tcW w:w="135" w:type="dxa"/>
            <w:tcBorders/>
            <w:shd w:fill="FFFFFF" w:val="clear"/>
            <w:vAlign w:val="center"/>
          </w:tcPr>
          <w:p>
            <w:pPr>
              <w:pStyle w:val="TableContents"/>
              <w:bidi w:val="0"/>
              <w:spacing w:before="0" w:after="283"/>
              <w:jc w:val="lef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3,636</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(268</w:t>
            </w:r>
          </w:p>
        </w:tc>
        <w:tc>
          <w:tcPr>
            <w:tcW w:w="87" w:type="dxa"/>
            <w:tcBorders/>
            <w:shd w:fill="FFFFFF" w:val="clear"/>
            <w:vAlign w:val="center"/>
          </w:tcPr>
          <w:p>
            <w:pPr>
              <w:pStyle w:val="TableContents"/>
              <w:bidi w:val="0"/>
              <w:spacing w:before="0" w:after="283"/>
              <w:jc w:val="left"/>
              <w:rPr>
                <w:sz w:val="20"/>
              </w:rPr>
            </w:pPr>
            <w:r>
              <w:rPr>
                <w:sz w:val="20"/>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(17,961</w:t>
            </w:r>
          </w:p>
        </w:tc>
        <w:tc>
          <w:tcPr>
            <w:tcW w:w="135"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(15,517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(32,570</w:t>
            </w:r>
          </w:p>
        </w:tc>
        <w:tc>
          <w:tcPr>
            <w:tcW w:w="131"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(67,310</w:t>
            </w:r>
          </w:p>
        </w:tc>
        <w:tc>
          <w:tcPr>
            <w:tcW w:w="87"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Nine Months ended September 30,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255"/>
        <w:gridCol w:w="995"/>
        <w:gridCol w:w="80"/>
        <w:gridCol w:w="60"/>
        <w:gridCol w:w="158"/>
        <w:gridCol w:w="957"/>
        <w:gridCol w:w="80"/>
        <w:gridCol w:w="60"/>
        <w:gridCol w:w="171"/>
        <w:gridCol w:w="960"/>
        <w:gridCol w:w="83"/>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424,981</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146,791</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exchanged to shares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559,085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78"/>
        <w:gridCol w:w="60"/>
        <w:gridCol w:w="67"/>
        <w:gridCol w:w="653"/>
        <w:gridCol w:w="63"/>
        <w:gridCol w:w="63"/>
        <w:gridCol w:w="220"/>
        <w:gridCol w:w="460"/>
        <w:gridCol w:w="60"/>
        <w:gridCol w:w="60"/>
        <w:gridCol w:w="140"/>
        <w:gridCol w:w="780"/>
        <w:gridCol w:w="80"/>
        <w:gridCol w:w="60"/>
        <w:gridCol w:w="233"/>
        <w:gridCol w:w="1017"/>
        <w:gridCol w:w="80"/>
        <w:gridCol w:w="60"/>
        <w:gridCol w:w="158"/>
        <w:gridCol w:w="957"/>
        <w:gridCol w:w="80"/>
        <w:gridCol w:w="60"/>
        <w:gridCol w:w="172"/>
        <w:gridCol w:w="961"/>
        <w:gridCol w:w="83"/>
      </w:tblGrid>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40,645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186,494</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38,548</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212,086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233"/>
        <w:gridCol w:w="1017"/>
        <w:gridCol w:w="80"/>
        <w:gridCol w:w="60"/>
        <w:gridCol w:w="158"/>
        <w:gridCol w:w="957"/>
        <w:gridCol w:w="80"/>
        <w:gridCol w:w="60"/>
        <w:gridCol w:w="171"/>
        <w:gridCol w:w="960"/>
        <w:gridCol w:w="83"/>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49,393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342,562</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exchanged to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16,820</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559,085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5"/>
        <w:gridCol w:w="60"/>
        <w:gridCol w:w="67"/>
        <w:gridCol w:w="657"/>
        <w:gridCol w:w="63"/>
        <w:gridCol w:w="63"/>
        <w:gridCol w:w="220"/>
        <w:gridCol w:w="460"/>
        <w:gridCol w:w="60"/>
        <w:gridCol w:w="60"/>
        <w:gridCol w:w="140"/>
        <w:gridCol w:w="780"/>
        <w:gridCol w:w="80"/>
        <w:gridCol w:w="60"/>
        <w:gridCol w:w="300"/>
        <w:gridCol w:w="950"/>
        <w:gridCol w:w="80"/>
        <w:gridCol w:w="60"/>
        <w:gridCol w:w="125"/>
        <w:gridCol w:w="755"/>
        <w:gridCol w:w="80"/>
        <w:gridCol w:w="60"/>
        <w:gridCol w:w="172"/>
        <w:gridCol w:w="963"/>
        <w:gridCol w:w="85"/>
      </w:tblGrid>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283"/>
              <w:jc w:val="left"/>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214,869</w:t>
            </w:r>
          </w:p>
        </w:tc>
        <w:tc>
          <w:tcPr>
            <w:tcW w:w="85" w:type="dxa"/>
            <w:tcBorders/>
            <w:shd w:fill="CCEE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58,495</w:t>
            </w:r>
          </w:p>
        </w:tc>
        <w:tc>
          <w:tcPr>
            <w:tcW w:w="85" w:type="dxa"/>
            <w:tcBorders/>
            <w:shd w:fill="CCEE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converted by Notes holders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212,086</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338"/>
        <w:gridCol w:w="60"/>
        <w:gridCol w:w="189"/>
        <w:gridCol w:w="1147"/>
        <w:gridCol w:w="121"/>
        <w:gridCol w:w="90"/>
        <w:gridCol w:w="189"/>
        <w:gridCol w:w="988"/>
        <w:gridCol w:w="83"/>
      </w:tblGrid>
      <w:tr>
        <w:trPr/>
        <w:tc>
          <w:tcPr>
            <w:tcW w:w="73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6" w:type="dxa"/>
            <w:gridSpan w:val="2"/>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7"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sz w:val="20"/>
              </w:rPr>
            </w:pPr>
            <w:r>
              <w:rPr>
                <w:sz w:val="20"/>
              </w:rPr>
              <w:t>$</w:t>
            </w:r>
          </w:p>
        </w:tc>
        <w:tc>
          <w:tcPr>
            <w:tcW w:w="1147" w:type="dxa"/>
            <w:tcBorders/>
            <w:shd w:fill="FFFFFF" w:val="clear"/>
            <w:vAlign w:val="center"/>
          </w:tcPr>
          <w:p>
            <w:pPr>
              <w:pStyle w:val="TableContents"/>
              <w:bidi w:val="0"/>
              <w:spacing w:before="0" w:after="283"/>
              <w:ind w:left="0" w:right="0" w:hanging="0"/>
              <w:jc w:val="right"/>
              <w:rPr>
                <w:sz w:val="20"/>
              </w:rPr>
            </w:pPr>
            <w:r>
              <w:rPr>
                <w:sz w:val="20"/>
              </w:rPr>
              <w:t>(36,206</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sz w:val="20"/>
              </w:rPr>
            </w:pPr>
            <w:r>
              <w:rPr>
                <w:sz w:val="20"/>
              </w:rPr>
              <w:t>$</w:t>
            </w:r>
          </w:p>
        </w:tc>
        <w:tc>
          <w:tcPr>
            <w:tcW w:w="988" w:type="dxa"/>
            <w:tcBorders/>
            <w:shd w:fill="FFFFFF" w:val="clear"/>
            <w:vAlign w:val="center"/>
          </w:tcPr>
          <w:p>
            <w:pPr>
              <w:pStyle w:val="TableContents"/>
              <w:bidi w:val="0"/>
              <w:spacing w:before="0" w:after="283"/>
              <w:ind w:left="0" w:right="0" w:hanging="0"/>
              <w:jc w:val="right"/>
              <w:rPr>
                <w:sz w:val="20"/>
              </w:rPr>
            </w:pPr>
            <w:r>
              <w:rPr>
                <w:sz w:val="20"/>
              </w:rPr>
              <w:t>(67,042</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7"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5</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1,802</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5,383</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2,386</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19,491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15,293</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debt issuance costs and premium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(771</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1,037</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Gain on disposal of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31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33</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8,842</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11,841</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Warrants contra revenue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91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Unrealized foreign exchange loss (gain)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485</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(25</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trade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(107,232</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(28,884</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Trade notes receivable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pPr>
            <w:r>
              <w:rPr/>
              <w:t>—</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172</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(84,612</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(2,760</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(11,342</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(2,031</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(31,851</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784</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45,176</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23,099</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15,667</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612</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Unearned revenue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pPr>
            <w:r>
              <w:rPr/>
              <w:t>—</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(364</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31,992</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(863</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(144,851</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(44,910</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(104,113</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(15,027</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(21,289</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(6,026</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(270</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(374</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(125,672</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(21,427</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line of credit borrowings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51,325</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35,639</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line of credit borrowings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(50,778</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(29,952</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bank acceptance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88,628</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24,831</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bank acceptance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(74,226</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(30,484</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Payments of tax withholding on behalf of employees related to share-based compensation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(9,181</w:t>
            </w:r>
          </w:p>
        </w:tc>
        <w:tc>
          <w:tcPr>
            <w:tcW w:w="121"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(3,053</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 on convertible notes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(81</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(216</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common stock offering, net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342,561</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58,494</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Cash settlement of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(2,791</w:t>
            </w:r>
          </w:p>
        </w:tc>
        <w:tc>
          <w:tcPr>
            <w:tcW w:w="83" w:type="dxa"/>
            <w:tcBorders/>
            <w:shd w:fill="FFFFFF" w:val="clear"/>
            <w:vAlign w:val="center"/>
          </w:tcPr>
          <w:p>
            <w:pPr>
              <w:pStyle w:val="TableContents"/>
              <w:bidi w:val="0"/>
              <w:spacing w:before="0" w:after="283"/>
              <w:jc w:val="left"/>
              <w:rPr>
                <w:sz w:val="20"/>
              </w:rPr>
            </w:pPr>
            <w:r>
              <w:rPr>
                <w:sz w:val="20"/>
              </w:rPr>
              <w:t>)</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sz w:val="20"/>
              </w:rPr>
            </w:pPr>
            <w:r>
              <w:rPr>
                <w:sz w:val="20"/>
              </w:rPr>
              <w:t>348,248</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52,468</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(6,141</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139</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sz w:val="20"/>
              </w:rPr>
            </w:pPr>
            <w:r>
              <w:rPr>
                <w:sz w:val="20"/>
              </w:rPr>
              <w:t>71,584</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sz w:val="20"/>
              </w:rPr>
            </w:pPr>
            <w:r>
              <w:rPr>
                <w:sz w:val="20"/>
              </w:rPr>
              <w:t>(13,730</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79,133</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55,097</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150,717</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41,367</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net of amounts capitalized</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sz w:val="20"/>
              </w:rPr>
            </w:pPr>
            <w:r>
              <w:rPr>
                <w:sz w:val="20"/>
              </w:rPr>
              <w:t>$</w:t>
            </w:r>
          </w:p>
        </w:tc>
        <w:tc>
          <w:tcPr>
            <w:tcW w:w="1147" w:type="dxa"/>
            <w:tcBorders/>
            <w:shd w:fill="FFFFFF" w:val="clear"/>
            <w:vAlign w:val="center"/>
          </w:tcPr>
          <w:p>
            <w:pPr>
              <w:pStyle w:val="TableContents"/>
              <w:bidi w:val="0"/>
              <w:spacing w:before="0" w:after="283"/>
              <w:ind w:left="0" w:right="0" w:hanging="0"/>
              <w:jc w:val="right"/>
              <w:rPr>
                <w:sz w:val="20"/>
              </w:rPr>
            </w:pPr>
            <w:r>
              <w:rPr>
                <w:sz w:val="20"/>
              </w:rPr>
              <w:t>2,387</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sz w:val="20"/>
              </w:rPr>
            </w:pPr>
            <w:r>
              <w:rPr>
                <w:sz w:val="20"/>
              </w:rPr>
              <w:t>$</w:t>
            </w:r>
          </w:p>
        </w:tc>
        <w:tc>
          <w:tcPr>
            <w:tcW w:w="988" w:type="dxa"/>
            <w:tcBorders/>
            <w:shd w:fill="FFFFFF" w:val="clear"/>
            <w:vAlign w:val="center"/>
          </w:tcPr>
          <w:p>
            <w:pPr>
              <w:pStyle w:val="TableContents"/>
              <w:bidi w:val="0"/>
              <w:spacing w:before="0" w:after="283"/>
              <w:ind w:left="0" w:right="0" w:hanging="0"/>
              <w:jc w:val="right"/>
              <w:rPr>
                <w:sz w:val="20"/>
              </w:rPr>
            </w:pPr>
            <w:r>
              <w:rPr>
                <w:sz w:val="20"/>
              </w:rPr>
              <w:t>2,635</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sz w:val="20"/>
              </w:rPr>
            </w:pPr>
            <w:r>
              <w:rPr>
                <w:sz w:val="20"/>
              </w:rPr>
              <w:t>1</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sz w:val="20"/>
              </w:rPr>
            </w:pPr>
            <w:r>
              <w:rPr>
                <w:sz w:val="20"/>
              </w:rPr>
              <w:t>$</w:t>
            </w:r>
          </w:p>
        </w:tc>
        <w:tc>
          <w:tcPr>
            <w:tcW w:w="1147" w:type="dxa"/>
            <w:tcBorders/>
            <w:shd w:fill="CCEEFF" w:val="clear"/>
            <w:vAlign w:val="center"/>
          </w:tcPr>
          <w:p>
            <w:pPr>
              <w:pStyle w:val="TableContents"/>
              <w:bidi w:val="0"/>
              <w:spacing w:before="0" w:after="283"/>
              <w:ind w:left="0" w:right="0" w:hanging="0"/>
              <w:jc w:val="right"/>
              <w:rPr>
                <w:sz w:val="20"/>
              </w:rPr>
            </w:pPr>
            <w:r>
              <w:rPr>
                <w:sz w:val="20"/>
              </w:rPr>
              <w:t>5,432</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sz w:val="20"/>
              </w:rPr>
            </w:pPr>
            <w:r>
              <w:rPr>
                <w:sz w:val="20"/>
              </w:rPr>
              <w:t>$</w:t>
            </w:r>
          </w:p>
        </w:tc>
        <w:tc>
          <w:tcPr>
            <w:tcW w:w="988" w:type="dxa"/>
            <w:tcBorders/>
            <w:shd w:fill="CCEEFF" w:val="clear"/>
            <w:vAlign w:val="center"/>
          </w:tcPr>
          <w:p>
            <w:pPr>
              <w:pStyle w:val="TableContents"/>
              <w:bidi w:val="0"/>
              <w:spacing w:before="0" w:after="283"/>
              <w:ind w:left="0" w:right="0" w:hanging="0"/>
              <w:jc w:val="right"/>
              <w:rPr>
                <w:sz w:val="20"/>
              </w:rPr>
            </w:pPr>
            <w:r>
              <w:rPr>
                <w:sz w:val="20"/>
              </w:rPr>
              <w:t>(411</w:t>
            </w:r>
          </w:p>
        </w:tc>
        <w:tc>
          <w:tcPr>
            <w:tcW w:w="83" w:type="dxa"/>
            <w:tcBorders/>
            <w:shd w:fill="CCEEFF" w:val="clear"/>
            <w:vAlign w:val="center"/>
          </w:tcPr>
          <w:p>
            <w:pPr>
              <w:pStyle w:val="TableContents"/>
              <w:bidi w:val="0"/>
              <w:spacing w:before="0" w:after="283"/>
              <w:jc w:val="left"/>
              <w:rPr>
                <w:sz w:val="20"/>
              </w:rPr>
            </w:pPr>
            <w:r>
              <w:rPr>
                <w:sz w:val="20"/>
              </w:rPr>
              <w:t>)</w:t>
            </w:r>
          </w:p>
        </w:tc>
      </w:tr>
      <w:tr>
        <w:trPr/>
        <w:tc>
          <w:tcPr>
            <w:tcW w:w="7338"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sz w:val="20"/>
              </w:rPr>
            </w:pPr>
            <w:r>
              <w:rPr>
                <w:sz w:val="20"/>
              </w:rPr>
              <w:t>(15,056</w:t>
            </w:r>
          </w:p>
        </w:tc>
        <w:tc>
          <w:tcPr>
            <w:tcW w:w="121" w:type="dxa"/>
            <w:tcBorders/>
            <w:shd w:fill="FFFFFF" w:val="clear"/>
            <w:vAlign w:val="center"/>
          </w:tcPr>
          <w:p>
            <w:pPr>
              <w:pStyle w:val="TableContents"/>
              <w:bidi w:val="0"/>
              <w:spacing w:before="0" w:after="283"/>
              <w:jc w:val="left"/>
              <w:rPr>
                <w:sz w:val="20"/>
              </w:rPr>
            </w:pPr>
            <w:r>
              <w:rPr>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sz w:val="20"/>
              </w:rPr>
            </w:pPr>
            <w:r>
              <w:rPr>
                <w:sz w:val="20"/>
              </w:rPr>
              <w:t>276</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and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Warrant issued and vested to customer</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sz w:val="20"/>
              </w:rPr>
            </w:pPr>
            <w:r>
              <w:rPr>
                <w:sz w:val="20"/>
              </w:rPr>
              <w:t>16,739</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3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as well as certain of its data center transceivers and performs research and development activities for laser component and optical module products and certain data center transceiver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certain of its data center transceivers and certain CATV systems and equipment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2024</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and </w:t>
      </w:r>
      <w:r>
        <w:rPr>
          <w:rStyle w:val="Emphasis"/>
          <w:rFonts w:ascii="Times New Roman;Times;serif" w:hAnsi="Times New Roman;Times;serif"/>
          <w:sz w:val="20"/>
        </w:rPr>
        <w:t>September 30, 2024</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2024</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credit losses, inventory reserve, impairment of long-lived assets, service and product warranty costs, share-based compensation expense, estimated useful lives of tangible and intangible assets, and taxes.</w:t>
      </w:r>
    </w:p>
    <w:p>
      <w:pPr>
        <w:pStyle w:val="TextBody"/>
        <w:bidi w:val="0"/>
        <w:spacing w:before="0" w:after="0"/>
        <w:ind w:left="0" w:right="0" w:firstLine="720"/>
        <w:jc w:val="left"/>
        <w:rPr/>
      </w:pPr>
      <w:r>
        <w:rPr/>
        <w:t> </w:t>
      </w:r>
    </w:p>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Product Warranty</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generally offers a one-year limited warranty for its products but it can extend for longer periods of three to five years for certain products sold to certain customers. The Company estimates the costs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exceed the accrual, in which case the cost of sales will increase in the future.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amount of accrued warranty was $0.45 million and $0.28 million, respectively.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2024</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Segment Reporting: Improvements to Reportable Segment Disclosures, which requires more detailed disclosures, on an annual and interim basis, related to the Company’s reportable segment. The guidance is effective for annual periods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S</w:t>
      </w:r>
      <w:r>
        <w:rPr>
          <w:rFonts w:ascii="Times New Roman" w:hAnsi="Times New Roman"/>
          <w:caps w:val="false"/>
          <w:smallCaps w:val="false"/>
          <w:sz w:val="20"/>
        </w:rPr>
        <w:t>egment and Geographic Information for further details about the impact of this ASU on the Company’s financial statements.</w:t>
      </w:r>
    </w:p>
    <w:p>
      <w:pPr>
        <w:pStyle w:val="TextBody"/>
        <w:bidi w:val="0"/>
        <w:spacing w:before="0" w:after="0"/>
        <w:ind w:left="160" w:right="0" w:hanging="0"/>
        <w:jc w:val="left"/>
        <w:rPr>
          <w:caps w:val="false"/>
          <w:smallCaps w:val="false"/>
        </w:rPr>
      </w:pPr>
      <w:r>
        <w:rPr>
          <w:caps w:val="false"/>
          <w:smallCaps w:val="false"/>
        </w:rPr>
        <w:t>         </w:t>
      </w:r>
      <w:r>
        <w:rPr>
          <w:caps w:val="false"/>
          <w:smallCaps w:val="false"/>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hanging="0"/>
        <w:jc w:val="left"/>
        <w:rPr/>
      </w:pPr>
      <w:r>
        <w:rPr/>
        <w:t> </w:t>
      </w:r>
    </w:p>
    <w:p>
      <w:pPr>
        <w:pStyle w:val="TextBody"/>
        <w:bidi w:val="0"/>
        <w:ind w:left="0" w:right="0" w:firstLine="720"/>
        <w:jc w:val="left"/>
        <w:rPr/>
      </w:pPr>
      <w:r>
        <w:rPr>
          <w:shd w:fill="FFFFFF" w:val="clear"/>
        </w:rPr>
        <w:t> </w:t>
      </w:r>
      <w:r>
        <w:rPr>
          <w:sz w:val="20"/>
          <w:shd w:fill="FFFFFF" w:val="clear"/>
        </w:rPr>
        <w:t xml:space="preserve">In </w:t>
      </w:r>
      <w:r>
        <w:rPr>
          <w:rStyle w:val="Emphasis"/>
          <w:sz w:val="20"/>
          <w:shd w:fill="FFFFFF" w:val="clear"/>
        </w:rPr>
        <w:t xml:space="preserve">May 2024, </w:t>
      </w:r>
      <w:r>
        <w:rPr>
          <w:sz w:val="20"/>
          <w:shd w:fill="FFFFFF" w:val="clear"/>
        </w:rPr>
        <w:t xml:space="preserve">the Financial Accounting Standard Board ("FASB") issued Accounting Standard Update ("ASU") </w:t>
      </w:r>
      <w:r>
        <w:rPr>
          <w:rStyle w:val="Emphasis"/>
          <w:sz w:val="20"/>
          <w:shd w:fill="FFFFFF" w:val="clear"/>
        </w:rPr>
        <w:t>2025</w:t>
      </w:r>
      <w:r>
        <w:rPr>
          <w:sz w:val="20"/>
          <w:shd w:fill="FFFFFF" w:val="clear"/>
        </w:rPr>
        <w:t>-</w:t>
      </w:r>
      <w:r>
        <w:rPr>
          <w:rStyle w:val="Emphasis"/>
          <w:sz w:val="20"/>
          <w:shd w:fill="FFFFFF" w:val="clear"/>
        </w:rPr>
        <w:t>04</w:t>
      </w:r>
      <w:r>
        <w:rPr>
          <w:sz w:val="20"/>
          <w:shd w:fill="FFFFFF" w:val="clear"/>
        </w:rPr>
        <w:t xml:space="preserve"> "Share-Based Consideration Payable to a Customer". The standard is effective for our </w:t>
      </w:r>
      <w:r>
        <w:rPr>
          <w:rStyle w:val="Emphasis"/>
          <w:sz w:val="20"/>
          <w:shd w:fill="FFFFFF" w:val="clear"/>
        </w:rPr>
        <w:t>2026</w:t>
      </w:r>
      <w:r>
        <w:rPr>
          <w:sz w:val="20"/>
          <w:shd w:fill="FFFFFF" w:val="clear"/>
        </w:rPr>
        <w:t xml:space="preserve"> annual period, and our interim periods beginning in </w:t>
      </w:r>
      <w:r>
        <w:rPr>
          <w:rStyle w:val="Emphasis"/>
          <w:sz w:val="20"/>
          <w:shd w:fill="FFFFFF" w:val="clear"/>
        </w:rPr>
        <w:t>2027.</w:t>
      </w:r>
      <w:r>
        <w:rPr>
          <w:sz w:val="20"/>
          <w:shd w:fill="FFFFFF" w:val="clear"/>
        </w:rPr>
        <w:t xml:space="preserve"> The Company is currently evaluating the impact of the new standard will have on its annual financial statements and related disclosures. </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In </w:t>
      </w:r>
      <w:r>
        <w:rPr>
          <w:rStyle w:val="Emphasis"/>
          <w:rFonts w:ascii="Times New Roman" w:hAnsi="Times New Roman"/>
          <w:caps w:val="false"/>
          <w:smallCaps w:val="false"/>
          <w:sz w:val="20"/>
          <w:shd w:fill="FFFFFF" w:val="clear"/>
        </w:rPr>
        <w:t xml:space="preserve"> November 2024, </w:t>
      </w:r>
      <w:r>
        <w:rPr>
          <w:rFonts w:ascii="Times New Roman" w:hAnsi="Times New Roman"/>
          <w:caps w:val="false"/>
          <w:smallCaps w:val="false"/>
          <w:sz w:val="20"/>
          <w:shd w:fill="FFFFFF" w:val="clear"/>
        </w:rPr>
        <w:t>the FASB issued ASU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03</w:t>
      </w:r>
      <w:r>
        <w:rPr>
          <w:rFonts w:ascii="Times New Roman" w:hAnsi="Times New Roman"/>
          <w:caps w:val="false"/>
          <w:smallCaps w:val="false"/>
          <w:sz w:val="20"/>
          <w:shd w:fill="FFFFFF" w:val="clear"/>
        </w:rPr>
        <w:t> "Income Statement: Reporting Comprehensive Income/Expense Disaggregation Disclosures (Subtopic </w:t>
      </w:r>
      <w:r>
        <w:rPr>
          <w:rStyle w:val="Emphasis"/>
          <w:rFonts w:ascii="Times New Roman" w:hAnsi="Times New Roman"/>
          <w:caps w:val="false"/>
          <w:smallCaps w:val="false"/>
          <w:sz w:val="20"/>
          <w:shd w:fill="FFFFFF" w:val="clear"/>
        </w:rPr>
        <w:t>220</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40</w:t>
      </w:r>
      <w:r>
        <w:rPr>
          <w:rFonts w:ascii="Times New Roman" w:hAnsi="Times New Roman"/>
          <w:caps w:val="false"/>
          <w:smallCaps w:val="false"/>
          <w:sz w:val="20"/>
          <w:shd w:fill="FFFFFF" w:val="clear"/>
        </w:rPr>
        <w:t>)" to improve the disclosures about an entity's expenses. Upon adoption, we will be required to disclose in the notes a disaggregation of certain expense categories included within the expense captions of the income statement. The standard is effective for our </w:t>
      </w:r>
      <w:r>
        <w:rPr>
          <w:rStyle w:val="Emphasis"/>
          <w:rFonts w:ascii="Times New Roman" w:hAnsi="Times New Roman"/>
          <w:caps w:val="false"/>
          <w:smallCaps w:val="false"/>
          <w:sz w:val="20"/>
          <w:shd w:fill="FFFFFF" w:val="clear"/>
        </w:rPr>
        <w:t>2027</w:t>
      </w:r>
      <w:r>
        <w:rPr>
          <w:rFonts w:ascii="Times New Roman" w:hAnsi="Times New Roman"/>
          <w:caps w:val="false"/>
          <w:smallCaps w:val="false"/>
          <w:sz w:val="20"/>
          <w:shd w:fill="FFFFFF" w:val="clear"/>
        </w:rPr>
        <w:t> annual period, and our interim periods beginning in </w:t>
      </w:r>
      <w:r>
        <w:rPr>
          <w:rStyle w:val="Emphasis"/>
          <w:rFonts w:ascii="Times New Roman" w:hAnsi="Times New Roman"/>
          <w:caps w:val="false"/>
          <w:smallCaps w:val="false"/>
          <w:sz w:val="20"/>
          <w:shd w:fill="FFFFFF" w:val="clear"/>
        </w:rPr>
        <w:t>2028.</w:t>
      </w:r>
      <w:r>
        <w:rPr>
          <w:rFonts w:ascii="Times New Roman" w:hAnsi="Times New Roman"/>
          <w:caps w:val="false"/>
          <w:smallCaps w:val="false"/>
          <w:sz w:val="20"/>
          <w:shd w:fill="FFFFFF" w:val="clear"/>
        </w:rPr>
        <w:t> The Company is currently evaluating the impact of the new standard will have on its annual financial statements and related disclosures.</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shd w:fill="FFFFFF" w:val="clear"/>
        </w:rPr>
        <w:t>In </w:t>
      </w:r>
      <w:r>
        <w:rPr>
          <w:rStyle w:val="Emphasis"/>
          <w:rFonts w:ascii="Times New Roman" w:hAnsi="Times New Roman"/>
          <w:caps w:val="false"/>
          <w:smallCaps w:val="false"/>
          <w:sz w:val="20"/>
          <w:shd w:fill="FFFFFF" w:val="clear"/>
        </w:rPr>
        <w:t xml:space="preserve"> December 2023, </w:t>
      </w:r>
      <w:r>
        <w:rPr>
          <w:rFonts w:ascii="Times New Roman" w:hAnsi="Times New Roman"/>
          <w:caps w:val="false"/>
          <w:smallCaps w:val="false"/>
          <w:sz w:val="20"/>
          <w:shd w:fill="FFFFFF" w:val="clear"/>
        </w:rPr>
        <w:t>the FASB issued ASU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09</w:t>
      </w:r>
      <w:r>
        <w:rPr>
          <w:rFonts w:ascii="Times New Roman" w:hAnsi="Times New Roman"/>
          <w:caps w:val="false"/>
          <w:smallCaps w:val="false"/>
          <w:sz w:val="20"/>
          <w:shd w:fill="FFFFFF" w:val="clear"/>
        </w:rPr>
        <w:t> "Income Taxes (Topic </w:t>
      </w:r>
      <w:r>
        <w:rPr>
          <w:rStyle w:val="Emphasis"/>
          <w:rFonts w:ascii="Times New Roman" w:hAnsi="Times New Roman"/>
          <w:caps w:val="false"/>
          <w:smallCaps w:val="false"/>
          <w:sz w:val="20"/>
          <w:shd w:fill="FFFFFF" w:val="clear"/>
        </w:rPr>
        <w:t>740</w:t>
      </w:r>
      <w:r>
        <w:rPr>
          <w:rFonts w:ascii="Times New Roman" w:hAnsi="Times New Roman"/>
          <w:caps w:val="false"/>
          <w:smallCaps w:val="false"/>
          <w:sz w:val="20"/>
          <w:shd w:fill="FFFFFF" w:val="clear"/>
        </w:rPr>
        <w:t>):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w:t>
      </w:r>
      <w:r>
        <w:rPr>
          <w:rStyle w:val="Emphasis"/>
          <w:rFonts w:ascii="Times New Roman" w:hAnsi="Times New Roman"/>
          <w:caps w:val="false"/>
          <w:smallCaps w:val="false"/>
          <w:sz w:val="20"/>
          <w:shd w:fill="FFFFFF" w:val="clear"/>
        </w:rPr>
        <w:t xml:space="preserve"> December 15, 2024, </w:t>
      </w:r>
      <w:r>
        <w:rPr>
          <w:rFonts w:ascii="Times New Roman" w:hAnsi="Times New Roman"/>
          <w:caps w:val="false"/>
          <w:smallCaps w:val="false"/>
          <w:sz w:val="20"/>
          <w:shd w:fill="FFFFFF" w:val="clear"/>
        </w:rPr>
        <w:t xml:space="preserve">with early adoption permitted.  ASU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09</w:t>
      </w:r>
      <w:r>
        <w:rPr>
          <w:rFonts w:ascii="Times New Roman" w:hAnsi="Times New Roman"/>
          <w:caps w:val="false"/>
          <w:smallCaps w:val="false"/>
          <w:sz w:val="20"/>
          <w:shd w:fill="FFFFFF" w:val="clear"/>
        </w:rPr>
        <w:t xml:space="preserve"> will be effective for the Company for the year ending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The adoption is expected to enhance the Company's Notes to the Consolidated Financial Statements. The Company is currently evaluating the impact the new standard will have on its annual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05—Financial</w:t>
      </w:r>
      <w:r>
        <w:rPr>
          <w:rFonts w:ascii="Times New Roman" w:hAnsi="Times New Roman"/>
          <w:caps w:val="false"/>
          <w:smallCaps w:val="false"/>
          <w:sz w:val="20"/>
        </w:rPr>
        <w:t xml:space="preserve">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which added a practical expedient that assumes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asset when estimating expected credit losses for current accounts receivable and current contract assets. The guidance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The Company plans to adopt this ASU on the effective date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impact on the Company’s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06—Intangibles—Goodwill</w:t>
      </w:r>
      <w:r>
        <w:rPr>
          <w:rFonts w:ascii="Times New Roman" w:hAnsi="Times New Roman"/>
          <w:caps w:val="false"/>
          <w:smallCaps w:val="false"/>
          <w:sz w:val="20"/>
        </w:rPr>
        <w:t xml:space="preserve"> and Other—Internal-Use Software (Subtopic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Targeted Improvements to the Accounting for Internal-Use Software, which removed the language around project stages that was used to assess when costs could be capitalized for an internal-use software. The update also requires internal-use software to be disclosed under the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Property, Plant, and Equipment guidance. The guidance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Company is currently assessing the impact of this ASU on the Company’s accounting policies and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"Segment and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4935"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95" w:type="dxa"/>
            <w:tcBorders/>
            <w:shd w:fill="CCEEFF" w:val="clear"/>
            <w:vAlign w:val="center"/>
          </w:tcPr>
          <w:p>
            <w:pPr>
              <w:pStyle w:val="TableContents"/>
              <w:bidi w:val="0"/>
              <w:spacing w:before="0" w:after="283"/>
              <w:ind w:left="0" w:right="0" w:hanging="0"/>
              <w:jc w:val="right"/>
              <w:rPr>
                <w:sz w:val="20"/>
              </w:rPr>
            </w:pPr>
            <w:r>
              <w:rPr>
                <w:sz w:val="20"/>
              </w:rPr>
              <w:t>70,602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sz w:val="20"/>
              </w:rPr>
            </w:pPr>
            <w:r>
              <w:rPr>
                <w:sz w:val="20"/>
              </w:rPr>
              <w:t>59.5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590" w:type="dxa"/>
            <w:tcBorders/>
            <w:shd w:fill="CCEEFF" w:val="clear"/>
            <w:vAlign w:val="center"/>
          </w:tcPr>
          <w:p>
            <w:pPr>
              <w:pStyle w:val="TableContents"/>
              <w:bidi w:val="0"/>
              <w:spacing w:before="0" w:after="283"/>
              <w:ind w:left="0" w:right="0" w:hanging="0"/>
              <w:jc w:val="right"/>
              <w:rPr>
                <w:sz w:val="20"/>
              </w:rPr>
            </w:pPr>
            <w:r>
              <w:rPr>
                <w:sz w:val="20"/>
              </w:rPr>
              <w:t>20,947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sz w:val="20"/>
              </w:rPr>
            </w:pPr>
            <w:r>
              <w:rPr>
                <w:sz w:val="20"/>
              </w:rPr>
              <w:t>32.2</w:t>
            </w:r>
          </w:p>
        </w:tc>
        <w:tc>
          <w:tcPr>
            <w:tcW w:w="185" w:type="dxa"/>
            <w:tcBorders/>
            <w:shd w:fill="CCEEFF" w:val="clear"/>
            <w:vAlign w:val="center"/>
          </w:tcPr>
          <w:p>
            <w:pPr>
              <w:pStyle w:val="TableContents"/>
              <w:bidi w:val="0"/>
              <w:spacing w:before="0" w:after="283"/>
              <w:jc w:val="left"/>
              <w:rPr>
                <w:sz w:val="20"/>
              </w:rPr>
            </w:pPr>
            <w:r>
              <w:rPr>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sz w:val="20"/>
              </w:rPr>
            </w:pPr>
            <w:r>
              <w:rPr>
                <w:sz w:val="20"/>
              </w:rPr>
              <w:t>43,935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sz w:val="20"/>
              </w:rPr>
            </w:pPr>
            <w:r>
              <w:rPr>
                <w:sz w:val="20"/>
              </w:rPr>
              <w:t>37.0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sz w:val="20"/>
              </w:rPr>
            </w:pPr>
            <w:r>
              <w:rPr>
                <w:sz w:val="20"/>
              </w:rPr>
              <w:t>40,945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sz w:val="20"/>
              </w:rPr>
            </w:pPr>
            <w:r>
              <w:rPr>
                <w:sz w:val="20"/>
              </w:rPr>
              <w:t>62.8</w:t>
            </w:r>
          </w:p>
        </w:tc>
        <w:tc>
          <w:tcPr>
            <w:tcW w:w="185" w:type="dxa"/>
            <w:tcBorders/>
            <w:shd w:fill="FFFFFF" w:val="clear"/>
            <w:vAlign w:val="center"/>
          </w:tcPr>
          <w:p>
            <w:pPr>
              <w:pStyle w:val="TableContents"/>
              <w:bidi w:val="0"/>
              <w:spacing w:before="0" w:after="283"/>
              <w:jc w:val="left"/>
              <w:rPr>
                <w:sz w:val="20"/>
              </w:rPr>
            </w:pPr>
            <w:r>
              <w:rPr>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sz w:val="20"/>
              </w:rPr>
            </w:pPr>
            <w:r>
              <w:rPr>
                <w:sz w:val="20"/>
              </w:rPr>
              <w:t>3,742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sz w:val="20"/>
              </w:rPr>
            </w:pPr>
            <w:r>
              <w:rPr>
                <w:sz w:val="20"/>
              </w:rPr>
              <w:t>3.2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sz w:val="20"/>
              </w:rPr>
            </w:pPr>
            <w:r>
              <w:rPr>
                <w:sz w:val="20"/>
              </w:rPr>
              <w:t>4.3</w:t>
            </w:r>
          </w:p>
        </w:tc>
        <w:tc>
          <w:tcPr>
            <w:tcW w:w="185" w:type="dxa"/>
            <w:tcBorders/>
            <w:shd w:fill="CCEEFF" w:val="clear"/>
            <w:vAlign w:val="center"/>
          </w:tcPr>
          <w:p>
            <w:pPr>
              <w:pStyle w:val="TableContents"/>
              <w:bidi w:val="0"/>
              <w:spacing w:before="0" w:after="283"/>
              <w:jc w:val="left"/>
              <w:rPr>
                <w:sz w:val="20"/>
              </w:rPr>
            </w:pPr>
            <w:r>
              <w:rPr>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0.3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0.7</w:t>
            </w:r>
          </w:p>
        </w:tc>
        <w:tc>
          <w:tcPr>
            <w:tcW w:w="185" w:type="dxa"/>
            <w:tcBorders/>
            <w:shd w:fill="FFFFFF" w:val="clear"/>
            <w:vAlign w:val="center"/>
          </w:tcPr>
          <w:p>
            <w:pPr>
              <w:pStyle w:val="TableContents"/>
              <w:bidi w:val="0"/>
              <w:spacing w:before="0" w:after="283"/>
              <w:jc w:val="left"/>
              <w:rPr>
                <w:sz w:val="20"/>
              </w:rPr>
            </w:pPr>
            <w:r>
              <w:rPr>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118,630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100.0</w:t>
            </w:r>
          </w:p>
        </w:tc>
        <w:tc>
          <w:tcPr>
            <w:tcW w:w="18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dates. Unearned revenue balance as of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2024</w:t>
      </w:r>
      <w:r>
        <w:rPr>
          <w:rFonts w:ascii="Times New Roman;Times;serif" w:hAnsi="Times New Roman;Times;serif"/>
          <w:sz w:val="20"/>
        </w:rPr>
        <w:t xml:space="preserve"> were both zero.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revenue recognized from the unearned revenue balance was $0 and $0.1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revenue recognized from the unearned revenue balance was $0 and $0.4 million, respectively. The unearned revenue was as follows for the periods indicated (in thousands):</w:t>
      </w:r>
    </w:p>
    <w:p>
      <w:pPr>
        <w:pStyle w:val="TextBody"/>
        <w:bidi w:val="0"/>
        <w:spacing w:before="0" w:after="0"/>
        <w:ind w:left="0" w:right="0" w:hanging="0"/>
        <w:jc w:val="left"/>
        <w:rPr/>
      </w:pPr>
      <w:r>
        <w:rPr/>
        <w:t>   </w:t>
      </w:r>
    </w:p>
    <w:tbl>
      <w:tblPr>
        <w:tblW w:w="9148" w:type="dxa"/>
        <w:jc w:val="left"/>
        <w:tblInd w:w="0" w:type="dxa"/>
        <w:tblLayout w:type="fixed"/>
        <w:tblCellMar>
          <w:top w:w="0" w:type="dxa"/>
          <w:left w:w="0" w:type="dxa"/>
          <w:bottom w:w="0" w:type="dxa"/>
          <w:right w:w="0" w:type="dxa"/>
        </w:tblCellMar>
      </w:tblPr>
      <w:tblGrid>
        <w:gridCol w:w="3200"/>
        <w:gridCol w:w="60"/>
        <w:gridCol w:w="325"/>
        <w:gridCol w:w="676"/>
        <w:gridCol w:w="156"/>
        <w:gridCol w:w="156"/>
        <w:gridCol w:w="325"/>
        <w:gridCol w:w="1261"/>
        <w:gridCol w:w="60"/>
        <w:gridCol w:w="60"/>
        <w:gridCol w:w="315"/>
        <w:gridCol w:w="655"/>
        <w:gridCol w:w="151"/>
        <w:gridCol w:w="151"/>
        <w:gridCol w:w="315"/>
        <w:gridCol w:w="1222"/>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5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283"/>
              <w:ind w:left="0" w:right="0" w:hanging="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6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unearned revenue</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pPr>
            <w:r>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12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6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sz w:val="20"/>
        </w:rPr>
        <w:t xml:space="preserve">On </w:t>
      </w:r>
      <w:r>
        <w:rPr>
          <w:rStyle w:val="Emphasis"/>
          <w:rFonts w:ascii="Times New Roman" w:hAnsi="Times New Roman"/>
          <w:sz w:val="20"/>
        </w:rPr>
        <w:t xml:space="preserve">March 13, 2025, </w:t>
      </w:r>
      <w:r>
        <w:rPr>
          <w:rFonts w:ascii="Times New Roman" w:hAnsi="Times New Roman"/>
          <w:sz w:val="20"/>
        </w:rPr>
        <w:t xml:space="preserve">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sz w:val="20"/>
        </w:rPr>
        <w:t xml:space="preserve">may </w:t>
      </w:r>
      <w:r>
        <w:rPr>
          <w:rFonts w:ascii="Times New Roman" w:hAnsi="Times New Roman"/>
          <w:sz w:val="20"/>
        </w:rPr>
        <w:t xml:space="preserve">vest over the next </w:t>
      </w:r>
      <w:r>
        <w:rPr>
          <w:rStyle w:val="Emphasis"/>
          <w:rFonts w:ascii="Times New Roman" w:hAnsi="Times New Roman"/>
          <w:sz w:val="20"/>
        </w:rPr>
        <w:t>10</w:t>
      </w:r>
      <w:r>
        <w:rPr>
          <w:rFonts w:ascii="Times New Roman" w:hAnsi="Times New Roman"/>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transferred.The grant date fair value of the Customer Warrant was determined to be $12.64 per share, using the Black-Scholes-Merton option pricing model. </w:t>
      </w:r>
    </w:p>
    <w:p>
      <w:pPr>
        <w:pStyle w:val="TextBody"/>
        <w:bidi w:val="0"/>
        <w:spacing w:before="0" w:after="0"/>
        <w:ind w:left="0" w:right="0" w:firstLine="720"/>
        <w:jc w:val="both"/>
        <w:rPr/>
      </w:pPr>
      <w:r>
        <w:rPr/>
        <w:t> </w:t>
      </w:r>
    </w:p>
    <w:p>
      <w:pPr>
        <w:pStyle w:val="TextBody"/>
        <w:bidi w:val="0"/>
        <w:ind w:left="0" w:right="0" w:firstLine="720"/>
        <w:jc w:val="left"/>
        <w:rPr>
          <w:sz w:val="20"/>
        </w:rPr>
      </w:pPr>
      <w:r>
        <w:rPr>
          <w:sz w:val="20"/>
        </w:rPr>
        <w:t xml:space="preserve">The per share grant date fair value of the Customer Warrant was estimated using the following assumptions: </w:t>
      </w:r>
    </w:p>
    <w:p>
      <w:pPr>
        <w:pStyle w:val="TextBody"/>
        <w:bidi w:val="0"/>
        <w:spacing w:before="0" w:after="0"/>
        <w:ind w:left="0" w:right="0" w:firstLine="720"/>
        <w:jc w:val="both"/>
        <w:rPr/>
      </w:pPr>
      <w:r>
        <w:rPr/>
        <w:t> </w:t>
      </w:r>
    </w:p>
    <w:tbl>
      <w:tblPr>
        <w:tblW w:w="4934" w:type="dxa"/>
        <w:jc w:val="left"/>
        <w:tblInd w:w="0" w:type="dxa"/>
        <w:tblLayout w:type="fixed"/>
        <w:tblCellMar>
          <w:top w:w="0" w:type="dxa"/>
          <w:left w:w="0" w:type="dxa"/>
          <w:bottom w:w="0" w:type="dxa"/>
          <w:right w:w="0" w:type="dxa"/>
        </w:tblCellMar>
      </w:tblPr>
      <w:tblGrid>
        <w:gridCol w:w="3485"/>
        <w:gridCol w:w="60"/>
        <w:gridCol w:w="246"/>
        <w:gridCol w:w="958"/>
        <w:gridCol w:w="18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recognized approximately $4 million of revenue associated with customer arrangements that included the issuance of warrants. The impact of these arrangements on the Company’s consolidated financial statements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the periods presented.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Company recorded other current asset of $1.7 million and other noncurrent asset of $15.0 million, representing the aggregate grant-date fair value of 1,324,233 Warrant Shares vested at the issuance.</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leases space under non-cancellable operating leases for manufacturing facilities, research and development offices and certain storage facilities and apartments. These leases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caps w:val="false"/>
          <w:smallCaps w:val="false"/>
          <w:sz w:val="20"/>
        </w:rPr>
        <w:t>one</w:t>
      </w:r>
      <w:r>
        <w:rPr>
          <w:rFonts w:ascii="Times New Roman" w:hAnsi="Times New Roman"/>
          <w:caps w:val="false"/>
          <w:smallCaps w:val="false"/>
          <w:sz w:val="20"/>
        </w:rPr>
        <w:t>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On </w:t>
      </w:r>
      <w:r>
        <w:rPr>
          <w:rStyle w:val="Emphasis"/>
          <w:rFonts w:ascii="Times New Roman" w:hAnsi="Times New Roman"/>
          <w:sz w:val="20"/>
        </w:rPr>
        <w:t xml:space="preserve"> October 7, 2024, </w:t>
      </w:r>
      <w:r>
        <w:rPr>
          <w:rFonts w:ascii="Times New Roman" w:hAnsi="Times New Roman"/>
          <w:sz w:val="20"/>
        </w:rPr>
        <w:t>Prime World entered into a Land and Building Lease Agreement with San Ho Enterprise Co., Ltd. ("San Ho Enterprise"), under which Prime World will lease approximately 38,072 square feet, of </w:t>
      </w:r>
      <w:r>
        <w:rPr>
          <w:rStyle w:val="Emphasis"/>
          <w:rFonts w:ascii="Times New Roman" w:hAnsi="Times New Roman"/>
          <w:sz w:val="20"/>
        </w:rPr>
        <w:t>two</w:t>
      </w:r>
      <w:r>
        <w:rPr>
          <w:rFonts w:ascii="Times New Roman" w:hAnsi="Times New Roman"/>
          <w:sz w:val="20"/>
        </w:rPr>
        <w:t> adjoining parcels of land, in New Taipei City. The lease also includes a building on these parcels, totaling approximately 3,406 square meters, or approximately 36,662 square feet. The lease term is for fifteen years, commencing on </w:t>
      </w:r>
      <w:r>
        <w:rPr>
          <w:rStyle w:val="Emphasis"/>
          <w:rFonts w:ascii="Times New Roman" w:hAnsi="Times New Roman"/>
          <w:sz w:val="20"/>
        </w:rPr>
        <w:t xml:space="preserve"> December 1, 2024, </w:t>
      </w:r>
      <w:r>
        <w:rPr>
          <w:rFonts w:ascii="Times New Roman" w:hAnsi="Times New Roman"/>
          <w:sz w:val="20"/>
        </w:rPr>
        <w:t>and ending on </w:t>
      </w:r>
      <w:r>
        <w:rPr>
          <w:rStyle w:val="Emphasis"/>
          <w:rFonts w:ascii="Times New Roman" w:hAnsi="Times New Roman"/>
          <w:sz w:val="20"/>
        </w:rPr>
        <w:t xml:space="preserve"> November 30, 2039. </w:t>
      </w:r>
      <w:r>
        <w:rPr>
          <w:rFonts w:ascii="Times New Roman" w:hAnsi="Times New Roman"/>
          <w:sz w:val="20"/>
        </w:rPr>
        <w:t>A </w:t>
      </w:r>
      <w:r>
        <w:rPr>
          <w:rStyle w:val="Emphasis"/>
          <w:rFonts w:ascii="Times New Roman" w:hAnsi="Times New Roman"/>
          <w:sz w:val="20"/>
        </w:rPr>
        <w:t>two</w:t>
      </w:r>
      <w:r>
        <w:rPr>
          <w:rFonts w:ascii="Times New Roman" w:hAnsi="Times New Roman"/>
          <w:sz w:val="20"/>
        </w:rPr>
        <w:t>-month renovation period from </w:t>
      </w:r>
      <w:r>
        <w:rPr>
          <w:rStyle w:val="Emphasis"/>
          <w:rFonts w:ascii="Times New Roman" w:hAnsi="Times New Roman"/>
          <w:sz w:val="20"/>
        </w:rPr>
        <w:t xml:space="preserve"> October 1 </w:t>
      </w:r>
      <w:r>
        <w:rPr>
          <w:rFonts w:ascii="Times New Roman" w:hAnsi="Times New Roman"/>
          <w:sz w:val="20"/>
        </w:rPr>
        <w:t>to </w:t>
      </w:r>
      <w:r>
        <w:rPr>
          <w:rStyle w:val="Emphasis"/>
          <w:rFonts w:ascii="Times New Roman" w:hAnsi="Times New Roman"/>
          <w:sz w:val="20"/>
        </w:rPr>
        <w:t xml:space="preserve"> November 30, 2024,  </w:t>
      </w:r>
      <w:r>
        <w:rPr>
          <w:rFonts w:ascii="Times New Roman" w:hAnsi="Times New Roman"/>
          <w:sz w:val="20"/>
        </w:rPr>
        <w:t>preceded the lease term, during which </w:t>
      </w:r>
      <w:r>
        <w:rPr>
          <w:rStyle w:val="Emphasis"/>
          <w:rFonts w:ascii="Times New Roman" w:hAnsi="Times New Roman"/>
          <w:sz w:val="20"/>
        </w:rPr>
        <w:t>no</w:t>
      </w:r>
      <w:r>
        <w:rPr>
          <w:rFonts w:ascii="Times New Roman" w:hAnsi="Times New Roman"/>
          <w:sz w:val="20"/>
        </w:rPr>
        <w:t> rent was charged by San Ho Enterprise. During the lease term, the monthly rent will increase by </w:t>
      </w:r>
      <w:r>
        <w:rPr>
          <w:rStyle w:val="Emphasis"/>
          <w:rFonts w:ascii="Times New Roman" w:hAnsi="Times New Roman"/>
          <w:sz w:val="20"/>
        </w:rPr>
        <w:t>three</w:t>
      </w:r>
      <w:r>
        <w:rPr>
          <w:rFonts w:ascii="Times New Roman" w:hAnsi="Times New Roman"/>
          <w:sz w:val="20"/>
        </w:rPr>
        <w:t> percent (3%) every </w:t>
      </w:r>
      <w:r>
        <w:rPr>
          <w:rStyle w:val="Emphasis"/>
          <w:rFonts w:ascii="Times New Roman" w:hAnsi="Times New Roman"/>
          <w:sz w:val="20"/>
        </w:rPr>
        <w:t>three</w:t>
      </w:r>
      <w:r>
        <w:rPr>
          <w:rFonts w:ascii="Times New Roman" w:hAnsi="Times New Roman"/>
          <w:sz w:val="20"/>
        </w:rPr>
        <w:t> years.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June 7, 2025, </w:t>
      </w:r>
      <w:r>
        <w:rPr>
          <w:rFonts w:ascii="Times New Roman" w:hAnsi="Times New Roman"/>
          <w:sz w:val="20"/>
        </w:rPr>
        <w:t xml:space="preserve">Prime World entered into a Land and Building Lease Agreement with San Ho Electric Machinery Industry Co., Ltd. ("San Ho Electric") in Taoyuan City. On </w:t>
      </w:r>
      <w:r>
        <w:rPr>
          <w:rStyle w:val="Emphasis"/>
          <w:rFonts w:ascii="Times New Roman" w:hAnsi="Times New Roman"/>
          <w:sz w:val="20"/>
        </w:rPr>
        <w:t>August 20, 2025,  </w:t>
      </w:r>
      <w:r>
        <w:rPr>
          <w:rFonts w:ascii="Times New Roman" w:hAnsi="Times New Roman"/>
          <w:sz w:val="20"/>
        </w:rPr>
        <w:t>Prime World terminated the lease with San Ho Electric and agreed to pay a termination fee in full settlement of rent, fees, damages and other amounts arising from the early termination of the lease.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Prime World entered into a Lease Agreement with International Games System Co., Ltd., under which Prime World will lease a parcel of land with a total area of approximately 65,580 square feet, in New Taipei City. The lease includes a building on the parcel, totaling approximately 346,212 square feet, excluding approximately 54,086 square feet of the leased property which has previously been leased to an existing tenant. The lease term is for fifteen years, commencing </w:t>
      </w:r>
      <w:r>
        <w:rPr>
          <w:rStyle w:val="Emphasis"/>
          <w:rFonts w:ascii="Times New Roman" w:hAnsi="Times New Roman"/>
          <w:caps w:val="false"/>
          <w:smallCaps w:val="false"/>
          <w:sz w:val="20"/>
        </w:rPr>
        <w:t xml:space="preserve">November 1, 2025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October 31, 2040.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-month renovation period from </w:t>
      </w:r>
      <w:r>
        <w:rPr>
          <w:rStyle w:val="Emphasis"/>
          <w:rFonts w:ascii="Times New Roman" w:hAnsi="Times New Roman"/>
          <w:caps w:val="false"/>
          <w:smallCaps w:val="false"/>
          <w:sz w:val="20"/>
        </w:rPr>
        <w:t xml:space="preserve">September 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October 1, 2025 </w:t>
      </w:r>
      <w:r>
        <w:rPr>
          <w:rFonts w:ascii="Times New Roman" w:hAnsi="Times New Roman"/>
          <w:caps w:val="false"/>
          <w:smallCaps w:val="false"/>
          <w:sz w:val="20"/>
        </w:rPr>
        <w:t xml:space="preserve">will precede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rent will be charged.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On </w:t>
      </w:r>
      <w:r>
        <w:rPr>
          <w:rStyle w:val="Emphasis"/>
          <w:rFonts w:ascii="Times New Roman" w:hAnsi="Times New Roman"/>
          <w:caps w:val="false"/>
          <w:smallCaps w:val="false"/>
          <w:sz w:val="20"/>
        </w:rPr>
        <w:t xml:space="preserve">October 28, 2025, </w:t>
      </w:r>
      <w:r>
        <w:rPr>
          <w:rFonts w:ascii="Times New Roman" w:hAnsi="Times New Roman"/>
          <w:caps w:val="false"/>
          <w:smallCaps w:val="false"/>
          <w:sz w:val="20"/>
        </w:rPr>
        <w:t xml:space="preserve">we entered into a lease to include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floor which was previously excluded in the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the Company entered into a Lease Agreement with Coleman Logistics Assets LLC (“Coleman”), pursuant to which the Company will lease approximately 209,665 square feet of space located at </w:t>
      </w:r>
      <w:r>
        <w:rPr>
          <w:rStyle w:val="Emphasis"/>
          <w:rFonts w:ascii="Times New Roman" w:hAnsi="Times New Roman"/>
          <w:caps w:val="false"/>
          <w:smallCaps w:val="false"/>
          <w:sz w:val="20"/>
        </w:rPr>
        <w:t>1111</w:t>
      </w:r>
      <w:r>
        <w:rPr>
          <w:rFonts w:ascii="Times New Roman" w:hAnsi="Times New Roman"/>
          <w:caps w:val="false"/>
          <w:smallCaps w:val="false"/>
          <w:sz w:val="20"/>
        </w:rPr>
        <w:t xml:space="preserve"> Gillingham Lane, Sugar Land, Texas </w:t>
      </w:r>
      <w:r>
        <w:rPr>
          <w:rStyle w:val="Emphasis"/>
          <w:rFonts w:ascii="Times New Roman" w:hAnsi="Times New Roman"/>
          <w:caps w:val="false"/>
          <w:smallCaps w:val="false"/>
          <w:sz w:val="20"/>
        </w:rPr>
        <w:t>77478.</w:t>
      </w:r>
      <w:r>
        <w:rPr>
          <w:rFonts w:ascii="Times New Roman" w:hAnsi="Times New Roman"/>
          <w:caps w:val="false"/>
          <w:smallCaps w:val="false"/>
          <w:sz w:val="20"/>
        </w:rPr>
        <w:t xml:space="preserve"> The leased premises will be used by the Company primarily for manufacturing and related operations. The lease has a term of 126 months, commencing on the earlier of (i) the date the Company commences manufacturing operations within the leased premises, (ii) the date on which the leasehold improvements are substantially completed, or (iii)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expiring approximately </w:t>
      </w:r>
      <w:r>
        <w:rPr>
          <w:rStyle w:val="Emphasis"/>
          <w:rFonts w:ascii="Times New Roman" w:hAnsi="Times New Roman"/>
          <w:caps w:val="false"/>
          <w:smallCaps w:val="false"/>
          <w:sz w:val="20"/>
        </w:rPr>
        <w:t>126</w:t>
      </w:r>
      <w:r>
        <w:rPr>
          <w:rFonts w:ascii="Times New Roman" w:hAnsi="Times New Roman"/>
          <w:caps w:val="false"/>
          <w:smallCaps w:val="false"/>
          <w:sz w:val="20"/>
        </w:rPr>
        <w:t xml:space="preserve"> months thereafter, unless earlier terminated in accordance with the lease. Coleman has agreed to provide a construction allowance toward the cost of leasehold improvements in an amount equal to the lesser of (i) the actual aggregate cost of such improvements or (ii) $1,886,985. Base rent under the lease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months of the term and thereafter increases on a scheduled basis through the end of the term, reflecting an average annual escalation of approximately 3.5%. Beginning in the </w:t>
      </w:r>
      <w:r>
        <w:rPr>
          <w:rStyle w:val="Emphasis"/>
          <w:rFonts w:ascii="Times New Roman" w:hAnsi="Times New Roman"/>
          <w:caps w:val="false"/>
          <w:smallCaps w:val="false"/>
          <w:sz w:val="20"/>
        </w:rPr>
        <w:t>eighth</w:t>
      </w:r>
      <w:r>
        <w:rPr>
          <w:rFonts w:ascii="Times New Roman" w:hAnsi="Times New Roman"/>
          <w:caps w:val="false"/>
          <w:smallCaps w:val="false"/>
          <w:sz w:val="20"/>
        </w:rPr>
        <w:t xml:space="preserve"> month of the term, base rent will be $7.44 per rentable square foot on an annual basis (approximately $129,992 per month), escalating periodically to $10.49 per rentable square foot on an annual basis (approximately $183,367 per month) during the final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the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Although the lease agreement was executed prior to </w:t>
      </w:r>
      <w:r>
        <w:rPr>
          <w:rStyle w:val="Emphasis"/>
          <w:rFonts w:ascii="Times New Roman" w:hAnsi="Times New Roman"/>
          <w:caps w:val="false"/>
          <w:smallCaps w:val="false"/>
          <w:sz w:val="20"/>
          <w:shd w:fill="FFFFFF" w:val="clear"/>
        </w:rPr>
        <w:t xml:space="preserve">September 30, 2025, </w:t>
      </w:r>
      <w:r>
        <w:rPr>
          <w:rFonts w:ascii="Times New Roman" w:hAnsi="Times New Roman"/>
          <w:caps w:val="false"/>
          <w:smallCaps w:val="false"/>
          <w:sz w:val="20"/>
          <w:shd w:fill="FFFFFF" w:val="clear"/>
        </w:rPr>
        <w:t xml:space="preserve">the lease had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yet commenced as of that date, as Coleman is currently completing required improvements to the leased premises. The Company expects the lease to commence in the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quarter of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at which time the Company will recognize a right-of-use (“ROU”) asset and a corresponding lease liability on its consolidated balance sheet. The total undiscounted lease payments over the initial lease term are approximately $21.9 million, which will be recognized upon lease commencement. No ROU asset or lease liability related to this agreement has been recorded as of </w:t>
      </w:r>
      <w:r>
        <w:rPr>
          <w:rStyle w:val="Emphasis"/>
          <w:rFonts w:ascii="Times New Roman" w:hAnsi="Times New Roman"/>
          <w:caps w:val="false"/>
          <w:smallCaps w:val="false"/>
          <w:sz w:val="20"/>
          <w:shd w:fill="FFFFFF" w:val="clear"/>
        </w:rPr>
        <w:t>September 30, 2025.</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b w:val="false"/>
          <w:sz w:val="20"/>
        </w:rPr>
        <w:t xml:space="preserve">Lease expense is included under general and administrative expenses and were $1.1 million and $0.4 million for the </w:t>
      </w:r>
      <w:r>
        <w:rPr>
          <w:rStyle w:val="Emphasis"/>
          <w:rFonts w:ascii="Times New Roman;Times;serif" w:hAnsi="Times New Roman;Times;serif"/>
          <w:b w:val="false"/>
          <w:sz w:val="20"/>
        </w:rPr>
        <w:t>three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September 30, 2025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2024</w:t>
      </w:r>
      <w:r>
        <w:rPr>
          <w:rFonts w:ascii="Times New Roman;Times;serif" w:hAnsi="Times New Roman;Times;serif"/>
          <w:b w:val="false"/>
          <w:sz w:val="20"/>
        </w:rPr>
        <w:t xml:space="preserve">, respectively. For the </w:t>
      </w:r>
      <w:r>
        <w:rPr>
          <w:rStyle w:val="Emphasis"/>
          <w:rFonts w:ascii="Times New Roman;Times;serif" w:hAnsi="Times New Roman;Times;serif"/>
          <w:b w:val="false"/>
          <w:sz w:val="20"/>
        </w:rPr>
        <w:t>nine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September 30, 2025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2024</w:t>
      </w:r>
      <w:r>
        <w:rPr>
          <w:rFonts w:ascii="Times New Roman;Times;serif" w:hAnsi="Times New Roman;Times;serif"/>
          <w:b w:val="false"/>
          <w:sz w:val="20"/>
        </w:rPr>
        <w:t>, lease expenses were $2.4 million and $1.1 million, respectively. The components of lease expense were as follows for the periods indicated (in thousands):</w:t>
      </w:r>
    </w:p>
    <w:p>
      <w:pPr>
        <w:pStyle w:val="TextBody"/>
        <w:bidi w:val="0"/>
        <w:spacing w:before="0" w:after="0"/>
        <w:ind w:left="0" w:right="0" w:hanging="0"/>
        <w:jc w:val="left"/>
        <w:rPr/>
      </w:pPr>
      <w:r>
        <w:rPr/>
        <w:t>  </w:t>
      </w:r>
    </w:p>
    <w:tbl>
      <w:tblPr>
        <w:tblW w:w="8020" w:type="dxa"/>
        <w:jc w:val="left"/>
        <w:tblInd w:w="0" w:type="dxa"/>
        <w:tblLayout w:type="fixed"/>
        <w:tblCellMar>
          <w:top w:w="0" w:type="dxa"/>
          <w:left w:w="0" w:type="dxa"/>
          <w:bottom w:w="0" w:type="dxa"/>
          <w:right w:w="0" w:type="dxa"/>
        </w:tblCellMar>
      </w:tblPr>
      <w:tblGrid>
        <w:gridCol w:w="2075"/>
        <w:gridCol w:w="60"/>
        <w:gridCol w:w="304"/>
        <w:gridCol w:w="1181"/>
        <w:gridCol w:w="146"/>
        <w:gridCol w:w="146"/>
        <w:gridCol w:w="304"/>
        <w:gridCol w:w="816"/>
        <w:gridCol w:w="60"/>
        <w:gridCol w:w="60"/>
        <w:gridCol w:w="262"/>
        <w:gridCol w:w="1017"/>
        <w:gridCol w:w="125"/>
        <w:gridCol w:w="125"/>
        <w:gridCol w:w="262"/>
        <w:gridCol w:w="1017"/>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20"/>
              </w:rPr>
            </w:pPr>
            <w:r>
              <w:rPr>
                <w:sz w:val="20"/>
              </w:rPr>
              <w:t>$</w:t>
            </w:r>
          </w:p>
        </w:tc>
        <w:tc>
          <w:tcPr>
            <w:tcW w:w="1181" w:type="dxa"/>
            <w:tcBorders/>
            <w:shd w:fill="CCEEFF" w:val="clear"/>
            <w:vAlign w:val="center"/>
          </w:tcPr>
          <w:p>
            <w:pPr>
              <w:pStyle w:val="TableContents"/>
              <w:bidi w:val="0"/>
              <w:spacing w:before="0" w:after="283"/>
              <w:jc w:val="right"/>
              <w:rPr>
                <w:sz w:val="20"/>
              </w:rPr>
            </w:pPr>
            <w:r>
              <w:rPr>
                <w:sz w:val="20"/>
              </w:rPr>
              <w:t>840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20"/>
              </w:rPr>
            </w:pPr>
            <w:r>
              <w:rPr>
                <w:sz w:val="20"/>
              </w:rPr>
              <w:t>$</w:t>
            </w:r>
          </w:p>
        </w:tc>
        <w:tc>
          <w:tcPr>
            <w:tcW w:w="816" w:type="dxa"/>
            <w:tcBorders/>
            <w:shd w:fill="CCEEFF" w:val="clear"/>
            <w:vAlign w:val="center"/>
          </w:tcPr>
          <w:p>
            <w:pPr>
              <w:pStyle w:val="TableContents"/>
              <w:bidi w:val="0"/>
              <w:spacing w:before="0" w:after="283"/>
              <w:jc w:val="right"/>
              <w:rPr>
                <w:sz w:val="20"/>
              </w:rPr>
            </w:pPr>
            <w:r>
              <w:rPr>
                <w:sz w:val="20"/>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20"/>
              </w:rPr>
            </w:pPr>
            <w:r>
              <w:rPr>
                <w:sz w:val="20"/>
              </w:rPr>
              <w:t>$</w:t>
            </w:r>
          </w:p>
        </w:tc>
        <w:tc>
          <w:tcPr>
            <w:tcW w:w="1017" w:type="dxa"/>
            <w:tcBorders/>
            <w:shd w:fill="CCEEFF" w:val="clear"/>
            <w:vAlign w:val="center"/>
          </w:tcPr>
          <w:p>
            <w:pPr>
              <w:pStyle w:val="TableContents"/>
              <w:bidi w:val="0"/>
              <w:spacing w:before="0" w:after="283"/>
              <w:jc w:val="right"/>
              <w:rPr>
                <w:sz w:val="20"/>
              </w:rPr>
            </w:pPr>
            <w:r>
              <w:rPr>
                <w:sz w:val="20"/>
              </w:rPr>
              <w:t>1,771</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20"/>
              </w:rPr>
            </w:pPr>
            <w:r>
              <w:rPr>
                <w:sz w:val="20"/>
              </w:rPr>
              <w:t>$</w:t>
            </w:r>
          </w:p>
        </w:tc>
        <w:tc>
          <w:tcPr>
            <w:tcW w:w="1017" w:type="dxa"/>
            <w:tcBorders/>
            <w:shd w:fill="CCEEFF" w:val="clear"/>
            <w:vAlign w:val="center"/>
          </w:tcPr>
          <w:p>
            <w:pPr>
              <w:pStyle w:val="TableContents"/>
              <w:bidi w:val="0"/>
              <w:spacing w:before="0" w:after="283"/>
              <w:jc w:val="right"/>
              <w:rPr>
                <w:sz w:val="20"/>
              </w:rPr>
            </w:pPr>
            <w:r>
              <w:rPr>
                <w:sz w:val="20"/>
              </w:rPr>
              <w:t>1,028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614</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62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2,385</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September 30, 2025</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25" w:type="dxa"/>
        <w:jc w:val="left"/>
        <w:tblInd w:w="0" w:type="dxa"/>
        <w:tblLayout w:type="fixed"/>
        <w:tblCellMar>
          <w:top w:w="0" w:type="dxa"/>
          <w:left w:w="0" w:type="dxa"/>
          <w:bottom w:w="0" w:type="dxa"/>
          <w:right w:w="0" w:type="dxa"/>
        </w:tblCellMar>
      </w:tblPr>
      <w:tblGrid>
        <w:gridCol w:w="2225"/>
        <w:gridCol w:w="60"/>
        <w:gridCol w:w="150"/>
        <w:gridCol w:w="710"/>
        <w:gridCol w:w="80"/>
      </w:tblGrid>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3 months)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3,246</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3,206</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3,211</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35,781</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49,290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8579" w:type="dxa"/>
        <w:jc w:val="left"/>
        <w:tblInd w:w="0" w:type="dxa"/>
        <w:tblLayout w:type="fixed"/>
        <w:tblCellMar>
          <w:top w:w="0" w:type="dxa"/>
          <w:left w:w="0" w:type="dxa"/>
          <w:bottom w:w="0" w:type="dxa"/>
          <w:right w:w="0" w:type="dxa"/>
        </w:tblCellMar>
      </w:tblPr>
      <w:tblGrid>
        <w:gridCol w:w="5525"/>
        <w:gridCol w:w="60"/>
        <w:gridCol w:w="137"/>
        <w:gridCol w:w="1108"/>
        <w:gridCol w:w="422"/>
        <w:gridCol w:w="137"/>
        <w:gridCol w:w="137"/>
        <w:gridCol w:w="868"/>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422"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422"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633" w:type="dxa"/>
        <w:jc w:val="left"/>
        <w:tblInd w:w="0" w:type="dxa"/>
        <w:tblLayout w:type="fixed"/>
        <w:tblCellMar>
          <w:top w:w="0" w:type="dxa"/>
          <w:left w:w="0" w:type="dxa"/>
          <w:bottom w:w="0" w:type="dxa"/>
          <w:right w:w="0" w:type="dxa"/>
        </w:tblCellMar>
      </w:tblPr>
      <w:tblGrid>
        <w:gridCol w:w="5705"/>
        <w:gridCol w:w="60"/>
        <w:gridCol w:w="295"/>
        <w:gridCol w:w="1145"/>
        <w:gridCol w:w="141"/>
        <w:gridCol w:w="141"/>
        <w:gridCol w:w="295"/>
        <w:gridCol w:w="791"/>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40" w:type="dxa"/>
            <w:gridSpan w:val="2"/>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8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418" w:type="dxa"/>
        <w:jc w:val="left"/>
        <w:tblInd w:w="0" w:type="dxa"/>
        <w:tblLayout w:type="fixed"/>
        <w:tblCellMar>
          <w:top w:w="0" w:type="dxa"/>
          <w:left w:w="0" w:type="dxa"/>
          <w:bottom w:w="0" w:type="dxa"/>
          <w:right w:w="0" w:type="dxa"/>
        </w:tblCellMar>
      </w:tblPr>
      <w:tblGrid>
        <w:gridCol w:w="6845"/>
        <w:gridCol w:w="60"/>
        <w:gridCol w:w="180"/>
        <w:gridCol w:w="1009"/>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Restricted cash includes guarantee deposits for customs duties, a China government subsidy fund, and deposits as collateral in order to secure bank acceptance notes issued to vendors. As of </w:t>
      </w:r>
      <w:r>
        <w:rPr>
          <w:rStyle w:val="Emphasis"/>
          <w:rFonts w:ascii="Times New Roman" w:hAnsi="Times New Roman"/>
          <w:sz w:val="20"/>
        </w:rPr>
        <w:t xml:space="preserve"> September 30,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there were $9.7 million and $8.5 million of restricted cash required for bank acceptance notes issued to vendors, respectively. In addition, as of </w:t>
      </w:r>
      <w:r>
        <w:rPr>
          <w:rStyle w:val="Emphasis"/>
          <w:rFonts w:ascii="Times New Roman" w:hAnsi="Times New Roman"/>
          <w:sz w:val="20"/>
        </w:rPr>
        <w:t xml:space="preserve"> September 30,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certificates of deposit associated with credit facilities with a bank in China were $0 and $2.5 million, respectively. There were $1.0 million and $0.7 million guarantee deposits for customs duties as of </w:t>
      </w:r>
      <w:r>
        <w:rPr>
          <w:rStyle w:val="Emphasis"/>
          <w:rFonts w:ascii="Times New Roman" w:hAnsi="Times New Roman"/>
          <w:sz w:val="20"/>
        </w:rPr>
        <w:t xml:space="preserve"> September 30,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respectively. There were $3.0 million and $0 government subsidy funds as of </w:t>
      </w:r>
      <w:r>
        <w:rPr>
          <w:rStyle w:val="Emphasis"/>
          <w:rFonts w:ascii="Times New Roman" w:hAnsi="Times New Roman"/>
          <w:sz w:val="20"/>
        </w:rPr>
        <w:t xml:space="preserve"> September 30,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xml:space="preserve">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 On </w:t>
      </w:r>
      <w:r>
        <w:rPr>
          <w:rStyle w:val="Emphasis"/>
          <w:rFonts w:ascii="Times New Roman;Times;serif" w:hAnsi="Times New Roman;Times;serif"/>
          <w:sz w:val="20"/>
        </w:rPr>
        <w:t xml:space="preserve">March 13, 2025, </w:t>
      </w:r>
      <w:r>
        <w:rPr>
          <w:rFonts w:ascii="Times New Roman;Times;serif" w:hAnsi="Times New Roman;Times;serif"/>
          <w:sz w:val="20"/>
        </w:rPr>
        <w:t xml:space="preserve">the Company issued 7,945,399 stock warrants to a subsidiary of Amazon, and 1,324,233 warrants have been vested upon signing the warrant agreement. For the three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such warrants are in the money, the warrants are considered dilutive instruments;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such warrants are out of money, they are </w:t>
      </w:r>
      <w:r>
        <w:rPr>
          <w:rStyle w:val="Emphasis"/>
          <w:rFonts w:ascii="Times New Roman;Times;serif" w:hAnsi="Times New Roman;Times;serif"/>
          <w:sz w:val="20"/>
        </w:rPr>
        <w:t>not</w:t>
      </w:r>
      <w:r>
        <w:rPr>
          <w:rFonts w:ascii="Times New Roman;Times;serif" w:hAnsi="Times New Roman;Times;serif"/>
          <w:sz w:val="20"/>
        </w:rPr>
        <w:t xml:space="preserve"> considered dilutive instruments.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456"/>
        <w:gridCol w:w="60"/>
        <w:gridCol w:w="205"/>
        <w:gridCol w:w="1068"/>
        <w:gridCol w:w="131"/>
        <w:gridCol w:w="97"/>
        <w:gridCol w:w="205"/>
        <w:gridCol w:w="1068"/>
        <w:gridCol w:w="80"/>
        <w:gridCol w:w="60"/>
        <w:gridCol w:w="198"/>
        <w:gridCol w:w="1036"/>
        <w:gridCol w:w="127"/>
        <w:gridCol w:w="95"/>
        <w:gridCol w:w="198"/>
        <w:gridCol w:w="1036"/>
        <w:gridCol w:w="85"/>
      </w:tblGrid>
      <w:tr>
        <w:trPr/>
        <w:tc>
          <w:tcPr>
            <w:tcW w:w="4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85" w:type="dxa"/>
            <w:tcBorders/>
            <w:shd w:fill="FFFF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5"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(17,936</w:t>
            </w:r>
          </w:p>
        </w:tc>
        <w:tc>
          <w:tcPr>
            <w:tcW w:w="131"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(17,757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(36,206</w:t>
            </w:r>
          </w:p>
        </w:tc>
        <w:tc>
          <w:tcPr>
            <w:tcW w:w="127" w:type="dxa"/>
            <w:tcBorders/>
            <w:shd w:fill="FFFFFF" w:val="clear"/>
            <w:vAlign w:val="center"/>
          </w:tcPr>
          <w:p>
            <w:pPr>
              <w:pStyle w:val="TableContents"/>
              <w:bidi w:val="0"/>
              <w:spacing w:before="0" w:after="283"/>
              <w:jc w:val="left"/>
              <w:rPr>
                <w:sz w:val="20"/>
              </w:rPr>
            </w:pPr>
            <w:r>
              <w:rPr>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(67,042</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sz w:val="20"/>
              </w:rPr>
            </w:pPr>
            <w:r>
              <w:rPr>
                <w:sz w:val="20"/>
              </w:rPr>
              <w:t>63,329</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sz w:val="20"/>
              </w:rPr>
            </w:pPr>
            <w:r>
              <w:rPr>
                <w:sz w:val="20"/>
              </w:rPr>
              <w:t>42,312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sz w:val="20"/>
              </w:rPr>
            </w:pPr>
            <w:r>
              <w:rPr>
                <w:sz w:val="20"/>
              </w:rPr>
              <w:t>56,762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sz w:val="20"/>
              </w:rPr>
            </w:pPr>
            <w:r>
              <w:rPr>
                <w:sz w:val="20"/>
              </w:rPr>
              <w:t>40,021</w:t>
            </w:r>
          </w:p>
        </w:tc>
        <w:tc>
          <w:tcPr>
            <w:tcW w:w="85"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sz w:val="20"/>
              </w:rPr>
            </w:pPr>
            <w:r>
              <w:rPr>
                <w:sz w:val="20"/>
              </w:rPr>
              <w:t>63,329</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sz w:val="20"/>
              </w:rPr>
            </w:pPr>
            <w:r>
              <w:rPr>
                <w:sz w:val="20"/>
              </w:rPr>
              <w:t>42,312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sz w:val="20"/>
              </w:rPr>
            </w:pPr>
            <w:r>
              <w:rPr>
                <w:sz w:val="20"/>
              </w:rPr>
              <w:t>56,762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sz w:val="20"/>
              </w:rPr>
            </w:pPr>
            <w:r>
              <w:rPr>
                <w:sz w:val="20"/>
              </w:rPr>
              <w:t>40,021</w:t>
            </w:r>
          </w:p>
        </w:tc>
        <w:tc>
          <w:tcPr>
            <w:tcW w:w="85"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27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4" w:type="dxa"/>
            <w:gridSpan w:val="2"/>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sz w:val="20"/>
              </w:rPr>
            </w:pPr>
            <w:r>
              <w:rPr>
                <w:sz w:val="20"/>
              </w:rPr>
              <w:t>$</w:t>
            </w:r>
          </w:p>
        </w:tc>
        <w:tc>
          <w:tcPr>
            <w:tcW w:w="1068" w:type="dxa"/>
            <w:tcBorders/>
            <w:shd w:fill="FFFFFF" w:val="clear"/>
            <w:vAlign w:val="center"/>
          </w:tcPr>
          <w:p>
            <w:pPr>
              <w:pStyle w:val="TableContents"/>
              <w:bidi w:val="0"/>
              <w:spacing w:before="0" w:after="283"/>
              <w:ind w:left="0" w:right="0" w:hanging="0"/>
              <w:jc w:val="right"/>
              <w:rPr>
                <w:sz w:val="20"/>
              </w:rPr>
            </w:pPr>
            <w:r>
              <w:rPr>
                <w:sz w:val="20"/>
              </w:rPr>
              <w:t>(0.28</w:t>
            </w:r>
          </w:p>
        </w:tc>
        <w:tc>
          <w:tcPr>
            <w:tcW w:w="131"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sz w:val="20"/>
              </w:rPr>
            </w:pPr>
            <w:r>
              <w:rPr>
                <w:sz w:val="20"/>
              </w:rPr>
              <w:t>$</w:t>
            </w:r>
          </w:p>
        </w:tc>
        <w:tc>
          <w:tcPr>
            <w:tcW w:w="1068" w:type="dxa"/>
            <w:tcBorders/>
            <w:shd w:fill="FFFFFF" w:val="clear"/>
            <w:vAlign w:val="center"/>
          </w:tcPr>
          <w:p>
            <w:pPr>
              <w:pStyle w:val="TableContents"/>
              <w:bidi w:val="0"/>
              <w:spacing w:before="0" w:after="283"/>
              <w:ind w:left="0" w:right="0" w:hanging="0"/>
              <w:jc w:val="right"/>
              <w:rPr>
                <w:sz w:val="20"/>
              </w:rPr>
            </w:pPr>
            <w:r>
              <w:rPr>
                <w:sz w:val="20"/>
              </w:rPr>
              <w:t>(0.42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sz w:val="20"/>
              </w:rPr>
            </w:pPr>
            <w:r>
              <w:rPr>
                <w:sz w:val="20"/>
              </w:rPr>
              <w:t>$</w:t>
            </w:r>
          </w:p>
        </w:tc>
        <w:tc>
          <w:tcPr>
            <w:tcW w:w="1036" w:type="dxa"/>
            <w:tcBorders/>
            <w:shd w:fill="FFFFFF" w:val="clear"/>
            <w:vAlign w:val="center"/>
          </w:tcPr>
          <w:p>
            <w:pPr>
              <w:pStyle w:val="TableContents"/>
              <w:bidi w:val="0"/>
              <w:spacing w:before="0" w:after="283"/>
              <w:ind w:left="0" w:right="0" w:hanging="0"/>
              <w:jc w:val="right"/>
              <w:rPr>
                <w:sz w:val="20"/>
              </w:rPr>
            </w:pPr>
            <w:r>
              <w:rPr>
                <w:sz w:val="20"/>
              </w:rPr>
              <w:t>(0.64</w:t>
            </w:r>
          </w:p>
        </w:tc>
        <w:tc>
          <w:tcPr>
            <w:tcW w:w="127" w:type="dxa"/>
            <w:tcBorders/>
            <w:shd w:fill="FFFFFF" w:val="clear"/>
            <w:vAlign w:val="center"/>
          </w:tcPr>
          <w:p>
            <w:pPr>
              <w:pStyle w:val="TableContents"/>
              <w:bidi w:val="0"/>
              <w:spacing w:before="0" w:after="283"/>
              <w:jc w:val="left"/>
              <w:rPr>
                <w:sz w:val="20"/>
              </w:rPr>
            </w:pPr>
            <w:r>
              <w:rPr>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sz w:val="20"/>
              </w:rPr>
            </w:pPr>
            <w:r>
              <w:rPr>
                <w:sz w:val="20"/>
              </w:rPr>
              <w:t>$</w:t>
            </w:r>
          </w:p>
        </w:tc>
        <w:tc>
          <w:tcPr>
            <w:tcW w:w="1036" w:type="dxa"/>
            <w:tcBorders/>
            <w:shd w:fill="FFFFFF" w:val="clear"/>
            <w:vAlign w:val="center"/>
          </w:tcPr>
          <w:p>
            <w:pPr>
              <w:pStyle w:val="TableContents"/>
              <w:bidi w:val="0"/>
              <w:spacing w:before="0" w:after="283"/>
              <w:ind w:left="0" w:right="0" w:hanging="0"/>
              <w:jc w:val="right"/>
              <w:rPr>
                <w:sz w:val="20"/>
              </w:rPr>
            </w:pPr>
            <w:r>
              <w:rPr>
                <w:sz w:val="20"/>
              </w:rPr>
              <w:t>(1.68</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4456"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sz w:val="20"/>
              </w:rPr>
            </w:pPr>
            <w:r>
              <w:rPr>
                <w:sz w:val="20"/>
              </w:rPr>
              <w:t>$</w:t>
            </w:r>
          </w:p>
        </w:tc>
        <w:tc>
          <w:tcPr>
            <w:tcW w:w="1068" w:type="dxa"/>
            <w:tcBorders/>
            <w:shd w:fill="CCEEFF" w:val="clear"/>
            <w:vAlign w:val="center"/>
          </w:tcPr>
          <w:p>
            <w:pPr>
              <w:pStyle w:val="TableContents"/>
              <w:bidi w:val="0"/>
              <w:spacing w:before="0" w:after="283"/>
              <w:ind w:left="0" w:right="0" w:hanging="0"/>
              <w:jc w:val="right"/>
              <w:rPr>
                <w:sz w:val="20"/>
              </w:rPr>
            </w:pPr>
            <w:r>
              <w:rPr>
                <w:sz w:val="20"/>
              </w:rPr>
              <w:t>(0.28</w:t>
            </w:r>
          </w:p>
        </w:tc>
        <w:tc>
          <w:tcPr>
            <w:tcW w:w="131"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sz w:val="20"/>
              </w:rPr>
            </w:pPr>
            <w:r>
              <w:rPr>
                <w:sz w:val="20"/>
              </w:rPr>
              <w:t>$</w:t>
            </w:r>
          </w:p>
        </w:tc>
        <w:tc>
          <w:tcPr>
            <w:tcW w:w="1068" w:type="dxa"/>
            <w:tcBorders/>
            <w:shd w:fill="CCEEFF" w:val="clear"/>
            <w:vAlign w:val="center"/>
          </w:tcPr>
          <w:p>
            <w:pPr>
              <w:pStyle w:val="TableContents"/>
              <w:bidi w:val="0"/>
              <w:spacing w:before="0" w:after="283"/>
              <w:ind w:left="0" w:right="0" w:hanging="0"/>
              <w:jc w:val="right"/>
              <w:rPr>
                <w:sz w:val="20"/>
              </w:rPr>
            </w:pPr>
            <w:r>
              <w:rPr>
                <w:sz w:val="20"/>
              </w:rPr>
              <w:t>(0.42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036" w:type="dxa"/>
            <w:tcBorders/>
            <w:shd w:fill="CCEEFF" w:val="clear"/>
            <w:vAlign w:val="center"/>
          </w:tcPr>
          <w:p>
            <w:pPr>
              <w:pStyle w:val="TableContents"/>
              <w:bidi w:val="0"/>
              <w:spacing w:before="0" w:after="283"/>
              <w:ind w:left="0" w:right="0" w:hanging="0"/>
              <w:jc w:val="right"/>
              <w:rPr>
                <w:sz w:val="20"/>
              </w:rPr>
            </w:pPr>
            <w:r>
              <w:rPr>
                <w:sz w:val="20"/>
              </w:rPr>
              <w:t>(0.64</w:t>
            </w:r>
          </w:p>
        </w:tc>
        <w:tc>
          <w:tcPr>
            <w:tcW w:w="127"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sz w:val="20"/>
              </w:rPr>
            </w:pPr>
            <w:r>
              <w:rPr>
                <w:sz w:val="20"/>
              </w:rPr>
              <w:t>$</w:t>
            </w:r>
          </w:p>
        </w:tc>
        <w:tc>
          <w:tcPr>
            <w:tcW w:w="1036" w:type="dxa"/>
            <w:tcBorders/>
            <w:shd w:fill="CCEEFF" w:val="clear"/>
            <w:vAlign w:val="center"/>
          </w:tcPr>
          <w:p>
            <w:pPr>
              <w:pStyle w:val="TableContents"/>
              <w:bidi w:val="0"/>
              <w:spacing w:before="0" w:after="283"/>
              <w:ind w:left="0" w:right="0" w:hanging="0"/>
              <w:jc w:val="right"/>
              <w:rPr>
                <w:sz w:val="20"/>
              </w:rPr>
            </w:pPr>
            <w:r>
              <w:rPr>
                <w:sz w:val="20"/>
              </w:rPr>
              <w:t>(1.68</w:t>
            </w:r>
          </w:p>
        </w:tc>
        <w:tc>
          <w:tcPr>
            <w:tcW w:w="8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8754" w:type="dxa"/>
        <w:jc w:val="left"/>
        <w:tblInd w:w="0" w:type="dxa"/>
        <w:tblLayout w:type="fixed"/>
        <w:tblCellMar>
          <w:top w:w="0" w:type="dxa"/>
          <w:left w:w="0" w:type="dxa"/>
          <w:bottom w:w="0" w:type="dxa"/>
          <w:right w:w="0" w:type="dxa"/>
        </w:tblCellMar>
      </w:tblPr>
      <w:tblGrid>
        <w:gridCol w:w="2810"/>
        <w:gridCol w:w="60"/>
        <w:gridCol w:w="143"/>
        <w:gridCol w:w="1162"/>
        <w:gridCol w:w="143"/>
        <w:gridCol w:w="143"/>
        <w:gridCol w:w="143"/>
        <w:gridCol w:w="1162"/>
        <w:gridCol w:w="60"/>
        <w:gridCol w:w="60"/>
        <w:gridCol w:w="139"/>
        <w:gridCol w:w="1126"/>
        <w:gridCol w:w="139"/>
        <w:gridCol w:w="139"/>
        <w:gridCol w:w="139"/>
        <w:gridCol w:w="112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sz w:val="20"/>
              </w:rPr>
            </w:pPr>
            <w:r>
              <w:rPr>
                <w:sz w:val="20"/>
              </w:rPr>
              <w:t>2,248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sz w:val="20"/>
              </w:rPr>
            </w:pPr>
            <w:r>
              <w:rPr>
                <w:sz w:val="20"/>
              </w:rPr>
              <w:t>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sz w:val="20"/>
              </w:rPr>
            </w:pPr>
            <w:r>
              <w:rPr>
                <w:sz w:val="20"/>
              </w:rPr>
              <w:t>2,435</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sz w:val="20"/>
              </w:rPr>
            </w:pPr>
            <w:r>
              <w:rPr>
                <w:sz w:val="20"/>
              </w:rPr>
              <w:t>2,543</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Shares for convertible senior notes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sz w:val="20"/>
              </w:rPr>
            </w:pPr>
            <w:r>
              <w:rPr>
                <w:sz w:val="20"/>
              </w:rPr>
              <w:t>2,966</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sz w:val="20"/>
              </w:rPr>
            </w:pPr>
            <w:r>
              <w:rPr>
                <w:sz w:val="20"/>
              </w:rPr>
              <w:t>5,264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sz w:val="20"/>
              </w:rPr>
            </w:pPr>
            <w:r>
              <w:rPr>
                <w:sz w:val="20"/>
              </w:rPr>
              <w:t>3,072</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sz w:val="20"/>
              </w:rPr>
            </w:pPr>
            <w:r>
              <w:rPr>
                <w:sz w:val="20"/>
              </w:rPr>
              <w:t>5,264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Amazon Warrant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1,324</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6,538</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5,507</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7,807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consist of the following for the periods indicated (in thousands):​</w:t>
      </w:r>
    </w:p>
    <w:p>
      <w:pPr>
        <w:pStyle w:val="TextBody"/>
        <w:bidi w:val="0"/>
        <w:spacing w:before="0" w:after="0"/>
        <w:ind w:left="0" w:right="0" w:firstLine="720"/>
        <w:jc w:val="left"/>
        <w:rPr/>
      </w:pPr>
      <w:r>
        <w:rPr/>
        <w:t> </w:t>
      </w:r>
    </w:p>
    <w:tbl>
      <w:tblPr>
        <w:tblW w:w="6473" w:type="dxa"/>
        <w:jc w:val="left"/>
        <w:tblInd w:w="0" w:type="dxa"/>
        <w:tblLayout w:type="fixed"/>
        <w:tblCellMar>
          <w:top w:w="0" w:type="dxa"/>
          <w:left w:w="0" w:type="dxa"/>
          <w:bottom w:w="0" w:type="dxa"/>
          <w:right w:w="0" w:type="dxa"/>
        </w:tblCellMar>
      </w:tblPr>
      <w:tblGrid>
        <w:gridCol w:w="2930"/>
        <w:gridCol w:w="60"/>
        <w:gridCol w:w="251"/>
        <w:gridCol w:w="1403"/>
        <w:gridCol w:w="80"/>
        <w:gridCol w:w="60"/>
        <w:gridCol w:w="259"/>
        <w:gridCol w:w="1350"/>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50,379</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35,716</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inventory reserve adjustment expensed for inventory was $</w:t>
      </w:r>
      <w:r>
        <w:rPr>
          <w:rFonts w:ascii="Times New Roman" w:hAnsi="Times New Roman"/>
          <w:caps w:val="false"/>
          <w:smallCaps w:val="false"/>
          <w:color w:val="000000"/>
          <w:sz w:val="20"/>
        </w:rPr>
        <w:t>2.1</w:t>
      </w:r>
      <w:r>
        <w:rPr>
          <w:rFonts w:ascii="Times New Roman" w:hAnsi="Times New Roman"/>
          <w:caps w:val="false"/>
          <w:smallCaps w:val="false"/>
          <w:sz w:val="20"/>
        </w:rPr>
        <w:t> million and $0.7 million, respectively.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the inventory reserve adjustment expensed for inventory was $5.4 million and $2.4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direct inventory write-offs related to scrap, discontinued products and damaged inventories were $4.4 million and $0.7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direct inventory write-offs related to scrap, discontinued products and damaged inventories were $6.3 million and $2.4 million, respectively.</w:t>
      </w:r>
    </w:p>
    <w:p>
      <w:pPr>
        <w:pStyle w:val="TextBody"/>
        <w:bidi w:val="0"/>
        <w:spacing w:before="0" w:after="0"/>
        <w:ind w:left="0" w:right="0" w:hanging="0"/>
        <w:jc w:val="left"/>
        <w:rPr/>
      </w:pPr>
      <w:r>
        <w:rPr/>
        <w:t xml:space="preserve">    </w:t>
      </w:r>
      <w:r>
        <w:rPr>
          <w:shd w:fill="FFFFFF" w:val="clear"/>
        </w:rPr>
        <w:t xml:space="preserve">​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848" w:type="dxa"/>
        <w:jc w:val="left"/>
        <w:tblInd w:w="0" w:type="dxa"/>
        <w:tblLayout w:type="fixed"/>
        <w:tblCellMar>
          <w:top w:w="0" w:type="dxa"/>
          <w:left w:w="0" w:type="dxa"/>
          <w:bottom w:w="0" w:type="dxa"/>
          <w:right w:w="0" w:type="dxa"/>
        </w:tblCellMar>
      </w:tblPr>
      <w:tblGrid>
        <w:gridCol w:w="3305"/>
        <w:gridCol w:w="60"/>
        <w:gridCol w:w="234"/>
        <w:gridCol w:w="1420"/>
        <w:gridCol w:w="80"/>
        <w:gridCol w:w="60"/>
        <w:gridCol w:w="228"/>
        <w:gridCol w:w="1381"/>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118,648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275,617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13,369</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414,237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209,737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depreciation expense of property, plant and equipment was $7.3 million and $5.1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the depreciation expense of property, plant and equipment was $19.2 million and $15.0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September 30, 2025</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sz w:val="20"/>
        </w:rPr>
        <w:t>360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35</w:t>
      </w:r>
      <w:r>
        <w:rPr>
          <w:rFonts w:ascii="Times New Roman;Times;serif" w:hAnsi="Times New Roman;Times;serif"/>
          <w:sz w:val="20"/>
        </w:rPr>
        <w:t>-</w:t>
      </w:r>
      <w:r>
        <w:rPr>
          <w:rStyle w:val="Emphasis"/>
          <w:rFonts w:ascii="Times New Roman;Times;serif" w:hAnsi="Times New Roman;Times;serif"/>
          <w:sz w:val="20"/>
        </w:rPr>
        <w:t>21,</w:t>
      </w:r>
      <w:r>
        <w:rPr>
          <w:rFonts w:ascii="Times New Roman;Times;serif" w:hAnsi="Times New Roman;Times;serif"/>
          <w:sz w:val="20"/>
        </w:rPr>
        <w:t xml:space="preserve"> Property, Plant, and Equipment.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3,483</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amortization expense for intangible assets, included in general and administrative expenses on the statement of operations, was $0.1 million and $0.1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amortization expense for intangible assets, included in general and administrative expenses on the statement of operations, was $0.3 million and $0.3 million, respectively. The remaining weighted average amortization period for intangible assets is approximately 8.1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September 30, 2025</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rPr/>
      </w:pPr>
      <w:r>
        <w:rPr/>
        <w:t> </w:t>
      </w:r>
    </w:p>
    <w:tbl>
      <w:tblPr>
        <w:tblW w:w="2955" w:type="dxa"/>
        <w:jc w:val="left"/>
        <w:tblInd w:w="0" w:type="dxa"/>
        <w:tblLayout w:type="fixed"/>
        <w:tblCellMar>
          <w:top w:w="0" w:type="dxa"/>
          <w:left w:w="0" w:type="dxa"/>
          <w:bottom w:w="0" w:type="dxa"/>
          <w:right w:w="0" w:type="dxa"/>
        </w:tblCellMar>
      </w:tblPr>
      <w:tblGrid>
        <w:gridCol w:w="2225"/>
        <w:gridCol w:w="60"/>
        <w:gridCol w:w="125"/>
        <w:gridCol w:w="485"/>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3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accounts receivable was $224.0 million as of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Of this amount, $193.7 million was due from DigiComm International Inc.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our top ten customers represented 97% and 96% of our revenue,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our top ten customers represented 97% and 94% of our revenue,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were $134.8 million and $130.1 million, respectively. As of </w:t>
      </w:r>
      <w:r>
        <w:rPr>
          <w:rStyle w:val="Emphasis"/>
          <w:rFonts w:ascii="Times New Roman;Times;serif" w:hAnsi="Times New Roman;Times;serif"/>
          <w:sz w:val="20"/>
        </w:rPr>
        <w:t>December 31, 2024</w:t>
      </w:r>
      <w:r>
        <w:rPr>
          <w:rFonts w:ascii="Times New Roman;Times;serif" w:hAnsi="Times New Roman;Times;serif"/>
          <w:sz w:val="20"/>
        </w:rPr>
        <w:t xml:space="preserve">, the fair value and carrying amount of our convertible senior notes was $148.6 million and $134.5 million, respectively. The fair value is based on observable market prices for this debt, which is traded in less active markets and is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217"/>
        <w:gridCol w:w="60"/>
        <w:gridCol w:w="220"/>
        <w:gridCol w:w="1155"/>
        <w:gridCol w:w="80"/>
        <w:gridCol w:w="60"/>
        <w:gridCol w:w="214"/>
        <w:gridCol w:w="1116"/>
        <w:gridCol w:w="83"/>
      </w:tblGrid>
      <w:tr>
        <w:trPr/>
        <w:tc>
          <w:tcPr>
            <w:tcW w:w="7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3"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Revolving line of credit with a China bank up to $24.3 million with interest between 4.00% and 4.35%, terminated on June 18,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13,466</w:t>
            </w:r>
          </w:p>
        </w:tc>
        <w:tc>
          <w:tcPr>
            <w:tcW w:w="83"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$35.2 million with interest at 2.6%, maturing July 29, 2030</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 with a China bank up to $28.5 million with interest between 3.10% and 4.35%, terminated on July 23, 2025</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13,216</w:t>
            </w:r>
          </w:p>
        </w:tc>
        <w:tc>
          <w:tcPr>
            <w:tcW w:w="83"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$22.9 million with interest at 2.95%, maturing June 26, 2030</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26,682</w:t>
            </w:r>
          </w:p>
        </w:tc>
        <w:tc>
          <w:tcPr>
            <w:tcW w:w="83"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773" w:type="dxa"/>
        <w:jc w:val="left"/>
        <w:tblInd w:w="0" w:type="dxa"/>
        <w:tblLayout w:type="fixed"/>
        <w:tblCellMar>
          <w:top w:w="0" w:type="dxa"/>
          <w:left w:w="0" w:type="dxa"/>
          <w:bottom w:w="0" w:type="dxa"/>
          <w:right w:w="0" w:type="dxa"/>
        </w:tblCellMar>
      </w:tblPr>
      <w:tblGrid>
        <w:gridCol w:w="5270"/>
        <w:gridCol w:w="60"/>
        <w:gridCol w:w="288"/>
        <w:gridCol w:w="1366"/>
        <w:gridCol w:w="60"/>
        <w:gridCol w:w="60"/>
        <w:gridCol w:w="280"/>
        <w:gridCol w:w="1329"/>
        <w:gridCol w:w="60"/>
      </w:tblGrid>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zero handling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loans are all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September 30, 2025.</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SPD Credit Line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May 24, 2024, </w:t>
      </w:r>
      <w:r>
        <w:rPr>
          <w:rFonts w:ascii="Times New Roman;Times;serif" w:hAnsi="Times New Roman;Times;serif"/>
          <w:sz w:val="20"/>
        </w:rPr>
        <w:t xml:space="preserve">Global entered into a five-year revolving credit line with Shanghai Pudong Development Bank Co., Ltd. ("SPD"), totaling 170,000,000 RMB (the “SPD Credit Line”) or approximately $23.9 million at that time. On </w:t>
      </w:r>
      <w:r>
        <w:rPr>
          <w:rStyle w:val="Emphasis"/>
          <w:rFonts w:ascii="Times New Roman;Times;serif" w:hAnsi="Times New Roman;Times;serif"/>
          <w:sz w:val="20"/>
        </w:rPr>
        <w:t xml:space="preserve">June 18, 2025, </w:t>
      </w:r>
      <w:r>
        <w:rPr>
          <w:rFonts w:ascii="Times New Roman;Times;serif" w:hAnsi="Times New Roman;Times;serif"/>
          <w:sz w:val="20"/>
        </w:rPr>
        <w:t xml:space="preserve">Global used the CCB Credit Facility, as described hereinbelow, to repay certain amounts outstanding under the SPD Credit Line. Upon repayment, Global terminated the SPD Credit Line effective </w:t>
      </w:r>
      <w:r>
        <w:rPr>
          <w:rStyle w:val="Emphasis"/>
          <w:rFonts w:ascii="Times New Roman;Times;serif" w:hAnsi="Times New Roman;Times;serif"/>
          <w:sz w:val="20"/>
        </w:rPr>
        <w:t>June 18,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2025, </w:t>
      </w:r>
      <w:r>
        <w:rPr>
          <w:rFonts w:ascii="Times New Roman" w:hAnsi="Times New Roman"/>
          <w:caps w:val="false"/>
          <w:smallCaps w:val="false"/>
          <w:sz w:val="20"/>
        </w:rPr>
        <w:t xml:space="preserve">Global entered into a one-year credit facility with SPD, totaling </w:t>
      </w:r>
      <w:r>
        <w:rPr>
          <w:rStyle w:val="Emphasis"/>
          <w:rFonts w:ascii="Times New Roman" w:hAnsi="Times New Roman"/>
          <w:caps w:val="false"/>
          <w:smallCaps w:val="false"/>
          <w:sz w:val="20"/>
        </w:rPr>
        <w:t>82,000,000</w:t>
      </w:r>
      <w:r>
        <w:rPr>
          <w:rFonts w:ascii="Times New Roman" w:hAnsi="Times New Roman"/>
          <w:caps w:val="false"/>
          <w:smallCaps w:val="false"/>
          <w:sz w:val="20"/>
        </w:rPr>
        <w:t xml:space="preserve"> RMB (the “¥82M Credit Facility”), or approximately $11.4 million at that time. Borrowing under the ¥82M Credit Facility will be used to repay the Company’s outstanding loans with China Zheshang Bank Co., Ltd., and for general corporate and capital investment purposes.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29, 2025, </w:t>
      </w:r>
      <w:r>
        <w:rPr>
          <w:rFonts w:ascii="Times New Roman;Times;serif" w:hAnsi="Times New Roman;Times;serif"/>
          <w:sz w:val="20"/>
        </w:rPr>
        <w:t xml:space="preserve">Global entered into a five-year revolving credit line agreement with SPD in Ningbo City, China, totaling </w:t>
      </w:r>
      <w:r>
        <w:rPr>
          <w:rStyle w:val="Emphasis"/>
          <w:rFonts w:ascii="Times New Roman;Times;serif" w:hAnsi="Times New Roman;Times;serif"/>
          <w:sz w:val="20"/>
        </w:rPr>
        <w:t>250,000,000</w:t>
      </w:r>
      <w:r>
        <w:rPr>
          <w:rFonts w:ascii="Times New Roman;Times;serif" w:hAnsi="Times New Roman;Times;serif"/>
          <w:sz w:val="20"/>
        </w:rPr>
        <w:t xml:space="preserve"> RMB (the "¥250M SPD Credit Line"), or approximately $34.9 million at that time, and a mortgage contract. Borrowing under the ¥250M SPD Credit Line will be used for general corporate and capital investment purposes. Any credit previously extended by SPD will be applied against the available amount under the ¥250M SPD Credit Line, inclusive of the ¥82M Credit Facility. Global's obligation under the ¥250M SPD Credit Line will be secured by certain real property owned by Global. As of </w:t>
      </w:r>
      <w:r>
        <w:rPr>
          <w:rStyle w:val="Emphasis"/>
          <w:rFonts w:ascii="Times New Roman;Times;serif" w:hAnsi="Times New Roman;Times;serif"/>
          <w:sz w:val="20"/>
        </w:rPr>
        <w:t xml:space="preserve">September 30, 2025, </w:t>
      </w:r>
      <w:r>
        <w:rPr>
          <w:rFonts w:ascii="Times New Roman;Times;serif" w:hAnsi="Times New Roman;Times;serif"/>
          <w:sz w:val="20"/>
        </w:rPr>
        <w:t>$14.4 million was outstanding under the ¥250M SPD Credit Line, and the outstanding balance of bank acceptance notes under this bank issued to vendors was $</w:t>
      </w:r>
      <w:r>
        <w:rPr>
          <w:rFonts w:cs="Times New Roman;Times;serif"/>
          <w:szCs w:val="20"/>
        </w:rPr>
        <w:t>﻿</w:t>
      </w:r>
      <w:r>
        <w:rPr>
          <w:rFonts w:ascii="Times New Roman;Times;serif" w:hAnsi="Times New Roman;Times;serif"/>
          <w:sz w:val="20"/>
        </w:rPr>
        <w:t xml:space="preserve">19.9 million. The unused credit as of </w:t>
      </w:r>
      <w:r>
        <w:rPr>
          <w:rStyle w:val="Emphasis"/>
          <w:rFonts w:ascii="Times New Roman;Times;serif" w:hAnsi="Times New Roman;Times;serif"/>
          <w:sz w:val="20"/>
        </w:rPr>
        <w:t xml:space="preserve">September 30, 2025 </w:t>
      </w:r>
      <w:r>
        <w:rPr>
          <w:rFonts w:ascii="Times New Roman;Times;serif" w:hAnsi="Times New Roman;Times;serif"/>
          <w:sz w:val="20"/>
        </w:rPr>
        <w:t>was $6.9 million.</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CZB Loan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7, 2022, </w:t>
      </w:r>
      <w:r>
        <w:rPr>
          <w:rFonts w:ascii="Times New Roman;Times;serif" w:hAnsi="Times New Roman;Times;serif"/>
          <w:sz w:val="20"/>
        </w:rPr>
        <w:t xml:space="preserve">Global entered into a security agreement with China Zheshang Bank in Ningbo City, China ("CZB") for a five-year credit line agreement, totaling </w:t>
      </w:r>
      <w:r>
        <w:rPr>
          <w:rStyle w:val="Emphasis"/>
          <w:rFonts w:ascii="Times New Roman;Times;serif" w:hAnsi="Times New Roman;Times;serif"/>
          <w:sz w:val="20"/>
        </w:rPr>
        <w:t>200,000,000</w:t>
      </w:r>
      <w:r>
        <w:rPr>
          <w:rFonts w:ascii="Times New Roman;Times;serif" w:hAnsi="Times New Roman;Times;serif"/>
          <w:sz w:val="20"/>
        </w:rPr>
        <w:t xml:space="preserve"> RMB (the "¥200M Credit Facility"), or approximately $29.9 million at that time. On </w:t>
      </w:r>
      <w:r>
        <w:rPr>
          <w:rStyle w:val="Emphasis"/>
          <w:rFonts w:ascii="Times New Roman;Times;serif" w:hAnsi="Times New Roman;Times;serif"/>
          <w:sz w:val="20"/>
        </w:rPr>
        <w:t xml:space="preserve">July 23, 2025, </w:t>
      </w:r>
      <w:r>
        <w:rPr>
          <w:rFonts w:ascii="Times New Roman;Times;serif" w:hAnsi="Times New Roman;Times;serif"/>
          <w:sz w:val="20"/>
        </w:rPr>
        <w:t xml:space="preserve">Global used the ¥82M Credit Facility, as described hereinabove, to repay certain amounts outstanding under the ¥200M Credit Facility. Upon repayment, Global terminated the ¥200M Credit Facility effective </w:t>
      </w:r>
      <w:r>
        <w:rPr>
          <w:rStyle w:val="Emphasis"/>
          <w:rFonts w:ascii="Times New Roman;Times;serif" w:hAnsi="Times New Roman;Times;serif"/>
          <w:sz w:val="20"/>
        </w:rPr>
        <w:t>July 23, 2025.</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September 30,</w:t>
      </w:r>
      <w:r>
        <w:rPr>
          <w:rFonts w:ascii="Times New Roman;Times;serif" w:hAnsi="Times New Roman;Times;serif"/>
          <w:sz w:val="20"/>
        </w:rPr>
        <w:t xml:space="preserve"> </w:t>
      </w:r>
      <w:r>
        <w:rPr>
          <w:rStyle w:val="Emphasis"/>
          <w:rFonts w:ascii="Times New Roman;Times;serif" w:hAnsi="Times New Roman;Times;serif"/>
          <w:sz w:val="20"/>
        </w:rPr>
        <w:t>2025,</w:t>
      </w:r>
      <w:r>
        <w:rPr>
          <w:rFonts w:ascii="Times New Roman;Times;serif" w:hAnsi="Times New Roman;Times;serif"/>
          <w:sz w:val="20"/>
        </w:rPr>
        <w:t xml:space="preserve"> the outstanding balance of bank acceptance notes issued to vendors was $</w:t>
      </w:r>
      <w:r>
        <w:rPr>
          <w:rFonts w:ascii="Times New Roman;Times;serif" w:hAnsi="Times New Roman;Times;serif"/>
          <w:color w:val="000000"/>
          <w:sz w:val="20"/>
        </w:rPr>
        <w:t>4.3</w:t>
      </w:r>
      <w:r>
        <w:rPr>
          <w:rFonts w:ascii="Times New Roman;Times;serif" w:hAnsi="Times New Roman;Times;serif"/>
          <w:sz w:val="20"/>
        </w:rPr>
        <w:t> million.</w:t>
      </w:r>
    </w:p>
    <w:p>
      <w:pPr>
        <w:pStyle w:val="TextBody"/>
        <w:bidi w:val="0"/>
        <w:spacing w:before="0" w:after="0"/>
        <w:ind w:left="180" w:right="0" w:hanging="0"/>
        <w:jc w:val="left"/>
        <w:rPr/>
      </w:pPr>
      <w:r>
        <w:rPr/>
        <w:t> </w:t>
      </w:r>
    </w:p>
    <w:p>
      <w:pPr>
        <w:pStyle w:val="TextBody"/>
        <w:bidi w:val="0"/>
        <w:spacing w:before="0" w:after="0"/>
        <w:ind w:left="180" w:right="0" w:hanging="180"/>
        <w:jc w:val="left"/>
        <w:rPr>
          <w:rFonts w:ascii="Times New Roman;Times;serif" w:hAnsi="Times New Roman;Times;serif"/>
          <w:i/>
          <w:sz w:val="20"/>
        </w:rPr>
      </w:pPr>
      <w:r>
        <w:rPr>
          <w:rFonts w:ascii="Times New Roman;Times;serif" w:hAnsi="Times New Roman;Times;serif"/>
          <w:i/>
          <w:sz w:val="20"/>
        </w:rPr>
        <w:t xml:space="preserve">CCB Loan </w:t>
      </w:r>
    </w:p>
    <w:p>
      <w:pPr>
        <w:pStyle w:val="TextBody"/>
        <w:bidi w:val="0"/>
        <w:spacing w:before="0" w:after="0"/>
        <w:ind w:left="18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12, 2025, </w:t>
      </w:r>
      <w:r>
        <w:rPr>
          <w:rFonts w:ascii="Times New Roman;Times;serif" w:hAnsi="Times New Roman;Times;serif"/>
          <w:sz w:val="20"/>
        </w:rPr>
        <w:t>Global entered into a one-year credit facility with China Construction Bank Co., Ltd., in Ningbo, City, China ("CCB"), totaling 96,800,000 RMB (the "CCB Credit Facility"), or approximately $13.5 million at that time.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26, 2025, </w:t>
      </w:r>
      <w:r>
        <w:rPr>
          <w:rFonts w:ascii="Times New Roman;Times;serif" w:hAnsi="Times New Roman;Times;serif"/>
          <w:sz w:val="20"/>
        </w:rPr>
        <w:t xml:space="preserve">Global entered into a five-year revolving credit line agreement with CCB, totaling 162,260,000 RMB (the "CCB Credit Line"), or approximately $22.7 million at that time. The amount available under the CCB Credit Line is inclusive of the CCB Credit Facility previously granted by CCB on </w:t>
      </w:r>
      <w:r>
        <w:rPr>
          <w:rStyle w:val="Emphasis"/>
          <w:rFonts w:ascii="Times New Roman;Times;serif" w:hAnsi="Times New Roman;Times;serif"/>
          <w:sz w:val="20"/>
        </w:rPr>
        <w:t xml:space="preserve">June 12, 2025. </w:t>
      </w:r>
      <w:r>
        <w:rPr>
          <w:rFonts w:ascii="Times New Roman;Times;serif" w:hAnsi="Times New Roman;Times;serif"/>
          <w:sz w:val="20"/>
        </w:rPr>
        <w:t xml:space="preserve">As of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there was $13.6 million outstanding under the CCB Credit Line, The outstanding balance of bank acceptances notes under this bank issued to vendors was $7.0 million as of </w:t>
      </w:r>
      <w:r>
        <w:rPr>
          <w:rStyle w:val="Emphasis"/>
          <w:rFonts w:ascii="Times New Roman;Times;serif" w:hAnsi="Times New Roman;Times;serif"/>
          <w:sz w:val="20"/>
        </w:rPr>
        <w:t>September 30, 2025.</w:t>
      </w:r>
      <w:r>
        <w:rPr>
          <w:rStyle w:val="Emphasis"/>
          <w:rFonts w:cs="Times New Roman;Times;serif"/>
          <w:szCs w:val="20"/>
        </w:rPr>
        <w:t>﻿</w:t>
      </w:r>
      <w:r>
        <w:rPr>
          <w:rStyle w:val="Emphasis"/>
          <w:rFonts w:ascii="Times New Roman;Times;serif" w:hAnsi="Times New Roman;Times;serif"/>
          <w:sz w:val="20"/>
        </w:rPr>
        <w:t>The</w:t>
      </w:r>
      <w:r>
        <w:rPr>
          <w:rFonts w:ascii="Times New Roman;Times;serif" w:hAnsi="Times New Roman;Times;serif"/>
          <w:sz w:val="20"/>
        </w:rPr>
        <w:t xml:space="preserve"> unused credit as of </w:t>
      </w:r>
      <w:r>
        <w:rPr>
          <w:rStyle w:val="Emphasis"/>
          <w:rFonts w:ascii="Times New Roman;Times;serif" w:hAnsi="Times New Roman;Times;serif"/>
          <w:sz w:val="20"/>
        </w:rPr>
        <w:t xml:space="preserve">September 30, 2025 </w:t>
      </w:r>
      <w:r>
        <w:rPr>
          <w:rFonts w:ascii="Times New Roman;Times;serif" w:hAnsi="Times New Roman;Times;serif"/>
          <w:sz w:val="20"/>
        </w:rPr>
        <w:t>was $1.9 million.</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BOKF Loan</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31, 2025, </w:t>
      </w:r>
      <w:r>
        <w:rPr>
          <w:rFonts w:ascii="Times New Roman" w:hAnsi="Times New Roman"/>
          <w:caps w:val="false"/>
          <w:smallCaps w:val="false"/>
          <w:sz w:val="20"/>
        </w:rPr>
        <w:t xml:space="preserve">the Company entered into a Loan and Security Agreement (the “BOKF Credit Facility”) with BOKF, NA dba BOK Financial, as agent for secured parties. The BOKF Credit Facility provides the Company with a three-year, $35 million revolving line of credit, with the ability to request additional lender commitments in an aggregate amount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$40 million (for a total aggregate amount of $75 million) pursuant to certain conditions.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$0 was outstanding under the BOKF Credit Facility.</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shd w:fill="FFFFFF" w:val="clear"/>
        </w:rPr>
        <w:t>As of </w:t>
      </w:r>
      <w:r>
        <w:rPr>
          <w:rStyle w:val="Emphasis"/>
          <w:rFonts w:ascii="Times New Roman;Times;serif" w:hAnsi="Times New Roman;Times;serif"/>
          <w:sz w:val="20"/>
        </w:rPr>
        <w:t xml:space="preserve"> September 30, 2025</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2024</w:t>
      </w:r>
      <w:r>
        <w:rPr>
          <w:rFonts w:ascii="Times New Roman;Times;serif" w:hAnsi="Times New Roman;Times;serif"/>
          <w:sz w:val="20"/>
          <w:shd w:fill="FFFFFF" w:val="clear"/>
        </w:rPr>
        <w:t>, the Company had $43.8 million and $24.8</w:t>
      </w:r>
      <w:r>
        <w:rPr>
          <w:rFonts w:ascii="Times New Roman;Times;serif" w:hAnsi="Times New Roman;Times;serif"/>
          <w:sz w:val="20"/>
        </w:rPr>
        <w:t> million</w:t>
      </w:r>
      <w:r>
        <w:rPr>
          <w:rFonts w:ascii="Times New Roman;Times;serif" w:hAnsi="Times New Roman;Times;serif"/>
          <w:sz w:val="20"/>
          <w:shd w:fill="FFFFFF" w:val="clear"/>
        </w:rPr>
        <w:t>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As of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xml:space="preserve">, there </w:t>
      </w:r>
      <w:r>
        <w:rPr>
          <w:rFonts w:ascii="Times New Roman;Times;serif" w:hAnsi="Times New Roman;Times;serif"/>
          <w:sz w:val="20"/>
          <w:shd w:fill="FFFFFF" w:val="clear"/>
        </w:rPr>
        <w:t>was $9.7 million and $8.5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5, 2019, </w:t>
      </w:r>
      <w:r>
        <w:rPr>
          <w:rFonts w:ascii="Times New Roman" w:hAnsi="Times New Roman"/>
          <w:caps w:val="false"/>
          <w:smallCaps w:val="false"/>
          <w:sz w:val="20"/>
        </w:rPr>
        <w:t>the Company issued $80.5 million of 5% convertible senior notes due </w:t>
      </w:r>
      <w:r>
        <w:rPr>
          <w:rStyle w:val="Emphasis"/>
          <w:rFonts w:ascii="Times New Roman" w:hAnsi="Times New Roman"/>
          <w:caps w:val="false"/>
          <w:smallCaps w:val="false"/>
          <w:sz w:val="20"/>
        </w:rPr>
        <w:t>2024</w:t>
      </w:r>
      <w:r>
        <w:rPr>
          <w:rFonts w:ascii="Times New Roman" w:hAnsi="Times New Roman"/>
          <w:caps w:val="false"/>
          <w:smallCaps w:val="false"/>
          <w:sz w:val="20"/>
        </w:rPr>
        <w:t> (the </w:t>
      </w:r>
      <w:r>
        <w:rPr>
          <w:rStyle w:val="Emphasis"/>
          <w:rFonts w:ascii="Times New Roman" w:hAnsi="Times New Roman"/>
          <w:caps w:val="false"/>
          <w:smallCaps w:val="false"/>
          <w:sz w:val="20"/>
        </w:rPr>
        <w:t>"2024</w:t>
      </w:r>
      <w:r>
        <w:rPr>
          <w:rFonts w:ascii="Times New Roman" w:hAnsi="Times New Roman"/>
          <w:caps w:val="false"/>
          <w:smallCaps w:val="false"/>
          <w:sz w:val="20"/>
        </w:rPr>
        <w:t> Notes"). On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Company issued approximately $80.2 million aggregate principal amount of 5.250% convertible senior notes due </w:t>
      </w:r>
      <w:r>
        <w:rPr>
          <w:rStyle w:val="Emphasis"/>
          <w:rFonts w:ascii="Times New Roman" w:hAnsi="Times New Roman"/>
          <w:caps w:val="false"/>
          <w:smallCaps w:val="false"/>
          <w:sz w:val="20"/>
        </w:rPr>
        <w:t>2026</w:t>
      </w:r>
      <w:r>
        <w:rPr>
          <w:rFonts w:ascii="Times New Roman" w:hAnsi="Times New Roman"/>
          <w:caps w:val="false"/>
          <w:smallCaps w:val="false"/>
          <w:sz w:val="20"/>
        </w:rPr>
        <w: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on the same day consummated various separate, privately negotiated exchange agreements with certain holders of its </w:t>
      </w:r>
      <w:r>
        <w:rPr>
          <w:rStyle w:val="Emphasis"/>
          <w:rFonts w:ascii="Times New Roman" w:hAnsi="Times New Roman"/>
          <w:caps w:val="false"/>
          <w:smallCaps w:val="false"/>
          <w:sz w:val="20"/>
        </w:rPr>
        <w:t>2024</w:t>
      </w:r>
      <w:r>
        <w:rPr>
          <w:rFonts w:ascii="Times New Roman" w:hAnsi="Times New Roman"/>
          <w:caps w:val="false"/>
          <w:smallCaps w:val="false"/>
          <w:sz w:val="20"/>
        </w:rPr>
        <w:t> Notes to exchange or repurchase approximately $80.2 million principal amount of the </w:t>
      </w:r>
      <w:r>
        <w:rPr>
          <w:rStyle w:val="Emphasis"/>
          <w:rFonts w:ascii="Times New Roman" w:hAnsi="Times New Roman"/>
          <w:caps w:val="false"/>
          <w:smallCaps w:val="false"/>
          <w:sz w:val="20"/>
        </w:rPr>
        <w:t>2024</w:t>
      </w:r>
      <w:r>
        <w:rPr>
          <w:rFonts w:ascii="Times New Roman" w:hAnsi="Times New Roman"/>
          <w:caps w:val="false"/>
          <w:smallCaps w:val="false"/>
          <w:sz w:val="20"/>
        </w:rPr>
        <w:t> Notes for aggregate consideration consisting of approximately $81.1 million in cash, which included accrued interest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and approximately 466,368 shares of the Company's common stock, par value $0.001 per share. The Company paid off the remaining $0.29 million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on </w:t>
      </w:r>
      <w:r>
        <w:rPr>
          <w:rStyle w:val="Emphasis"/>
          <w:rFonts w:ascii="Times New Roman" w:hAnsi="Times New Roman"/>
          <w:caps w:val="false"/>
          <w:smallCaps w:val="false"/>
          <w:sz w:val="20"/>
        </w:rPr>
        <w:t>March 15, 2024.</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bear interest at a rate of </w:t>
      </w:r>
      <w:r>
        <w:rPr>
          <w:rStyle w:val="Emphasis"/>
          <w:rFonts w:ascii="Times New Roman" w:hAnsi="Times New Roman"/>
          <w:caps w:val="false"/>
          <w:smallCaps w:val="false"/>
          <w:sz w:val="20"/>
        </w:rPr>
        <w:t>5.250%</w:t>
      </w:r>
      <w:r>
        <w:rPr>
          <w:rFonts w:ascii="Times New Roman" w:hAnsi="Times New Roman"/>
          <w:caps w:val="false"/>
          <w:smallCaps w:val="false"/>
          <w:sz w:val="20"/>
        </w:rPr>
        <w:t> per year and pay interest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June 15, 2024. </w:t>
      </w: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mature on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the Company entered into exchange agreements with certain 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exchange approximately $76.7 million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aggregate consideration consisting of (i) $125.0 million aggregate principal amount of 2.75% Convertible Senior Notes due </w:t>
      </w:r>
      <w:r>
        <w:rPr>
          <w:rStyle w:val="Emphasis"/>
          <w:rFonts w:ascii="Times New Roman" w:hAnsi="Times New Roman"/>
          <w:caps w:val="false"/>
          <w:smallCaps w:val="false"/>
          <w:sz w:val="20"/>
        </w:rPr>
        <w:t>2030</w:t>
      </w:r>
      <w:r>
        <w:rPr>
          <w:rFonts w:ascii="Times New Roman" w:hAnsi="Times New Roman"/>
          <w:caps w:val="false"/>
          <w:smallCaps w:val="false"/>
          <w:sz w:val="20"/>
        </w:rPr>
        <w: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(ii) 1,487,874 shares of the Company’s common stock, par value $0.001 per share (the "Common Stock") and (iii) approximately $89.6 thousands of cash in aggregate, representing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the value of fractional shares of Common Stock (such transactions, collectively, the "Exchanges"). The Exchanges closed on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There was $3.5 million principal amount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remaining. On </w:t>
      </w:r>
      <w:r>
        <w:rPr>
          <w:rStyle w:val="Emphasis"/>
          <w:rFonts w:ascii="Times New Roman" w:hAnsi="Times New Roman"/>
          <w:caps w:val="false"/>
          <w:smallCaps w:val="false"/>
          <w:sz w:val="20"/>
        </w:rPr>
        <w:t xml:space="preserve">July 30, 2025, </w:t>
      </w:r>
      <w:r>
        <w:rPr>
          <w:rFonts w:ascii="Times New Roman" w:hAnsi="Times New Roman"/>
          <w:caps w:val="false"/>
          <w:smallCaps w:val="false"/>
          <w:sz w:val="20"/>
        </w:rPr>
        <w:t xml:space="preserve">the Company retired the final $3.5 million principal and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by exchanging such outstanding principal for 239,404 shares of the Company's common stock and by paying the accrued and outstanding interest in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 "Indenture"), between the Company, as issuer, and Computershare Trust Company, N.A., as trustee.  The </w:t>
      </w:r>
      <w:r>
        <w:rPr>
          <w:rStyle w:val="Emphasis"/>
          <w:rFonts w:ascii="Times New Roman" w:hAnsi="Times New Roman"/>
          <w:caps w:val="false"/>
          <w:smallCaps w:val="false"/>
          <w:sz w:val="20"/>
        </w:rPr>
        <w:t>2030</w:t>
      </w:r>
      <w:r>
        <w:rPr>
          <w:rFonts w:ascii="Times New Roman" w:hAnsi="Times New Roman"/>
          <w:caps w:val="false"/>
          <w:smallCaps w:val="false"/>
          <w:sz w:val="20"/>
        </w:rPr>
        <w:t> Notes bear interest at a rate of 2.750% per year and will pay interest semiannually in arrears on </w:t>
      </w:r>
      <w:r>
        <w:rPr>
          <w:rStyle w:val="Emphasis"/>
          <w:rFonts w:ascii="Times New Roman" w:hAnsi="Times New Roman"/>
          <w:caps w:val="false"/>
          <w:smallCaps w:val="false"/>
          <w:sz w:val="20"/>
        </w:rPr>
        <w:t xml:space="preserve"> January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July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July 15, 2025. </w:t>
      </w: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mature on </w:t>
      </w:r>
      <w:r>
        <w:rPr>
          <w:rStyle w:val="Emphasis"/>
          <w:rFonts w:ascii="Times New Roman" w:hAnsi="Times New Roman"/>
          <w:caps w:val="false"/>
          <w:smallCaps w:val="false"/>
          <w:sz w:val="20"/>
        </w:rPr>
        <w:t xml:space="preserve"> January 15, 2030, </w:t>
      </w:r>
      <w:r>
        <w:rPr>
          <w:rFonts w:ascii="Times New Roman" w:hAnsi="Times New Roman"/>
          <w:caps w:val="false"/>
          <w:smallCaps w:val="false"/>
          <w:sz w:val="20"/>
        </w:rPr>
        <w:t>unless earlier converted, redeemed or repurchased in accordance with their terms.</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and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for the periods indicated (in thousands):</w:t>
      </w:r>
    </w:p>
    <w:p>
      <w:pPr>
        <w:pStyle w:val="TextBody"/>
        <w:bidi w:val="0"/>
        <w:spacing w:before="0" w:after="0"/>
        <w:ind w:left="0" w:right="0" w:firstLine="941"/>
        <w:jc w:val="left"/>
        <w:rPr/>
      </w:pPr>
      <w:r>
        <w:rPr/>
        <w:t>​</w:t>
      </w:r>
    </w:p>
    <w:tbl>
      <w:tblPr>
        <w:tblW w:w="5273" w:type="dxa"/>
        <w:jc w:val="left"/>
        <w:tblInd w:w="0" w:type="dxa"/>
        <w:tblLayout w:type="fixed"/>
        <w:tblCellMar>
          <w:top w:w="0" w:type="dxa"/>
          <w:left w:w="0" w:type="dxa"/>
          <w:bottom w:w="0" w:type="dxa"/>
          <w:right w:w="0" w:type="dxa"/>
        </w:tblCellMar>
      </w:tblPr>
      <w:tblGrid>
        <w:gridCol w:w="2660"/>
        <w:gridCol w:w="60"/>
        <w:gridCol w:w="180"/>
        <w:gridCol w:w="1009"/>
        <w:gridCol w:w="80"/>
        <w:gridCol w:w="60"/>
        <w:gridCol w:w="173"/>
        <w:gridCol w:w="971"/>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Notes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3,417</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Notes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Principal</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00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9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131,080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carrying amount</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134,497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is 23.0884 shares of Common Stock per </w:t>
      </w:r>
      <w:r>
        <w:rPr>
          <w:rStyle w:val="Emphasis"/>
          <w:rFonts w:ascii="Times New Roman" w:hAnsi="Times New Roman"/>
          <w:caps w:val="false"/>
          <w:smallCaps w:val="false"/>
          <w:sz w:val="20"/>
        </w:rPr>
        <w:t>$1,000</w:t>
      </w:r>
      <w:r>
        <w:rPr>
          <w:rFonts w:ascii="Times New Roman" w:hAnsi="Times New Roman"/>
          <w:caps w:val="false"/>
          <w:smallCaps w:val="false"/>
          <w:sz w:val="20"/>
        </w:rPr>
        <w:t>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(which is equivalent to a conversion price of approximately $43.31 per share of Common Stock, representing a premium of approximately 27.50% over the last reported sale price of the Common Stock 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of $33.97 per share), subject to adjustment. Before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 January 15, 2027 </w:t>
      </w:r>
      <w:r>
        <w:rPr>
          <w:rFonts w:ascii="Times New Roman" w:hAnsi="Times New Roman"/>
          <w:caps w:val="false"/>
          <w:smallCaps w:val="false"/>
          <w:sz w:val="20"/>
        </w:rPr>
        <w:t>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redeemed, plus accrued and unpaid interest, if any, to, but excluding, the redemption date, but only if the last reported sale price per share of the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redeemed, plus accrued and unpaid interest, if any, to, but excluding, the redemption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Calling any </w:t>
      </w:r>
      <w:r>
        <w:rPr>
          <w:rStyle w:val="Emphasis"/>
          <w:rFonts w:ascii="Times New Roman" w:hAnsi="Times New Roman"/>
          <w:caps w:val="false"/>
          <w:smallCaps w:val="false"/>
          <w:sz w:val="20"/>
        </w:rPr>
        <w:t>2030</w:t>
      </w:r>
      <w:r>
        <w:rPr>
          <w:rFonts w:ascii="Times New Roman" w:hAnsi="Times New Roman"/>
          <w:caps w:val="false"/>
          <w:smallCaps w:val="false"/>
          <w:sz w:val="20"/>
        </w:rPr>
        <w:t> Note for redemption will constitute a "Make-Whole Fundamental Change" (as defined in the Indenture) with respect to that </w:t>
      </w:r>
      <w:r>
        <w:rPr>
          <w:rStyle w:val="Emphasis"/>
          <w:rFonts w:ascii="Times New Roman" w:hAnsi="Times New Roman"/>
          <w:caps w:val="false"/>
          <w:smallCaps w:val="false"/>
          <w:sz w:val="20"/>
        </w:rPr>
        <w:t>2030</w:t>
      </w:r>
      <w:r>
        <w:rPr>
          <w:rFonts w:ascii="Times New Roman" w:hAnsi="Times New Roman"/>
          <w:caps w:val="false"/>
          <w:smallCaps w:val="false"/>
          <w:sz w:val="20"/>
        </w:rPr>
        <w:t> Note, in which case the conversion rate applicable to the conversion of that </w:t>
      </w:r>
      <w:r>
        <w:rPr>
          <w:rStyle w:val="Emphasis"/>
          <w:rFonts w:ascii="Times New Roman" w:hAnsi="Times New Roman"/>
          <w:caps w:val="false"/>
          <w:smallCaps w:val="false"/>
          <w:sz w:val="20"/>
        </w:rPr>
        <w:t>2030</w:t>
      </w:r>
      <w:r>
        <w:rPr>
          <w:rFonts w:ascii="Times New Roman" w:hAnsi="Times New Roman"/>
          <w:caps w:val="false"/>
          <w:smallCaps w:val="false"/>
          <w:sz w:val="20"/>
        </w:rPr>
        <w:t>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unless the Company has previously elected to redeem all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each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2030</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the date the Company’s sends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subject to customary events of default.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do </w:t>
      </w:r>
      <w:r>
        <w:rPr>
          <w:rStyle w:val="Emphasis"/>
          <w:rFonts w:ascii="Times New Roman" w:hAnsi="Times New Roman"/>
          <w:caps w:val="false"/>
          <w:smallCaps w:val="false"/>
          <w:sz w:val="20"/>
        </w:rPr>
        <w:t>not</w:t>
      </w:r>
      <w:r>
        <w:rPr>
          <w:rFonts w:ascii="Times New Roman" w:hAnsi="Times New Roman"/>
          <w:caps w:val="false"/>
          <w:smallCaps w:val="false"/>
          <w:sz w:val="20"/>
        </w:rPr>
        <w:t> restrict the Company’s ability to incur debt or liens.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60" w:right="0" w:firstLine="540"/>
        <w:jc w:val="left"/>
        <w:rPr/>
      </w:pPr>
      <w:r>
        <w:rPr/>
        <w:t> </w:t>
      </w:r>
    </w:p>
    <w:p>
      <w:pPr>
        <w:pStyle w:val="TextBody"/>
        <w:bidi w:val="0"/>
        <w:spacing w:before="0" w:after="0"/>
        <w:ind w:left="360" w:right="0" w:firstLine="54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2026</w:t>
      </w:r>
      <w:r>
        <w:rPr>
          <w:rFonts w:ascii="Times New Roman" w:hAnsi="Times New Roman"/>
          <w:color w:val="000000"/>
          <w:sz w:val="20"/>
        </w:rPr>
        <w:t xml:space="preserve"> Notes and </w:t>
      </w:r>
      <w:r>
        <w:rPr>
          <w:rStyle w:val="Emphasis"/>
          <w:rFonts w:ascii="Times New Roman" w:hAnsi="Times New Roman"/>
          <w:color w:val="000000"/>
          <w:sz w:val="20"/>
        </w:rPr>
        <w:t>2030</w:t>
      </w:r>
      <w:r>
        <w:rPr>
          <w:rFonts w:ascii="Times New Roman" w:hAnsi="Times New Roman"/>
          <w:color w:val="000000"/>
          <w:sz w:val="20"/>
        </w:rPr>
        <w:t> Notes (in thousands):</w:t>
      </w:r>
    </w:p>
    <w:p>
      <w:pPr>
        <w:pStyle w:val="TextBody"/>
        <w:bidi w:val="0"/>
        <w:spacing w:before="0" w:after="0"/>
        <w:ind w:left="0" w:right="0" w:hanging="0"/>
        <w:jc w:val="left"/>
        <w:rPr/>
      </w:pPr>
      <w:r>
        <w:rPr/>
        <w:t>​</w:t>
      </w:r>
    </w:p>
    <w:tbl>
      <w:tblPr>
        <w:tblW w:w="9093" w:type="dxa"/>
        <w:jc w:val="left"/>
        <w:tblInd w:w="0" w:type="dxa"/>
        <w:tblLayout w:type="fixed"/>
        <w:tblCellMar>
          <w:top w:w="0" w:type="dxa"/>
          <w:left w:w="0" w:type="dxa"/>
          <w:bottom w:w="0" w:type="dxa"/>
          <w:right w:w="0" w:type="dxa"/>
        </w:tblCellMar>
      </w:tblPr>
      <w:tblGrid>
        <w:gridCol w:w="2900"/>
        <w:gridCol w:w="60"/>
        <w:gridCol w:w="275"/>
        <w:gridCol w:w="738"/>
        <w:gridCol w:w="407"/>
        <w:gridCol w:w="132"/>
        <w:gridCol w:w="275"/>
        <w:gridCol w:w="1069"/>
        <w:gridCol w:w="185"/>
        <w:gridCol w:w="60"/>
        <w:gridCol w:w="239"/>
        <w:gridCol w:w="930"/>
        <w:gridCol w:w="354"/>
        <w:gridCol w:w="115"/>
        <w:gridCol w:w="239"/>
        <w:gridCol w:w="930"/>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407"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3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sz w:val="20"/>
              </w:rPr>
            </w:pPr>
            <w:r>
              <w:rPr>
                <w:sz w:val="20"/>
              </w:rPr>
              <w:t>$</w:t>
            </w:r>
          </w:p>
        </w:tc>
        <w:tc>
          <w:tcPr>
            <w:tcW w:w="738" w:type="dxa"/>
            <w:tcBorders/>
            <w:shd w:fill="CCEEFF" w:val="clear"/>
            <w:vAlign w:val="center"/>
          </w:tcPr>
          <w:p>
            <w:pPr>
              <w:pStyle w:val="TableContents"/>
              <w:bidi w:val="0"/>
              <w:spacing w:before="0" w:after="283"/>
              <w:ind w:left="0" w:right="0" w:hanging="0"/>
              <w:jc w:val="right"/>
              <w:rPr>
                <w:sz w:val="20"/>
              </w:rPr>
            </w:pPr>
            <w:r>
              <w:rPr>
                <w:sz w:val="20"/>
              </w:rPr>
              <w:t>364</w:t>
            </w:r>
          </w:p>
        </w:tc>
        <w:tc>
          <w:tcPr>
            <w:tcW w:w="40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sz w:val="20"/>
              </w:rPr>
            </w:pPr>
            <w:r>
              <w:rPr>
                <w:sz w:val="20"/>
              </w:rPr>
              <w:t>$</w:t>
            </w:r>
          </w:p>
        </w:tc>
        <w:tc>
          <w:tcPr>
            <w:tcW w:w="1069" w:type="dxa"/>
            <w:tcBorders/>
            <w:shd w:fill="CCEEFF" w:val="clear"/>
            <w:vAlign w:val="center"/>
          </w:tcPr>
          <w:p>
            <w:pPr>
              <w:pStyle w:val="TableContents"/>
              <w:bidi w:val="0"/>
              <w:spacing w:before="0" w:after="283"/>
              <w:ind w:left="0" w:right="0" w:hanging="0"/>
              <w:jc w:val="right"/>
              <w:rPr>
                <w:sz w:val="20"/>
              </w:rPr>
            </w:pPr>
            <w:r>
              <w:rPr>
                <w:sz w:val="20"/>
              </w:rPr>
              <w:t>1,053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sz w:val="20"/>
              </w:rPr>
            </w:pPr>
            <w:r>
              <w:rPr>
                <w:sz w:val="20"/>
              </w:rPr>
              <w:t>$</w:t>
            </w:r>
          </w:p>
        </w:tc>
        <w:tc>
          <w:tcPr>
            <w:tcW w:w="930" w:type="dxa"/>
            <w:tcBorders/>
            <w:shd w:fill="CCEEFF" w:val="clear"/>
            <w:vAlign w:val="center"/>
          </w:tcPr>
          <w:p>
            <w:pPr>
              <w:pStyle w:val="TableContents"/>
              <w:bidi w:val="0"/>
              <w:spacing w:before="0" w:after="283"/>
              <w:ind w:left="0" w:right="0" w:hanging="0"/>
              <w:jc w:val="right"/>
              <w:rPr>
                <w:sz w:val="20"/>
              </w:rPr>
            </w:pPr>
            <w:r>
              <w:rPr>
                <w:sz w:val="20"/>
              </w:rPr>
              <w:t>1,157</w:t>
            </w:r>
          </w:p>
        </w:tc>
        <w:tc>
          <w:tcPr>
            <w:tcW w:w="3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sz w:val="20"/>
              </w:rPr>
            </w:pPr>
            <w:r>
              <w:rPr>
                <w:sz w:val="20"/>
              </w:rPr>
              <w:t>$</w:t>
            </w:r>
          </w:p>
        </w:tc>
        <w:tc>
          <w:tcPr>
            <w:tcW w:w="930" w:type="dxa"/>
            <w:tcBorders/>
            <w:shd w:fill="CCEEFF" w:val="clear"/>
            <w:vAlign w:val="center"/>
          </w:tcPr>
          <w:p>
            <w:pPr>
              <w:pStyle w:val="TableContents"/>
              <w:bidi w:val="0"/>
              <w:spacing w:before="0" w:after="283"/>
              <w:ind w:left="0" w:right="0" w:hanging="0"/>
              <w:jc w:val="right"/>
              <w:rPr>
                <w:sz w:val="20"/>
              </w:rPr>
            </w:pPr>
            <w:r>
              <w:rPr>
                <w:sz w:val="20"/>
              </w:rPr>
              <w:t>3,161</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407"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650</w:t>
            </w:r>
          </w:p>
        </w:tc>
        <w:tc>
          <w:tcPr>
            <w:tcW w:w="3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1,072</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584</w:t>
            </w:r>
          </w:p>
        </w:tc>
        <w:tc>
          <w:tcPr>
            <w:tcW w:w="40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1,807</w:t>
            </w:r>
          </w:p>
        </w:tc>
        <w:tc>
          <w:tcPr>
            <w:tcW w:w="3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4,233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sz w:val="20"/>
              </w:rPr>
            </w:pPr>
            <w:r>
              <w:rPr>
                <w:sz w:val="20"/>
              </w:rPr>
              <w:t>1.0</w:t>
            </w:r>
          </w:p>
        </w:tc>
        <w:tc>
          <w:tcPr>
            <w:tcW w:w="407" w:type="dxa"/>
            <w:tcBorders/>
            <w:shd w:fill="FFFFFF" w:val="clear"/>
            <w:vAlign w:val="center"/>
          </w:tcPr>
          <w:p>
            <w:pPr>
              <w:pStyle w:val="TableContents"/>
              <w:bidi w:val="0"/>
              <w:spacing w:before="0" w:after="283"/>
              <w:jc w:val="left"/>
              <w:rPr>
                <w:sz w:val="20"/>
              </w:rPr>
            </w:pPr>
            <w:r>
              <w:rPr>
                <w:sz w:val="20"/>
              </w:rPr>
              <w:t>%</w:t>
            </w:r>
          </w:p>
        </w:tc>
        <w:tc>
          <w:tcPr>
            <w:tcW w:w="132"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069" w:type="dxa"/>
            <w:tcBorders/>
            <w:shd w:fill="FFFFFF" w:val="clear"/>
            <w:vAlign w:val="center"/>
          </w:tcPr>
          <w:p>
            <w:pPr>
              <w:pStyle w:val="TableContents"/>
              <w:bidi w:val="0"/>
              <w:spacing w:before="0" w:after="283"/>
              <w:ind w:left="0" w:right="0" w:hanging="0"/>
              <w:jc w:val="right"/>
              <w:rPr>
                <w:sz w:val="20"/>
              </w:rPr>
            </w:pPr>
            <w:r>
              <w:rPr>
                <w:sz w:val="20"/>
              </w:rPr>
              <w:t>5.3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sz w:val="20"/>
              </w:rPr>
            </w:pPr>
            <w:r>
              <w:rPr>
                <w:sz w:val="20"/>
              </w:rPr>
              <w:t>1.0</w:t>
            </w:r>
          </w:p>
        </w:tc>
        <w:tc>
          <w:tcPr>
            <w:tcW w:w="354" w:type="dxa"/>
            <w:tcBorders/>
            <w:shd w:fill="FFFFFF" w:val="clear"/>
            <w:vAlign w:val="center"/>
          </w:tcPr>
          <w:p>
            <w:pPr>
              <w:pStyle w:val="TableContents"/>
              <w:bidi w:val="0"/>
              <w:spacing w:before="0" w:after="283"/>
              <w:jc w:val="left"/>
              <w:rPr>
                <w:sz w:val="20"/>
              </w:rPr>
            </w:pPr>
            <w:r>
              <w:rPr>
                <w:sz w:val="20"/>
              </w:rPr>
              <w:t>%</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sz w:val="20"/>
              </w:rPr>
            </w:pPr>
            <w:r>
              <w:rPr>
                <w:sz w:val="20"/>
              </w:rPr>
              <w:t>5.3</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523" w:type="dxa"/>
        <w:jc w:val="left"/>
        <w:tblInd w:w="0" w:type="dxa"/>
        <w:tblLayout w:type="fixed"/>
        <w:tblCellMar>
          <w:top w:w="0" w:type="dxa"/>
          <w:left w:w="0" w:type="dxa"/>
          <w:bottom w:w="0" w:type="dxa"/>
          <w:right w:w="0" w:type="dxa"/>
        </w:tblCellMar>
      </w:tblPr>
      <w:tblGrid>
        <w:gridCol w:w="3020"/>
        <w:gridCol w:w="60"/>
        <w:gridCol w:w="288"/>
        <w:gridCol w:w="1366"/>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2855"/>
        <w:gridCol w:w="60"/>
        <w:gridCol w:w="285"/>
        <w:gridCol w:w="1244"/>
        <w:gridCol w:w="182"/>
        <w:gridCol w:w="137"/>
        <w:gridCol w:w="285"/>
        <w:gridCol w:w="764"/>
        <w:gridCol w:w="60"/>
        <w:gridCol w:w="60"/>
        <w:gridCol w:w="258"/>
        <w:gridCol w:w="1002"/>
        <w:gridCol w:w="165"/>
        <w:gridCol w:w="123"/>
        <w:gridCol w:w="258"/>
        <w:gridCol w:w="1002"/>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82"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Government subsidy income</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sz w:val="20"/>
              </w:rPr>
            </w:pPr>
            <w:r>
              <w:rPr>
                <w:sz w:val="20"/>
              </w:rPr>
              <w:t>$</w:t>
            </w:r>
          </w:p>
        </w:tc>
        <w:tc>
          <w:tcPr>
            <w:tcW w:w="1244" w:type="dxa"/>
            <w:tcBorders/>
            <w:shd w:fill="CCEEFF" w:val="clear"/>
            <w:vAlign w:val="center"/>
          </w:tcPr>
          <w:p>
            <w:pPr>
              <w:pStyle w:val="TableContents"/>
              <w:bidi w:val="0"/>
              <w:spacing w:before="0" w:after="283"/>
              <w:ind w:left="0" w:right="0" w:hanging="0"/>
              <w:jc w:val="right"/>
              <w:rPr>
                <w:sz w:val="20"/>
              </w:rPr>
            </w:pPr>
            <w:r>
              <w:rPr>
                <w:sz w:val="20"/>
              </w:rPr>
              <w:t>3,219</w:t>
            </w:r>
          </w:p>
        </w:tc>
        <w:tc>
          <w:tcPr>
            <w:tcW w:w="182"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sz w:val="20"/>
              </w:rPr>
            </w:pPr>
            <w:r>
              <w:rPr>
                <w:sz w:val="20"/>
              </w:rPr>
              <w:t>$</w:t>
            </w:r>
          </w:p>
        </w:tc>
        <w:tc>
          <w:tcPr>
            <w:tcW w:w="764" w:type="dxa"/>
            <w:tcBorders/>
            <w:shd w:fill="CCEEFF" w:val="clear"/>
            <w:vAlign w:val="center"/>
          </w:tcPr>
          <w:p>
            <w:pPr>
              <w:pStyle w:val="TableContents"/>
              <w:bidi w:val="0"/>
              <w:spacing w:before="0" w:after="283"/>
              <w:ind w:left="0" w:right="0" w:hanging="0"/>
              <w:jc w:val="right"/>
              <w:rPr>
                <w:sz w:val="20"/>
              </w:rPr>
            </w:pPr>
            <w:r>
              <w:rPr>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sz w:val="20"/>
              </w:rPr>
            </w:pPr>
            <w:r>
              <w:rPr>
                <w:sz w:val="20"/>
              </w:rPr>
              <w:t>$</w:t>
            </w:r>
          </w:p>
        </w:tc>
        <w:tc>
          <w:tcPr>
            <w:tcW w:w="1002" w:type="dxa"/>
            <w:tcBorders/>
            <w:shd w:fill="CCEEFF" w:val="clear"/>
            <w:vAlign w:val="center"/>
          </w:tcPr>
          <w:p>
            <w:pPr>
              <w:pStyle w:val="TableContents"/>
              <w:bidi w:val="0"/>
              <w:spacing w:before="0" w:after="283"/>
              <w:ind w:left="0" w:right="0" w:hanging="0"/>
              <w:jc w:val="right"/>
              <w:rPr>
                <w:sz w:val="20"/>
              </w:rPr>
            </w:pPr>
            <w:r>
              <w:rPr>
                <w:sz w:val="20"/>
              </w:rPr>
              <w:t>4,717</w:t>
            </w:r>
          </w:p>
        </w:tc>
        <w:tc>
          <w:tcPr>
            <w:tcW w:w="16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sz w:val="20"/>
              </w:rPr>
            </w:pPr>
            <w:r>
              <w:rPr>
                <w:sz w:val="20"/>
              </w:rPr>
              <w:t>$</w:t>
            </w:r>
          </w:p>
        </w:tc>
        <w:tc>
          <w:tcPr>
            <w:tcW w:w="1002" w:type="dxa"/>
            <w:tcBorders/>
            <w:shd w:fill="CCEEFF" w:val="clear"/>
            <w:vAlign w:val="center"/>
          </w:tcPr>
          <w:p>
            <w:pPr>
              <w:pStyle w:val="TableContents"/>
              <w:bidi w:val="0"/>
              <w:spacing w:before="0" w:after="283"/>
              <w:ind w:left="0" w:right="0" w:hanging="0"/>
              <w:jc w:val="right"/>
              <w:rPr>
                <w:sz w:val="20"/>
              </w:rPr>
            </w:pPr>
            <w:r>
              <w:rPr>
                <w:sz w:val="20"/>
              </w:rPr>
              <w:t>370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sz w:val="20"/>
              </w:rPr>
            </w:pPr>
            <w:r>
              <w:rPr>
                <w:sz w:val="20"/>
              </w:rPr>
              <w:t>(2,438</w:t>
            </w:r>
          </w:p>
        </w:tc>
        <w:tc>
          <w:tcPr>
            <w:tcW w:w="182" w:type="dxa"/>
            <w:tcBorders/>
            <w:shd w:fill="FFFFFF" w:val="clear"/>
            <w:vAlign w:val="center"/>
          </w:tcPr>
          <w:p>
            <w:pPr>
              <w:pStyle w:val="TableContents"/>
              <w:bidi w:val="0"/>
              <w:spacing w:before="0" w:after="283"/>
              <w:jc w:val="left"/>
              <w:rPr>
                <w:sz w:val="20"/>
              </w:rPr>
            </w:pPr>
            <w:r>
              <w:rPr>
                <w:sz w:val="20"/>
              </w:rPr>
              <w:t>)</w:t>
            </w:r>
          </w:p>
        </w:tc>
        <w:tc>
          <w:tcPr>
            <w:tcW w:w="13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sz w:val="20"/>
              </w:rPr>
            </w:pPr>
            <w:r>
              <w:rPr>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sz w:val="20"/>
              </w:rPr>
            </w:pPr>
            <w:r>
              <w:rPr>
                <w:sz w:val="20"/>
              </w:rPr>
              <w:t>3,915</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sz w:val="20"/>
              </w:rPr>
            </w:pPr>
            <w:r>
              <w:rPr>
                <w:sz w:val="20"/>
              </w:rPr>
              <w:t>216</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non-operating gain (loss)</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(79</w:t>
            </w:r>
          </w:p>
        </w:tc>
        <w:tc>
          <w:tcPr>
            <w:tcW w:w="182" w:type="dxa"/>
            <w:tcBorders/>
            <w:shd w:fill="CCEEFF" w:val="clear"/>
            <w:vAlign w:val="center"/>
          </w:tcPr>
          <w:p>
            <w:pPr>
              <w:pStyle w:val="TableContents"/>
              <w:bidi w:val="0"/>
              <w:spacing w:before="0" w:after="283"/>
              <w:jc w:val="left"/>
              <w:rPr>
                <w:sz w:val="20"/>
              </w:rPr>
            </w:pPr>
            <w:r>
              <w:rPr>
                <w:sz w:val="20"/>
              </w:rPr>
              <w:t>)</w:t>
            </w:r>
          </w:p>
        </w:tc>
        <w:tc>
          <w:tcPr>
            <w:tcW w:w="137"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(45</w:t>
            </w:r>
          </w:p>
        </w:tc>
        <w:tc>
          <w:tcPr>
            <w:tcW w:w="165" w:type="dxa"/>
            <w:tcBorders/>
            <w:shd w:fill="CCEEFF" w:val="clear"/>
            <w:vAlign w:val="center"/>
          </w:tcPr>
          <w:p>
            <w:pPr>
              <w:pStyle w:val="TableContents"/>
              <w:bidi w:val="0"/>
              <w:spacing w:before="0" w:after="283"/>
              <w:jc w:val="left"/>
              <w:rPr>
                <w:sz w:val="20"/>
              </w:rPr>
            </w:pPr>
            <w:r>
              <w:rPr>
                <w:sz w:val="20"/>
              </w:rPr>
              <w:t>)</w:t>
            </w:r>
          </w:p>
        </w:tc>
        <w:tc>
          <w:tcPr>
            <w:tcW w:w="123"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1,371</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other income (expenses) , net</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702</w:t>
            </w:r>
          </w:p>
        </w:tc>
        <w:tc>
          <w:tcPr>
            <w:tcW w:w="182"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8,587</w:t>
            </w:r>
          </w:p>
        </w:tc>
        <w:tc>
          <w:tcPr>
            <w:tcW w:w="16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Performance Based Incentive Plan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Amended and Restated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September 30, 2025 </w:t>
      </w:r>
      <w:r>
        <w:rPr>
          <w:rFonts w:ascii="Times New Roman" w:hAnsi="Times New Roman"/>
          <w:sz w:val="20"/>
        </w:rPr>
        <w:t xml:space="preserve">and </w:t>
      </w:r>
      <w:r>
        <w:rPr>
          <w:rStyle w:val="Emphasis"/>
          <w:rFonts w:ascii="Times New Roman" w:hAnsi="Times New Roman"/>
          <w:sz w:val="20"/>
        </w:rPr>
        <w:t>2024</w:t>
      </w:r>
      <w:r>
        <w:rPr>
          <w:rFonts w:ascii="Times New Roman" w:hAnsi="Times New Roman"/>
          <w:sz w:val="20"/>
        </w:rPr>
        <w:t xml:space="preserve"> of $1.2 million and $3.8 million, respectively. </w:t>
      </w:r>
      <w:r>
        <w:rPr>
          <w:rFonts w:ascii="Times New Roman" w:hAnsi="Times New Roman"/>
          <w:sz w:val="20"/>
          <w:shd w:fill="FFFFFF" w:val="clear"/>
        </w:rPr>
        <w:t xml:space="preserve">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 xml:space="preserve"> September 30, 2025 </w:t>
      </w:r>
      <w:r>
        <w:rPr>
          <w:rFonts w:ascii="Times New Roman" w:hAnsi="Times New Roman"/>
          <w:sz w:val="20"/>
        </w:rPr>
        <w:t xml:space="preserve">and </w:t>
      </w:r>
      <w:r>
        <w:rPr>
          <w:rStyle w:val="Emphasis"/>
          <w:rFonts w:ascii="Times New Roman" w:hAnsi="Times New Roman"/>
          <w:sz w:val="20"/>
        </w:rPr>
        <w:t>2024</w:t>
      </w:r>
      <w:r>
        <w:rPr>
          <w:rFonts w:ascii="Times New Roman" w:hAnsi="Times New Roman"/>
          <w:sz w:val="20"/>
        </w:rPr>
        <w:t xml:space="preserve"> of $3.3 million and $5.8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following is a summary of PSU activity for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September 30, 2025:</w:t>
      </w:r>
    </w:p>
    <w:p>
      <w:pPr>
        <w:pStyle w:val="TextBody"/>
        <w:bidi w:val="0"/>
        <w:spacing w:before="0" w:after="0"/>
        <w:ind w:left="160" w:right="0" w:firstLine="540"/>
        <w:jc w:val="left"/>
        <w:rPr>
          <w:caps w:val="false"/>
          <w:smallCaps w:val="false"/>
        </w:rPr>
      </w:pPr>
      <w:r>
        <w:rPr>
          <w:caps w:val="false"/>
          <w:smallCaps w:val="false"/>
        </w:rPr>
        <w:t> </w:t>
      </w:r>
    </w:p>
    <w:tbl>
      <w:tblPr>
        <w:tblW w:w="7381" w:type="dxa"/>
        <w:jc w:val="left"/>
        <w:tblInd w:w="0" w:type="dxa"/>
        <w:tblLayout w:type="fixed"/>
        <w:tblCellMar>
          <w:top w:w="0" w:type="dxa"/>
          <w:left w:w="0" w:type="dxa"/>
          <w:bottom w:w="0" w:type="dxa"/>
          <w:right w:w="0" w:type="dxa"/>
        </w:tblCellMar>
      </w:tblPr>
      <w:tblGrid>
        <w:gridCol w:w="2735"/>
        <w:gridCol w:w="60"/>
        <w:gridCol w:w="111"/>
        <w:gridCol w:w="920"/>
        <w:gridCol w:w="92"/>
        <w:gridCol w:w="69"/>
        <w:gridCol w:w="193"/>
        <w:gridCol w:w="751"/>
        <w:gridCol w:w="69"/>
        <w:gridCol w:w="69"/>
        <w:gridCol w:w="221"/>
        <w:gridCol w:w="862"/>
        <w:gridCol w:w="69"/>
        <w:gridCol w:w="69"/>
        <w:gridCol w:w="179"/>
        <w:gridCol w:w="852"/>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right"/>
              <w:rPr/>
            </w:pPr>
            <w:r>
              <w:rPr/>
              <w:t> </w:t>
            </w:r>
          </w:p>
        </w:tc>
        <w:tc>
          <w:tcPr>
            <w:tcW w:w="944"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Weighted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283"/>
              <w:jc w:val="left"/>
              <w:rPr/>
            </w:pPr>
            <w:r>
              <w:rPr>
                <w:rStyle w:val="Emphasis"/>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9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right"/>
              <w:rPr/>
            </w:pPr>
            <w:r>
              <w:rPr/>
              <w:t> </w:t>
            </w:r>
          </w:p>
        </w:tc>
        <w:tc>
          <w:tcPr>
            <w:tcW w:w="193" w:type="dxa"/>
            <w:tcBorders/>
            <w:shd w:fill="CCEEFF" w:val="clear"/>
            <w:vAlign w:val="center"/>
          </w:tcPr>
          <w:p>
            <w:pPr>
              <w:pStyle w:val="TableContents"/>
              <w:bidi w:val="0"/>
              <w:spacing w:before="0" w:after="283"/>
              <w:ind w:left="0" w:right="0" w:hanging="0"/>
              <w:jc w:val="right"/>
              <w:rPr/>
            </w:pPr>
            <w:r>
              <w:rPr/>
              <w:t> </w:t>
            </w:r>
          </w:p>
        </w:tc>
        <w:tc>
          <w:tcPr>
            <w:tcW w:w="751" w:type="dxa"/>
            <w:tcBorders/>
            <w:shd w:fill="CCEEFF" w:val="clear"/>
            <w:vAlign w:val="center"/>
          </w:tcPr>
          <w:p>
            <w:pPr>
              <w:pStyle w:val="TableContents"/>
              <w:bidi w:val="0"/>
              <w:spacing w:before="0" w:after="283"/>
              <w:ind w:left="0" w:right="0" w:hanging="0"/>
              <w:jc w:val="right"/>
              <w:rPr/>
            </w:pPr>
            <w:r>
              <w:rPr>
                <w:rStyle w:val="Emphasis"/>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53,347</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ind w:left="0" w:right="0" w:hanging="0"/>
              <w:jc w:val="right"/>
              <w:rPr/>
            </w:pPr>
            <w:r>
              <w:rPr/>
              <w:t> </w:t>
            </w:r>
          </w:p>
        </w:tc>
        <w:tc>
          <w:tcPr>
            <w:tcW w:w="751" w:type="dxa"/>
            <w:tcBorders/>
            <w:shd w:fill="FFFFFF" w:val="cle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right"/>
              <w:rPr/>
            </w:pPr>
            <w:r>
              <w:rPr/>
              <w:t> </w:t>
            </w:r>
          </w:p>
        </w:tc>
        <w:tc>
          <w:tcPr>
            <w:tcW w:w="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September 30, 2025</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9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righ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ind w:left="0" w:right="0" w:hanging="0"/>
              <w:jc w:val="right"/>
              <w:rPr/>
            </w:pPr>
            <w:r>
              <w:rPr/>
              <w:t> </w:t>
            </w:r>
          </w:p>
        </w:tc>
        <w:tc>
          <w:tcPr>
            <w:tcW w:w="751" w:type="dxa"/>
            <w:tcBorders/>
            <w:shd w:fill="FFFFFF" w:val="clear"/>
            <w:vAlign w:val="center"/>
          </w:tcPr>
          <w:p>
            <w:pPr>
              <w:pStyle w:val="TableContents"/>
              <w:bidi w:val="0"/>
              <w:spacing w:before="0" w:after="283"/>
              <w:ind w:left="0" w:right="0" w:hanging="0"/>
              <w:jc w:val="right"/>
              <w:rPr/>
            </w:pPr>
            <w:r>
              <w:rPr>
                <w:rStyle w:val="Emphasis"/>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September 30, 2025</w:t>
      </w:r>
      <w:r>
        <w:rPr>
          <w:rFonts w:ascii="Times New Roman" w:hAnsi="Times New Roman"/>
          <w:sz w:val="20"/>
        </w:rPr>
        <w:t>, there was $6.2 million of unrecognized stock-based compensation expense related to outstanding PSUs, which expense is expected to be recognized over 1.9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377" w:type="dxa"/>
        <w:jc w:val="left"/>
        <w:tblInd w:w="0" w:type="dxa"/>
        <w:tblLayout w:type="fixed"/>
        <w:tblCellMar>
          <w:top w:w="0" w:type="dxa"/>
          <w:left w:w="0" w:type="dxa"/>
          <w:bottom w:w="0" w:type="dxa"/>
          <w:right w:w="0" w:type="dxa"/>
        </w:tblCellMar>
      </w:tblPr>
      <w:tblGrid>
        <w:gridCol w:w="2735"/>
        <w:gridCol w:w="60"/>
        <w:gridCol w:w="96"/>
        <w:gridCol w:w="793"/>
        <w:gridCol w:w="80"/>
        <w:gridCol w:w="60"/>
        <w:gridCol w:w="304"/>
        <w:gridCol w:w="930"/>
        <w:gridCol w:w="60"/>
        <w:gridCol w:w="60"/>
        <w:gridCol w:w="231"/>
        <w:gridCol w:w="898"/>
        <w:gridCol w:w="60"/>
        <w:gridCol w:w="60"/>
        <w:gridCol w:w="155"/>
        <w:gridCol w:w="735"/>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82,243</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45,124</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45,124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September 30, 2025</w:t>
      </w:r>
      <w:r>
        <w:rPr>
          <w:rFonts w:ascii="Times New Roman" w:hAnsi="Times New Roman"/>
          <w:sz w:val="20"/>
        </w:rPr>
        <w:t>, there was</w:t>
      </w:r>
      <w:r>
        <w:rPr>
          <w:rFonts w:ascii="Times New Roman" w:hAnsi="Times New Roman"/>
          <w:sz w:val="20"/>
          <w:shd w:fill="FFFFFF" w:val="clear"/>
        </w:rPr>
        <w:t xml:space="preserve"> $12.1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2.3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7239" w:type="dxa"/>
        <w:jc w:val="left"/>
        <w:tblInd w:w="0" w:type="dxa"/>
        <w:tblLayout w:type="fixed"/>
        <w:tblCellMar>
          <w:top w:w="0" w:type="dxa"/>
          <w:left w:w="0" w:type="dxa"/>
          <w:bottom w:w="0" w:type="dxa"/>
          <w:right w:w="0" w:type="dxa"/>
        </w:tblCellMar>
      </w:tblPr>
      <w:tblGrid>
        <w:gridCol w:w="3725"/>
        <w:gridCol w:w="60"/>
        <w:gridCol w:w="157"/>
        <w:gridCol w:w="609"/>
        <w:gridCol w:w="75"/>
        <w:gridCol w:w="75"/>
        <w:gridCol w:w="157"/>
        <w:gridCol w:w="609"/>
        <w:gridCol w:w="60"/>
        <w:gridCol w:w="60"/>
        <w:gridCol w:w="137"/>
        <w:gridCol w:w="535"/>
        <w:gridCol w:w="66"/>
        <w:gridCol w:w="66"/>
        <w:gridCol w:w="137"/>
        <w:gridCol w:w="651"/>
        <w:gridCol w:w="60"/>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types</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2" w:type="dxa"/>
            <w:gridSpan w:val="2"/>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788"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Times;serif" w:hAnsi="Times New Roman;Times;serif"/>
          <w:sz w:val="20"/>
        </w:rPr>
        <w:t>not”</w:t>
      </w:r>
      <w:r>
        <w:rPr>
          <w:rFonts w:ascii="Times New Roman;Times;serif" w:hAnsi="Times New Roman;Times;serif"/>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Times;serif" w:hAnsi="Times New Roman;Times;serif"/>
          <w:sz w:val="20"/>
        </w:rPr>
        <w:t xml:space="preserve"> September 30, 2025 </w:t>
      </w:r>
      <w:r>
        <w:rPr>
          <w:rFonts w:ascii="Times New Roman;Times;serif" w:hAnsi="Times New Roman;Times;serif"/>
          <w:sz w:val="20"/>
        </w:rPr>
        <w:t>was appropriate.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4, 2025, </w:t>
      </w:r>
      <w:r>
        <w:rPr>
          <w:rFonts w:ascii="Times New Roman;Times;serif" w:hAnsi="Times New Roman;Times;serif"/>
          <w:sz w:val="20"/>
        </w:rPr>
        <w:t xml:space="preserve">new U.S tax legislation was signed into law (known as the "One Big Beautiful Bill Act" or "OBBBA") which includes, among other provisions, changes to the U.S. corporate income tax system including the allowance of immediate expensing of qualifying research and development expenses and permanent extensions of certain provisions within the Tax Cuts and Jobs Act.  In addition, the OBBBA makes changes to certain U.S. corporate and international tax provisions which are generally </w:t>
      </w:r>
      <w:r>
        <w:rPr>
          <w:rStyle w:val="Emphasis"/>
          <w:rFonts w:ascii="Times New Roman;Times;serif" w:hAnsi="Times New Roman;Times;serif"/>
          <w:sz w:val="20"/>
        </w:rPr>
        <w:t>not</w:t>
      </w:r>
      <w:r>
        <w:rPr>
          <w:rFonts w:ascii="Times New Roman;Times;serif" w:hAnsi="Times New Roman;Times;serif"/>
          <w:sz w:val="20"/>
        </w:rPr>
        <w:t xml:space="preserve"> effective until </w:t>
      </w:r>
      <w:r>
        <w:rPr>
          <w:rStyle w:val="Emphasis"/>
          <w:rFonts w:ascii="Times New Roman;Times;serif" w:hAnsi="Times New Roman;Times;serif"/>
          <w:sz w:val="20"/>
        </w:rPr>
        <w:t>2026.</w:t>
      </w:r>
      <w:r>
        <w:rPr>
          <w:rFonts w:ascii="Times New Roman;Times;serif" w:hAnsi="Times New Roman;Times;serif"/>
          <w:sz w:val="20"/>
        </w:rPr>
        <w:t xml:space="preserve">  For example, as a U.S. domiciled company, the income from the Company's foreign subsidiaries is subject to the U.S. tax provisions under Internal Revenue Code Section </w:t>
      </w:r>
      <w:r>
        <w:rPr>
          <w:rStyle w:val="Emphasis"/>
          <w:rFonts w:ascii="Times New Roman;Times;serif" w:hAnsi="Times New Roman;Times;serif"/>
          <w:sz w:val="20"/>
        </w:rPr>
        <w:t>951A,</w:t>
      </w:r>
      <w:r>
        <w:rPr>
          <w:rFonts w:ascii="Times New Roman;Times;serif" w:hAnsi="Times New Roman;Times;serif"/>
          <w:sz w:val="20"/>
        </w:rPr>
        <w:t xml:space="preserve"> which, as amended by the OBBBA, generally will require that net Controlled Foreign Corporation (“CFC”) tested income (formerly referred to as global intangible low-taxed income, or GILTI) be included in the taxable income of U.S. entities for tax years after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We are currently evaluating the impact of the new legislation but do </w:t>
      </w:r>
      <w:r>
        <w:rPr>
          <w:rStyle w:val="Emphasis"/>
          <w:rFonts w:ascii="Times New Roman;Times;serif" w:hAnsi="Times New Roman;Times;serif"/>
          <w:sz w:val="20"/>
        </w:rPr>
        <w:t>not</w:t>
      </w:r>
      <w:r>
        <w:rPr>
          <w:rFonts w:ascii="Times New Roman;Times;serif" w:hAnsi="Times New Roman;Times;serif"/>
          <w:sz w:val="20"/>
        </w:rPr>
        <w:t xml:space="preserve"> expect it to have a material impact on our financial statements since we currently have a full valuation allowance applied against our deferred tax assets.</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xml:space="preserve"> Segment and Geographic Information</w:t>
      </w:r>
    </w:p>
    <w:p>
      <w:pPr>
        <w:pStyle w:val="TextBody"/>
        <w:bidi w:val="0"/>
        <w:spacing w:before="0" w:after="0"/>
        <w:ind w:left="0" w:right="0" w:hanging="0"/>
        <w:jc w:val="left"/>
        <w:rPr/>
      </w:pPr>
      <w:r>
        <w:rPr/>
        <w:t>​</w:t>
      </w:r>
    </w:p>
    <w:p>
      <w:pPr>
        <w:pStyle w:val="TextBody"/>
        <w:bidi w:val="0"/>
        <w:spacing w:before="0" w:after="0"/>
        <w:ind w:left="0" w:right="0" w:firstLine="900"/>
        <w:jc w:val="left"/>
        <w:rPr/>
      </w:pPr>
      <w:r>
        <w:rPr>
          <w:rFonts w:ascii="Times New Roman" w:hAnsi="Times New Roman"/>
          <w:caps w:val="false"/>
          <w:smallCaps w:val="false"/>
          <w:sz w:val="20"/>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have individual financial or operating goals for each location, nor for any other subset of the Company's operations. As such, the Company has determined it operates as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Our CODM uses net income or loss to allocate resources and assess performance. The CODM regularly reviews the consolidated net income or loss to make strategic decisions, such as capital expenditure plan, production plan and manpower allocation. The following table is in thousands.</w:t>
      </w:r>
    </w:p>
    <w:p>
      <w:pPr>
        <w:pStyle w:val="TextBody"/>
        <w:bidi w:val="0"/>
        <w:spacing w:before="0" w:after="0"/>
        <w:ind w:left="0" w:right="0" w:firstLine="900"/>
        <w:jc w:val="left"/>
        <w:rPr>
          <w:caps w:val="false"/>
          <w:smallCaps w:val="false"/>
        </w:rPr>
      </w:pPr>
      <w:r>
        <w:rPr>
          <w:caps w:val="false"/>
          <w:smallCaps w:val="false"/>
        </w:rPr>
        <w:t> </w:t>
      </w:r>
    </w:p>
    <w:tbl>
      <w:tblPr>
        <w:tblW w:w="8942" w:type="dxa"/>
        <w:jc w:val="left"/>
        <w:tblInd w:w="0" w:type="dxa"/>
        <w:tblLayout w:type="fixed"/>
        <w:tblCellMar>
          <w:top w:w="0" w:type="dxa"/>
          <w:left w:w="0" w:type="dxa"/>
          <w:bottom w:w="0" w:type="dxa"/>
          <w:right w:w="0" w:type="dxa"/>
        </w:tblCellMar>
      </w:tblPr>
      <w:tblGrid>
        <w:gridCol w:w="2960"/>
        <w:gridCol w:w="60"/>
        <w:gridCol w:w="208"/>
        <w:gridCol w:w="1161"/>
        <w:gridCol w:w="133"/>
        <w:gridCol w:w="100"/>
        <w:gridCol w:w="208"/>
        <w:gridCol w:w="1086"/>
        <w:gridCol w:w="80"/>
        <w:gridCol w:w="60"/>
        <w:gridCol w:w="184"/>
        <w:gridCol w:w="1116"/>
        <w:gridCol w:w="118"/>
        <w:gridCol w:w="88"/>
        <w:gridCol w:w="184"/>
        <w:gridCol w:w="1116"/>
        <w:gridCol w:w="8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research and development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(20,951</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(58,653</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sales and marketing</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(9,586</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(22,181</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(16,518</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(43,742</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(6,599</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 xml:space="preserve">We exclude share-based compensation and related expense, certain legal expenses associated with litigation and other </w:t>
      </w:r>
      <w:r>
        <w:rPr>
          <w:rStyle w:val="Emphasis"/>
          <w:rFonts w:ascii="Times New Roman" w:hAnsi="Times New Roman"/>
          <w:sz w:val="20"/>
        </w:rPr>
        <w:t>one</w:t>
      </w:r>
      <w:r>
        <w:rPr>
          <w:rFonts w:ascii="Times New Roman" w:hAnsi="Times New Roman"/>
          <w:sz w:val="20"/>
        </w:rPr>
        <w:t>-time expenses from adjusted research and development, adjusted sales and marketing and adjusted general and administrative expenses.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Other segment items include share-based compensation expense, interest expense, interest income, certain legal expenses associated with litigation and other </w:t>
      </w:r>
      <w:r>
        <w:rPr>
          <w:rStyle w:val="Emphasis"/>
          <w:rFonts w:ascii="Times New Roman" w:hAnsi="Times New Roman"/>
          <w:sz w:val="20"/>
        </w:rPr>
        <w:t>one</w:t>
      </w:r>
      <w:r>
        <w:rPr>
          <w:rFonts w:ascii="Times New Roman" w:hAnsi="Times New Roman"/>
          <w:sz w:val="20"/>
        </w:rPr>
        <w:t>-time items.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 land use rights, right of use assets and intangible assets (in thousands):</w:t>
      </w:r>
    </w:p>
    <w:p>
      <w:pPr>
        <w:pStyle w:val="TextBody"/>
        <w:bidi w:val="0"/>
        <w:spacing w:before="0" w:after="0"/>
        <w:ind w:left="0" w:right="0" w:hanging="0"/>
        <w:jc w:val="left"/>
        <w:rPr/>
      </w:pPr>
      <w:r>
        <w:rPr/>
        <w:t>​</w:t>
      </w:r>
    </w:p>
    <w:tbl>
      <w:tblPr>
        <w:tblW w:w="7224" w:type="dxa"/>
        <w:jc w:val="left"/>
        <w:tblInd w:w="0" w:type="dxa"/>
        <w:tblLayout w:type="fixed"/>
        <w:tblCellMar>
          <w:top w:w="0" w:type="dxa"/>
          <w:left w:w="0" w:type="dxa"/>
          <w:bottom w:w="0" w:type="dxa"/>
          <w:right w:w="0" w:type="dxa"/>
        </w:tblCellMar>
      </w:tblPr>
      <w:tblGrid>
        <w:gridCol w:w="1280"/>
        <w:gridCol w:w="60"/>
        <w:gridCol w:w="219"/>
        <w:gridCol w:w="1217"/>
        <w:gridCol w:w="105"/>
        <w:gridCol w:w="105"/>
        <w:gridCol w:w="219"/>
        <w:gridCol w:w="1033"/>
        <w:gridCol w:w="60"/>
        <w:gridCol w:w="60"/>
        <w:gridCol w:w="199"/>
        <w:gridCol w:w="1109"/>
        <w:gridCol w:w="95"/>
        <w:gridCol w:w="95"/>
        <w:gridCol w:w="199"/>
        <w:gridCol w:w="1109"/>
        <w:gridCol w:w="60"/>
      </w:tblGrid>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36" w:type="dxa"/>
            <w:gridSpan w:val="2"/>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252"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8"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308"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sz w:val="20"/>
              </w:rPr>
            </w:pPr>
            <w:r>
              <w:rPr>
                <w:sz w:val="20"/>
              </w:rPr>
              <w:t>$</w:t>
            </w:r>
          </w:p>
        </w:tc>
        <w:tc>
          <w:tcPr>
            <w:tcW w:w="1217" w:type="dxa"/>
            <w:tcBorders/>
            <w:shd w:fill="FFFFFF" w:val="clear"/>
            <w:vAlign w:val="center"/>
          </w:tcPr>
          <w:p>
            <w:pPr>
              <w:pStyle w:val="TableContents"/>
              <w:bidi w:val="0"/>
              <w:spacing w:before="0" w:after="283"/>
              <w:ind w:left="0" w:right="0" w:hanging="0"/>
              <w:jc w:val="right"/>
              <w:rPr>
                <w:sz w:val="20"/>
              </w:rPr>
            </w:pPr>
            <w:r>
              <w:rPr>
                <w:sz w:val="20"/>
              </w:rPr>
              <w:t>1,684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sz w:val="20"/>
              </w:rPr>
            </w:pPr>
            <w:r>
              <w:rPr>
                <w:sz w:val="20"/>
              </w:rPr>
              <w:t>$</w:t>
            </w:r>
          </w:p>
        </w:tc>
        <w:tc>
          <w:tcPr>
            <w:tcW w:w="1033" w:type="dxa"/>
            <w:tcBorders/>
            <w:shd w:fill="FFFFFF" w:val="clear"/>
            <w:vAlign w:val="center"/>
          </w:tcPr>
          <w:p>
            <w:pPr>
              <w:pStyle w:val="TableContents"/>
              <w:bidi w:val="0"/>
              <w:spacing w:before="0" w:after="283"/>
              <w:ind w:left="0" w:right="0" w:hanging="0"/>
              <w:jc w:val="right"/>
              <w:rPr>
                <w:sz w:val="20"/>
              </w:rPr>
            </w:pPr>
            <w:r>
              <w:rPr>
                <w:sz w:val="20"/>
              </w:rPr>
              <w:t>1,659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sz w:val="20"/>
              </w:rPr>
            </w:pPr>
            <w:r>
              <w:rPr>
                <w:sz w:val="20"/>
              </w:rPr>
              <w:t>$</w:t>
            </w:r>
          </w:p>
        </w:tc>
        <w:tc>
          <w:tcPr>
            <w:tcW w:w="1109" w:type="dxa"/>
            <w:tcBorders/>
            <w:shd w:fill="FFFFFF" w:val="clear"/>
            <w:vAlign w:val="center"/>
          </w:tcPr>
          <w:p>
            <w:pPr>
              <w:pStyle w:val="TableContents"/>
              <w:bidi w:val="0"/>
              <w:spacing w:before="0" w:after="283"/>
              <w:ind w:left="0" w:right="0" w:hanging="0"/>
              <w:jc w:val="right"/>
              <w:rPr>
                <w:sz w:val="20"/>
              </w:rPr>
            </w:pPr>
            <w:r>
              <w:rPr>
                <w:sz w:val="20"/>
              </w:rPr>
              <w:t>3,638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sz w:val="20"/>
              </w:rPr>
            </w:pPr>
            <w:r>
              <w:rPr>
                <w:sz w:val="20"/>
              </w:rPr>
              <w:t>$</w:t>
            </w:r>
          </w:p>
        </w:tc>
        <w:tc>
          <w:tcPr>
            <w:tcW w:w="1109" w:type="dxa"/>
            <w:tcBorders/>
            <w:shd w:fill="FFFFFF" w:val="clear"/>
            <w:vAlign w:val="center"/>
          </w:tcPr>
          <w:p>
            <w:pPr>
              <w:pStyle w:val="TableContents"/>
              <w:bidi w:val="0"/>
              <w:spacing w:before="0" w:after="283"/>
              <w:ind w:left="0" w:right="0" w:hanging="0"/>
              <w:jc w:val="right"/>
              <w:rPr>
                <w:sz w:val="20"/>
              </w:rPr>
            </w:pPr>
            <w:r>
              <w:rPr>
                <w:sz w:val="20"/>
              </w:rPr>
              <w:t>6,336</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Taiwan</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17" w:type="dxa"/>
            <w:tcBorders/>
            <w:shd w:fill="CCEEFF" w:val="clear"/>
            <w:vAlign w:val="center"/>
          </w:tcPr>
          <w:p>
            <w:pPr>
              <w:pStyle w:val="TableContents"/>
              <w:bidi w:val="0"/>
              <w:spacing w:before="0" w:after="283"/>
              <w:ind w:left="0" w:right="0" w:hanging="0"/>
              <w:jc w:val="right"/>
              <w:rPr>
                <w:sz w:val="20"/>
              </w:rPr>
            </w:pPr>
            <w:r>
              <w:rPr>
                <w:sz w:val="20"/>
              </w:rPr>
              <w:t>43,799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sz w:val="20"/>
              </w:rPr>
            </w:pPr>
            <w:r>
              <w:rPr>
                <w:sz w:val="20"/>
              </w:rPr>
              <w:t>34,663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sz w:val="20"/>
              </w:rPr>
            </w:pPr>
            <w:r>
              <w:rPr>
                <w:sz w:val="20"/>
              </w:rPr>
              <w:t>111,132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sz w:val="20"/>
              </w:rPr>
            </w:pPr>
            <w:r>
              <w:rPr>
                <w:sz w:val="20"/>
              </w:rPr>
              <w:t>88,225</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China</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73,147</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206,671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54,533</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118,630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321,441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149,094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078" w:type="dxa"/>
        <w:jc w:val="left"/>
        <w:tblInd w:w="0" w:type="dxa"/>
        <w:tblLayout w:type="fixed"/>
        <w:tblCellMar>
          <w:top w:w="0" w:type="dxa"/>
          <w:left w:w="0" w:type="dxa"/>
          <w:bottom w:w="0" w:type="dxa"/>
          <w:right w:w="0" w:type="dxa"/>
        </w:tblCellMar>
      </w:tblPr>
      <w:tblGrid>
        <w:gridCol w:w="1505"/>
        <w:gridCol w:w="60"/>
        <w:gridCol w:w="180"/>
        <w:gridCol w:w="1009"/>
        <w:gridCol w:w="60"/>
        <w:gridCol w:w="60"/>
        <w:gridCol w:w="173"/>
        <w:gridCol w:w="971"/>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78,415</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46,912</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98,453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xml:space="preserve">  Commitments and contingencies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Company believes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claims or actions pending or threatened against it, the ultimate disposition of which would have a material adverse effect on 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9, 2021, </w:t>
      </w:r>
      <w:r>
        <w:rPr>
          <w:rFonts w:ascii="Times New Roman" w:hAnsi="Times New Roman"/>
          <w:caps w:val="false"/>
          <w:smallCaps w:val="false"/>
          <w:sz w:val="20"/>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rPr>
        <w:t>2016</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informing the Company that the Comptroller believes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but challenged the remaining tax assessments and vigorously defended its position. The Comptroller’s office exhausted its redetermination period and therefore moved the Company’s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October 13, 2025, </w:t>
      </w:r>
      <w:r>
        <w:rPr>
          <w:rFonts w:ascii="Times New Roman;Times;serif" w:hAnsi="Times New Roman;Times;serif"/>
          <w:sz w:val="20"/>
        </w:rPr>
        <w:t>the board of the Company approved capital injection to Prime World and also its branch office in Taiwan.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October 28, 2025, </w:t>
      </w:r>
      <w:r>
        <w:rPr>
          <w:rFonts w:ascii="Times New Roman;Times;serif" w:hAnsi="Times New Roman;Times;serif"/>
          <w:sz w:val="20"/>
        </w:rPr>
        <w:t xml:space="preserve">Prime World entered into a new Premises Lease Agreement with International Games System Co., Ltd. to lease the remaining 54,086 square feet of the building Prime World leased on </w:t>
      </w:r>
      <w:r>
        <w:rPr>
          <w:rStyle w:val="Emphasis"/>
          <w:rFonts w:ascii="Times New Roman;Times;serif" w:hAnsi="Times New Roman;Times;serif"/>
          <w:sz w:val="20"/>
        </w:rPr>
        <w:t xml:space="preserve">September 1, 2025 </w:t>
      </w:r>
      <w:r>
        <w:rPr>
          <w:rFonts w:ascii="Times New Roman;Times;serif" w:hAnsi="Times New Roman;Times;serif"/>
          <w:sz w:val="20"/>
        </w:rPr>
        <w:t>in New Taipei City.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2025 and the audited consolidated financial statements and notes thereto and management’s discussion and analysis of financial condition and results of operations for the fiscal year ended December 31, 2024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those discussed in other documents we file with the SEC, including our Report on Form 10-K for the year ended December 31, 2024 and subsequent Quarterly Reports on Form 10-Q, and geopolitical tensions and conflicts, including with respect to international trade policies in areas such as tariffs and export controls.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data centers, cable television ("CATV"), telecommunications ("telecom"), and fiber-to-the-home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vertically integrated manufacturing model provides us several advantages, including rapid product development, fast response times to customer requests and control over product quality and manufacturing costs. </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transceivers for the internet data center market,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We also manufacture CATV outdoor equipment including amplifiers. In our China facility, we do certain assembly operations on various products, including some optical subassemblies and transceivers for the CATV transmitters (at the headend), some CATV outdoor equipment and transceivers for our internet data center market. The extent of the assembly operations in our China facility do not always establish the country of origin for these products as China for U.S. tariff purposes. Each manufacturing facility conducts testing on the components, modules or subsystems it manufactures and each facility is certified to 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and Other Matters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early 2025, the U.S. Presidential administration implemented significant new tariffs on foreign imports impacting multiple countries, commodities and industries, and these new tariffs and export restrictions also prompted retaliatory tariffs and export restrictions from certain countries. As of November, 2025, significant tariffs and trade sanctions between the United States and China remain in place. In mid-May, 2025, the U.S. administration issued an executive order suspending certain previously announced tariff increases on China and temporarily reinstating a lower baseline tariff, which continues to remain in effect. In early August, the U.S. imposed a 20% reciprocal tariff on most imports from Taiwan. The U.S. remains in active tariff negotiations with key trading partners, including China and Taiwan, though the final outcomes of these negotiations remain uncertain. Although we have not been significantly impacted by the increased tariffs imposed on China to date, newly imposed or future tariffs, trade restrictions and retaliatory measures could result in revenue reduction, cost increases on material used in our products or significant production delays, which could adversely affect our business, financial condition, operational results and cash flows.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sz w:val="20"/>
        </w:rPr>
      </w:pPr>
      <w:r>
        <w:rPr>
          <w:sz w:val="20"/>
        </w:rPr>
        <w:t xml:space="preserve">Consistent with our strategy, we are optimizing operations and facilities and taking measures to contain costs to reduce the impact from tariffs. We are actively monitoring the tariff developments and analyzing the potential impacts on our business, cost structure, supply chain and broader economic environment. We are also working closely with our strategic suppliers to manage the potential impacts. While these developments have not had a material impact on our financial condition or results of operations to date, due to their evolving nature, we cannot predict with certainty the ultimate impacts they may have on our business and results in the future but those impacts could be material. </w:t>
      </w:r>
    </w:p>
    <w:p>
      <w:pPr>
        <w:pStyle w:val="TextBody"/>
        <w:bidi w:val="0"/>
        <w:ind w:left="0" w:right="0" w:firstLine="720"/>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9930" w:type="dxa"/>
        <w:jc w:val="left"/>
        <w:tblInd w:w="0" w:type="dxa"/>
        <w:tblLayout w:type="fixed"/>
        <w:tblCellMar>
          <w:top w:w="0" w:type="dxa"/>
          <w:left w:w="0" w:type="dxa"/>
          <w:bottom w:w="0" w:type="dxa"/>
          <w:right w:w="0" w:type="dxa"/>
        </w:tblCellMar>
      </w:tblPr>
      <w:tblGrid>
        <w:gridCol w:w="2735"/>
        <w:gridCol w:w="60"/>
        <w:gridCol w:w="125"/>
        <w:gridCol w:w="695"/>
        <w:gridCol w:w="80"/>
        <w:gridCol w:w="60"/>
        <w:gridCol w:w="60"/>
        <w:gridCol w:w="485"/>
        <w:gridCol w:w="245"/>
        <w:gridCol w:w="60"/>
        <w:gridCol w:w="125"/>
        <w:gridCol w:w="650"/>
        <w:gridCol w:w="80"/>
        <w:gridCol w:w="60"/>
        <w:gridCol w:w="60"/>
        <w:gridCol w:w="485"/>
        <w:gridCol w:w="245"/>
        <w:gridCol w:w="60"/>
        <w:gridCol w:w="125"/>
        <w:gridCol w:w="695"/>
        <w:gridCol w:w="80"/>
        <w:gridCol w:w="60"/>
        <w:gridCol w:w="60"/>
        <w:gridCol w:w="485"/>
        <w:gridCol w:w="245"/>
        <w:gridCol w:w="60"/>
        <w:gridCol w:w="125"/>
        <w:gridCol w:w="695"/>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2025 and 2024 (in thousands, except percentages):</w:t>
      </w:r>
    </w:p>
    <w:p>
      <w:pPr>
        <w:pStyle w:val="TextBody"/>
        <w:bidi w:val="0"/>
        <w:spacing w:before="0" w:after="0"/>
        <w:ind w:left="0" w:right="0" w:firstLine="720"/>
        <w:jc w:val="left"/>
        <w:rPr/>
      </w:pPr>
      <w:r>
        <w:rPr/>
        <w:t> </w:t>
      </w:r>
    </w:p>
    <w:tbl>
      <w:tblPr>
        <w:tblW w:w="667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81"/>
        <w:gridCol w:w="659"/>
        <w:gridCol w:w="185"/>
        <w:gridCol w:w="60"/>
        <w:gridCol w:w="125"/>
        <w:gridCol w:w="590"/>
        <w:gridCol w:w="60"/>
        <w:gridCol w:w="60"/>
        <w:gridCol w:w="81"/>
        <w:gridCol w:w="659"/>
        <w:gridCol w:w="185"/>
        <w:gridCol w:w="60"/>
        <w:gridCol w:w="125"/>
        <w:gridCol w:w="590"/>
        <w:gridCol w:w="80"/>
        <w:gridCol w:w="60"/>
        <w:gridCol w:w="60"/>
        <w:gridCol w:w="485"/>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tbl>
      <w:tblPr>
        <w:tblW w:w="688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81"/>
        <w:gridCol w:w="659"/>
        <w:gridCol w:w="185"/>
        <w:gridCol w:w="60"/>
        <w:gridCol w:w="125"/>
        <w:gridCol w:w="695"/>
        <w:gridCol w:w="60"/>
        <w:gridCol w:w="60"/>
        <w:gridCol w:w="81"/>
        <w:gridCol w:w="659"/>
        <w:gridCol w:w="185"/>
        <w:gridCol w:w="60"/>
        <w:gridCol w:w="125"/>
        <w:gridCol w:w="695"/>
        <w:gridCol w:w="80"/>
        <w:gridCol w:w="60"/>
        <w:gridCol w:w="60"/>
        <w:gridCol w:w="485"/>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revenue during both the three months and the nine months ended September 30, 2025 and 2024 were primarily due to increased demand from customers. </w:t>
      </w:r>
    </w:p>
    <w:p>
      <w:pPr>
        <w:pStyle w:val="TextBody"/>
        <w:bidi w:val="0"/>
        <w:ind w:left="0" w:right="0" w:firstLine="720"/>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We continue to see increased orders for our 100G and 400G data center products from several large customers. Based on forecasts from our customers, we expect increased demand for these products through the end of 2025. We entered into a supply agreement with Microsoft to design certain data center goods and to build a supply chain to manufacture, assemble, sell and ship the goods to them or an authorized purchasing entity. The initial term of the agreement is five years with automatic renewal unless terminated earlier. We continue to expect revenue from this contract to increase in 2025 compared to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our existing data center customers, we have also begun to receive orders from a hyperscale data center customer from which we have not received significant orders in several years. While the new customer interaction is not material within the quarter, we believe that both this new customer interaction and much of the growth in our existing data center business is related to efforts by these customers to increase processing capacity within their data centers, largely to accommodate applications enabled by generative artificial intelligence ("AI").</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third quarter of 2025, CATV revenue increased $49.7 million, or 237.1%, compared to the third quarter of 2024. For the nine months ended September 30, 2025 and 2024, CATV increased $155.6 million, or 438.4%. The increases were due to the recovery in market demand for our products, which is being driven by the beginning of a major network upgrade project by a major North American MSO customer.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and 2024, our top ten customers represented 98% and 96% of our revenue, respectively. For the nines months ended September 30, 2025 and 2024, our top ten customers represented 97% and 94%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916" w:type="dxa"/>
        <w:jc w:val="left"/>
        <w:tblInd w:w="0" w:type="dxa"/>
        <w:tblLayout w:type="fixed"/>
        <w:tblCellMar>
          <w:top w:w="0" w:type="dxa"/>
          <w:left w:w="0" w:type="dxa"/>
          <w:bottom w:w="0" w:type="dxa"/>
          <w:right w:w="0" w:type="dxa"/>
        </w:tblCellMar>
      </w:tblPr>
      <w:tblGrid>
        <w:gridCol w:w="1535"/>
        <w:gridCol w:w="60"/>
        <w:gridCol w:w="133"/>
        <w:gridCol w:w="627"/>
        <w:gridCol w:w="63"/>
        <w:gridCol w:w="63"/>
        <w:gridCol w:w="100"/>
        <w:gridCol w:w="640"/>
        <w:gridCol w:w="196"/>
        <w:gridCol w:w="63"/>
        <w:gridCol w:w="133"/>
        <w:gridCol w:w="627"/>
        <w:gridCol w:w="63"/>
        <w:gridCol w:w="63"/>
        <w:gridCol w:w="100"/>
        <w:gridCol w:w="640"/>
        <w:gridCol w:w="185"/>
        <w:gridCol w:w="60"/>
        <w:gridCol w:w="125"/>
        <w:gridCol w:w="590"/>
        <w:gridCol w:w="60"/>
        <w:gridCol w:w="60"/>
        <w:gridCol w:w="60"/>
        <w:gridCol w:w="485"/>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36"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115"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695"/>
        <w:gridCol w:w="60"/>
        <w:gridCol w:w="60"/>
        <w:gridCol w:w="100"/>
        <w:gridCol w:w="640"/>
        <w:gridCol w:w="185"/>
        <w:gridCol w:w="60"/>
        <w:gridCol w:w="125"/>
        <w:gridCol w:w="695"/>
        <w:gridCol w:w="60"/>
        <w:gridCol w:w="60"/>
        <w:gridCol w:w="60"/>
        <w:gridCol w:w="485"/>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$36.1 million, or 73.4%,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2024</w:t>
      </w:r>
      <w:r>
        <w:rPr>
          <w:rFonts w:ascii="Times New Roman;Times;serif" w:hAnsi="Times New Roman;Times;serif"/>
          <w:sz w:val="20"/>
          <w:shd w:fill="FFFFFF" w:val="clear"/>
        </w:rPr>
        <w:t>. Cost of goods sold increased by $110.4 million, or 95.2%, for the nine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2024</w:t>
      </w:r>
      <w:r>
        <w:rPr>
          <w:rFonts w:ascii="Times New Roman;Times;serif" w:hAnsi="Times New Roman;Times;serif"/>
          <w:sz w:val="20"/>
          <w:shd w:fill="FFFFFF" w:val="clear"/>
        </w:rPr>
        <w:t>. The increase in cost of goods sold was mainly due to increased revenue.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Gross profit increased by $17.3 million, or 109.0%,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Gross profit increased by $61.9 million, or 187.2%, for the nine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xml:space="preserve"> The increase is primarily due to higher sales on our high gross margin products and ongoing efforts to reduce production costs.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 </w:t>
      </w:r>
    </w:p>
    <w:tbl>
      <w:tblPr>
        <w:tblW w:w="7501" w:type="dxa"/>
        <w:jc w:val="left"/>
        <w:tblInd w:w="0" w:type="dxa"/>
        <w:tblLayout w:type="fixed"/>
        <w:tblCellMar>
          <w:top w:w="0" w:type="dxa"/>
          <w:left w:w="0" w:type="dxa"/>
          <w:bottom w:w="0" w:type="dxa"/>
          <w:right w:w="0" w:type="dxa"/>
        </w:tblCellMar>
      </w:tblPr>
      <w:tblGrid>
        <w:gridCol w:w="2210"/>
        <w:gridCol w:w="60"/>
        <w:gridCol w:w="133"/>
        <w:gridCol w:w="627"/>
        <w:gridCol w:w="63"/>
        <w:gridCol w:w="63"/>
        <w:gridCol w:w="94"/>
        <w:gridCol w:w="601"/>
        <w:gridCol w:w="196"/>
        <w:gridCol w:w="63"/>
        <w:gridCol w:w="133"/>
        <w:gridCol w:w="627"/>
        <w:gridCol w:w="63"/>
        <w:gridCol w:w="63"/>
        <w:gridCol w:w="94"/>
        <w:gridCol w:w="601"/>
        <w:gridCol w:w="185"/>
        <w:gridCol w:w="60"/>
        <w:gridCol w:w="125"/>
        <w:gridCol w:w="590"/>
        <w:gridCol w:w="60"/>
        <w:gridCol w:w="60"/>
        <w:gridCol w:w="60"/>
        <w:gridCol w:w="48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46"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385" w:type="dxa"/>
        <w:jc w:val="left"/>
        <w:tblInd w:w="0" w:type="dxa"/>
        <w:tblLayout w:type="fixed"/>
        <w:tblCellMar>
          <w:top w:w="0" w:type="dxa"/>
          <w:left w:w="0" w:type="dxa"/>
          <w:bottom w:w="0" w:type="dxa"/>
          <w:right w:w="0" w:type="dxa"/>
        </w:tblCellMar>
      </w:tblPr>
      <w:tblGrid>
        <w:gridCol w:w="2210"/>
        <w:gridCol w:w="60"/>
        <w:gridCol w:w="125"/>
        <w:gridCol w:w="695"/>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increased by $7.8 million, or 58.4%, for the three months ended September 30, 2025 compared to the three months ended September 30, 2024. Research and development expense increased by $21.5 million, or 56.2%, for the nine months ended September 30, 2025 compared to the nine months ended September 30, 2024. The increases were primarily due to increased personnel-related expense and increased  R&amp;D related project costs. The increases in R&amp;D expenses were driven by customer demand for new products as well as acceleration of previously-planned project expenditures which were necessary to accommodate accelerated demand projections for these products from certain customers.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increased by $5.1 million, or 105.8%, for the three months ended September 30, 2025 compared to the three months ended September 30, 2024. Sales and marketing expense increased by $8.9 million, or 61.1%,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2024. The increases were primarily </w:t>
      </w:r>
      <w:r>
        <w:rPr>
          <w:rFonts w:ascii="Times New Roman;Times;serif" w:hAnsi="Times New Roman;Times;serif"/>
          <w:color w:val="000000"/>
          <w:sz w:val="20"/>
        </w:rPr>
        <w:t>due to the increased business development effort in our CATV and data center businesses along with higher shipping costs.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$6.1 million, or 42.7%,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2024</w:t>
      </w:r>
      <w:r>
        <w:rPr>
          <w:rFonts w:ascii="Times New Roman;Times;serif" w:hAnsi="Times New Roman;Times;serif"/>
          <w:sz w:val="20"/>
          <w:shd w:fill="FFFFFF" w:val="clear"/>
        </w:rPr>
        <w:t>. General and administrative expense increased by $10.2 million, or 22.9%, for the nine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The increases were primarily due to increased personnel-related expense.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301" w:type="dxa"/>
        <w:jc w:val="left"/>
        <w:tblInd w:w="0" w:type="dxa"/>
        <w:tblLayout w:type="fixed"/>
        <w:tblCellMar>
          <w:top w:w="0" w:type="dxa"/>
          <w:left w:w="0" w:type="dxa"/>
          <w:bottom w:w="0" w:type="dxa"/>
          <w:right w:w="0" w:type="dxa"/>
        </w:tblCellMar>
      </w:tblPr>
      <w:tblGrid>
        <w:gridCol w:w="2735"/>
        <w:gridCol w:w="60"/>
        <w:gridCol w:w="167"/>
        <w:gridCol w:w="528"/>
        <w:gridCol w:w="92"/>
        <w:gridCol w:w="69"/>
        <w:gridCol w:w="112"/>
        <w:gridCol w:w="583"/>
        <w:gridCol w:w="284"/>
        <w:gridCol w:w="69"/>
        <w:gridCol w:w="144"/>
        <w:gridCol w:w="632"/>
        <w:gridCol w:w="92"/>
        <w:gridCol w:w="69"/>
        <w:gridCol w:w="112"/>
        <w:gridCol w:w="583"/>
        <w:gridCol w:w="245"/>
        <w:gridCol w:w="60"/>
        <w:gridCol w:w="142"/>
        <w:gridCol w:w="553"/>
        <w:gridCol w:w="6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84"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6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84"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84"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61"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77" w:type="dxa"/>
        <w:jc w:val="left"/>
        <w:tblInd w:w="0" w:type="dxa"/>
        <w:tblLayout w:type="fixed"/>
        <w:tblCellMar>
          <w:top w:w="0" w:type="dxa"/>
          <w:left w:w="0" w:type="dxa"/>
          <w:bottom w:w="0" w:type="dxa"/>
          <w:right w:w="0" w:type="dxa"/>
        </w:tblCellMar>
      </w:tblPr>
      <w:tblGrid>
        <w:gridCol w:w="2735"/>
        <w:gridCol w:w="60"/>
        <w:gridCol w:w="131"/>
        <w:gridCol w:w="573"/>
        <w:gridCol w:w="84"/>
        <w:gridCol w:w="63"/>
        <w:gridCol w:w="104"/>
        <w:gridCol w:w="591"/>
        <w:gridCol w:w="257"/>
        <w:gridCol w:w="63"/>
        <w:gridCol w:w="131"/>
        <w:gridCol w:w="573"/>
        <w:gridCol w:w="84"/>
        <w:gridCol w:w="63"/>
        <w:gridCol w:w="104"/>
        <w:gridCol w:w="591"/>
        <w:gridCol w:w="245"/>
        <w:gridCol w:w="60"/>
        <w:gridCol w:w="142"/>
        <w:gridCol w:w="553"/>
        <w:gridCol w:w="6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37"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increased by $0.3 million, or 189.1%, for the three months ended September 30, 2025 compared to the three months ended September 30, 2024. Interest income increased by $0.5 million, or 88.8%,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2024. The increase was due to higher </w:t>
      </w:r>
      <w:r>
        <w:rPr>
          <w:rFonts w:ascii="Times New Roman;Times;serif" w:hAnsi="Times New Roman;Times;serif"/>
          <w:color w:val="000000"/>
          <w:sz w:val="20"/>
        </w:rPr>
        <w:t>saving balances in the third quarter of 2025</w:t>
      </w:r>
      <w:r>
        <w:rPr>
          <w:rFonts w:ascii="Times New Roman;Times;serif" w:hAnsi="Times New Roman;Times;serif"/>
          <w:color w:val="CC0000"/>
          <w:sz w:val="20"/>
        </w:rPr>
        <w:t>.</w:t>
      </w:r>
      <w:r>
        <w:rPr>
          <w:rFonts w:ascii="Times New Roman;Times;serif" w:hAnsi="Times New Roman;Times;serif"/>
          <w:sz w:val="20"/>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decreased by $0.8 million, or 47.0%, for the three months ended September 30, 2025 compared to the three months ended September 30, 2024. Interest expense decreased by $2.4 million, or 47.7%,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2024. The decrease was due to </w:t>
      </w:r>
      <w:r>
        <w:rPr>
          <w:rFonts w:ascii="Times New Roman;Times;serif" w:hAnsi="Times New Roman;Times;serif"/>
          <w:color w:val="000000"/>
          <w:sz w:val="20"/>
        </w:rPr>
        <w:t>the lower effective interest rate for our 2030 Notes.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income (expenses) increased by $0.4 million, or 108.9%,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Other income (expenses) increased by $6.6 million, or 338.8%, for the nine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The increase was mainly due to the</w:t>
      </w:r>
      <w:r>
        <w:rPr>
          <w:rFonts w:ascii="Times New Roman;Times;serif" w:hAnsi="Times New Roman;Times;serif"/>
          <w:color w:val="000000"/>
          <w:sz w:val="20"/>
        </w:rPr>
        <w:t> increased government subsidy income and positive foreign exchange impact.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September 30, 2025 and 2024</w:t>
      </w:r>
      <w:r>
        <w:rPr>
          <w:rFonts w:ascii="Times New Roman;Times;serif" w:hAnsi="Times New Roman;Times;serif"/>
          <w:sz w:val="20"/>
          <w:shd w:fill="FFFFFF" w:val="clear"/>
        </w:rPr>
        <w:t xml:space="preserv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To the extent that we make investments in expanding manufacturing in our semiconductor fabrication facility in Texas, we believe that the CHIPS Act would provide a refundable tax credit for certain equipment and facilities upgrades. We made significant investments in the nine months ended September 30, 2025 which we believe should qualify for these credits, but we intend to continue to evaluate these and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10020" w:type="dxa"/>
        <w:jc w:val="left"/>
        <w:tblInd w:w="0" w:type="dxa"/>
        <w:tblLayout w:type="fixed"/>
        <w:tblCellMar>
          <w:top w:w="0" w:type="dxa"/>
          <w:left w:w="0" w:type="dxa"/>
          <w:bottom w:w="0" w:type="dxa"/>
          <w:right w:w="0" w:type="dxa"/>
        </w:tblCellMar>
      </w:tblPr>
      <w:tblGrid>
        <w:gridCol w:w="4445"/>
        <w:gridCol w:w="60"/>
        <w:gridCol w:w="125"/>
        <w:gridCol w:w="650"/>
        <w:gridCol w:w="80"/>
        <w:gridCol w:w="60"/>
        <w:gridCol w:w="83"/>
        <w:gridCol w:w="612"/>
        <w:gridCol w:w="245"/>
        <w:gridCol w:w="60"/>
        <w:gridCol w:w="125"/>
        <w:gridCol w:w="650"/>
        <w:gridCol w:w="80"/>
        <w:gridCol w:w="60"/>
        <w:gridCol w:w="83"/>
        <w:gridCol w:w="612"/>
        <w:gridCol w:w="245"/>
        <w:gridCol w:w="60"/>
        <w:gridCol w:w="129"/>
        <w:gridCol w:w="566"/>
        <w:gridCol w:w="80"/>
        <w:gridCol w:w="60"/>
        <w:gridCol w:w="60"/>
        <w:gridCol w:w="545"/>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125" w:type="dxa"/>
        <w:jc w:val="left"/>
        <w:tblInd w:w="0" w:type="dxa"/>
        <w:tblLayout w:type="fixed"/>
        <w:tblCellMar>
          <w:top w:w="0" w:type="dxa"/>
          <w:left w:w="0" w:type="dxa"/>
          <w:bottom w:w="0" w:type="dxa"/>
          <w:right w:w="0" w:type="dxa"/>
        </w:tblCellMar>
      </w:tblPr>
      <w:tblGrid>
        <w:gridCol w:w="4445"/>
        <w:gridCol w:w="60"/>
        <w:gridCol w:w="125"/>
        <w:gridCol w:w="650"/>
        <w:gridCol w:w="80"/>
        <w:gridCol w:w="60"/>
        <w:gridCol w:w="83"/>
        <w:gridCol w:w="612"/>
        <w:gridCol w:w="245"/>
        <w:gridCol w:w="60"/>
        <w:gridCol w:w="125"/>
        <w:gridCol w:w="650"/>
        <w:gridCol w:w="80"/>
        <w:gridCol w:w="60"/>
        <w:gridCol w:w="83"/>
        <w:gridCol w:w="612"/>
        <w:gridCol w:w="245"/>
        <w:gridCol w:w="60"/>
        <w:gridCol w:w="125"/>
        <w:gridCol w:w="590"/>
        <w:gridCol w:w="60"/>
        <w:gridCol w:w="60"/>
        <w:gridCol w:w="60"/>
        <w:gridCol w:w="650"/>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7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$2.5 million, or 15.9%, for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2024</w:t>
      </w:r>
      <w:r>
        <w:rPr>
          <w:rFonts w:ascii="Times New Roman;Times;serif" w:hAnsi="Times New Roman;Times;serif"/>
          <w:sz w:val="20"/>
          <w:shd w:fill="FFFFFF" w:val="clear"/>
        </w:rPr>
        <w:t>. Comprehensive loss decreased by $34.7 million, or 51.6%, for the nine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2024</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2025, we ha</w:t>
      </w:r>
      <w:r>
        <w:rPr>
          <w:rFonts w:ascii="Times New Roman;Times;serif" w:hAnsi="Times New Roman;Times;serif"/>
          <w:sz w:val="20"/>
          <w:shd w:fill="FFFFFF" w:val="clear"/>
        </w:rPr>
        <w:t>d $</w:t>
      </w:r>
      <w:r>
        <w:rPr>
          <w:rFonts w:ascii="Times New Roman;Times;serif" w:hAnsi="Times New Roman;Times;serif"/>
          <w:color w:val="000000"/>
          <w:sz w:val="20"/>
        </w:rPr>
        <w:t>43.8</w:t>
      </w:r>
      <w:r>
        <w:rPr>
          <w:rFonts w:ascii="Times New Roman;Times;serif" w:hAnsi="Times New Roman;Times;serif"/>
          <w:sz w:val="20"/>
        </w:rPr>
        <w:t> million of unused borrowing capacity from all of our loan agreements. As of September 30, 2025, our cash, cash equivalents and restricted cash totale</w:t>
      </w:r>
      <w:r>
        <w:rPr>
          <w:rFonts w:ascii="Times New Roman;Times;serif" w:hAnsi="Times New Roman;Times;serif"/>
          <w:sz w:val="20"/>
          <w:shd w:fill="FFFFFF" w:val="clear"/>
        </w:rPr>
        <w:t xml:space="preserve">d $150.7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On December 18, 2024, </w:t>
      </w:r>
      <w:r>
        <w:rPr>
          <w:rFonts w:cs="Times New Roman"/>
          <w:szCs w:val="20"/>
        </w:rPr>
        <w:t>﻿</w:t>
      </w:r>
      <w:r>
        <w:rPr>
          <w:rFonts w:ascii="Times New Roman" w:hAnsi="Times New Roman"/>
          <w:sz w:val="20"/>
        </w:rPr>
        <w:t xml:space="preserve">the Company filed an automatic shelf registration statement on Form S-3ASR (Registration File No. 333-283905) (the "Automatic Shelf Registration Statement") with the U.S. Securities and Exchange Commission, which became effective immediately upon filing. </w:t>
      </w:r>
    </w:p>
    <w:p>
      <w:pPr>
        <w:pStyle w:val="TextBody"/>
        <w:bidi w:val="0"/>
        <w:spacing w:before="0" w:after="0"/>
        <w:ind w:left="0" w:right="0" w:firstLine="720"/>
        <w:jc w:val="left"/>
        <w:rPr/>
      </w:pPr>
      <w:r>
        <w:rPr/>
        <w:t xml:space="preserve">  </w:t>
      </w:r>
    </w:p>
    <w:p>
      <w:pPr>
        <w:pStyle w:val="TextBody"/>
        <w:bidi w:val="0"/>
        <w:ind w:left="0" w:right="0" w:firstLine="720"/>
        <w:jc w:val="left"/>
        <w:rPr>
          <w:rFonts w:ascii="Times New Roman" w:hAnsi="Times New Roman"/>
          <w:sz w:val="20"/>
        </w:rPr>
      </w:pPr>
      <w:r>
        <w:rPr>
          <w:rFonts w:ascii="Times New Roman" w:hAnsi="Times New Roman"/>
          <w:sz w:val="20"/>
        </w:rPr>
        <w:t xml:space="preserve">On February 28, 2025, the Company entered into an Equity Distribution Agreement (the "Agreement") with Raymond James &amp; Associates ("Raymond James") pursuant to which the Company could issue and sell shares of the Company's common stock, having an aggregate offering price of up to $100 million (the "First ATM Offering"), from time to time through Raymond James acting as sales agent. On April 8, 2025, the Company completed the First ATM Offering and sold approximately 5.7 million shares at a weighted average price of $17.71 per share, providing proceeds of approximately $98 million, net of expenses and underwriting discounts and commissions.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28, 2025, the Company entered into an Equity Distribution Agreement (the "Agreement") with Raymond James &amp; Associates and Needham &amp; Company, LLC (collectively, the "Sales Agents" and each, a "Sales Agent") pursuant to which the Company could issue and sell shares of the Company’s common stock, par value $0.001 per share (the "Shares") having an aggregate offering price of up to $100 million (the "Second ATM Offering"),  from time to time through the Sales Agents.</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June 18, 2025, the Company completed the Second ATM Offering and sold approximately 5.7 million shares at a weighted average price of $17.46 per share, providing proceeds of approximately $98 million, net of expenses and underwriting discounts and commissions.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August 27, 2025, the Company entered into an Equity Distribution Agreement (the "Agreement") with Raymond James &amp; Associates and Needham &amp; Company, LLC (collectively, the "Sales Agents" and each, a "Sales Agent") pursuant to which the Company could issue and sell shares of the Company’s common stock, par value $0.001 per share (the "Shares") having an aggregate offering price of up to $150 million (the "Third ATM Offering"),  from time to time through the Sales Agents. </w:t>
      </w:r>
    </w:p>
    <w:p>
      <w:pPr>
        <w:pStyle w:val="TextBody"/>
        <w:bidi w:val="0"/>
        <w:spacing w:before="0" w:after="0"/>
        <w:ind w:left="0" w:right="0" w:firstLine="720"/>
        <w:jc w:val="left"/>
        <w:rPr>
          <w:color w:val="333333"/>
          <w:shd w:fill="FFFFFF" w:val="clear"/>
        </w:rPr>
      </w:pPr>
      <w:r>
        <w:rPr>
          <w:color w:val="333333"/>
          <w:shd w:fill="FFFFFF" w:val="clear"/>
        </w:rPr>
        <w:t xml:space="preserve">  </w:t>
      </w:r>
    </w:p>
    <w:p>
      <w:pPr>
        <w:pStyle w:val="TextBody"/>
        <w:bidi w:val="0"/>
        <w:ind w:left="0" w:right="0" w:firstLine="720"/>
        <w:jc w:val="left"/>
        <w:rPr>
          <w:rFonts w:ascii="Times New Roman;Times;serif" w:hAnsi="Times New Roman;Times;serif"/>
          <w:color w:val="333333"/>
          <w:sz w:val="20"/>
          <w:shd w:fill="FFFFFF" w:val="clear"/>
        </w:rPr>
      </w:pPr>
      <w:r>
        <w:rPr>
          <w:rFonts w:ascii="Times New Roman;Times;serif" w:hAnsi="Times New Roman;Times;serif"/>
          <w:color w:val="333333"/>
          <w:sz w:val="20"/>
          <w:shd w:fill="FFFFFF" w:val="clear"/>
        </w:rPr>
        <w:t xml:space="preserve">Upon delivery of a placement notice and subject to the terms and conditions of the Agreement,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one day. Subject to the terms and conditions of the Agreement, the Sales Agents would use their commercially reasonable efforts to sell Shares on the Company’s behalf up to the designated amount specified in the placement notice.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22, 2025, the Company completed the Third ATM Offering and sold approximately 5.7 million shares at a weighted average price of $26.41 per share, providing proceeds of approximately $147 million, net of expenses and underwriting discounts and commissions.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details of the shares of common stock sold through the First ATM Offering, the Second ATM Offering and the Third ATM Offering as of the end of September 30, 2025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2228"/>
        <w:gridCol w:w="60"/>
        <w:gridCol w:w="1005"/>
        <w:gridCol w:w="60"/>
        <w:gridCol w:w="75"/>
        <w:gridCol w:w="1198"/>
        <w:gridCol w:w="60"/>
        <w:gridCol w:w="60"/>
        <w:gridCol w:w="292"/>
        <w:gridCol w:w="1137"/>
        <w:gridCol w:w="60"/>
        <w:gridCol w:w="60"/>
        <w:gridCol w:w="146"/>
        <w:gridCol w:w="814"/>
        <w:gridCol w:w="60"/>
        <w:gridCol w:w="60"/>
        <w:gridCol w:w="356"/>
        <w:gridCol w:w="1386"/>
        <w:gridCol w:w="60"/>
        <w:gridCol w:w="60"/>
        <w:gridCol w:w="137"/>
        <w:gridCol w:w="765"/>
        <w:gridCol w:w="66"/>
      </w:tblGrid>
      <w:tr>
        <w:trPr/>
        <w:tc>
          <w:tcPr>
            <w:tcW w:w="2228"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22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100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11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71,755</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228"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bidi w:val="0"/>
              <w:spacing w:before="0" w:after="283"/>
              <w:jc w:val="right"/>
              <w:rPr/>
            </w:pPr>
            <w:r>
              <w:rPr/>
              <w:t> </w:t>
            </w:r>
          </w:p>
        </w:tc>
        <w:tc>
          <w:tcPr>
            <w:tcW w:w="100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2,110,057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 w:type="dxa"/>
            <w:tcBorders/>
            <w:shd w:fill="FFFFFF" w:val="clear"/>
            <w:tcMar>
              <w:bottom w:w="0" w:type="dxa"/>
            </w:tcMar>
            <w:vAlign w:val="center"/>
          </w:tcPr>
          <w:p>
            <w:pPr>
              <w:pStyle w:val="TableContents"/>
              <w:bidi w:val="0"/>
              <w:spacing w:before="0" w:after="283"/>
              <w:jc w:val="left"/>
              <w:rPr/>
            </w:pPr>
            <w:r>
              <w:rPr/>
              <w:t> </w:t>
            </w:r>
          </w:p>
        </w:tc>
        <w:tc>
          <w:tcPr>
            <w:tcW w:w="13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26,245</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22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100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 w:type="dxa"/>
            <w:tcBorders/>
            <w:shd w:fill="CCEEFF" w:val="clear"/>
            <w:tcMar>
              <w:bottom w:w="0" w:type="dxa"/>
            </w:tcMar>
            <w:vAlign w:val="center"/>
          </w:tcPr>
          <w:p>
            <w:pPr>
              <w:pStyle w:val="TableContents"/>
              <w:bidi w:val="0"/>
              <w:spacing w:before="0" w:after="0"/>
              <w:ind w:left="0" w:right="0" w:hanging="0"/>
              <w:jc w:val="left"/>
              <w:rPr/>
            </w:pPr>
            <w:r>
              <w:rPr/>
              <w:t> </w:t>
            </w:r>
          </w:p>
        </w:tc>
        <w:tc>
          <w:tcPr>
            <w:tcW w:w="1198"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5,725,948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 w:type="dxa"/>
            <w:tcBorders/>
            <w:shd w:fill="CCEEFF" w:val="clear"/>
            <w:tcMar>
              <w:bottom w:w="0" w:type="dxa"/>
            </w:tcMar>
            <w:vAlign w:val="center"/>
          </w:tcPr>
          <w:p>
            <w:pPr>
              <w:pStyle w:val="TableContents"/>
              <w:bidi w:val="0"/>
              <w:spacing w:before="0" w:after="0"/>
              <w:ind w:left="0" w:right="0" w:hanging="0"/>
              <w:jc w:val="left"/>
              <w:rPr/>
            </w:pPr>
            <w:r>
              <w:rPr/>
              <w:t> </w:t>
            </w:r>
          </w:p>
        </w:tc>
        <w:tc>
          <w:tcPr>
            <w:tcW w:w="1137"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6" w:type="dxa"/>
            <w:tcBorders/>
            <w:shd w:fill="CCEEFF" w:val="clear"/>
            <w:tcMar>
              <w:bottom w:w="0" w:type="dxa"/>
            </w:tcMar>
            <w:vAlign w:val="center"/>
          </w:tcPr>
          <w:p>
            <w:pPr>
              <w:pStyle w:val="TableContents"/>
              <w:bidi w:val="0"/>
              <w:spacing w:before="0" w:after="0"/>
              <w:ind w:left="0" w:right="0" w:hanging="0"/>
              <w:jc w:val="left"/>
              <w:rPr/>
            </w:pPr>
            <w:r>
              <w:rPr/>
              <w:t> </w:t>
            </w:r>
          </w:p>
        </w:tc>
        <w:tc>
          <w:tcPr>
            <w:tcW w:w="814"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6" w:type="dxa"/>
            <w:tcBorders/>
            <w:shd w:fill="CCEEFF" w:val="clear"/>
            <w:tcMar>
              <w:bottom w:w="0" w:type="dxa"/>
            </w:tcMar>
            <w:vAlign w:val="center"/>
          </w:tcPr>
          <w:p>
            <w:pPr>
              <w:pStyle w:val="TableContents"/>
              <w:bidi w:val="0"/>
              <w:spacing w:before="0" w:after="0"/>
              <w:ind w:left="0" w:right="0" w:hanging="0"/>
              <w:jc w:val="left"/>
              <w:rPr/>
            </w:pPr>
            <w:r>
              <w:rPr/>
              <w:t> </w:t>
            </w:r>
          </w:p>
        </w:tc>
        <w:tc>
          <w:tcPr>
            <w:tcW w:w="1386"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98,000</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2228"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10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98"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5,680,235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147,000</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3293" w:type="dxa"/>
            <w:gridSpan w:val="3"/>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9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17,051,890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343,000</w:t>
            </w:r>
          </w:p>
        </w:tc>
        <w:tc>
          <w:tcPr>
            <w:tcW w:w="6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5, 2023, the Company issued $80.2 million of 5.25% convertible senior notes due 2026 (the "2026 Notes"), bearing interest at a rate of 5.25% per year maturing on December 5, 2026, unless earlier repurchased, redeemed or converted in accordance with their terms. The sale of the 2026 Notes generated net proceeds of $76.2 million, after expenses.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30, 2025, the Company retired the final $3.5 million principal and accrued and unpaid interest on the 2026 Notes by exchanging such outstanding principal for 239,404 shares of the Company’s common stock and by paying the accrued and outstanding interest in cash.</w:t>
      </w:r>
    </w:p>
    <w:p>
      <w:pPr>
        <w:pStyle w:val="TextBody"/>
        <w:bidi w:val="0"/>
        <w:spacing w:before="0" w:after="0"/>
        <w:ind w:left="0" w:right="0" w:firstLine="720"/>
        <w:jc w:val="left"/>
        <w:rPr/>
      </w:pPr>
      <w:r>
        <w:rPr/>
        <w:t> </w:t>
      </w:r>
    </w:p>
    <w:p>
      <w:pPr>
        <w:pStyle w:val="TextBody"/>
        <w:bidi w:val="0"/>
        <w:ind w:left="0" w:right="0" w:firstLine="720"/>
        <w:jc w:val="left"/>
        <w:rPr>
          <w:sz w:val="20"/>
        </w:rPr>
      </w:pPr>
      <w:r>
        <w:rPr>
          <w:sz w:val="20"/>
        </w:rPr>
        <w:t xml:space="preserve">Also, refer to Note 12 "Convertible Senior Notes" to the consolidated financial statements for further discussion of the 2026 Notes.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approximately $125.0 million aggregate principal amount of 2.750%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12 "Convertible Senior Notes" to the consolidated financial statements for further discussion of the 2030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tbl>
      <w:tblPr>
        <w:tblW w:w="7346" w:type="dxa"/>
        <w:jc w:val="left"/>
        <w:tblInd w:w="0" w:type="dxa"/>
        <w:tblLayout w:type="fixed"/>
        <w:tblCellMar>
          <w:top w:w="0" w:type="dxa"/>
          <w:left w:w="0" w:type="dxa"/>
          <w:bottom w:w="0" w:type="dxa"/>
          <w:right w:w="0" w:type="dxa"/>
        </w:tblCellMar>
      </w:tblPr>
      <w:tblGrid>
        <w:gridCol w:w="4355"/>
        <w:gridCol w:w="60"/>
        <w:gridCol w:w="198"/>
        <w:gridCol w:w="1200"/>
        <w:gridCol w:w="127"/>
        <w:gridCol w:w="95"/>
        <w:gridCol w:w="198"/>
        <w:gridCol w:w="1033"/>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(144,851</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(125,672</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2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348,248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52,468</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(6,141</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71,584</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2025, net cash used in operating activities was $144.9 million. Net cash used in operating activities consisted of our net loss of $36.2 million after exclusion of non-cash items of $33.6 million. Cash decreased due to an increase in accounts receivable of $107.2 million and an increase in inventory of $84.6 million, partially offset by an increase in accounts payable of $45.2 million.  </w:t>
      </w:r>
    </w:p>
    <w:p>
      <w:pPr>
        <w:pStyle w:val="TextBody"/>
        <w:bidi w:val="0"/>
        <w:spacing w:before="0" w:after="0"/>
        <w:ind w:left="0" w:right="0" w:firstLine="540"/>
        <w:jc w:val="left"/>
        <w:rPr/>
      </w:pPr>
      <w:r>
        <w:rPr/>
        <w:t> </w:t>
      </w:r>
    </w:p>
    <w:p>
      <w:pPr>
        <w:pStyle w:val="TextBody"/>
        <w:bidi w:val="0"/>
        <w:spacing w:before="0" w:after="0"/>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2025, net cash used in investing activities was $125.7 million, mainly for the purchase of additional property, plant, and equipment.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2025, net cash provided by financing activities was $348.2 million. This increase was due to the net proceeds of $343.0 million from the ATM Offering and proceed of bank acceptance payable of $14.4 million, partially offset by tax payments related share-based compensation of $9.2 million.</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Loans and commitments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September 30, 2025, we have lending arrangements with on US bank and four financial institutions in China. As of </w:t>
      </w:r>
      <w:r>
        <w:rPr>
          <w:rFonts w:ascii="Times New Roman;Times;serif" w:hAnsi="Times New Roman;Times;serif"/>
          <w:sz w:val="20"/>
        </w:rPr>
        <w:t>September 30, 2025</w:t>
      </w:r>
      <w:r>
        <w:rPr>
          <w:rFonts w:ascii="Times New Roman;Times;serif" w:hAnsi="Times New Roman;Times;serif"/>
          <w:sz w:val="20"/>
          <w:shd w:fill="FFFFFF" w:val="clear"/>
        </w:rPr>
        <w:t>, we were in compliance with the covenants in the lending arrangements. </w:t>
      </w:r>
      <w:r>
        <w:rPr>
          <w:rFonts w:ascii="Times New Roman;Times;serif" w:hAnsi="Times New Roman;Times;serif"/>
          <w:color w:val="333333"/>
          <w:sz w:val="20"/>
          <w:shd w:fill="FFFFFF" w:val="clear"/>
        </w:rPr>
        <w:t xml:space="preserve">As of </w:t>
      </w:r>
      <w:r>
        <w:rPr>
          <w:rFonts w:ascii="Times New Roman;Times;serif" w:hAnsi="Times New Roman;Times;serif"/>
          <w:sz w:val="20"/>
        </w:rPr>
        <w:t>September 30, 2025</w:t>
      </w:r>
      <w:r>
        <w:rPr>
          <w:rFonts w:ascii="Times New Roman;Times;serif" w:hAnsi="Times New Roman;Times;serif"/>
          <w:color w:val="333333"/>
          <w:sz w:val="20"/>
          <w:shd w:fill="FFFFFF" w:val="clear"/>
        </w:rPr>
        <w:t>, we had $43.8 million of unused borrowing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September 30, 2025,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full service in the year 2025 after the construction is completed for the building interior work. Property has been transferred from construction in progress to building and improvement in 2024.</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13, 2025, we issued a warrant (the "Customer Warrant") to an Amazon affiliate to purchase up to an aggregate of 7,945,399 shares of the Company's common stock ("Warrant Shares") at an exercise price of $23.6956 per share. The Customer Warrant has a contractual term of 10 years. At the time of issuance, the Customer Warrant is exercisable to purchase 1,324,233 Warrant Shares. The remaining 6,621,166 Warrant Shares may vest over the next 10 years, dependent on aggregate purchases by Amazon of $4 billion of our products over this time period. See Note 3 "Revenue Recognition " of our Condensed Consolidated Financial Statements for additional description of the Warrant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$150.7 million as of September 30, 2025, an increase of approximately $71.6 million compared to December 31, 2024.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in Taiwan or U.S.,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2025, we </w:t>
      </w:r>
      <w:r>
        <w:rPr>
          <w:rFonts w:ascii="Times New Roman;Times;serif" w:hAnsi="Times New Roman;Times;serif"/>
          <w:color w:val="000000"/>
          <w:sz w:val="20"/>
        </w:rPr>
        <w:t>had a total loan balance (excluding convertible notes) of $28.0 million from</w:t>
      </w:r>
      <w:r>
        <w:rPr>
          <w:rFonts w:ascii="Times New Roman;Times;serif" w:hAnsi="Times New Roman;Times;serif"/>
          <w:sz w:val="20"/>
        </w:rPr>
        <w:t xml:space="preserve"> various lenders in China and had $43.8 million available borrowing capacity on existing credit lines. Should additional liquidity be needed, our Board may authorize issuance of additional common stock under an at-the-market offering in the future (see the discussion of "Liquidity and Capital Resources" in Item 2).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2024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inflation rate in the US came down to 2.9% in 2024, compared to 3.4% in 2023. Even though inflation has slowed from the peak, it remained well above the Federal Reserve's objective of 2%. The annual inflation rate in Taiwan came down to 2.1% in 2024 from 2.7% in 2023.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Compared to other major economies in the world, China has a stable level of inflation, which has not had a significant impact on our sales or operating results. We do not believe that inflation had a material impact on our business, financial condition, or results of operations during the nine months ended September 30, 2025. However, there is no guarantee that we may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2024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2024. We do not believe the Company’s exposure to market risk has changed materially since December 31,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affected by changes in currency exchange and interest rates. Our risk management programs are designed to reduce, but may not entirely eliminate, the impacts of these risks. We performed an evaluation of these risks to our financial positions as of December 31, 2024, and updated that analysis as of September 30, 2025, to determine whether material changes in market risks pertaining to currency and interest rates have occurred as a result of the changes in international trade policies, including tariffs and export controls. No material revisions were noted since disclosing "Quantitative and Qualitative Disclosures About Market Risk" within MD&amp;A, in our 2024 Form 10-K. Risks related to changes in international trade policies, including tariffs and export controls, particularly those involving the United States and China are described under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September 30, 2025.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2024 f</w:t>
      </w:r>
      <w:r>
        <w:rPr>
          <w:rFonts w:ascii="Times New Roman;Times;serif" w:hAnsi="Times New Roman;Times;serif"/>
          <w:sz w:val="20"/>
        </w:rPr>
        <w:t>or a detailed discussion of the risk factors affecting our Company. As of September 30, 2025, there have been no material changes to those risk factors, except as described below.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Recently elevated geopolitical tensions, volatility and uncertainty with respect to international trade policies, including tariffs and export controls, may have a material adverse impact on our business, the markets in which we compete and the world economy.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recent months since April 2025, the United States and its trading partners have imposed, expanded and revised a wide range of tariffs, reciprocal tariffs, and other trade restrictions—often with minimal notice—disrupting global trade and affecting a wide spectrum of raw materials, components, and finished goods. U.S.-China trade tensions, in particular, have intensified, resulting in elevated tariff rates and signaling the potential for further measures, including those targeting the semiconductor sector. In mid-May, the U.S. administration issued an executive order suspending certain previously announced tariff increases on China and temporarily reinstating a lower baseline tariff, which continues to remain in effect. In early August, 2025, the U.S. imposed a 20% reciprocal tariff on most imports from Taiwan. The U.S. remains engaged in active tariff negotiations with key trading partners, including China and Taiwan, though the final outcomes of these negotiations remain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have not been significantly impacted by the increased tariffs imposed on China to date, the continuation, escalation, or expansion of tariffs and other trade barriers—as well as heightened geopolitical tensions and increased uncertainty regarding global trade and regulatory policy, particularly involving the United States, China and Taiwan—could adversely affect our business both directly and indirectly, including through impacts on consumer and business confidence, currency and interest rate volatility, commodity and equity markets, inflation, financing conditions, and broader international economic relations. These developments could materially and adversely affect our revenue, operations, financial condition, cost structure, competitiveness, supply chain logistics, product pricing and demand, and profitability, and could also amplify other risks described in our 2024 Form 10-K.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seek to mitigate the effects of these challenges through pricing adjustments, supply chain diversification, and operational efficiencies, we may not be able to fully offset increased costs or secure timely alternative sources. In addition, customers may resist price increases or seek alternative suppliers, which could adversely affect our sales volumes.</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(a) </w:t>
      </w:r>
      <w:r>
        <w:rPr>
          <w:rStyle w:val="Emphasis"/>
          <w:rFonts w:ascii="Times New Roman;Times;serif" w:hAnsi="Times New Roman;Times;serif"/>
          <w:sz w:val="20"/>
        </w:rPr>
        <w:t>None</w:t>
      </w:r>
    </w:p>
    <w:p>
      <w:pPr>
        <w:pStyle w:val="TextBody"/>
        <w:bidi w:val="0"/>
        <w:spacing w:before="0" w:after="0"/>
        <w:ind w:left="0" w:right="0" w:hanging="0"/>
        <w:jc w:val="left"/>
        <w:rPr/>
      </w:pPr>
      <w:r>
        <w:rPr>
          <w:rFonts w:ascii="Times New Roman;Times;serif" w:hAnsi="Times New Roman;Times;serif"/>
          <w:sz w:val="20"/>
        </w:rPr>
        <w:br/>
        <w:t xml:space="preserve">(b) </w:t>
      </w:r>
      <w:r>
        <w:rPr>
          <w:rStyle w:val="Emphasis"/>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(c)</w:t>
      </w:r>
      <w:r>
        <w:rPr>
          <w:rFonts w:ascii="Times New Roman;Times;serif" w:hAnsi="Times New Roman;Times;serif"/>
          <w:color w:val="0782C1"/>
          <w:sz w:val="20"/>
        </w:rPr>
        <w:t> </w:t>
      </w: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were as follows:</w:t>
      </w:r>
    </w:p>
    <w:p>
      <w:pPr>
        <w:pStyle w:val="TextBody"/>
        <w:bidi w:val="0"/>
        <w:spacing w:before="0" w:after="0"/>
        <w:ind w:left="0" w:right="0" w:hanging="0"/>
        <w:jc w:val="left"/>
        <w:rPr/>
      </w:pPr>
      <w:r>
        <w:rPr/>
        <w:t> </w:t>
      </w:r>
    </w:p>
    <w:tbl>
      <w:tblPr>
        <w:tblW w:w="9285" w:type="dxa"/>
        <w:jc w:val="left"/>
        <w:tblInd w:w="0" w:type="dxa"/>
        <w:tblLayout w:type="fixed"/>
        <w:tblCellMar>
          <w:top w:w="0" w:type="dxa"/>
          <w:left w:w="0" w:type="dxa"/>
          <w:bottom w:w="0" w:type="dxa"/>
          <w:right w:w="0" w:type="dxa"/>
        </w:tblCellMar>
      </w:tblPr>
      <w:tblGrid>
        <w:gridCol w:w="1310"/>
        <w:gridCol w:w="410"/>
        <w:gridCol w:w="800"/>
        <w:gridCol w:w="1355"/>
        <w:gridCol w:w="1595"/>
        <w:gridCol w:w="3815"/>
      </w:tblGrid>
      <w:tr>
        <w:trPr/>
        <w:tc>
          <w:tcPr>
            <w:tcW w:w="1310" w:type="dxa"/>
            <w:tcBorders/>
            <w:vAlign w:val="center"/>
          </w:tcPr>
          <w:p>
            <w:pPr>
              <w:pStyle w:val="TableContents"/>
              <w:bidi w:val="0"/>
              <w:spacing w:before="0" w:after="283"/>
              <w:jc w:val="left"/>
              <w:rPr/>
            </w:pPr>
            <w:r>
              <w:rPr>
                <w:rFonts w:cs="Times New Roman;Times;serif"/>
                <w:szCs w:val="20"/>
              </w:rPr>
              <w:t>﻿</w:t>
            </w:r>
            <w:r>
              <w:rPr>
                <w:rFonts w:ascii="Times New Roman;Times;serif" w:hAnsi="Times New Roman;Times;serif"/>
                <w:sz w:val="20"/>
                <w:u w:val="single"/>
              </w:rPr>
              <w:t>Name</w:t>
            </w:r>
          </w:p>
        </w:tc>
        <w:tc>
          <w:tcPr>
            <w:tcW w:w="410" w:type="dxa"/>
            <w:tcBorders/>
            <w:vAlign w:val="center"/>
          </w:tcPr>
          <w:p>
            <w:pPr>
              <w:pStyle w:val="TableContents"/>
              <w:bidi w:val="0"/>
              <w:spacing w:before="0" w:after="283"/>
              <w:jc w:val="left"/>
              <w:rPr>
                <w:u w:val="single"/>
              </w:rPr>
            </w:pPr>
            <w:r>
              <w:rPr>
                <w:rFonts w:ascii="Times New Roman;Times;serif" w:hAnsi="Times New Roman;Times;serif"/>
                <w:sz w:val="20"/>
                <w:u w:val="single"/>
              </w:rPr>
              <w:t>Title</w:t>
            </w:r>
            <w:r>
              <w:rPr>
                <w:rFonts w:cs="Times New Roman;Times;serif"/>
                <w:szCs w:val="20"/>
                <w:u w:val="single"/>
              </w:rPr>
              <w:t>﻿</w:t>
            </w:r>
          </w:p>
        </w:tc>
        <w:tc>
          <w:tcPr>
            <w:tcW w:w="800" w:type="dxa"/>
            <w:tcBorders/>
            <w:vAlign w:val="center"/>
          </w:tcPr>
          <w:p>
            <w:pPr>
              <w:pStyle w:val="TableContents"/>
              <w:bidi w:val="0"/>
              <w:spacing w:before="0" w:after="283"/>
              <w:jc w:val="left"/>
              <w:rPr>
                <w:u w:val="single"/>
              </w:rPr>
            </w:pPr>
            <w:r>
              <w:rPr>
                <w:rFonts w:ascii="Times New Roman;Times;serif" w:hAnsi="Times New Roman;Times;serif"/>
                <w:sz w:val="20"/>
                <w:u w:val="single"/>
              </w:rPr>
              <w:t>Action</w:t>
            </w:r>
            <w:r>
              <w:rPr>
                <w:rFonts w:cs="Times New Roman;Times;serif"/>
                <w:szCs w:val="20"/>
                <w:u w:val="single"/>
              </w:rPr>
              <w:t>﻿</w:t>
            </w:r>
          </w:p>
        </w:tc>
        <w:tc>
          <w:tcPr>
            <w:tcW w:w="1355" w:type="dxa"/>
            <w:tcBorders/>
            <w:vAlign w:val="center"/>
          </w:tcPr>
          <w:p>
            <w:pPr>
              <w:pStyle w:val="TableContents"/>
              <w:bidi w:val="0"/>
              <w:spacing w:before="0" w:after="283"/>
              <w:jc w:val="left"/>
              <w:rPr>
                <w:u w:val="single"/>
              </w:rPr>
            </w:pPr>
            <w:r>
              <w:rPr>
                <w:rFonts w:ascii="Times New Roman;Times;serif" w:hAnsi="Times New Roman;Times;serif"/>
                <w:sz w:val="20"/>
                <w:u w:val="single"/>
              </w:rPr>
              <w:t>Date Adopted</w:t>
            </w:r>
            <w:r>
              <w:rPr>
                <w:rFonts w:cs="Times New Roman;Times;serif"/>
                <w:szCs w:val="20"/>
                <w:u w:val="single"/>
              </w:rPr>
              <w:t>﻿</w:t>
            </w:r>
          </w:p>
        </w:tc>
        <w:tc>
          <w:tcPr>
            <w:tcW w:w="1595" w:type="dxa"/>
            <w:tcBorders/>
            <w:vAlign w:val="center"/>
          </w:tcPr>
          <w:p>
            <w:pPr>
              <w:pStyle w:val="TableContents"/>
              <w:bidi w:val="0"/>
              <w:spacing w:before="0" w:after="283"/>
              <w:jc w:val="left"/>
              <w:rPr>
                <w:u w:val="single"/>
              </w:rPr>
            </w:pPr>
            <w:r>
              <w:rPr>
                <w:rFonts w:ascii="Times New Roman;Times;serif" w:hAnsi="Times New Roman;Times;serif"/>
                <w:sz w:val="20"/>
                <w:u w:val="single"/>
              </w:rPr>
              <w:t>Expiration Date</w:t>
            </w:r>
            <w:r>
              <w:rPr>
                <w:rFonts w:cs="Times New Roman;Times;serif"/>
                <w:szCs w:val="20"/>
                <w:u w:val="single"/>
              </w:rPr>
              <w:t>﻿</w:t>
            </w:r>
          </w:p>
        </w:tc>
        <w:tc>
          <w:tcPr>
            <w:tcW w:w="3815" w:type="dxa"/>
            <w:tcBorders/>
            <w:vAlign w:val="center"/>
          </w:tcPr>
          <w:p>
            <w:pPr>
              <w:pStyle w:val="TableContents"/>
              <w:bidi w:val="0"/>
              <w:spacing w:before="0" w:after="283"/>
              <w:jc w:val="left"/>
              <w:rPr/>
            </w:pPr>
            <w:r>
              <w:rPr>
                <w:rFonts w:ascii="Times New Roman;Times;serif" w:hAnsi="Times New Roman;Times;serif"/>
                <w:sz w:val="20"/>
                <w:u w:val="single"/>
              </w:rPr>
              <w:t>Aggregate # of Securities to be Purchased/Sold</w:t>
            </w:r>
            <w:r>
              <w:rPr>
                <w:rFonts w:cs="Times New Roman;Times;serif"/>
                <w:szCs w:val="20"/>
              </w:rPr>
              <w:t>﻿</w:t>
            </w:r>
          </w:p>
        </w:tc>
      </w:tr>
      <w:tr>
        <w:trPr/>
        <w:tc>
          <w:tcPr>
            <w:tcW w:w="1310" w:type="dxa"/>
            <w:tcBorders/>
            <w:vAlign w:val="center"/>
          </w:tcPr>
          <w:p>
            <w:pPr>
              <w:pStyle w:val="TableContents"/>
              <w:bidi w:val="0"/>
              <w:spacing w:lineRule="auto" w:line="288" w:before="0" w:after="283"/>
              <w:jc w:val="left"/>
              <w:rPr/>
            </w:pPr>
            <w:r>
              <w:rPr>
                <w:rFonts w:ascii="Times New Roman;Times;serif" w:hAnsi="Times New Roman;Times;serif"/>
                <w:sz w:val="20"/>
              </w:rPr>
              <w:t>Stefan Murry(</w:t>
            </w:r>
            <w:r>
              <w:rPr>
                <w:rStyle w:val="Emphasis"/>
                <w:rFonts w:ascii="Times New Roman;Times;serif" w:hAnsi="Times New Roman;Times;serif"/>
                <w:sz w:val="20"/>
              </w:rPr>
              <w:t>1</w:t>
            </w:r>
            <w:r>
              <w:rPr>
                <w:rFonts w:ascii="Times New Roman;Times;serif" w:hAnsi="Times New Roman;Times;serif"/>
                <w:sz w:val="20"/>
              </w:rPr>
              <w:t>)</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CFO</w:t>
            </w:r>
          </w:p>
        </w:tc>
        <w:tc>
          <w:tcPr>
            <w:tcW w:w="800" w:type="dxa"/>
            <w:tcBorders/>
            <w:vAlign w:val="center"/>
          </w:tcPr>
          <w:p>
            <w:pPr>
              <w:pStyle w:val="TableContents"/>
              <w:bidi w:val="0"/>
              <w:spacing w:before="0" w:after="283"/>
              <w:jc w:val="left"/>
              <w:rPr/>
            </w:pPr>
            <w:r>
              <w:rPr>
                <w:rFonts w:ascii="Times New Roman;Times;serif" w:hAnsi="Times New Roman;Times;serif"/>
                <w:sz w:val="20"/>
              </w:rPr>
              <w:t>Adoption</w:t>
            </w:r>
            <w:r>
              <w:rPr>
                <w:rFonts w:cs="Times New Roman;Times;serif"/>
                <w:szCs w:val="20"/>
              </w:rPr>
              <w:t>﻿</w:t>
            </w:r>
          </w:p>
        </w:tc>
        <w:tc>
          <w:tcPr>
            <w:tcW w:w="1355" w:type="dxa"/>
            <w:tcBorders/>
            <w:vAlign w:val="center"/>
          </w:tcPr>
          <w:p>
            <w:pPr>
              <w:pStyle w:val="TableContents"/>
              <w:bidi w:val="0"/>
              <w:spacing w:before="0" w:after="283"/>
              <w:jc w:val="left"/>
              <w:rPr/>
            </w:pPr>
            <w:r>
              <w:rPr>
                <w:rStyle w:val="Emphasis"/>
                <w:rFonts w:ascii="Times New Roman;Times;serif" w:hAnsi="Times New Roman;Times;serif"/>
                <w:sz w:val="20"/>
              </w:rPr>
              <w:t>August 12, 2025</w:t>
            </w:r>
            <w:r>
              <w:rPr>
                <w:rStyle w:val="Emphasis"/>
                <w:rFonts w:cs="Times New Roman;Times;serif"/>
                <w:szCs w:val="20"/>
              </w:rPr>
              <w:t>﻿</w:t>
            </w:r>
          </w:p>
        </w:tc>
        <w:tc>
          <w:tcPr>
            <w:tcW w:w="1595" w:type="dxa"/>
            <w:tcBorders/>
            <w:vAlign w:val="center"/>
          </w:tcPr>
          <w:p>
            <w:pPr>
              <w:pStyle w:val="TableContents"/>
              <w:bidi w:val="0"/>
              <w:spacing w:before="0" w:after="283"/>
              <w:jc w:val="left"/>
              <w:rPr/>
            </w:pPr>
            <w:r>
              <w:rPr>
                <w:rStyle w:val="Emphasis"/>
                <w:rFonts w:ascii="Times New Roman;Times;serif" w:hAnsi="Times New Roman;Times;serif"/>
                <w:sz w:val="20"/>
              </w:rPr>
              <w:t>December 11, 2026</w:t>
            </w:r>
            <w:r>
              <w:rPr>
                <w:rStyle w:val="Emphasis"/>
                <w:rFonts w:cs="Times New Roman;Times;serif"/>
                <w:szCs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72,000</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Stefan Murry, our Chief Financial Officer, entered into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on </w:t>
      </w:r>
      <w:r>
        <w:rPr>
          <w:rStyle w:val="Emphasis"/>
          <w:rFonts w:ascii="Times New Roman;Times;serif" w:hAnsi="Times New Roman;Times;serif"/>
          <w:sz w:val="20"/>
        </w:rPr>
        <w:t xml:space="preserve">August 12, 2025. </w:t>
      </w:r>
      <w:r>
        <w:rPr>
          <w:rFonts w:ascii="Times New Roman;Times;serif" w:hAnsi="Times New Roman;Times;serif"/>
          <w:sz w:val="20"/>
        </w:rPr>
        <w:t xml:space="preserve">Dr. Murry's plan provides for the potential sale of up to </w:t>
      </w:r>
      <w:r>
        <w:rPr>
          <w:rStyle w:val="Emphasis"/>
          <w:rFonts w:ascii="Times New Roman;Times;serif" w:hAnsi="Times New Roman;Times;serif"/>
          <w:sz w:val="20"/>
        </w:rPr>
        <w:t>72,000</w:t>
      </w:r>
      <w:r>
        <w:rPr>
          <w:rFonts w:ascii="Times New Roman;Times;serif" w:hAnsi="Times New Roman;Times;serif"/>
          <w:sz w:val="20"/>
        </w:rPr>
        <w:t xml:space="preserve"> shares of the Company's common stock. The plan is set to expire on </w:t>
      </w:r>
      <w:r>
        <w:rPr>
          <w:rStyle w:val="Emphasis"/>
          <w:rFonts w:ascii="Times New Roman;Times;serif" w:hAnsi="Times New Roman;Times;serif"/>
          <w:sz w:val="20"/>
        </w:rPr>
        <w:t xml:space="preserve">December 11, 2026, </w:t>
      </w:r>
      <w:r>
        <w:rPr>
          <w:rFonts w:ascii="Times New Roman;Times;serif" w:hAnsi="Times New Roman;Times;serif"/>
          <w:sz w:val="20"/>
        </w:rPr>
        <w:t>or upon the earlier completion of all authorized transactions under the plan.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10"/>
        <w:gridCol w:w="240"/>
        <w:gridCol w:w="925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2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2">
              <w:r>
                <w:rPr>
                  <w:rStyle w:val="InternetLink"/>
                </w:rPr>
                <w:t>Restated Certificate of Incorporation (filed as Exhibit 3.2 to the Registrant's Current Report on Form 8-K filed with the Securities and Exchange Commission on June 12, 2025).</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283"/>
              <w:jc w:val="left"/>
              <w:rPr/>
            </w:pPr>
            <w:r>
              <w:rPr/>
              <w:t>3.3*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4">
              <w:r>
                <w:rPr>
                  <w:rStyle w:val="InternetLink"/>
                  <w:u w:val="single"/>
                </w:rPr>
                <w:t>Amendment No. 1 to the Amended and Restated Bylaws, as currently in effect (filed as Exhibit 3.1 to the Registrant’s Current Report on Form 8-K filed with the Securities and Exchange Commission on April 2,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1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w:t>
            </w:r>
          </w:p>
        </w:tc>
      </w:tr>
      <w:tr>
        <w:trPr/>
        <w:tc>
          <w:tcPr>
            <w:tcW w:w="710" w:type="dxa"/>
            <w:tcBorders/>
            <w:tcMar>
              <w:bottom w:w="0" w:type="dxa"/>
            </w:tcMar>
            <w:vAlign w:val="center"/>
          </w:tcPr>
          <w:p>
            <w:pPr>
              <w:pStyle w:val="TableContents"/>
              <w:bidi w:val="0"/>
              <w:spacing w:before="0" w:after="283"/>
              <w:jc w:val="left"/>
              <w:rPr/>
            </w:pPr>
            <w:r>
              <w:rPr/>
              <w:t>4.2*</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6">
              <w:r>
                <w:rPr>
                  <w:rStyle w:val="InternetLink"/>
                </w:rPr>
                <w:t>Indenture, dated as of December 5, 2023 between Applied Optoelectronics, Inc. and Computershare Trust Company, as trustee (filed as Exhibit 4.1 to the Registrant’s Current Report on Form 8-K filed with the Securities and Exchange Commission on December 5, 2023).</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"http://www.sec.gov/Archives/edgar/data/1158114/000110465923123656/tm2331117d2_ex4-1.htm" \l "ex-a"</w:instrText>
            </w:r>
            <w:r>
              <w:rPr>
                <w:rStyle w:val="InternetLink"/>
              </w:rPr>
              <w:fldChar w:fldCharType="separate"/>
            </w:r>
            <w:r>
              <w:rPr>
                <w:rStyle w:val="InternetLink"/>
              </w:rPr>
              <w:t>Form of Note representing the Company’s 5.25% Convertible Senior Notes due 2026 (included as Exhibit 4.2 to the Registrant’s Current Report on Form 8-K filed with the Securities and Exchange Commission on December 5, 2023).</w:t>
            </w:r>
            <w:r>
              <w:rPr>
                <w:rStyle w:val="InternetLink"/>
              </w:rPr>
              <w:fldChar w:fldCharType="end"/>
            </w:r>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7">
              <w:r>
                <w:rPr>
                  <w:rStyle w:val="InternetLink"/>
                </w:rPr>
                <w:t>First Supplemental Indenture, dated as of December 5, 2023, between Applied Optoelectronics, Inc. and Computershare Trust Company, N.A., as trustee (included as Exhibit 4.3 to the Registrant’s Current Report on Form 8-K filed with the Securities and Exchange Commission on December 5, 2023).</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4.5*</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8">
              <w:r>
                <w:rPr>
                  <w:rStyle w:val="InternetLink"/>
                  <w:u w:val="single"/>
                </w:rPr>
                <w:t>Indenture, dated as of December 23, 2024 between Applied Optoelectronics, Inc. and Computershare Trust Company, as trustee (filed as Exhibit 4.1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4.6*</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9">
              <w:r>
                <w:rPr>
                  <w:rStyle w:val="InternetLink"/>
                  <w:u w:val="single"/>
                </w:rPr>
                <w:t>Form of Note representing the Company’s 2.75% Convertible Senior Notes due 2030 (included as Exhibit 4.2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4.7*</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0">
              <w:r>
                <w:rPr>
                  <w:rStyle w:val="InternetLink"/>
                  <w:u w:val="single"/>
                </w:rPr>
                <w:t>First Supplemental Indenture, dated as of December 23, 2024, between Applied Optoelectronics, Inc. and Computershare Trust Company, N.A., as trustee (included as Exhibit 4.3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4.8*</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1">
              <w:r>
                <w:rPr>
                  <w:rStyle w:val="InternetLink"/>
                  <w:u w:val="single"/>
                </w:rPr>
                <w:t>Warrant to Purchase Common Stock of Applied Optoelectronics, Inc. by and between Applied Optoelectronics, Inc. and Amazon.com NV Investment Holdings LLC, dated as of March 13, 2025 (included as Exhibit 4.1 to the Registrant’</w:t>
              </w:r>
            </w:hyperlink>
            <w:hyperlink r:id="rId12">
              <w:r>
                <w:rPr>
                  <w:rStyle w:val="InternetLink"/>
                </w:rPr>
                <w:t>﻿</w:t>
              </w:r>
            </w:hyperlink>
            <w:hyperlink r:id="rId13">
              <w:r>
                <w:rPr>
                  <w:rStyle w:val="InternetLink"/>
                  <w:u w:val="single"/>
                </w:rPr>
                <w:t>s Current Report on Form 8-K filed with the Securities and Exchange Commission on March 13,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77"/>
        <w:gridCol w:w="60"/>
        <w:gridCol w:w="9568"/>
      </w:tblGrid>
      <w:tr>
        <w:trPr/>
        <w:tc>
          <w:tcPr>
            <w:tcW w:w="577"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14">
              <w:r>
                <w:rPr>
                  <w:rStyle w:val="InternetLink"/>
                </w:rPr>
                <w:t>Translation of the Working Capital Loan Contract (RMB82,000,000), between Global Technology, Inc. and Shanghai Pudong Development Bank Co., Ltd., dated July 18, 2025 (included as Exhibit 10.1 to the Registrant's Current Report on Form 8-K filed with the Securities and Exchange Commission on July 23,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15">
              <w:r>
                <w:rPr>
                  <w:rStyle w:val="InternetLink"/>
                  <w:u w:val="single"/>
                </w:rPr>
                <w:t>Translation of the Financing Credit Line Agreement, dated July 29, 2025, between Global Technology, Inc. and Shanghai Pudong Development Bank Co., Ltd</w:t>
              </w:r>
            </w:hyperlink>
            <w:hyperlink r:id="rId16">
              <w:r>
                <w:rPr>
                  <w:rStyle w:val="InternetLink"/>
                </w:rPr>
                <w:t>. (included as Exhibit 10.1 to the Registrant's Current Report on Form 8-K filed with the Securities and Exchange Commission on August 4,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17">
              <w:r>
                <w:rPr>
                  <w:rStyle w:val="InternetLink"/>
                  <w:u w:val="single"/>
                </w:rPr>
                <w:t>Translation of the Maximum Mortgage Contract (Security Agreement), dated July 29, 2025, between Global Technology, Inc. and Shanghai Pudong Development Bank Co., Ltd.</w:t>
              </w:r>
            </w:hyperlink>
            <w:hyperlink r:id="rId18">
              <w:r>
                <w:rPr>
                  <w:rStyle w:val="InternetLink"/>
                </w:rPr>
                <w:t xml:space="preserve"> (included as Exhibit 10.2 to the Registrant's Current Report on Form 8-K filed with the Securities and Exchange Commission on August 4,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19">
              <w:r>
                <w:rPr>
                  <w:rStyle w:val="InternetLink"/>
                </w:rPr>
                <w:t>Loan and Security Agreement, dated July 31, 2025, between Applied Optoelectronics, Inc. and BOKF, NA dba BOK Financial (included as Exhibit 10.1 to the Registrant's Current Report on Form 8-K filed with the Securities and Exchange Commission on August 6,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20">
              <w:r>
                <w:rPr>
                  <w:rStyle w:val="InternetLink"/>
                  <w:u w:val="single"/>
                </w:rPr>
                <w:t>Revolving Note, dated July 31, 2025, between Applied Optoelectronics, Inc. and BOKF, NA dba BOK Financial (included as Exhibit 10.2 to the Registrant's Current Report on Form 8-K filed with the Securities and Exchange Commission on August 6,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10.6*</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21">
              <w:r>
                <w:rPr>
                  <w:rStyle w:val="InternetLink"/>
                  <w:u w:val="single"/>
                </w:rPr>
                <w:t>Translation of the Agreement to Terminate Land and Building Lease dated August 20, 2025, between Prime World International Holdings Ltd., and San Ho Electric Machinery Industry Co., Ltd.</w:t>
              </w:r>
            </w:hyperlink>
            <w:hyperlink r:id="rId22">
              <w:r>
                <w:rPr>
                  <w:rStyle w:val="InternetLink"/>
                </w:rPr>
                <w:t xml:space="preserve"> (included as Exhibit 10.1 to the Registrant's Current Report on Form 8-K filed with the Securities and Exchange Commission on August 26,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23">
              <w:r>
                <w:rPr>
                  <w:rStyle w:val="InternetLink"/>
                  <w:u w:val="single"/>
                </w:rPr>
                <w:t>Translation of the Premises Lease Agreement, dated September 1, 2025, between Prime World International Holdings Ltd., Taiwan Branch and International Games System Co., Ltd.</w:t>
              </w:r>
            </w:hyperlink>
            <w:hyperlink r:id="rId24">
              <w:r>
                <w:rPr>
                  <w:rStyle w:val="InternetLink"/>
                </w:rPr>
                <w:t xml:space="preserve"> (included as Exhibit 10.1 to the Registrant's Current Report on Form 8-K filed with the Securities and Exchange Commission on September 4,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10.8*</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r:id="rId25">
              <w:r>
                <w:rPr>
                  <w:rStyle w:val="InternetLink"/>
                  <w:u w:val="single"/>
                </w:rPr>
                <w:t>Lease Agreement, dated September 19, 2025, by and between Applied Optoelectronic, Inc., and Coleman Logistics Assets, LLC.</w:t>
              </w:r>
            </w:hyperlink>
            <w:hyperlink r:id="rId26">
              <w:r>
                <w:rPr>
                  <w:rStyle w:val="InternetLink"/>
                </w:rPr>
                <w:t xml:space="preserve"> (included as Exhibit 10.1 to the Registrant's Current Report on Form 8-K filed with the Securities and Exchange Commission on September 24, 2025).</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hyperlink w:anchor="ex_854173.htm">
              <w:r>
                <w:rPr>
                  <w:rStyle w:val="InternetLink"/>
                </w:rPr>
                <w:t>Certification of Chief Executive Officer pursuant to Exchange Act Rule, 13a-14(a) and 15d-14(a), as adopted pursuant to Section 302 of the Sarbanes-Oxley Act of 2002.</w:t>
              </w:r>
            </w:hyperlink>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hyperlink w:anchor="ex_854174.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57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 </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hyperlink w:anchor="ex_854175.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57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 </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283"/>
              <w:jc w:val="left"/>
              <w:rPr/>
            </w:pPr>
            <w:r>
              <w:rPr/>
              <w:t> </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77"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77"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77"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77"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pPr>
            <w:r>
              <w:rPr/>
              <w:t>​</w:t>
            </w:r>
          </w:p>
        </w:tc>
      </w:tr>
      <w:tr>
        <w:trPr/>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rPr/>
            </w:pPr>
            <w:r>
              <w:rPr/>
              <w:t>​</w:t>
            </w:r>
          </w:p>
        </w:tc>
        <w:tc>
          <w:tcPr>
            <w:tcW w:w="9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335" w:type="dxa"/>
        <w:jc w:val="left"/>
        <w:tblInd w:w="0" w:type="dxa"/>
        <w:tblLayout w:type="fixed"/>
        <w:tblCellMar>
          <w:top w:w="0" w:type="dxa"/>
          <w:left w:w="0" w:type="dxa"/>
          <w:bottom w:w="0" w:type="dxa"/>
          <w:right w:w="0" w:type="dxa"/>
        </w:tblCellMar>
      </w:tblPr>
      <w:tblGrid>
        <w:gridCol w:w="2000"/>
        <w:gridCol w:w="320"/>
        <w:gridCol w:w="5015"/>
      </w:tblGrid>
      <w:tr>
        <w:trPr/>
        <w:tc>
          <w:tcPr>
            <w:tcW w:w="2000"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2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32 </w:t>
      </w:r>
    </w:p>
    <w:p>
      <w:pPr>
        <w:pStyle w:val="TextBody"/>
        <w:bidi w:val="0"/>
        <w:spacing w:before="0" w:after="0"/>
        <w:ind w:left="0" w:right="0" w:hanging="0"/>
        <w:jc w:val="right"/>
        <w:rPr>
          <w:rFonts w:ascii="Times New Roman;Times;serif" w:hAnsi="Times New Roman;Times;serif"/>
          <w:sz w:val="20"/>
        </w:rPr>
      </w:pPr>
      <w:bookmarkStart w:id="20" w:name="ex_854173.htm"/>
      <w:bookmarkStart w:id="21" w:name="ksex_854173"/>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854174.htm"/>
      <w:bookmarkStart w:id="23" w:name="ksex_854174"/>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854175.htm"/>
      <w:bookmarkStart w:id="25" w:name="ksex_854175"/>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September 30, 2025,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6th day of November, 2025.</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68316825004444/aaoi_ex0302.htm" TargetMode="External"/><Relationship Id="rId3" Type="http://schemas.openxmlformats.org/officeDocument/2006/relationships/hyperlink" Target="http://www.sec.gov/Archives/edgar/data/1158114/000101968713004306/aaoi_10q-ex0302.htm" TargetMode="External"/><Relationship Id="rId4" Type="http://schemas.openxmlformats.org/officeDocument/2006/relationships/hyperlink" Target="http://www.sec.gov/Archives/edgar/data/1158114/000110465925030932/tm2511114d1_ex3-1.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1158114/000110465923123656/tm2331117d2_ex4-1.htm" TargetMode="External"/><Relationship Id="rId7" Type="http://schemas.openxmlformats.org/officeDocument/2006/relationships/hyperlink" Target="http://www.sec.gov/Archives/edgar/data/1158114/000110465923123656/tm2331117d2_ex4-3.htm" TargetMode="External"/><Relationship Id="rId8" Type="http://schemas.openxmlformats.org/officeDocument/2006/relationships/hyperlink" Target="http://www.sec.gov/Archives/edgar/data/0001158114/000110465924131385/tm2431223d10_ex4-1.htm" TargetMode="External"/><Relationship Id="rId9" Type="http://schemas.openxmlformats.org/officeDocument/2006/relationships/hyperlink" Target="http://www.sec.gov/Archives/edgar/data/0001158114/000110465924131385/tm2431223d10_ex4-1.htm" TargetMode="External"/><Relationship Id="rId10" Type="http://schemas.openxmlformats.org/officeDocument/2006/relationships/hyperlink" Target="http://www.sec.gov/Archives/edgar/data/1158114/000110465924131385/tm2431223d10_ex4-3.htm" TargetMode="External"/><Relationship Id="rId11" Type="http://schemas.openxmlformats.org/officeDocument/2006/relationships/hyperlink" Target="http://www.sec.gov/Archives/edgar/data/1158114/000168316825001580/appliedopto_ex0401.htm" TargetMode="External"/><Relationship Id="rId12" Type="http://schemas.openxmlformats.org/officeDocument/2006/relationships/hyperlink" Target="http://www.sec.gov/Archives/edgar/data/1158114/000168316825001580/appliedopto_ex0401.htm" TargetMode="External"/><Relationship Id="rId13" Type="http://schemas.openxmlformats.org/officeDocument/2006/relationships/hyperlink" Target="http://www.sec.gov/Archives/edgar/data/1158114/000168316825001580/appliedopto_ex0401.htm" TargetMode="External"/><Relationship Id="rId14" Type="http://schemas.openxmlformats.org/officeDocument/2006/relationships/hyperlink" Target="http://www.sec.gov/Archives/edgar/data/1158114/000168316825005322/aaoi_ex1001.htm" TargetMode="External"/><Relationship Id="rId15" Type="http://schemas.openxmlformats.org/officeDocument/2006/relationships/hyperlink" Target="http://www.sec.gov/Archives/edgar/data/1158114/000168316825005626/aaoi_ex1001.htm" TargetMode="External"/><Relationship Id="rId16" Type="http://schemas.openxmlformats.org/officeDocument/2006/relationships/hyperlink" Target="http://www.sec.gov/Archives/edgar/data/1158114/000168316825005626/aaoi_ex1001.htm" TargetMode="External"/><Relationship Id="rId17" Type="http://schemas.openxmlformats.org/officeDocument/2006/relationships/hyperlink" Target="http://www.sec.gov/Archives/edgar/data/1158114/000168316825005626/aaoi_ex1002.htm" TargetMode="External"/><Relationship Id="rId18" Type="http://schemas.openxmlformats.org/officeDocument/2006/relationships/hyperlink" Target="http://www.sec.gov/Archives/edgar/data/1158114/000168316825005626/aaoi_ex1002.htm" TargetMode="External"/><Relationship Id="rId19" Type="http://schemas.openxmlformats.org/officeDocument/2006/relationships/hyperlink" Target="http://www.sec.gov/Archives/edgar/data/1158114/000168316825005710/aaoi_ex1001.htm" TargetMode="External"/><Relationship Id="rId20" Type="http://schemas.openxmlformats.org/officeDocument/2006/relationships/hyperlink" Target="http://www.sec.gov/Archives/edgar/data/1158114/000168316825005710/aaoi_ex1002.htm" TargetMode="External"/><Relationship Id="rId21" Type="http://schemas.openxmlformats.org/officeDocument/2006/relationships/hyperlink" Target="http://www.sec.gov/Archives/edgar/data/1158114/000168316825006467/aaoi_ex1001.htm" TargetMode="External"/><Relationship Id="rId22" Type="http://schemas.openxmlformats.org/officeDocument/2006/relationships/hyperlink" Target="http://www.sec.gov/Archives/edgar/data/1158114/000168316825006467/aaoi_ex1001.htm" TargetMode="External"/><Relationship Id="rId23" Type="http://schemas.openxmlformats.org/officeDocument/2006/relationships/hyperlink" Target="http://www.sec.gov/Archives/edgar/data/1158114/000168316825006678/aaoi_ex1001.htm" TargetMode="External"/><Relationship Id="rId24" Type="http://schemas.openxmlformats.org/officeDocument/2006/relationships/hyperlink" Target="http://www.sec.gov/Archives/edgar/data/1158114/000168316825006678/aaoi_ex1001.htm" TargetMode="External"/><Relationship Id="rId25" Type="http://schemas.openxmlformats.org/officeDocument/2006/relationships/hyperlink" Target="http://www.sec.gov/Archives/edgar/data/1158114/000168316825007212/aaoi_ex1001.htm" TargetMode="External"/><Relationship Id="rId26" Type="http://schemas.openxmlformats.org/officeDocument/2006/relationships/hyperlink" Target="http://www.sec.gov/Archives/edgar/data/1158114/000168316825007212/aaoi_ex100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20551</Words>
  <Characters>110839</Characters>
  <CharactersWithSpaces>133949</CharactersWithSpaces>
  <Paragraphs>8361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