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60"/>
        <w:ind w:left="0" w:right="0" w:hanging="0"/>
        <w:jc w:val="left"/>
        <w:rPr>
          <w:bdr w:val="single" w:sz="16" w:space="1" w:color="000000"/>
        </w:rPr>
      </w:pPr>
      <w:bookmarkStart w:id="0" w:name="tm2614157d2_8k.htm"/>
      <w:bookmarkStart w:id="1" w:name="kstm2614157d2_8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1_edei--DocumentType_c20260514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May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E_edei--EntityRegistrantName_c2026"/>
      <w:bookmarkEnd w:id="4"/>
      <w:r>
        <w:rPr>
          <w:rFonts w:ascii="Times New Roman;Times;Serif" w:hAnsi="Times New Roman;Times;Serif"/>
          <w:b/>
          <w:i w:val="false"/>
          <w:caps w:val="false"/>
          <w:smallCaps w:val="false"/>
          <w:sz w:val="28"/>
        </w:rPr>
        <w:t>Applied Optoelectronics,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365" w:type="dxa"/>
        <w:jc w:val="left"/>
        <w:tblInd w:w="0" w:type="dxa"/>
        <w:tblLayout w:type="fixed"/>
        <w:tblCellMar>
          <w:top w:w="0" w:type="dxa"/>
          <w:left w:w="0" w:type="dxa"/>
          <w:bottom w:w="0" w:type="dxa"/>
          <w:right w:w="0" w:type="dxa"/>
        </w:tblCellMar>
      </w:tblPr>
      <w:tblGrid>
        <w:gridCol w:w="2525"/>
        <w:gridCol w:w="2300"/>
        <w:gridCol w:w="2540"/>
      </w:tblGrid>
      <w:tr>
        <w:trPr/>
        <w:tc>
          <w:tcPr>
            <w:tcW w:w="2525" w:type="dxa"/>
            <w:tcBorders/>
            <w:vAlign w:val="center"/>
          </w:tcPr>
          <w:p>
            <w:pPr>
              <w:pStyle w:val="TableContents"/>
              <w:bidi w:val="0"/>
              <w:spacing w:before="0" w:after="283"/>
              <w:jc w:val="center"/>
              <w:rPr>
                <w:rFonts w:ascii="Times New Roman;Times;Serif" w:hAnsi="Times New Roman;Times;Serif"/>
                <w:b/>
                <w:sz w:val="20"/>
              </w:rPr>
            </w:pPr>
            <w:bookmarkStart w:id="5" w:name="xdx_90E_edei--EntityIncorporationStateCo"/>
            <w:bookmarkEnd w:id="5"/>
            <w:r>
              <w:rPr>
                <w:rFonts w:ascii="Times New Roman;Times;Serif" w:hAnsi="Times New Roman;Times;Serif"/>
                <w:b/>
                <w:sz w:val="20"/>
              </w:rPr>
              <w:t>Delaware</w:t>
            </w:r>
          </w:p>
        </w:tc>
        <w:tc>
          <w:tcPr>
            <w:tcW w:w="2300" w:type="dxa"/>
            <w:tcBorders/>
            <w:vAlign w:val="center"/>
          </w:tcPr>
          <w:p>
            <w:pPr>
              <w:pStyle w:val="TableContents"/>
              <w:bidi w:val="0"/>
              <w:spacing w:before="0" w:after="283"/>
              <w:jc w:val="center"/>
              <w:rPr>
                <w:rFonts w:ascii="Times New Roman;Times;Serif" w:hAnsi="Times New Roman;Times;Serif"/>
                <w:b/>
                <w:sz w:val="20"/>
                <w:shd w:fill="FFFFFF" w:val="clear"/>
              </w:rPr>
            </w:pPr>
            <w:bookmarkStart w:id="6" w:name="xdx_907_edei--EntityFileNumber_c20260514"/>
            <w:bookmarkEnd w:id="6"/>
            <w:r>
              <w:rPr>
                <w:rFonts w:ascii="Times New Roman;Times;Serif" w:hAnsi="Times New Roman;Times;Serif"/>
                <w:b/>
                <w:sz w:val="20"/>
                <w:shd w:fill="FFFFFF" w:val="clear"/>
              </w:rPr>
              <w:t>001-36083</w:t>
            </w:r>
          </w:p>
        </w:tc>
        <w:tc>
          <w:tcPr>
            <w:tcW w:w="2540" w:type="dxa"/>
            <w:tcBorders/>
            <w:vAlign w:val="center"/>
          </w:tcPr>
          <w:p>
            <w:pPr>
              <w:pStyle w:val="TableContents"/>
              <w:bidi w:val="0"/>
              <w:spacing w:before="0" w:after="283"/>
              <w:jc w:val="center"/>
              <w:rPr>
                <w:rFonts w:ascii="Times New Roman;Times;Serif" w:hAnsi="Times New Roman;Times;Serif"/>
                <w:b/>
                <w:sz w:val="20"/>
              </w:rPr>
            </w:pPr>
            <w:bookmarkStart w:id="7" w:name="xdx_900_edei--EntityTaxIdentificationNum"/>
            <w:bookmarkEnd w:id="7"/>
            <w:r>
              <w:rPr>
                <w:rFonts w:ascii="Times New Roman;Times;Serif" w:hAnsi="Times New Roman;Times;Serif"/>
                <w:b/>
                <w:sz w:val="20"/>
              </w:rPr>
              <w:t>76-0533927</w:t>
            </w:r>
          </w:p>
        </w:tc>
      </w:tr>
      <w:tr>
        <w:trPr/>
        <w:tc>
          <w:tcPr>
            <w:tcW w:w="252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(State or other jurisdiction of </w:t>
              <w:br/>
              <w:t>incorporation)</w:t>
            </w:r>
          </w:p>
        </w:tc>
        <w:tc>
          <w:tcPr>
            <w:tcW w:w="23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254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(IRS Employer Identification </w:t>
              <w:br/>
              <w:t>No.)</w:t>
            </w:r>
          </w:p>
        </w:tc>
      </w:tr>
    </w:tbl>
    <w:p>
      <w:pPr>
        <w:pStyle w:val="TextBody"/>
        <w:bidi w:val="0"/>
        <w:spacing w:before="0" w:after="0"/>
        <w:ind w:left="0" w:right="0" w:hanging="0"/>
        <w:jc w:val="center"/>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3995"/>
        <w:gridCol w:w="1145"/>
      </w:tblGrid>
      <w:tr>
        <w:trPr/>
        <w:tc>
          <w:tcPr>
            <w:tcW w:w="399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13139 Jess Pirtle Blvd.</w:t>
            </w:r>
          </w:p>
        </w:tc>
        <w:tc>
          <w:tcPr>
            <w:tcW w:w="1145"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center"/>
              <w:rPr>
                <w:b/>
              </w:rPr>
            </w:pPr>
            <w:bookmarkStart w:id="9" w:name="xdx_900_edei--EntityAddressCityOrTown_c2"/>
            <w:bookmarkEnd w:id="9"/>
            <w:r>
              <w:rPr>
                <w:b/>
              </w:rPr>
              <w:t xml:space="preserve">Sugar Land, </w:t>
            </w:r>
            <w:bookmarkStart w:id="10" w:name="xdx_90D_edei--EntityAddressStateOrProvin"/>
            <w:bookmarkEnd w:id="10"/>
            <w:r>
              <w:rPr>
                <w:b/>
              </w:rPr>
              <w:t xml:space="preserve">Texas </w:t>
            </w:r>
          </w:p>
        </w:tc>
        <w:tc>
          <w:tcPr>
            <w:tcW w:w="1145" w:type="dxa"/>
            <w:tcBorders/>
            <w:vAlign w:val="center"/>
          </w:tcPr>
          <w:p>
            <w:pPr>
              <w:pStyle w:val="TableContents"/>
              <w:bidi w:val="0"/>
              <w:spacing w:before="0" w:after="283"/>
              <w:jc w:val="center"/>
              <w:rPr>
                <w:b/>
              </w:rPr>
            </w:pPr>
            <w:bookmarkStart w:id="11" w:name="xdx_902_edei--EntityAddressPostalZipCode"/>
            <w:bookmarkEnd w:id="11"/>
            <w:r>
              <w:rPr>
                <w:b/>
              </w:rPr>
              <w:t>77478</w:t>
            </w:r>
          </w:p>
        </w:tc>
      </w:tr>
      <w:tr>
        <w:trPr/>
        <w:tc>
          <w:tcPr>
            <w:tcW w:w="3995" w:type="dxa"/>
            <w:tcBorders/>
            <w:vAlign w:val="center"/>
          </w:tcPr>
          <w:p>
            <w:pPr>
              <w:pStyle w:val="TableContents"/>
              <w:bidi w:val="0"/>
              <w:spacing w:before="0" w:after="283"/>
              <w:jc w:val="center"/>
              <w:rPr>
                <w:b/>
              </w:rPr>
            </w:pPr>
            <w:r>
              <w:rPr>
                <w:b/>
              </w:rPr>
              <w:t xml:space="preserve">(Address of principal executive offices)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5_edei--CityAreaCode_c20260514__20"/>
      <w:bookmarkEnd w:id="12"/>
      <w:r>
        <w:rPr>
          <w:rFonts w:ascii="Times New Roman;Times;Serif" w:hAnsi="Times New Roman;Times;Serif"/>
          <w:b/>
          <w:i w:val="false"/>
          <w:caps w:val="false"/>
          <w:smallCaps w:val="false"/>
          <w:sz w:val="20"/>
        </w:rPr>
        <w:t xml:space="preserve">281) </w:t>
      </w:r>
      <w:bookmarkStart w:id="13" w:name="xdx_906_edei--LocalPhoneNumber_c20260514"/>
      <w:bookmarkEnd w:id="13"/>
      <w:r>
        <w:rPr>
          <w:rFonts w:ascii="Times New Roman;Times;Serif" w:hAnsi="Times New Roman;Times;Serif"/>
          <w:b/>
          <w:i w:val="false"/>
          <w:caps w:val="false"/>
          <w:smallCaps w:val="false"/>
          <w:sz w:val="20"/>
        </w:rPr>
        <w:t>295-1800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144" w:right="288" w:firstLine="432"/>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F_edei--WrittenCommunications_c202"/>
            <w:bookmarkEnd w:id="14"/>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9_edei--SolicitingMaterial_c202605"/>
            <w:bookmarkEnd w:id="15"/>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7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5_edei--PreCommencementIssuerTende"/>
            <w:bookmarkEnd w:id="17"/>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070" w:type="dxa"/>
        <w:jc w:val="left"/>
        <w:tblInd w:w="-10" w:type="dxa"/>
        <w:tblLayout w:type="fixed"/>
        <w:tblCellMar>
          <w:top w:w="28" w:type="dxa"/>
          <w:left w:w="28" w:type="dxa"/>
          <w:bottom w:w="0" w:type="dxa"/>
          <w:right w:w="0" w:type="dxa"/>
        </w:tblCellMar>
      </w:tblPr>
      <w:tblGrid>
        <w:gridCol w:w="2855"/>
        <w:gridCol w:w="1610"/>
        <w:gridCol w:w="3605"/>
      </w:tblGrid>
      <w:tr>
        <w:trPr/>
        <w:tc>
          <w:tcPr>
            <w:tcW w:w="285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1610"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sz w:val="20"/>
                <w:shd w:fill="FFFFFF" w:val="clear"/>
              </w:rPr>
            </w:pPr>
            <w:r>
              <w:rPr>
                <w:rFonts w:ascii="Times New Roman;Times;Serif" w:hAnsi="Times New Roman;Times;Serif"/>
                <w:b/>
                <w:sz w:val="20"/>
                <w:shd w:fill="FFFFFF" w:val="clear"/>
              </w:rPr>
              <w:t>Trading Symbol(s)</w:t>
            </w:r>
          </w:p>
        </w:tc>
        <w:tc>
          <w:tcPr>
            <w:tcW w:w="3605"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Trading Name of each exchange on which </w:t>
              <w:br/>
              <w:t>registered</w:t>
            </w:r>
          </w:p>
        </w:tc>
      </w:tr>
      <w:tr>
        <w:trPr/>
        <w:tc>
          <w:tcPr>
            <w:tcW w:w="2855"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shd w:fill="FFFFFF" w:val="clear"/>
              </w:rPr>
            </w:pPr>
            <w:bookmarkStart w:id="18" w:name="xdx_906_edei--Security12bTitle_c20260514"/>
            <w:bookmarkEnd w:id="18"/>
            <w:r>
              <w:rPr>
                <w:rFonts w:ascii="Times New Roman;Times;Serif" w:hAnsi="Times New Roman;Times;Serif"/>
                <w:b/>
                <w:sz w:val="20"/>
                <w:shd w:fill="FFFFFF" w:val="clear"/>
              </w:rPr>
              <w:t>Common Stock, Par value $0.001</w:t>
            </w:r>
          </w:p>
        </w:tc>
        <w:tc>
          <w:tcPr>
            <w:tcW w:w="1610"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bookmarkStart w:id="19" w:name="xdx_907_edei--TradingSymbol_c20260514__2"/>
            <w:bookmarkEnd w:id="19"/>
            <w:r>
              <w:rPr>
                <w:rFonts w:ascii="Times New Roman;Times;Serif" w:hAnsi="Times New Roman;Times;Serif"/>
                <w:b/>
                <w:sz w:val="20"/>
              </w:rPr>
              <w:t>AAOI</w:t>
            </w:r>
          </w:p>
        </w:tc>
        <w:tc>
          <w:tcPr>
            <w:tcW w:w="3605" w:type="dxa"/>
            <w:tcBorders>
              <w:top w:val="single" w:sz="8" w:space="0" w:color="000000"/>
              <w:left w:val="single" w:sz="8" w:space="0" w:color="000000"/>
              <w:bottom w:val="single" w:sz="8" w:space="0" w:color="000000"/>
              <w:right w:val="single" w:sz="8" w:space="0" w:color="000000"/>
            </w:tcBorders>
            <w:tcMar>
              <w:bottom w:w="28" w:type="dxa"/>
              <w:right w:w="28" w:type="dxa"/>
            </w:tcMar>
            <w:vAlign w:val="center"/>
          </w:tcPr>
          <w:p>
            <w:pPr>
              <w:pStyle w:val="TableContents"/>
              <w:bidi w:val="0"/>
              <w:spacing w:before="0" w:after="283"/>
              <w:jc w:val="center"/>
              <w:rPr>
                <w:rFonts w:ascii="Times New Roman;Times;Serif" w:hAnsi="Times New Roman;Times;Serif"/>
                <w:b/>
                <w:sz w:val="20"/>
              </w:rPr>
            </w:pPr>
            <w:bookmarkStart w:id="20" w:name="xdx_908_edei--SecurityExchangeName_c2026"/>
            <w:bookmarkEnd w:id="20"/>
            <w:r>
              <w:rPr>
                <w:rFonts w:ascii="Times New Roman;Times;Serif" w:hAnsi="Times New Roman;Times;Serif"/>
                <w:b/>
                <w:sz w:val="20"/>
              </w:rPr>
              <w:t>NASDAQ Global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C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14, 2026, Applied Optoelectronics, Inc. (the “Company”) entered into an Equity Distribution Agreement (the “Agreement”) with Raymond James &amp; Associates, Inc. and Needham &amp; Company, LLC (collectively, the “Sales Agents”) pursuant to which the Company may issue and sell shares of the Company’s common stock, par value $0.001 per share (the “Shares”) having an aggregate offering price of up to $600 million from time to time through the Sales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delivery of a placement notice and subject to the terms and conditions of the Agreement, sales, if any, of the Shares will be made through the Sales Agents in transactions that are deemed to be “at the market” offerings as defined in Rule 415 of the Securities Act of 1933,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Agents. In the placement notice, the Company will designate the maximum number of Shares to be sold through the Sales Agents, the time period during which sales are requested to be made, the minimum price for the Shares to be sold, and any limitation on the number of Shares that may be sold in any one day. Subject to the terms and conditions of the Agreement, the Sales Agents will use their commercially reasonable efforts to sell Shares on the Company’s behalf up to the designated amount specified in the placement notice. The Company has no obligation to sell any Shares under the Agreement and may at any time suspend offers and sales of the Shares under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provides that the Sales Agents will be entitled to compensation of 2% of the gross sales price of the Shares sold through the Sales Agents from time to time. The Company has also agreed to reimburse the Sales Agents for certain specified expenses in connection with the registration of Shares under state blue sky laws and any filing with, and clearance of the offering by, the Financial Industry Regulatory Authority Inc., not to exceed $10,000 in the aggregate, and any associated application fees incurred. Additionally, if the Agreement is terminated under certain circumstances, and the Company fails to sell a minimum amount of the Shares as set forth in the Agreement, then the Company has agreed to reimburse the Sales Agents for reasonable out-of-pocket expenses, including the reasonable fees and disbursements of counsel incurred by the Sales Agents, up to a maximum of $30,000 in the aggregate. The Company agreed to indemnify the Sales Agents against certain liabilities, including liabilities under the Securities Act, or to contribute to payments that the Sales Agents may be required to make because of any of those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pursuant to the Agreement will terminate upon the sale of all Shares subject to the Agreement. The Agreement may also be terminated by the Company or by the Sales Agents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to be issued and sold have been registered under the Securities Act, pursuant to the Company’s automatic shelf registration statement on Form S-3ASR (Registration No. 333-283905), including the prospectus contained therein, as supplemented by the prospectus supplement filed with the Securities and Exchange Commission (the “SEC”) pursuant to Rule 424(b) under the Securities Act on May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Agreement does not purport to be complete and is qualified in its entirety by reference to the complete text of the Agreement, which is filed as Exhibit 1.1 to this Current Report on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5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hyperlink w:anchor="tm2614157d2_ex1-1.htm">
              <w:r>
                <w:rPr>
                  <w:rStyle w:val="InternetLink"/>
                  <w:rFonts w:ascii="Times New Roman;Times;Serif" w:hAnsi="Times New Roman;Times;Serif"/>
                  <w:sz w:val="20"/>
                </w:rPr>
                <w:t>1.1</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w:anchor="tm2614157d2_ex1-1.htm">
              <w:r>
                <w:rPr>
                  <w:rStyle w:val="InternetLink"/>
                  <w:rFonts w:ascii="Times New Roman;Times;Serif" w:hAnsi="Times New Roman;Times;Serif"/>
                  <w:sz w:val="20"/>
                </w:rPr>
                <w:t>Equity Distribution Agreement, dated May 14, 2026, among Applied Optoelectronics, Inc., Raymond James &amp; Associates, Inc.</w:t>
              </w:r>
            </w:hyperlink>
            <w:hyperlink w:anchor="tm2614157d2_ex1-1.htm">
              <w:r>
                <w:rPr>
                  <w:rStyle w:val="InternetLink"/>
                  <w:sz w:val="20"/>
                </w:rPr>
                <w:t>, and Needham &amp; Company, LLC.</w:t>
              </w:r>
            </w:hyperlink>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pPr>
            <w:hyperlink r:id="rId2">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r:id="rId3">
              <w:r>
                <w:rPr>
                  <w:rStyle w:val="InternetLink"/>
                  <w:rFonts w:ascii="Times New Roman;Times;Serif" w:hAnsi="Times New Roman;Times;Serif"/>
                  <w:sz w:val="20"/>
                </w:rPr>
                <w:t>Common Stock Specimen (incorporated by reference to Exhibit 4.1 of Applied Optoelectronics, Inc’s Form 8-K (File No. 001-36083) filed with the SEC on November 14, 2016).</w:t>
              </w:r>
            </w:hyperlink>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pPr>
            <w:hyperlink w:anchor="tm2614157d2_ex5-1.htm">
              <w:r>
                <w:rPr>
                  <w:rStyle w:val="InternetLink"/>
                  <w:rFonts w:ascii="Times New Roman;Times;Serif" w:hAnsi="Times New Roman;Times;Serif"/>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w:anchor="tm2614157d2_ex5-1.htm">
              <w:r>
                <w:rPr>
                  <w:rStyle w:val="InternetLink"/>
                  <w:rFonts w:ascii="Times New Roman;Times;Serif" w:hAnsi="Times New Roman;Times;Serif"/>
                  <w:sz w:val="20"/>
                </w:rPr>
                <w:t>Opinion of Haynes and Boone, LLP.</w:t>
              </w:r>
            </w:hyperlink>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pPr>
            <w:hyperlink w:anchor="tm2614157d2_ex5-1.htm">
              <w:r>
                <w:rPr>
                  <w:rStyle w:val="InternetLink"/>
                  <w:rFonts w:ascii="Times New Roman;Times;Serif" w:hAnsi="Times New Roman;Times;Serif"/>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w:anchor="tm2614157d2_ex5-1.htm">
              <w:r>
                <w:rPr>
                  <w:rStyle w:val="InternetLink"/>
                  <w:rFonts w:ascii="Times New Roman;Times;Serif" w:hAnsi="Times New Roman;Times;Serif"/>
                  <w:sz w:val="20"/>
                </w:rPr>
                <w:t>Consent of Haynes and Boone, LLP (included in Exhibit 5.1).</w:t>
              </w:r>
            </w:hyperlink>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File (the cover page tags are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5925" w:type="dxa"/>
        <w:jc w:val="left"/>
        <w:tblInd w:w="0" w:type="dxa"/>
        <w:tblLayout w:type="fixed"/>
        <w:tblCellMar>
          <w:top w:w="0" w:type="dxa"/>
          <w:left w:w="0" w:type="dxa"/>
          <w:bottom w:w="0" w:type="dxa"/>
          <w:right w:w="0" w:type="dxa"/>
        </w:tblCellMar>
      </w:tblPr>
      <w:tblGrid>
        <w:gridCol w:w="1655"/>
        <w:gridCol w:w="545"/>
        <w:gridCol w:w="3725"/>
      </w:tblGrid>
      <w:tr>
        <w:trPr/>
        <w:tc>
          <w:tcPr>
            <w:tcW w:w="1655" w:type="dxa"/>
            <w:tcBorders/>
            <w:vAlign w:val="center"/>
          </w:tcPr>
          <w:p>
            <w:pPr>
              <w:pStyle w:val="TableContents"/>
              <w:bidi w:val="0"/>
              <w:spacing w:before="0" w:after="283"/>
              <w:jc w:val="left"/>
              <w:rPr/>
            </w:pPr>
            <w:r>
              <w:rPr/>
              <w:t> </w:t>
            </w:r>
          </w:p>
        </w:tc>
        <w:tc>
          <w:tcPr>
            <w:tcW w:w="427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APPLIED OPTOELECTRONICS, INC.</w:t>
            </w:r>
          </w:p>
        </w:tc>
      </w:tr>
      <w:tr>
        <w:trPr/>
        <w:tc>
          <w:tcPr>
            <w:tcW w:w="16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14,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C. Kuo</w:t>
            </w:r>
          </w:p>
        </w:tc>
      </w:tr>
      <w:tr>
        <w:trPr/>
        <w:tc>
          <w:tcPr>
            <w:tcW w:w="16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C. Kuo</w:t>
            </w:r>
          </w:p>
        </w:tc>
      </w:tr>
      <w:tr>
        <w:trPr/>
        <w:tc>
          <w:tcPr>
            <w:tcW w:w="16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725" w:type="dxa"/>
            <w:tcBorders/>
            <w:vAlign w:val="center"/>
          </w:tcPr>
          <w:p>
            <w:pPr>
              <w:pStyle w:val="TableContents"/>
              <w:bidi w:val="0"/>
              <w:spacing w:before="0" w:after="283"/>
              <w:jc w:val="left"/>
              <w:rPr/>
            </w:pPr>
            <w:r>
              <w:rPr>
                <w:rFonts w:ascii="Times New Roman;Times;Serif" w:hAnsi="Times New Roman;Times;Serif"/>
                <w:sz w:val="20"/>
              </w:rPr>
              <w:t>S</w:t>
            </w:r>
            <w:r>
              <w:rPr>
                <w:sz w:val="20"/>
              </w:rPr>
              <w:t>enior Vice President and Chief Legal Officer</w:t>
            </w:r>
          </w:p>
        </w:tc>
      </w:tr>
    </w:tbl>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14157d2_ex1-1.htm"/>
      <w:bookmarkStart w:id="23" w:name="kstm2614157d2_ex11"/>
      <w:bookmarkEnd w:id="22"/>
      <w:bookmarkEnd w:id="23"/>
      <w:r>
        <w:rPr/>
        <w:t> </w:t>
      </w:r>
      <w:r>
        <w:br w:type="page"/>
      </w:r>
    </w:p>
    <w:p>
      <w:pPr>
        <w:pStyle w:val="TextBody"/>
        <w:bidi w:val="0"/>
        <w:jc w:val="right"/>
        <w:rPr>
          <w:b/>
        </w:rPr>
      </w:pPr>
      <w:r>
        <w:rPr>
          <w:b/>
        </w:rPr>
        <w:t>Exhibit 1.1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Equity Distribution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14,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Raymond James &amp; Associates, Inc.</w:t>
        <w:br/>
        <w:t>880 Carillon Parkway</w:t>
        <w:br/>
        <w:t>St. Petersburg, Florida 33716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Needham &amp; Company,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 Park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APPLIED OPTOELECTRONICS, INC., a Delaware corporation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confirms its agreement (this “</w:t>
      </w:r>
      <w:r>
        <w:rPr>
          <w:rFonts w:ascii="Times New Roman;Times;Serif" w:hAnsi="Times New Roman;Times;Serif"/>
          <w:b/>
          <w:i w:val="false"/>
          <w:caps w:val="false"/>
          <w:smallCaps w:val="false"/>
          <w:sz w:val="20"/>
          <w:u w:val="single"/>
        </w:rPr>
        <w:t>Agreement</w:t>
      </w:r>
      <w:r>
        <w:rPr>
          <w:rFonts w:ascii="Times New Roman;Times;Serif" w:hAnsi="Times New Roman;Times;Serif"/>
          <w:b w:val="false"/>
          <w:i w:val="false"/>
          <w:caps w:val="false"/>
          <w:smallCaps w:val="false"/>
          <w:sz w:val="20"/>
        </w:rPr>
        <w:t>”) with Raymond James &amp; Associates, Inc. and Needham &amp; Company, LLC (together, the “</w:t>
      </w:r>
      <w:r>
        <w:rPr>
          <w:rFonts w:ascii="Times New Roman;Times;Serif" w:hAnsi="Times New Roman;Times;Serif"/>
          <w:b/>
          <w:i w:val="false"/>
          <w:caps w:val="false"/>
          <w:smallCaps w:val="false"/>
          <w:sz w:val="20"/>
          <w:u w:val="single"/>
        </w:rPr>
        <w:t>Agents</w:t>
      </w:r>
      <w:r>
        <w:rPr>
          <w:rFonts w:ascii="Times New Roman;Times;Serif" w:hAnsi="Times New Roman;Times;Serif"/>
          <w:b w:val="false"/>
          <w:i w:val="false"/>
          <w:caps w:val="false"/>
          <w:smallCaps w:val="false"/>
          <w:sz w:val="20"/>
        </w:rPr>
        <w:t>,” and each, an “</w:t>
      </w:r>
      <w:r>
        <w:rPr>
          <w:rFonts w:ascii="Times New Roman;Times;Serif" w:hAnsi="Times New Roman;Times;Serif"/>
          <w:b/>
          <w:i w:val="false"/>
          <w:caps w:val="false"/>
          <w:smallCaps w:val="false"/>
          <w:sz w:val="20"/>
          <w:u w:val="single"/>
        </w:rPr>
        <w:t>Agent</w:t>
      </w:r>
      <w:r>
        <w:rPr>
          <w:rFonts w:ascii="Times New Roman;Times;Serif" w:hAnsi="Times New Roman;Times;Serif"/>
          <w:b w:val="false"/>
          <w:i w:val="false"/>
          <w:caps w:val="false"/>
          <w:smallCaps w:val="false"/>
          <w:sz w:val="20"/>
        </w:rPr>
        <w:t>”),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Issuance and Sale of Shares</w:t>
      </w:r>
      <w:r>
        <w:rPr>
          <w:rFonts w:ascii="Times New Roman;Times;Serif" w:hAnsi="Times New Roman;Times;Serif"/>
          <w:b w:val="false"/>
          <w:i w:val="false"/>
          <w:caps w:val="false"/>
          <w:smallCaps w:val="false"/>
          <w:sz w:val="20"/>
        </w:rPr>
        <w:t>. The Company agrees that, from time to time during the term of this Agreement, on the terms and subject to the conditions set forth herein, it may issue and sell through the Agents, up to $600,000,000 aggregate gross proceeds of shares (the “</w:t>
      </w:r>
      <w:r>
        <w:rPr>
          <w:rFonts w:ascii="Times New Roman;Times;Serif" w:hAnsi="Times New Roman;Times;Serif"/>
          <w:b/>
          <w:i w:val="false"/>
          <w:caps w:val="false"/>
          <w:smallCaps w:val="false"/>
          <w:sz w:val="20"/>
          <w:u w:val="single"/>
        </w:rPr>
        <w:t>Shares</w:t>
      </w:r>
      <w:r>
        <w:rPr>
          <w:rFonts w:ascii="Times New Roman;Times;Serif" w:hAnsi="Times New Roman;Times;Serif"/>
          <w:b w:val="false"/>
          <w:i w:val="false"/>
          <w:caps w:val="false"/>
          <w:smallCaps w:val="false"/>
          <w:sz w:val="20"/>
        </w:rPr>
        <w:t>”) of the Company’s common stock, par value $0.001 per share (the “</w:t>
      </w:r>
      <w:r>
        <w:rPr>
          <w:rFonts w:ascii="Times New Roman;Times;Serif" w:hAnsi="Times New Roman;Times;Serif"/>
          <w:b/>
          <w:i w:val="false"/>
          <w:caps w:val="false"/>
          <w:smallCaps w:val="false"/>
          <w:sz w:val="20"/>
          <w:u w:val="single"/>
        </w:rPr>
        <w:t>Common Stock</w:t>
      </w:r>
      <w:r>
        <w:rPr>
          <w:rFonts w:ascii="Times New Roman;Times;Serif" w:hAnsi="Times New Roman;Times;Serif"/>
          <w:b w:val="false"/>
          <w:i w:val="false"/>
          <w:caps w:val="false"/>
          <w:smallCaps w:val="false"/>
          <w:sz w:val="20"/>
        </w:rPr>
        <w:t xml:space="preserve">”). Notwithstanding anything to the contrary contained herein, the parties hereto agree that compliance with the limitations set forth in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on the number of Shares issued and sold under this Agreement shall be the sole responsibility of the Company. The issuance and sale of Shares through the Agents will be effected pursuant to the Registration Statement (as defined below) filed by the Company with the Securities and Exchange Commission (the “</w:t>
      </w:r>
      <w:r>
        <w:rPr>
          <w:rFonts w:ascii="Times New Roman;Times;Serif" w:hAnsi="Times New Roman;Times;Serif"/>
          <w:b/>
          <w:i w:val="false"/>
          <w:caps w:val="false"/>
          <w:smallCaps w:val="false"/>
          <w:sz w:val="20"/>
          <w:u w:val="single"/>
        </w:rPr>
        <w:t>Commission</w:t>
      </w:r>
      <w:r>
        <w:rPr>
          <w:rFonts w:ascii="Times New Roman;Times;Serif" w:hAnsi="Times New Roman;Times;Serif"/>
          <w:b w:val="false"/>
          <w:i w:val="false"/>
          <w:caps w:val="false"/>
          <w:smallCaps w:val="false"/>
          <w:sz w:val="20"/>
        </w:rPr>
        <w:t>”), although nothing in this Agreement shall be construed as requiring the Company to use the Registration Statement to offer, sell or issue the Shares. The Company agrees that the Agents shall be under no obligation to purchase Shares on a principal basis pursuant to this Agreement, except as otherwise agreed in a separate written agreement containing the terms and conditions of such sale.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filed, in accordance with the provisions of the Securities Act of 1933, as amended, and the rules and regulations thereunder (collectively, the “</w:t>
      </w:r>
      <w:r>
        <w:rPr>
          <w:rFonts w:ascii="Times New Roman;Times;Serif" w:hAnsi="Times New Roman;Times;Serif"/>
          <w:b/>
          <w:i w:val="false"/>
          <w:caps w:val="false"/>
          <w:smallCaps w:val="false"/>
          <w:sz w:val="20"/>
          <w:u w:val="single"/>
        </w:rPr>
        <w:t>Securities Act</w:t>
      </w:r>
      <w:r>
        <w:rPr>
          <w:rFonts w:ascii="Times New Roman;Times;Serif" w:hAnsi="Times New Roman;Times;Serif"/>
          <w:b w:val="false"/>
          <w:i w:val="false"/>
          <w:caps w:val="false"/>
          <w:smallCaps w:val="false"/>
          <w:sz w:val="20"/>
        </w:rPr>
        <w:t>”), with the Commission a registration statement on Form S-3ASR (File No. 333-283905), including a base prospectus, relating to certain securities, including the Shares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Times;Serif" w:hAnsi="Times New Roman;Times;Serif"/>
          <w:b/>
          <w:i w:val="false"/>
          <w:caps w:val="false"/>
          <w:smallCaps w:val="false"/>
          <w:sz w:val="20"/>
          <w:u w:val="single"/>
        </w:rPr>
        <w:t>Exchange Act</w:t>
      </w:r>
      <w:r>
        <w:rPr>
          <w:rFonts w:ascii="Times New Roman;Times;Serif" w:hAnsi="Times New Roman;Times;Serif"/>
          <w:b w:val="false"/>
          <w:i w:val="false"/>
          <w:caps w:val="false"/>
          <w:smallCaps w:val="false"/>
          <w:sz w:val="20"/>
        </w:rPr>
        <w:t>”). The Company has prepared a prospectus supplement specifically relating to the Shares to the base prospectus included as part of such registration statement. The Company will furnish to the Agents, for use by the Agents, copies of the base prospectus included as part of such registration statement, as amended, as supplemented by the Prospectus Supplement, relating to the Shares. Except where the context otherwise requires, such registration statement, including all documents filed as part thereof or incorporated by reference therein, and including any information contained in or incorporated by reference in a Prospectus (as defined below) subsequently filed with the Commission pursuant to Rule 424(b) under the Securities Act or deemed to be a part of such registration statement pursuant to Rule 430B under the Securities Act, is herein called the “</w:t>
      </w:r>
      <w:r>
        <w:rPr>
          <w:rFonts w:ascii="Times New Roman;Times;Serif" w:hAnsi="Times New Roman;Times;Serif"/>
          <w:b/>
          <w:i w:val="false"/>
          <w:caps w:val="false"/>
          <w:smallCaps w:val="false"/>
          <w:sz w:val="20"/>
          <w:u w:val="single"/>
        </w:rPr>
        <w:t>Registration Statement</w:t>
      </w:r>
      <w:r>
        <w:rPr>
          <w:rFonts w:ascii="Times New Roman;Times;Serif" w:hAnsi="Times New Roman;Times;Serif"/>
          <w:b w:val="false"/>
          <w:i w:val="false"/>
          <w:caps w:val="false"/>
          <w:smallCaps w:val="false"/>
          <w:sz w:val="20"/>
        </w:rPr>
        <w:t>.” Except where the context requires otherwise, the term “</w:t>
      </w:r>
      <w:r>
        <w:rPr>
          <w:rFonts w:ascii="Times New Roman;Times;Serif" w:hAnsi="Times New Roman;Times;Serif"/>
          <w:b/>
          <w:i w:val="false"/>
          <w:caps w:val="false"/>
          <w:smallCaps w:val="false"/>
          <w:sz w:val="20"/>
          <w:u w:val="single"/>
        </w:rPr>
        <w:t>Base Prospectus</w:t>
      </w:r>
      <w:r>
        <w:rPr>
          <w:rFonts w:ascii="Times New Roman;Times;Serif" w:hAnsi="Times New Roman;Times;Serif"/>
          <w:b w:val="false"/>
          <w:i w:val="false"/>
          <w:caps w:val="false"/>
          <w:smallCaps w:val="false"/>
          <w:sz w:val="20"/>
        </w:rPr>
        <w:t>” means the prospectus dated December 18, 2024, filed as part of the Registration Statement, including all documents incorporated therein by reference as of the date of such prospectus. Except where the context requires otherwise, the term “</w:t>
      </w:r>
      <w:r>
        <w:rPr>
          <w:rFonts w:ascii="Times New Roman;Times;Serif" w:hAnsi="Times New Roman;Times;Serif"/>
          <w:b/>
          <w:i w:val="false"/>
          <w:caps w:val="false"/>
          <w:smallCaps w:val="false"/>
          <w:sz w:val="20"/>
          <w:u w:val="single"/>
        </w:rPr>
        <w:t>Prospectus Supplement</w:t>
      </w:r>
      <w:r>
        <w:rPr>
          <w:rFonts w:ascii="Times New Roman;Times;Serif" w:hAnsi="Times New Roman;Times;Serif"/>
          <w:b w:val="false"/>
          <w:i w:val="false"/>
          <w:caps w:val="false"/>
          <w:smallCaps w:val="false"/>
          <w:sz w:val="20"/>
        </w:rPr>
        <w:t xml:space="preserve">” means the most recent prospectus supplement that relates to the Shares, to be filed by the Company with the Commission pursuant to Rule 424(b) under the Securities Act on or before the second Business Day (as defined in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Definitions</w:t>
      </w:r>
      <w:r>
        <w:rPr>
          <w:rFonts w:ascii="Times New Roman;Times;Serif" w:hAnsi="Times New Roman;Times;Serif"/>
          <w:b w:val="false"/>
          <w:i w:val="false"/>
          <w:caps w:val="false"/>
          <w:smallCaps w:val="false"/>
          <w:sz w:val="20"/>
        </w:rPr>
        <w:t>)) after the date hereof (or such earlier time as may be required under the Securities Act), in the form furnished to the Agents in connection with the offering of the Shares. Except where the context otherwise requires, the term “</w:t>
      </w:r>
      <w:r>
        <w:rPr>
          <w:rFonts w:ascii="Times New Roman;Times;Serif" w:hAnsi="Times New Roman;Times;Serif"/>
          <w:b/>
          <w:i w:val="false"/>
          <w:caps w:val="false"/>
          <w:smallCaps w:val="false"/>
          <w:sz w:val="20"/>
          <w:u w:val="single"/>
        </w:rPr>
        <w:t>Prospectus</w:t>
      </w:r>
      <w:r>
        <w:rPr>
          <w:rFonts w:ascii="Times New Roman;Times;Serif" w:hAnsi="Times New Roman;Times;Serif"/>
          <w:b w:val="false"/>
          <w:i w:val="false"/>
          <w:caps w:val="false"/>
          <w:smallCaps w:val="false"/>
          <w:sz w:val="20"/>
        </w:rPr>
        <w:t>” means the Prospectus Supplement, together with the Base Prospectus attached to or used with the Prospectus Supplement, together with any issuer free writing prospectus (as defined below) that relates to the Shares. As used herein, “</w:t>
      </w:r>
      <w:r>
        <w:rPr>
          <w:rFonts w:ascii="Times New Roman;Times;Serif" w:hAnsi="Times New Roman;Times;Serif"/>
          <w:b/>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 has the meaning set forth in Rule 433 under the Securities Act, and “</w:t>
      </w:r>
      <w:r>
        <w:rPr>
          <w:rFonts w:ascii="Times New Roman;Times;Serif" w:hAnsi="Times New Roman;Times;Serif"/>
          <w:b/>
          <w:i w:val="false"/>
          <w:caps w:val="false"/>
          <w:smallCaps w:val="false"/>
          <w:sz w:val="20"/>
          <w:u w:val="single"/>
        </w:rPr>
        <w:t>free writing prospectus</w:t>
      </w:r>
      <w:r>
        <w:rPr>
          <w:rFonts w:ascii="Times New Roman;Times;Serif" w:hAnsi="Times New Roman;Times;Serif"/>
          <w:b w:val="false"/>
          <w:i w:val="false"/>
          <w:caps w:val="false"/>
          <w:smallCaps w:val="false"/>
          <w:sz w:val="20"/>
        </w:rPr>
        <w:t>” has the meaning set forth in Rule 405 under the Securities Act.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All references in this Agreement to (i) the Registration Statement or the Prospectus, or any amendments or supplements to any of the foregoing, shall include any copy thereof filed with the Commission pursuant to its Electronic Data Gathering, Analysis and Retrieval System (“</w:t>
      </w:r>
      <w:r>
        <w:rPr>
          <w:rFonts w:ascii="Times New Roman;Times;Serif" w:hAnsi="Times New Roman;Times;Serif"/>
          <w:b/>
          <w:i w:val="false"/>
          <w:caps w:val="false"/>
          <w:smallCaps w:val="false"/>
          <w:sz w:val="20"/>
          <w:u w:val="single"/>
        </w:rPr>
        <w:t>EDGAR</w:t>
      </w:r>
      <w:r>
        <w:rPr>
          <w:rFonts w:ascii="Times New Roman;Times;Serif" w:hAnsi="Times New Roman;Times;Serif"/>
          <w:b w:val="false"/>
          <w:i w:val="false"/>
          <w:caps w:val="false"/>
          <w:smallCaps w:val="false"/>
          <w:sz w:val="20"/>
        </w:rPr>
        <w:t xml:space="preserve">”) and (ii) the Prospectus shall be deemed to include the “electronic Prospectus” provided for use in connection with the offering of the Shares as contemplated by </w:t>
      </w:r>
      <w:r>
        <w:rPr>
          <w:rFonts w:ascii="Times New Roman;Times;Serif" w:hAnsi="Times New Roman;Times;Serif"/>
          <w:b w:val="false"/>
          <w:i w:val="false"/>
          <w:caps w:val="false"/>
          <w:smallCaps w:val="false"/>
          <w:sz w:val="20"/>
          <w:u w:val="single"/>
        </w:rPr>
        <w:t>Section 7(x)</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Placements</w:t>
      </w:r>
      <w:r>
        <w:rPr>
          <w:rFonts w:ascii="Times New Roman;Times;Serif" w:hAnsi="Times New Roman;Times;Serif"/>
          <w:b w:val="false"/>
          <w:i w:val="false"/>
          <w:caps w:val="false"/>
          <w:smallCaps w:val="false"/>
          <w:sz w:val="20"/>
        </w:rPr>
        <w:t>. Each time that the Company wishes to issue and sell Shares hereunder (each, a “</w:t>
      </w:r>
      <w:r>
        <w:rPr>
          <w:rFonts w:ascii="Times New Roman;Times;Serif" w:hAnsi="Times New Roman;Times;Serif"/>
          <w:b/>
          <w:i w:val="false"/>
          <w:caps w:val="false"/>
          <w:smallCaps w:val="false"/>
          <w:sz w:val="20"/>
          <w:u w:val="single"/>
        </w:rPr>
        <w:t>Placement</w:t>
      </w:r>
      <w:r>
        <w:rPr>
          <w:rFonts w:ascii="Times New Roman;Times;Serif" w:hAnsi="Times New Roman;Times;Serif"/>
          <w:b w:val="false"/>
          <w:i w:val="false"/>
          <w:caps w:val="false"/>
          <w:smallCaps w:val="false"/>
          <w:sz w:val="20"/>
        </w:rPr>
        <w:t>”), it will notify one or both of the Agents by email notice (or other method mutually agreed to in writing by the parties) containing the parameters in accordance with which it desires the Shares to be sold, which shall at a minimum include the number of Shares to be issued (the “</w:t>
      </w:r>
      <w:r>
        <w:rPr>
          <w:rFonts w:ascii="Times New Roman;Times;Serif" w:hAnsi="Times New Roman;Times;Serif"/>
          <w:b/>
          <w:i w:val="false"/>
          <w:caps w:val="false"/>
          <w:smallCaps w:val="false"/>
          <w:sz w:val="20"/>
          <w:u w:val="single"/>
        </w:rPr>
        <w:t>Placement Shares</w:t>
      </w:r>
      <w:r>
        <w:rPr>
          <w:rFonts w:ascii="Times New Roman;Times;Serif" w:hAnsi="Times New Roman;Times;Serif"/>
          <w:b w:val="false"/>
          <w:i w:val="false"/>
          <w:caps w:val="false"/>
          <w:smallCaps w:val="false"/>
          <w:sz w:val="20"/>
        </w:rPr>
        <w:t xml:space="preserve">”), the time period during which sales are requested to be made, any limitation on the number of Shares that may be sold in any one Trading Day (as defined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Sale of Placement Shares by the Agents</w:t>
      </w:r>
      <w:r>
        <w:rPr>
          <w:rFonts w:ascii="Times New Roman;Times;Serif" w:hAnsi="Times New Roman;Times;Serif"/>
          <w:b w:val="false"/>
          <w:i w:val="false"/>
          <w:caps w:val="false"/>
          <w:smallCaps w:val="false"/>
          <w:sz w:val="20"/>
        </w:rPr>
        <w:t>) below) and any minimum price below which sales may not be made (a “</w:t>
      </w:r>
      <w:r>
        <w:rPr>
          <w:rFonts w:ascii="Times New Roman;Times;Serif" w:hAnsi="Times New Roman;Times;Serif"/>
          <w:b/>
          <w:i w:val="false"/>
          <w:caps w:val="false"/>
          <w:smallCaps w:val="false"/>
          <w:sz w:val="20"/>
          <w:u w:val="single"/>
        </w:rPr>
        <w:t>Placement Notice</w:t>
      </w:r>
      <w:r>
        <w:rPr>
          <w:rFonts w:ascii="Times New Roman;Times;Serif" w:hAnsi="Times New Roman;Times;Serif"/>
          <w:b w:val="false"/>
          <w:i w:val="false"/>
          <w:caps w:val="false"/>
          <w:smallCaps w:val="false"/>
          <w:sz w:val="20"/>
        </w:rPr>
        <w:t xml:space="preserve">”), a form of which containing such minimum sales parameters necessary is attached hereto as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The Placement Notice shall originate from any of the individuals from the Company set forth on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attached hereto (with a copy to each of the other individuals from the Company listed on such schedule), and shall be addressed to each of the individuals from the Applicable Agent (as defined below) set forth on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as such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may be amended from time to time. The Placement Notice shall be effective upon receipt and prompt confirmation by the Applicable Agent (and after such confirmation by the Agent, any Agent bound to such terms is referred to as an “</w:t>
      </w:r>
      <w:r>
        <w:rPr>
          <w:rFonts w:ascii="Times New Roman;Times;Serif" w:hAnsi="Times New Roman;Times;Serif"/>
          <w:b/>
          <w:i w:val="false"/>
          <w:caps w:val="false"/>
          <w:smallCaps w:val="false"/>
          <w:sz w:val="20"/>
          <w:u w:val="single"/>
        </w:rPr>
        <w:t>Applicable Agent</w:t>
      </w:r>
      <w:r>
        <w:rPr>
          <w:rFonts w:ascii="Times New Roman;Times;Serif" w:hAnsi="Times New Roman;Times;Serif"/>
          <w:b w:val="false"/>
          <w:i w:val="false"/>
          <w:caps w:val="false"/>
          <w:smallCaps w:val="false"/>
          <w:sz w:val="20"/>
        </w:rPr>
        <w:t xml:space="preserve">”) unless and until (i) in accordance with the notice requirements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Suspension of Sales</w:t>
      </w:r>
      <w:r>
        <w:rPr>
          <w:rFonts w:ascii="Times New Roman;Times;Serif" w:hAnsi="Times New Roman;Times;Serif"/>
          <w:b w:val="false"/>
          <w:i w:val="false"/>
          <w:caps w:val="false"/>
          <w:smallCaps w:val="false"/>
          <w:sz w:val="20"/>
        </w:rPr>
        <w:t xml:space="preserve">) hereof, the Applicable Agent declines to accept the terms contained therein for any reason, in its sole discretion, and the Applicable Agent provides notice thereof to the Company within one Business Day, (ii) the entire amount of the Placement Shares have been sold, (iii) in accordance with the notice requirements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Suspension of Sales</w:t>
      </w:r>
      <w:r>
        <w:rPr>
          <w:rFonts w:ascii="Times New Roman;Times;Serif" w:hAnsi="Times New Roman;Times;Serif"/>
          <w:b w:val="false"/>
          <w:i w:val="false"/>
          <w:caps w:val="false"/>
          <w:smallCaps w:val="false"/>
          <w:sz w:val="20"/>
        </w:rPr>
        <w:t xml:space="preserve">) hereof, the Company suspends, cancels or terminates the Placement Notice, (iv) the Company issues a subsequent Placement Notice with parameters superseding those on the earlier dated Placement Notice, or (v) this Agreement has been terminated under the provisions of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Termination of this Agreement</w:t>
      </w:r>
      <w:r>
        <w:rPr>
          <w:rFonts w:ascii="Times New Roman;Times;Serif" w:hAnsi="Times New Roman;Times;Serif"/>
          <w:b w:val="false"/>
          <w:i w:val="false"/>
          <w:caps w:val="false"/>
          <w:smallCaps w:val="false"/>
          <w:sz w:val="20"/>
        </w:rPr>
        <w:t>)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compensation to be paid by the Company to the Applicable Agent in connection with the sale of the Placement Shares shall be 2% of the gross proceeds from the sales of the Placement Shares sold pursuant to this Agreement. Under no circumstances shall the Company cause or request the offer or sale of any Placement Shares at a price lower than the minimum price authorized from time to time by the Company’s board of directors or duly authorized committee thereof, and notified to the Applicable Agent in writing, nor shall the Company cause or request the offer or sale of any Placement Shares in a number or with an aggregate gross or net sales price in excess of the number or aggregate gross or net sales price, as the case may be, authorized from time to time to be issued and sold under this Agreement, in each case by the Company’s board of directors or duly authorized committee thereof, or in a number in excess of the number of Shares approved for listing on The Nasdaq Global Market (the “</w:t>
      </w:r>
      <w:r>
        <w:rPr>
          <w:rFonts w:ascii="Times New Roman;Times;Serif" w:hAnsi="Times New Roman;Times;Serif"/>
          <w:b/>
          <w:i w:val="false"/>
          <w:caps w:val="false"/>
          <w:smallCaps w:val="false"/>
          <w:sz w:val="20"/>
          <w:u w:val="single"/>
        </w:rPr>
        <w:t>Exchange</w:t>
      </w:r>
      <w:r>
        <w:rPr>
          <w:rFonts w:ascii="Times New Roman;Times;Serif" w:hAnsi="Times New Roman;Times;Serif"/>
          <w:b w:val="false"/>
          <w:i w:val="false"/>
          <w:caps w:val="false"/>
          <w:smallCaps w:val="false"/>
          <w:sz w:val="20"/>
        </w:rPr>
        <w:t>”), or in excess of the number or amount of Shares available for issuance on the Registration Statement. It is expressly acknowledged and agreed that neither the Company nor the Applicable Agent will have any obligation whatsoever with respect to a Placement or any Placement Shares unless and until the Company delivers a Placement Notice to the Applicable Agent, receipt of which is promptly confirmed by the Applicable Agent, and then only upon the terms specified therein and herein. In the event of a conflict between the terms of this Agreement and the terms of a Placement Notice, the terms of the Placement Notice will control.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Sale of Placement Shares by the Agents</w:t>
      </w:r>
      <w:r>
        <w:rPr>
          <w:rFonts w:ascii="Times New Roman;Times;Serif" w:hAnsi="Times New Roman;Times;Serif"/>
          <w:b w:val="false"/>
          <w:i w:val="false"/>
          <w:caps w:val="false"/>
          <w:smallCaps w:val="false"/>
          <w:sz w:val="20"/>
        </w:rPr>
        <w:t xml:space="preserve">. Subject to the terms and conditions herein set forth, upon the Company’s issuance of a Placement Notice to the Applicable Agent, receipt of which is promptly confirmed by the Applicable Agent, and unless the sale of the Placement Shares described therein has been declined, suspended, canceled or otherwise terminated in accordance with the terms of this Agreement, the Applicable Agent, for the period specified in the Placement Notice, will use its commercially reasonable efforts consistent with its normal trading and sales practices and applicable state and federal laws, rules and regulations and the rules of the Exchange, to sell such Placement Shares up to the amount specified, and otherwise in accordance with the terms of such Placement Notice. The Applicable Agent will provide written confirmation to the Company no later than the opening of the Trading Day (as defined below) immediately following the Trading Day on which it has made sales of Placement Shares hereunder setting forth the number of Placement Shares sold on such day, the prices at which such Placement Shares were sold, the gross proceeds from such sales, the compensation payable by the Company to the Agents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Placements</w:t>
      </w:r>
      <w:r>
        <w:rPr>
          <w:rFonts w:ascii="Times New Roman;Times;Serif" w:hAnsi="Times New Roman;Times;Serif"/>
          <w:b w:val="false"/>
          <w:i w:val="false"/>
          <w:caps w:val="false"/>
          <w:smallCaps w:val="false"/>
          <w:sz w:val="20"/>
        </w:rPr>
        <w:t xml:space="preserve">) hereof with respect to such sales, and the Net Proceeds (as defined below) payable to the Company, with an itemization of the deductions made by the Agents (as set forth in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Settlement</w:t>
      </w:r>
      <w:r>
        <w:rPr>
          <w:rFonts w:ascii="Times New Roman;Times;Serif" w:hAnsi="Times New Roman;Times;Serif"/>
          <w:b w:val="false"/>
          <w:i w:val="false"/>
          <w:caps w:val="false"/>
          <w:smallCaps w:val="false"/>
          <w:sz w:val="20"/>
        </w:rPr>
        <w:t xml:space="preserve">) hereof) from the gross proceeds that it receives from such sales. Unless otherwise set forth in the Placement Notice, the Applicable Agent may sell Placement Shares by any method permitted by law deemed to be an “at the market” offering as defined in Rule 415 of the Securities Act, including without limitation sales made directly on the Exchange, on any other existing trading market for the Common Stock or to or through a market maker. With prior consent of the Company, and subject to the terms of the Placement Notice, the Agents may also sell Placement Shares in privately negotiated transactions. The Company and the Applicable Agent represent that a majority of the sales of Placement Shares pursuant to this Agreement will be made to the public and not in privately negotiated transactions. The Company acknowledges and agrees that (i) there can be no assurance that the Applicable Agent will be successful in selling Placement Shares, and (ii) the Applicable Agent will incur no liability or obligation to the Company or any other person or entity if it does not sell Placement Shares for any reason other than a failure by the Applicable Agent to use its commercially reasonable efforts consistent with its normal trading and sales practices to sell such Placement Shares as required under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For the purposes hereof, “</w:t>
      </w:r>
      <w:r>
        <w:rPr>
          <w:rFonts w:ascii="Times New Roman;Times;Serif" w:hAnsi="Times New Roman;Times;Serif"/>
          <w:b/>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the Common Stock is traded on the Exchange.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Suspension of Sales.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or the Applicable Agent may, upon notice to the other party in writing (including by email correspondence to each of the individuals of the other party set forth on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hereto,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hereto), suspend any sale of Placement Shares;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such suspension shall not affect or impair either party’s obligations with respect to any Placement Shares sold hereunder prior to the receipt of such notice. Each of the parties agrees that no such notice under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be effective against the other unless it is made to one of the individuals named on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as such Schedule may be amended from time to time.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 other provision of this Agreement, the Company shall not offer or sell, or request the offer or sale of, any of the Placement Shares and, by notice to the Applicable Agent in writing (including by email correspondence to each of the individuals of the Applicable Agent set forth on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hereto if receipt of such correspondence is actually acknowledged by any of the individuals to whom the notice is sent, other than via auto-reply) or by telephone (confirmed immediately by verifiable facsimile transmission or email correspondence to each of the individuals of the Applicable Agent set forth on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hereto), shall cancel any instructions for the offer or sale of any of the Placement Shares, and upon delivery of such notice, receipt of which is promptly confirmed by the Applicable Agent, the Applicable Agent shall not offer or sell any of the Placement Shares during any period in which the Company is in possession of such material non-public information and as provided in such notice.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Settlement.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Settlement of Placement Shares</w:t>
      </w:r>
      <w:r>
        <w:rPr>
          <w:rFonts w:ascii="Times New Roman;Times;Serif" w:hAnsi="Times New Roman;Times;Serif"/>
          <w:b w:val="false"/>
          <w:i w:val="false"/>
          <w:caps w:val="false"/>
          <w:smallCaps w:val="false"/>
          <w:sz w:val="20"/>
        </w:rPr>
        <w:t>. Unless otherwise specified in the applicable Placement Notice, settlement for sales of Placement Shares will occur on the first (1st) Trading Day (or such earlier day as is industry practice for regular-way trading) following the date on which such sales are made (each, a “</w:t>
      </w:r>
      <w:r>
        <w:rPr>
          <w:rFonts w:ascii="Times New Roman;Times;Serif" w:hAnsi="Times New Roman;Times;Serif"/>
          <w:b/>
          <w:i w:val="false"/>
          <w:caps w:val="false"/>
          <w:smallCaps w:val="false"/>
          <w:sz w:val="20"/>
          <w:u w:val="single"/>
        </w:rPr>
        <w:t>Settlement Date</w:t>
      </w:r>
      <w:r>
        <w:rPr>
          <w:rFonts w:ascii="Times New Roman;Times;Serif" w:hAnsi="Times New Roman;Times;Serif"/>
          <w:b w:val="false"/>
          <w:i w:val="false"/>
          <w:caps w:val="false"/>
          <w:smallCaps w:val="false"/>
          <w:sz w:val="20"/>
        </w:rPr>
        <w:t>”). The amount of proceeds to be delivered to the Company on a Settlement Date against receipt of the Placement Shares sold (the “</w:t>
      </w:r>
      <w:r>
        <w:rPr>
          <w:rFonts w:ascii="Times New Roman;Times;Serif" w:hAnsi="Times New Roman;Times;Serif"/>
          <w:b/>
          <w:i w:val="false"/>
          <w:caps w:val="false"/>
          <w:smallCaps w:val="false"/>
          <w:sz w:val="20"/>
          <w:u w:val="single"/>
        </w:rPr>
        <w:t>Net Proceeds</w:t>
      </w:r>
      <w:r>
        <w:rPr>
          <w:rFonts w:ascii="Times New Roman;Times;Serif" w:hAnsi="Times New Roman;Times;Serif"/>
          <w:b w:val="false"/>
          <w:i w:val="false"/>
          <w:caps w:val="false"/>
          <w:smallCaps w:val="false"/>
          <w:sz w:val="20"/>
        </w:rPr>
        <w:t xml:space="preserve">”) will be equal to the aggregate sales price received by the Applicable Agent for the sale of such Placement Shares, after deduction for (i) the Applicable Agent’s compensation for such sales payable by the Company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Placements</w:t>
      </w:r>
      <w:r>
        <w:rPr>
          <w:rFonts w:ascii="Times New Roman;Times;Serif" w:hAnsi="Times New Roman;Times;Serif"/>
          <w:b w:val="false"/>
          <w:i w:val="false"/>
          <w:caps w:val="false"/>
          <w:smallCaps w:val="false"/>
          <w:sz w:val="20"/>
        </w:rPr>
        <w:t xml:space="preserve">) hereof, (ii) any other amounts due and payable by the Company to the Applicable Agent hereunder pursuant to </w:t>
      </w:r>
      <w:r>
        <w:rPr>
          <w:rFonts w:ascii="Times New Roman;Times;Serif" w:hAnsi="Times New Roman;Times;Serif"/>
          <w:b w:val="false"/>
          <w:i w:val="false"/>
          <w:caps w:val="false"/>
          <w:smallCaps w:val="false"/>
          <w:sz w:val="20"/>
          <w:u w:val="single"/>
        </w:rPr>
        <w:t>Section 7(h)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 hereof, and (iii) any transaction fees imposed in respect of such sales by any governmental or self-regulatory organization having jurisdiction over the Company (each, a “</w:t>
      </w:r>
      <w:r>
        <w:rPr>
          <w:rFonts w:ascii="Times New Roman;Times;Serif" w:hAnsi="Times New Roman;Times;Serif"/>
          <w:b/>
          <w:i w:val="false"/>
          <w:caps w:val="false"/>
          <w:smallCaps w:val="false"/>
          <w:sz w:val="20"/>
          <w:u w:val="single"/>
        </w:rPr>
        <w:t>Governmental Entity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u w:val="single"/>
        </w:rPr>
        <w:t>Governmental Entities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Delivery of Placement Shares</w:t>
      </w:r>
      <w:r>
        <w:rPr>
          <w:rFonts w:ascii="Times New Roman;Times;Serif" w:hAnsi="Times New Roman;Times;Serif"/>
          <w:b w:val="false"/>
          <w:i w:val="false"/>
          <w:caps w:val="false"/>
          <w:smallCaps w:val="false"/>
          <w:sz w:val="20"/>
        </w:rPr>
        <w:t>. On or before each Settlement Date, the Company will, or will cause its transfer agent to, electronically transfer the Placement Shares being sold by crediting the Applicable Agent’s or its designee’s account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the Applicable Agent shall have given the Company written notice of such designee prior to the Settlement Date) at The Depository Trust Company through its Deposit and Withdrawal at Custodian System or by such other means of delivery as may be mutually agreed upon by the parties hereto which in all cases shall be freely tradeable, transferable, registered shares in good deliverable form. On each Settlement Date, the Applicable Agent will deliver the related Net Proceeds in same day funds to an account designated by the Company on, or prior to, the Settlement Date. The Company agrees that if the Company, or its transfer agent (if applicable), defaults in its obligation to deliver Placement Shares on a Settlement Date, in addition to and in no way limiting the rights and obligations set forth in </w:t>
      </w:r>
      <w:r>
        <w:rPr>
          <w:rFonts w:ascii="Times New Roman;Times;Serif" w:hAnsi="Times New Roman;Times;Serif"/>
          <w:b w:val="false"/>
          <w:i w:val="false"/>
          <w:caps w:val="false"/>
          <w:smallCaps w:val="false"/>
          <w:sz w:val="20"/>
          <w:u w:val="single"/>
        </w:rPr>
        <w:t>Section 10(a)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below, it will hold the Applicable Agent harmless against any loss, claim, damage, or expense (including reasonable legal fees and expenses), as actually and reasonably incurred, arising out of or in connection with such default by the Company, and notwithstanding any such default by the Company, will pay to the Applicable Agent the commission, discount, or other compensation to which it would otherwise have been entitled absent such default.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Other Agents</w:t>
      </w:r>
      <w:r>
        <w:rPr>
          <w:rFonts w:ascii="Times New Roman;Times;Serif" w:hAnsi="Times New Roman;Times;Serif"/>
          <w:b w:val="false"/>
          <w:i w:val="false"/>
          <w:caps w:val="false"/>
          <w:smallCaps w:val="false"/>
          <w:sz w:val="20"/>
        </w:rPr>
        <w:t>. The Company agrees that any offer to sell Shares, any solicitation of an offer to buy Shares, or any sales of Shares shall only be effected by or through the Applicable Agent, and the Company shall in no event offer or sell Shares on the same day through any other agent or broker.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Representations, Warranties of the Company</w:t>
      </w:r>
      <w:r>
        <w:rPr>
          <w:rFonts w:ascii="Times New Roman;Times;Serif" w:hAnsi="Times New Roman;Times;Serif"/>
          <w:b w:val="false"/>
          <w:i w:val="false"/>
          <w:caps w:val="false"/>
          <w:smallCaps w:val="false"/>
          <w:sz w:val="20"/>
        </w:rPr>
        <w:t xml:space="preserve">. The Company represents and warrants to, and agrees with each Agent as of each Applicable Time (as defined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Definitions</w:t>
      </w:r>
      <w:r>
        <w:rPr>
          <w:rFonts w:ascii="Times New Roman;Times;Serif" w:hAnsi="Times New Roman;Times;Serif"/>
          <w:b w:val="false"/>
          <w:i w:val="false"/>
          <w:caps w:val="false"/>
          <w:smallCaps w:val="false"/>
          <w:sz w:val="20"/>
        </w:rPr>
        <w:t>)),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Compliance with Registration Requirements</w:t>
      </w:r>
      <w:r>
        <w:rPr>
          <w:rFonts w:ascii="Times New Roman;Times;Serif" w:hAnsi="Times New Roman;Times;Serif"/>
          <w:b w:val="false"/>
          <w:i w:val="false"/>
          <w:caps w:val="false"/>
          <w:smallCaps w:val="false"/>
          <w:sz w:val="20"/>
        </w:rPr>
        <w:t>. The Registration Statement was effective upon filing pursuant to Rule 462(e) promulgated pursuant to the Securities Act. No stop order suspending the effectiveness of the Registration Statement is in effect and no proceedings for such purpose or pursuant to Section 8A of the Securities Act have been instituted or are pending or, to the knowledge of the Company, are threatened by the Commission. The Company meets all applicable requirements for use of automatic shelf registration statement on Form S-3 under the Securities Act.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Prospectus when filed complied in all material respects with the Securities Act, and (except as may be permitted by Regulation S-T under the Securities Act) the Prospectus delivered to the Agents for use in connection with the offering of the Shares was identical to the electronically transmitted copies thereof filed with the Commission pursuant to EDGAR. The Registration Statement and any post-effective amendment thereto, at the time it became effective and each deemed effective date with respect to the Agents pursuant to Rule 430B(f)(2) of the Securities Act and at each Settlement Date, complied and will comply in all material respects with the Securities Act and did not and will not contain any untrue statement of a material fact or omit to state a material fact required to be stated therein or necessary to make the statements therein not misleading. The documents incorporated or deemed to be incorporated by reference in the Prospectus, at the time they were filed with the Commission under the Exchange Act, complied in all material respects with the requirements of the Exchange Act. The Prospectus (including any Prospectus wrapper), as amended or supplemented, as of its date and at all subsequent times, including each Representation Date (as defined in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Representation Dates; Certificate</w:t>
      </w:r>
      <w:r>
        <w:rPr>
          <w:rFonts w:ascii="Times New Roman;Times;Serif" w:hAnsi="Times New Roman;Times;Serif"/>
          <w:b w:val="false"/>
          <w:i w:val="false"/>
          <w:caps w:val="false"/>
          <w:smallCaps w:val="false"/>
          <w:sz w:val="20"/>
        </w:rPr>
        <w:t xml:space="preserve">) hereto),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the Prospectus or any amendments or supplements thereto, made in reliance upon and in conformity with information relating to the Agents furnished to the Company in writing by the Agents expressly for use therein, it being understood and agreed that the only such information furnished by the Agents to the Company consists of the information described in </w:t>
      </w:r>
      <w:r>
        <w:rPr>
          <w:rFonts w:ascii="Times New Roman;Times;Serif" w:hAnsi="Times New Roman;Times;Serif"/>
          <w:b w:val="false"/>
          <w:i w:val="false"/>
          <w:caps w:val="false"/>
          <w:smallCaps w:val="false"/>
          <w:sz w:val="20"/>
          <w:u w:val="single"/>
        </w:rPr>
        <w:t>Section 10(b)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below. There are no contracts or other documents required to be described in the Prospectus or to be filed as exhibits to the Registration Statement which have not been described or filed as required.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as of each Applicable Time, did not, does not and will not include any information that conflicted, conflicts with or will conflict with the information contained in the Registration Statement or the Prospectus, including any document incorporated by reference therein, that has not been superseded or modified. Except for the free writing prospectuses, if any, identified in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hereto furnished to the Agents before first use, the Company has not used or referred to, and will not, without the Agents’ prior consent, use or refer to, any free writing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Offering Materials Furnished to the Agents</w:t>
      </w:r>
      <w:r>
        <w:rPr>
          <w:rFonts w:ascii="Times New Roman;Times;Serif" w:hAnsi="Times New Roman;Times;Serif"/>
          <w:b w:val="false"/>
          <w:i w:val="false"/>
          <w:caps w:val="false"/>
          <w:smallCaps w:val="false"/>
          <w:sz w:val="20"/>
        </w:rPr>
        <w:t>. The Company has delivered to the Agents a complete copy of the Registration Statement, each amendment thereto and each opinion, consent and certificate of experts filed as a part thereof, and conformed copies of the Registration Statement, each amendment thereto (without exhibits) and the Prospectus, as amended or supplemented, and any freewriting prospectus reviewed and consented to in writing by the Agents, in such quantities and at such places as the Agents have reasonably requested.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Distribution of Offering Material By the Company</w:t>
      </w:r>
      <w:r>
        <w:rPr>
          <w:rFonts w:ascii="Times New Roman;Times;Serif" w:hAnsi="Times New Roman;Times;Serif"/>
          <w:b w:val="false"/>
          <w:i w:val="false"/>
          <w:caps w:val="false"/>
          <w:smallCaps w:val="false"/>
          <w:sz w:val="20"/>
        </w:rPr>
        <w:t>. The Company has not distributed and will not distribute, prior to the completion of the Agents’ sale of all of the Placement Shares pursuant to this Agreement, any offering material in connection with the offering and sale of the Shares other than the Prospectus, any free writing prospectus reviewed and consented to in writing by the Agents or the Registration Statement.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The Agreement</w:t>
      </w:r>
      <w:r>
        <w:rPr>
          <w:rFonts w:ascii="Times New Roman;Times;Serif" w:hAnsi="Times New Roman;Times;Serif"/>
          <w:b w:val="false"/>
          <w:i w:val="false"/>
          <w:caps w:val="false"/>
          <w:smallCaps w:val="false"/>
          <w:sz w:val="20"/>
        </w:rPr>
        <w:t>. This Agreement has been duly authorized, executed and delivered by, and is a valid and binding agreement of, the Company, enforceable against the Company in accordance with its terms, except as rights to indemnification and contribution hereunder may be limited by applicable law and except as the enforcement hereof may be limited by bankruptcy, insolvency, reorganization, moratorium or other similar laws relating to or affecting the rights and remedies of creditors or by general equitable principles regardless of whether considered in a proceeding in equity or at law.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Authorization of the Shares</w:t>
      </w:r>
      <w:r>
        <w:rPr>
          <w:rFonts w:ascii="Times New Roman;Times;Serif" w:hAnsi="Times New Roman;Times;Serif"/>
          <w:b w:val="false"/>
          <w:i w:val="false"/>
          <w:caps w:val="false"/>
          <w:smallCaps w:val="false"/>
          <w:sz w:val="20"/>
        </w:rPr>
        <w:t>. The Shares have been duly authorized for issuance and sale pursuant to this Agreement and, when issued and delivered by the Company and paid for in accordance with this Agreement, will be validly issued, fully paid and nonassessable, and the issuance and sale of the Shares is not subject to any preemptive rights, rights of first refusal or other similar rights to subscribe for or purchase the Shares.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 Applicable Registration or Other Similar Rights</w:t>
      </w:r>
      <w:r>
        <w:rPr>
          <w:rFonts w:ascii="Times New Roman;Times;Serif" w:hAnsi="Times New Roman;Times;Serif"/>
          <w:b w:val="false"/>
          <w:i w:val="false"/>
          <w:caps w:val="false"/>
          <w:smallCaps w:val="false"/>
          <w:sz w:val="20"/>
        </w:rPr>
        <w:t>. There are no persons with registration or other similar rights to have any equity or debt securities registered for sale under the Registration Statement or included in the offering contemplated by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 Material Adverse Change</w:t>
      </w:r>
      <w:r>
        <w:rPr>
          <w:rFonts w:ascii="Times New Roman;Times;Serif" w:hAnsi="Times New Roman;Times;Serif"/>
          <w:b w:val="false"/>
          <w:i w:val="false"/>
          <w:caps w:val="false"/>
          <w:smallCaps w:val="false"/>
          <w:sz w:val="20"/>
        </w:rPr>
        <w:t>. Except as otherwise disclosed in the Registration Statement and the Prospectus, subsequent to the respective dates as of which information is given in the Registration Statement and the Prospectus: (i) there has been no material adverse change, or any development that could reasonably be expected to result in a material adverse change, in the condition, financial or otherwise, or in the properties, business, results of operations or prospects, whether or not arising from transactions in the ordinary course of business, of the Company and its subsidiaries, considered as one entity (any such change is called a “</w:t>
      </w:r>
      <w:r>
        <w:rPr>
          <w:rFonts w:ascii="Times New Roman;Times;Serif" w:hAnsi="Times New Roman;Times;Serif"/>
          <w:b/>
          <w:i w:val="false"/>
          <w:caps w:val="false"/>
          <w:smallCaps w:val="false"/>
          <w:sz w:val="20"/>
          <w:u w:val="single"/>
        </w:rPr>
        <w:t>Material Adverse Change</w:t>
      </w:r>
      <w:r>
        <w:rPr>
          <w:rFonts w:ascii="Times New Roman;Times;Serif" w:hAnsi="Times New Roman;Times;Serif"/>
          <w:b w:val="false"/>
          <w:i w:val="false"/>
          <w:caps w:val="false"/>
          <w:smallCaps w:val="false"/>
          <w:sz w:val="20"/>
        </w:rPr>
        <w:t>”); (ii) the Company and its subsidiaries, considered as one entity, have not incurred any material liability or obligation, indirect, direct or contingent, not in the ordinary course of business nor entered into any material transaction or agreement not in the ordinary course of business; and (iii) there has been no dividend or other distribution of any kind declared, paid or made by the Company (other than regular quarterly cash dividends) or, except for dividends paid to the Company or other subsidiaries, any of its subsidiaries on any class of capital stock or repurchase or redemption by the Company or any of its subsidiaries of any class of capital stock.</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Independent Accountants</w:t>
      </w:r>
      <w:r>
        <w:rPr>
          <w:rFonts w:ascii="Times New Roman;Times;Serif" w:hAnsi="Times New Roman;Times;Serif"/>
          <w:b w:val="false"/>
          <w:i w:val="false"/>
          <w:caps w:val="false"/>
          <w:smallCaps w:val="false"/>
          <w:sz w:val="20"/>
        </w:rPr>
        <w:t>. Grant Thornton LLP, who have expressed their opinion with respect to the financial statements (which term as used in this Agreement includes the related notes thereto) of the Company and its subsidiaries incorporated by reference in the Registration Statement and the Prospectus are an independent registered public accounting firm with respect to the Company as required by the Securities Act and the Exchange Act and the applicable published rules and regulations thereunder.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Preparation of the Financial Statements</w:t>
      </w:r>
      <w:r>
        <w:rPr>
          <w:rFonts w:ascii="Times New Roman;Times;Serif" w:hAnsi="Times New Roman;Times;Serif"/>
          <w:b w:val="false"/>
          <w:i w:val="false"/>
          <w:caps w:val="false"/>
          <w:smallCaps w:val="false"/>
          <w:sz w:val="20"/>
        </w:rPr>
        <w:t xml:space="preserve">. The financial statements of the Company and its subsidiaries included and incorporated by reference in the Registration Statement and the Prospectus present fairly in all material respects the consolidated financial position of the Company and its subsidiaries as of and at the dates indicated and the results of their operations and cash flows for the periods specified. Such financial statements have been prepared in conformity with GAAP (as defined in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Definitions</w:t>
      </w:r>
      <w:r>
        <w:rPr>
          <w:rFonts w:ascii="Times New Roman;Times;Serif" w:hAnsi="Times New Roman;Times;Serif"/>
          <w:b w:val="false"/>
          <w:i w:val="false"/>
          <w:caps w:val="false"/>
          <w:smallCaps w:val="false"/>
          <w:sz w:val="20"/>
        </w:rPr>
        <w:t>) hereto), except as may be expressly stated in the related notes thereto. No other financial statements or supporting schedules of the Company and its subsidiaries are required to be included or incorporated by reference in the Registration Statement or the Prospectus. All disclosures contained in the Prospectus and the Registration Statement regarding “non-GAAP financial measures” (as such term is defined by the rules and regulations of the Commission) comply with Regulation G of the Exchange Act and Item 10 of Regulation S-K under the Securities Act, to the extent applicable.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of the Company and its subsidiaries incorporated by reference in the Registration Statement and the Prospectus (it being agreed that the foregoing representation is made only to the Company’s actual knowledge without independent investigation with respect to any person who is not a director, officer or employee of the Company or any of its subsidiaries). The interactive data in eXtensible Business Reporting Language incorporated by reference in the Registration Statement and the Prospectus fairly presents the required information called for in all material respects and has been prepared in accordance with the Commission’s rules and guidelines applicable thereto.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Company’s Accounting System</w:t>
      </w:r>
      <w:r>
        <w:rPr>
          <w:rFonts w:ascii="Times New Roman;Times;Serif" w:hAnsi="Times New Roman;Times;Serif"/>
          <w:b w:val="false"/>
          <w:i w:val="false"/>
          <w:caps w:val="false"/>
          <w:smallCaps w:val="false"/>
          <w:sz w:val="20"/>
        </w:rPr>
        <w:t>. The Company and each of its subsidiaries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w:t>
      </w:r>
      <w:r>
        <w:rPr>
          <w:rFonts w:ascii="Times New Roman;Times;Serif" w:hAnsi="Times New Roman;Times;Serif"/>
          <w:b/>
          <w:i w:val="false"/>
          <w:caps w:val="false"/>
          <w:smallCaps w:val="false"/>
          <w:sz w:val="20"/>
          <w:u w:val="single"/>
        </w:rPr>
        <w:t>XBRL</w:t>
      </w:r>
      <w:r>
        <w:rPr>
          <w:rFonts w:ascii="Times New Roman;Times;Serif" w:hAnsi="Times New Roman;Times;Serif"/>
          <w:b w:val="false"/>
          <w:i w:val="false"/>
          <w:caps w:val="false"/>
          <w:smallCaps w:val="false"/>
          <w:sz w:val="20"/>
        </w:rPr>
        <w:t>”) incorporated by reference in the Registration Statement and the Prospectus fairly presents the information called for in all material respects and is prepared in accordance with the Commission’s rules and guidelines applicable thereto.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Incorporation and Good Standing of the Company and its Subsidiaries</w:t>
      </w:r>
      <w:r>
        <w:rPr>
          <w:rFonts w:ascii="Times New Roman;Times;Serif" w:hAnsi="Times New Roman;Times;Serif"/>
          <w:b w:val="false"/>
          <w:i w:val="false"/>
          <w:caps w:val="false"/>
          <w:smallCaps w:val="false"/>
          <w:sz w:val="20"/>
        </w:rPr>
        <w:t>. Each of the Company and its subsidiaries has been duly incorporated or organized, as the case may be, and is validly existing as a corporation, partnership, limited liability company or trust, as applicable, in good standing under the laws of the jurisdiction of its incorporation or organization and has the power and authority (corporate or other) to own, lease and operate its properties and to conduct its business as described in the Prospectus and, in the case of the Company, to enter into and perform its obligations under this Agreement. Each of the Company and each subsidiary is duly qualified as a foreign corporation, partnership, limited liability company or trust, as applicable, to transact business and is in good standing in each jurisdiction in which such qualification is required, whether by reason of the ownership or leasing of property or the conduct of business, except where the failure to be so qualified and in good standing would not, individually or in the aggregate, result in a Material Adverse Change. All of the issued and outstanding capital stock or other equity or ownership interests of each subsidiary have been duly authorized and validly issued, are fully paid and nonassessable and, except as set forth in the Prospectus, are owned by the Company, directly or through subsidiaries, free and clear of any security interest, mortgage, pledge, lien, encumbrance or adverse claim. The Company does not own or control, directly or indirectly, any corporation, association or other entity other than (i) the subsidiaries listed in Exhibit 21.1 to the Company’s Annual Report on Form 10-K for the year fiscal ended December 31, 2024 and (ii) such other entities omitted from Exhibit 21.1 which, when such omitted entities are considered in the aggregate as a single subsidiary, would not constitute a “significant subsidiary” within the meaning of Rule 1-02(w) of Regulation S-X under the Exchange Act (“</w:t>
      </w:r>
      <w:r>
        <w:rPr>
          <w:rFonts w:ascii="Times New Roman;Times;Serif" w:hAnsi="Times New Roman;Times;Serif"/>
          <w:b/>
          <w:i w:val="false"/>
          <w:caps w:val="false"/>
          <w:smallCaps w:val="false"/>
          <w:sz w:val="20"/>
          <w:u w:val="single"/>
        </w:rPr>
        <w:t>Regulation S-X</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Capitalization and Other Capital Stock Matters</w:t>
      </w:r>
      <w:r>
        <w:rPr>
          <w:rFonts w:ascii="Times New Roman;Times;Serif" w:hAnsi="Times New Roman;Times;Serif"/>
          <w:b w:val="false"/>
          <w:i w:val="false"/>
          <w:caps w:val="false"/>
          <w:smallCaps w:val="false"/>
          <w:sz w:val="20"/>
        </w:rPr>
        <w:t>. The authorized, issued and outstanding capital stock of the Company is as set forth in the Prospectus (other than for subsequent issuances, if any, described in the Prospectus or pursuant to employee benefit plans described in the Prospectus or upon the exercise of outstanding options or vesting of restricted stock units, in each case described in the Prospectus, and other than Shares sold pursuant to this Agreement prior to the filing of the Company’s next annual report on Form 10-K or quarterly report on Form 10-Q). The Shares conform in all material respects to the description thereof contained in the Prospectus. All of the issued and outstanding Shares have been duly authorized and validly issued and are fully paid and nonassessable. None of the outstanding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disclosed in the Prospectus and other than for subsequent issuances, if any, pursuant to the employee benefit plans that are described in the Prospectus. The description of the Company’s stock option, stock bonus and other stock plans or arrangements, and the options or other rights granted thereunder, set forth in the Prospectus accurately and fairly presents in all material respects the information required to be shown with respect to such plans, arrangements, options and rights.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Exchange Listing</w:t>
      </w:r>
      <w:r>
        <w:rPr>
          <w:rFonts w:ascii="Times New Roman;Times;Serif" w:hAnsi="Times New Roman;Times;Serif"/>
          <w:b w:val="false"/>
          <w:i w:val="false"/>
          <w:caps w:val="false"/>
          <w:smallCaps w:val="false"/>
          <w:sz w:val="20"/>
        </w:rPr>
        <w:t>. The Shares are registered pursuant to Section 12(b) or 12(g) of the Exchange Act and have been approved for listing on the Exchange, subject to notice of issuance. The Company has taken no action designed to, or that would be reasonably expected to have the effect of, terminating the registration of the Shares under the Exchange Act or delisting the Shares from the Exchange, nor has the Company received any notification that the Commission or the Exchange is contemplating terminating such registration or listing.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Non-Contravention of Laws and Existing Instruments; No Further Authorizations or Approvals Required</w:t>
      </w:r>
      <w:r>
        <w:rPr>
          <w:rFonts w:ascii="Times New Roman;Times;Serif" w:hAnsi="Times New Roman;Times;Serif"/>
          <w:b w:val="false"/>
          <w:i w:val="false"/>
          <w:caps w:val="false"/>
          <w:smallCaps w:val="false"/>
          <w:sz w:val="20"/>
        </w:rPr>
        <w:t>. Neither the Company nor any of its subsidiaries is (i) in breach or violation of (A) its charter or bylaws, partnership agreement or operating agreement or similar organizational document, as applicable, (B) any applicable federal, state, local or foreign law, regulation or rule, except as would not, individually or in the aggregate, result in a Material Adverse Change, or (C) any applicable rule or regulation of any self-regulatory organization or other non-governmental regulatory authority (including, without limitation, the rules and regulations of the Exchange) or (ii) in default in any respect (“</w:t>
      </w:r>
      <w:r>
        <w:rPr>
          <w:rFonts w:ascii="Times New Roman;Times;Serif" w:hAnsi="Times New Roman;Times;Serif"/>
          <w:b/>
          <w:i w:val="false"/>
          <w:caps w:val="false"/>
          <w:smallCaps w:val="false"/>
          <w:sz w:val="20"/>
          <w:u w:val="single"/>
        </w:rPr>
        <w:t>Default</w:t>
      </w:r>
      <w:r>
        <w:rPr>
          <w:rFonts w:ascii="Times New Roman;Times;Serif" w:hAnsi="Times New Roman;Times;Serif"/>
          <w:b w:val="false"/>
          <w:i w:val="false"/>
          <w:caps w:val="false"/>
          <w:smallCaps w:val="false"/>
          <w:sz w:val="20"/>
        </w:rPr>
        <w:t>”) under any indenture, mortgage, loan or credit agreement, note, contract, franchise, lease or other instrument to which the Company or any of its subsidiaries is a party or by which it or any of them may be bound (including, without limitation, any credit agreement, indenture, pledge agreement, security agreement or other instrument or agreement evidencing, guaranteeing or securing indebtedness of the Company or any of its subsidiaries), or to which any of the property or assets of the Company or any of its subsidiaries is subject (each, an “</w:t>
      </w:r>
      <w:r>
        <w:rPr>
          <w:rFonts w:ascii="Times New Roman;Times;Serif" w:hAnsi="Times New Roman;Times;Serif"/>
          <w:b/>
          <w:i w:val="false"/>
          <w:caps w:val="false"/>
          <w:smallCaps w:val="false"/>
          <w:sz w:val="20"/>
          <w:u w:val="single"/>
        </w:rPr>
        <w:t>Existing Instrument</w:t>
      </w:r>
      <w:r>
        <w:rPr>
          <w:rFonts w:ascii="Times New Roman;Times;Serif" w:hAnsi="Times New Roman;Times;Serif"/>
          <w:b w:val="false"/>
          <w:i w:val="false"/>
          <w:caps w:val="false"/>
          <w:smallCaps w:val="false"/>
          <w:sz w:val="20"/>
        </w:rPr>
        <w:t xml:space="preserve">”), except in the case of </w:t>
      </w:r>
      <w:r>
        <w:rPr>
          <w:rFonts w:ascii="Times New Roman;Times;Serif" w:hAnsi="Times New Roman;Times;Serif"/>
          <w:b w:val="false"/>
          <w:i w:val="false"/>
          <w:caps w:val="false"/>
          <w:smallCaps w:val="false"/>
          <w:sz w:val="20"/>
          <w:u w:val="single"/>
        </w:rPr>
        <w:t>clauses (i)(C)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for such breaches, violations or Defaults as would not, individually or in the aggregate, result in a Material Adverse Change. The Company’s execution, delivery and performance of this Agreement, consummation of the transactions contemplated hereby and by the Prospectus and the issuance and sale of the Shares (y)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(z) will not result in any violation of any federal, state, local or foreign law, regulation or rule, administrative or court decree or any rule or regulation of any self-regulatory organization or other non-governmental regulatory authority (including, without limitation, the rules and regulations of the Exchange) applicable to the Company or any subsidiary, except for those conflicts, breaches, defaults, Debt Repayment Triggering Events or violations that would not, individually or in the aggregate, result in a Material Adverse Change.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Prospectus, except such as have been obtained or made by the Company and are in full force and effect under the Securities Act, applicable state securities or blue sky laws and from the Exchange. As used herein, a “</w:t>
      </w:r>
      <w:r>
        <w:rPr>
          <w:rFonts w:ascii="Times New Roman;Times;Serif" w:hAnsi="Times New Roman;Times;Serif"/>
          <w:b/>
          <w:i w:val="false"/>
          <w:caps w:val="false"/>
          <w:smallCaps w:val="false"/>
          <w:sz w:val="20"/>
          <w:u w:val="single"/>
        </w:rPr>
        <w:t>Debt Repayment Triggering Event</w:t>
      </w:r>
      <w:r>
        <w:rPr>
          <w:rFonts w:ascii="Times New Roman;Times;Serif" w:hAnsi="Times New Roman;Times;Serif"/>
          <w:b w:val="false"/>
          <w:i w:val="false"/>
          <w:caps w:val="false"/>
          <w:smallCaps w:val="false"/>
          <w:sz w:val="20"/>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No Material Actions or Proceedings</w:t>
      </w:r>
      <w:r>
        <w:rPr>
          <w:rFonts w:ascii="Times New Roman;Times;Serif" w:hAnsi="Times New Roman;Times;Serif"/>
          <w:b w:val="false"/>
          <w:i w:val="false"/>
          <w:caps w:val="false"/>
          <w:smallCaps w:val="false"/>
          <w:sz w:val="20"/>
        </w:rPr>
        <w:t>. Except as disclosed in the Registration Statement and the Prospectus, there are no legal or governmental actions, suits or proceedings pending or, to the Company’s knowledge, threatened (i) against the Company or any of its subsidiaries, (ii) which have as the subject thereof any officer or director of, or property owned or leased by, the Company or any of its subsidiaries or (iii) relating to environmental or discrimination matters, where in any such case (A) there is a reasonable possibility that such action, suit or proceeding might be determined adversely to the Company, such subsidiary or such officer or director, and (B) any such action, suit or proceeding, if so determined adversely, would reasonably be expected to result in a Material Adverse Change or adversely affect the consummation of the transactions contemplated by this Agreement. No labor dispute with the employees of the Company or any of its subsidiaries exists or, to the Company’s knowledge, is threatened or imminent, which would reasonably be expected to result in a Material Adverse Change.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xml:space="preserve"> The Company and its subsidiaries own or possess sufficient trademarks, trade names, patent rights, copyrights, domain names, licenses, approvals, trade secrets and other similar rights (collectively, “</w:t>
      </w:r>
      <w:r>
        <w:rPr>
          <w:rFonts w:ascii="Times New Roman;Times;Serif" w:hAnsi="Times New Roman;Times;Serif"/>
          <w:b/>
          <w:i w:val="false"/>
          <w:caps w:val="false"/>
          <w:smallCaps w:val="false"/>
          <w:sz w:val="20"/>
          <w:u w:val="single"/>
        </w:rPr>
        <w:t>Intellectual Property Rights</w:t>
      </w:r>
      <w:r>
        <w:rPr>
          <w:rFonts w:ascii="Times New Roman;Times;Serif" w:hAnsi="Times New Roman;Times;Serif"/>
          <w:b w:val="false"/>
          <w:i w:val="false"/>
          <w:caps w:val="false"/>
          <w:smallCaps w:val="false"/>
          <w:sz w:val="20"/>
        </w:rPr>
        <w:t>”) reasonably necessary to conduct their businesses as now conducted. Neither the Company nor any of its subsidiaries has received any notice of infringement or conflict with asserted Intellectual Property Rights of others, which would reasonably be expected to result in a Material Adverse Change. None of the technology employed by the Company or any of its subsidiaries has been obtained or is being used by the Company or any of its subsidiaries in violation of any contractual obligation binding on the Company or any of its subsidiaries or any of its or its subsidiaries’ officers, directors or employees or otherwise in violation of the rights of any persons, except for such violations that would not, individually or in the aggregate, reasonably be expected to result in a Material Adverse Change.</w:t>
        <w:tab/>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All Necessary Permits, etc</w:t>
      </w:r>
      <w:r>
        <w:rPr>
          <w:rFonts w:ascii="Times New Roman;Times;Serif" w:hAnsi="Times New Roman;Times;Serif"/>
          <w:b w:val="false"/>
          <w:i w:val="false"/>
          <w:caps w:val="false"/>
          <w:smallCaps w:val="false"/>
          <w:sz w:val="20"/>
        </w:rPr>
        <w:t>. The Company and each subsidiary possess such valid and current certificates, authorizations, licenses or permits issued by the appropriate state, local, federal or foreign regulatory agencies or bodies necessary to conduct their respective businesses, other than those the failure to possess or own has not and would not reasonably be expected to result in a Material Adverse Change, and neither the Company nor any subsidiary has received any notice of proceedings relating to the revocation or modification of, or non-compliance with, any such certificate, authorization, license or permit which, singly or in the aggregate, if the subject of an unfavorable decision, ruling or finding, would reasonably be expected to result in a Material Adverse Change.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Title to Properties</w:t>
      </w:r>
      <w:r>
        <w:rPr>
          <w:rFonts w:ascii="Times New Roman;Times;Serif" w:hAnsi="Times New Roman;Times;Serif"/>
          <w:b w:val="false"/>
          <w:i w:val="false"/>
          <w:caps w:val="false"/>
          <w:smallCaps w:val="false"/>
          <w:sz w:val="20"/>
        </w:rPr>
        <w:t xml:space="preserve">. Except as disclosed in the Registration Statement and the Prospectus, the Company and each of its subsidiaries has good and valid title to all of the real and personal property and other assets reflected as owned in the financial statements referred to in </w:t>
      </w:r>
      <w:r>
        <w:rPr>
          <w:rFonts w:ascii="Times New Roman;Times;Serif" w:hAnsi="Times New Roman;Times;Serif"/>
          <w:b w:val="false"/>
          <w:i w:val="false"/>
          <w:caps w:val="false"/>
          <w:smallCaps w:val="false"/>
          <w:sz w:val="20"/>
          <w:u w:val="single"/>
        </w:rPr>
        <w:t>Section 6(i)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Preparation of the Financial Statements</w:t>
      </w:r>
      <w:r>
        <w:rPr>
          <w:rFonts w:ascii="Times New Roman;Times;Serif" w:hAnsi="Times New Roman;Times;Serif"/>
          <w:b w:val="false"/>
          <w:i w:val="false"/>
          <w:caps w:val="false"/>
          <w:smallCaps w:val="false"/>
          <w:sz w:val="20"/>
        </w:rPr>
        <w:t>) above (or elsewhere in the Prospectus), in each case free and clear of any security interests, mortgages, liens, encumbrances, adverse claims and other defects, except such as do not have or result in a Material Adverse Change to the use of such property by the Company or such subsidiary. The real property, improvements, equipment and personal property held under lease by the Company or any subsidiary are held under valid and enforceable leases, with such exceptions as are not material and do not materially interfere with the use made or proposed to be made of such real property, improvements, equipment or personal property by the Company or such subsidiary.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Compliance with the Sarbanes-Oxley Act</w:t>
      </w:r>
      <w:r>
        <w:rPr>
          <w:rFonts w:ascii="Times New Roman;Times;Serif" w:hAnsi="Times New Roman;Times;Serif"/>
          <w:b w:val="false"/>
          <w:i w:val="false"/>
          <w:caps w:val="false"/>
          <w:smallCaps w:val="false"/>
          <w:sz w:val="20"/>
        </w:rPr>
        <w:t>. The Company and its subsidiaries and to the knowledge of the Company the officers and directors of the Company and its subsidiaries, in their capacities as such, are, and at the Settlement Date and any Applicable Time will be, in compliance in all material respects with the provisions of the Sarbanes-Oxley Act of 2002 and the rules and regulations promulgated thereunder or implementing the provisions thereof.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Tax Law Compliance</w:t>
      </w:r>
      <w:r>
        <w:rPr>
          <w:rFonts w:ascii="Times New Roman;Times;Serif" w:hAnsi="Times New Roman;Times;Serif"/>
          <w:b w:val="false"/>
          <w:i w:val="false"/>
          <w:caps w:val="false"/>
          <w:smallCaps w:val="false"/>
          <w:sz w:val="20"/>
        </w:rPr>
        <w:t xml:space="preserve">. The Company and its subsidiaries have filed all necessary federal, state and foreign income and franchise tax returns (other than certain state or local tax returns, as to which the failure to file, individually or in the aggregate, would not result in a Material Adverse Change) and have paid all taxes required to be paid by any of them and, if due and payable, any related or similar assessment, fine or penalty levied against any of them, except for any such assessment, fine or penalty that is currently being contested in good faith or that if not paid, would not reasonably be expected to have a Material Adverse Change. The Company has made adequate charges, accruals and reserves in the applicable financial statements referred to in </w:t>
      </w:r>
      <w:r>
        <w:rPr>
          <w:rFonts w:ascii="Times New Roman;Times;Serif" w:hAnsi="Times New Roman;Times;Serif"/>
          <w:b w:val="false"/>
          <w:i w:val="false"/>
          <w:caps w:val="false"/>
          <w:smallCaps w:val="false"/>
          <w:sz w:val="20"/>
          <w:u w:val="single"/>
        </w:rPr>
        <w:t>Section 6(i)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Preparation of the Financial Statements</w:t>
      </w:r>
      <w:r>
        <w:rPr>
          <w:rFonts w:ascii="Times New Roman;Times;Serif" w:hAnsi="Times New Roman;Times;Serif"/>
          <w:b w:val="false"/>
          <w:i w:val="false"/>
          <w:caps w:val="false"/>
          <w:smallCaps w:val="false"/>
          <w:sz w:val="20"/>
        </w:rPr>
        <w:t>) above in respect of all federal, state and foreign income and franchise taxes for all periods as to which the tax liability of the Company or any of its subsidiaries has not been finally determined.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Company Not an “Investment Company”</w:t>
      </w:r>
      <w:r>
        <w:rPr>
          <w:rFonts w:ascii="Times New Roman;Times;Serif" w:hAnsi="Times New Roman;Times;Serif"/>
          <w:b w:val="false"/>
          <w:i w:val="false"/>
          <w:caps w:val="false"/>
          <w:smallCaps w:val="false"/>
          <w:sz w:val="20"/>
        </w:rPr>
        <w:t>. The Company is not, and will not be, either after receipt of payment for the Shares or after the application of the proceeds therefrom as described under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in the Prospectus, an “investment company” within the meaning of the Investment Company Act of 1940, as amended.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Each of the Company and its subsidiaries are insured with policies in such amounts and with such deductibles and covering such risks as it reasonably deems adequate for their businesses. The Company has no reason to believe that it or any subsidiary will not be able (i) to renew its existing insurance coverage as and when such policies expire or (ii) to obtain comparable coverage from similar institutions as may be necessary or appropriate to conduct its business as now conducted and at a cost that would not result in a Material Adverse Change.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No Price Stabilization or Manipulation; Compliance with Regulation M</w:t>
      </w:r>
      <w:r>
        <w:rPr>
          <w:rFonts w:ascii="Times New Roman;Times;Serif" w:hAnsi="Times New Roman;Times;Serif"/>
          <w:b w:val="false"/>
          <w:i w:val="false"/>
          <w:caps w:val="false"/>
          <w:smallCaps w:val="false"/>
          <w:sz w:val="20"/>
        </w:rPr>
        <w:t>. The Common Stock is an “actively traded security” excepted from the requirements of Rule 101 of Regulation M under the Exchange Act by subsection (c)(1) of such rule. Neither the Company nor any of its subsidiaries has taken, directly or indirectly, any action designed to or that might be reasonably expected to cause or result in stabilization or manipulation of the price of the Shares to facilitate the sale or resale of the Shares. The Company acknowledges that the Agents may engage in passive market making transactions in the Shares on the Exchange in accordance with Regulation M under the Exchange Act (“</w:t>
      </w:r>
      <w:r>
        <w:rPr>
          <w:rFonts w:ascii="Times New Roman;Times;Serif" w:hAnsi="Times New Roman;Times;Serif"/>
          <w:b/>
          <w:i w:val="false"/>
          <w:caps w:val="false"/>
          <w:smallCaps w:val="false"/>
          <w:sz w:val="20"/>
          <w:u w:val="single"/>
        </w:rPr>
        <w:t>Regulation M</w:t>
      </w:r>
      <w:r>
        <w:rPr>
          <w:rFonts w:ascii="Times New Roman;Times;Serif" w:hAnsi="Times New Roman;Times;Serif"/>
          <w:b w:val="false"/>
          <w:i w:val="false"/>
          <w:caps w:val="false"/>
          <w:smallCaps w:val="false"/>
          <w:sz w:val="20"/>
        </w:rPr>
        <w:t xml:space="preserve">”). The Company acknowledges and agrees that the Agents have informed the Company that the Agents may, to the extent permitted under the Exchange Act, purchase and sell shares of Common Stock for their own accounts while this Agreement is in effect;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Company shall not be deemed to have authorized or consented to any such purchases or sales by the Agents.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Related Party Transactions</w:t>
      </w:r>
      <w:r>
        <w:rPr>
          <w:rFonts w:ascii="Times New Roman;Times;Serif" w:hAnsi="Times New Roman;Times;Serif"/>
          <w:b w:val="false"/>
          <w:i w:val="false"/>
          <w:caps w:val="false"/>
          <w:smallCaps w:val="false"/>
          <w:sz w:val="20"/>
        </w:rPr>
        <w:t>. There are no business relationships or related-party transactions involving the Company or any of its subsidiaries or any other person required to be described in the Registration Statement and the Prospectus which have not been described as required in all material respects. Neither the Company nor any of its subsidiaries has extended or maintained credit, arranged for the extension of credit, or renewed any extension of credit, in the form of a personal loan, to or for any director or executive officer (or equivalent thereof) of the Company and/or such subsidiary except for such extensions of credit as are permitted by Section 13(k) of the Exchange Act.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Statistical and Market-Related Data</w:t>
      </w:r>
      <w:r>
        <w:rPr>
          <w:rFonts w:ascii="Times New Roman;Times;Serif" w:hAnsi="Times New Roman;Times;Serif"/>
          <w:b w:val="false"/>
          <w:i w:val="false"/>
          <w:caps w:val="false"/>
          <w:smallCaps w:val="false"/>
          <w:sz w:val="20"/>
        </w:rPr>
        <w:t>. The Company believes that, as of the effective date of the Registration Statement, the statistical, industry and market-related data included in the Registration Statement and the Prospectus is reliable and accurate.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No Unlawful Contributions or Other Payments</w:t>
      </w:r>
      <w:r>
        <w:rPr>
          <w:rFonts w:ascii="Times New Roman;Times;Serif" w:hAnsi="Times New Roman;Times;Serif"/>
          <w:b w:val="false"/>
          <w:i w:val="false"/>
          <w:caps w:val="false"/>
          <w:smallCaps w:val="false"/>
          <w:sz w:val="20"/>
        </w:rPr>
        <w:t>. Neither the Company nor any of its subsidiaries nor, to the Company’s knowledge, any employee or agent of the Company or any subsidiary, has made any contribution or other payment to any official of, or candidate for, any federal, state or foreign office in violation of any law or of the character required to be disclosed in the Registration Statement and the Prospectus.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val="false"/>
          <w:caps w:val="false"/>
          <w:smallCaps w:val="false"/>
          <w:sz w:val="20"/>
          <w:u w:val="single"/>
        </w:rPr>
        <w:t>Disclosure Controls and Procedures; Deficiencies in or Changes to Internal Control Over Financial Reporting</w:t>
      </w:r>
      <w:r>
        <w:rPr>
          <w:rFonts w:ascii="Times New Roman;Times;Serif" w:hAnsi="Times New Roman;Times;Serif"/>
          <w:b w:val="false"/>
          <w:i w:val="false"/>
          <w:caps w:val="false"/>
          <w:smallCaps w:val="false"/>
          <w:sz w:val="20"/>
        </w:rPr>
        <w:t>. The Company has established and maintains disclosure controls and procedures (as defined in Exchange Act Rules 13a-15(e) and 15d-15(e)), that complies with the requirements of the Exchange Act and that has been designed to ensure that information required to be disclosed by the Company, including its consolidated subsidiaries,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 and concluded that such disclosure controls and procedures were effective. Except as disclosed in the Registration Statement or Prospectus, there are no material weaknesses in the Company’s internal control over financial reporting (whether or not remediated). The Company’s independent auditors and the Audit Committee of the Board of Directors of the Company have been advised of (i) all significant deficiencies and material weaknesses in the design or operation of internal control over financial reporting which could adversely affect the Company’s ability to record, process, summarize and report financial data, and (ii) any fraud, whether or not material, that involves management or other employees who have a significant role in the Company’s internal control over financial reporting. Since December 31, 2024, there has been no change in the Company’s internal control over financial reporting that has materially affected, or is reasonably likely to materially affect, the Company’s internal control over financial reporting.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val="false"/>
          <w:caps w:val="false"/>
          <w:smallCaps w:val="false"/>
          <w:sz w:val="20"/>
          <w:u w:val="single"/>
        </w:rPr>
        <w:t>Compliance with Environmental Laws</w:t>
      </w:r>
      <w:r>
        <w:rPr>
          <w:rFonts w:ascii="Times New Roman;Times;Serif" w:hAnsi="Times New Roman;Times;Serif"/>
          <w:b w:val="false"/>
          <w:i w:val="false"/>
          <w:caps w:val="false"/>
          <w:smallCaps w:val="false"/>
          <w:sz w:val="20"/>
        </w:rPr>
        <w:t>. Except as would not, singly or in the aggregate, reasonably be expected to result in a Material Adverse Change, (i) neither the Company nor any of its subsidiaries is in violation of any federal, state, local or foreign law or regulation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Times New Roman;Times;Serif" w:hAnsi="Times New Roman;Times;Serif"/>
          <w:b/>
          <w:i w:val="false"/>
          <w:caps w:val="false"/>
          <w:smallCaps w:val="false"/>
          <w:sz w:val="20"/>
          <w:u w:val="single"/>
        </w:rPr>
        <w:t>Hazardous Materials</w:t>
      </w:r>
      <w:r>
        <w:rPr>
          <w:rFonts w:ascii="Times New Roman;Times;Serif" w:hAnsi="Times New Roman;Times;Serif"/>
          <w:b w:val="false"/>
          <w:i w:val="false"/>
          <w:caps w:val="false"/>
          <w:smallCaps w:val="false"/>
          <w:sz w:val="20"/>
        </w:rPr>
        <w:t>”) or to the manufacture, processing, distribution, use, treatment, storage, disposal, transport or handling of Hazardous Materials (collectively, “</w:t>
      </w:r>
      <w:r>
        <w:rPr>
          <w:rFonts w:ascii="Times New Roman;Times;Serif" w:hAnsi="Times New Roman;Times;Serif"/>
          <w:b/>
          <w:i w:val="false"/>
          <w:caps w:val="false"/>
          <w:smallCaps w:val="false"/>
          <w:sz w:val="20"/>
          <w:u w:val="single"/>
        </w:rPr>
        <w:t>Environmental Laws</w:t>
      </w:r>
      <w:r>
        <w:rPr>
          <w:rFonts w:ascii="Times New Roman;Times;Serif" w:hAnsi="Times New Roman;Times;Serif"/>
          <w:b w:val="false"/>
          <w:i w:val="false"/>
          <w:caps w:val="false"/>
          <w:smallCaps w:val="false"/>
          <w:sz w:val="20"/>
        </w:rPr>
        <w:t>”), (ii) the Company and its subsidiaries have all permits, authorizations and approvals required under any applicable Environmental Laws and are each in compliance with their requirements, or (iii)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val="false"/>
          <w:caps w:val="false"/>
          <w:smallCaps w:val="false"/>
          <w:sz w:val="20"/>
          <w:u w:val="single"/>
        </w:rPr>
        <w:t>ERISA Compliance</w:t>
      </w:r>
      <w:r>
        <w:rPr>
          <w:rFonts w:ascii="Times New Roman;Times;Serif" w:hAnsi="Times New Roman;Times;Serif"/>
          <w:b w:val="false"/>
          <w:i w:val="false"/>
          <w:caps w:val="false"/>
          <w:smallCaps w:val="false"/>
          <w:sz w:val="20"/>
        </w:rPr>
        <w:t>. Except as otherwise disclosed in the Registration Statement and the Prospectus, to the Company’s knowledge, the Company and its subsidiaries and any “employee benefit plan” (as defined under the Employee Retirement Income Security Act of 1974, as amended, and the regulations and published interpretations thereunder (collectively, “</w:t>
      </w:r>
      <w:r>
        <w:rPr>
          <w:rFonts w:ascii="Times New Roman;Times;Serif" w:hAnsi="Times New Roman;Times;Serif"/>
          <w:b/>
          <w:i w:val="false"/>
          <w:caps w:val="false"/>
          <w:smallCaps w:val="false"/>
          <w:sz w:val="20"/>
          <w:u w:val="single"/>
        </w:rPr>
        <w:t>ERISA</w:t>
      </w:r>
      <w:r>
        <w:rPr>
          <w:rFonts w:ascii="Times New Roman;Times;Serif" w:hAnsi="Times New Roman;Times;Serif"/>
          <w:b w:val="false"/>
          <w:i w:val="false"/>
          <w:caps w:val="false"/>
          <w:smallCaps w:val="false"/>
          <w:sz w:val="20"/>
        </w:rPr>
        <w:t>”)) established or maintained by the Company, its subsidiaries or their “ERISA Affiliates” (as defined below) are in compliance with ERISA, except as would not, individually or in the aggregate, reasonably be expected to result in a Material Adverse Change. “</w:t>
      </w:r>
      <w:r>
        <w:rPr>
          <w:rFonts w:ascii="Times New Roman;Times;Serif" w:hAnsi="Times New Roman;Times;Serif"/>
          <w:b/>
          <w:i w:val="false"/>
          <w:caps w:val="false"/>
          <w:smallCaps w:val="false"/>
          <w:sz w:val="20"/>
          <w:u w:val="single"/>
        </w:rPr>
        <w:t>ERISA Affiliate</w:t>
      </w:r>
      <w:r>
        <w:rPr>
          <w:rFonts w:ascii="Times New Roman;Times;Serif" w:hAnsi="Times New Roman;Times;Serif"/>
          <w:b w:val="false"/>
          <w:i w:val="false"/>
          <w:caps w:val="false"/>
          <w:smallCaps w:val="false"/>
          <w:sz w:val="20"/>
        </w:rPr>
        <w:t>” means, with respect to the Company or a subsidiary, any member of any group of organizations described in Sections 414(b), (c), (m) or (o) of the Code of which the Company or such subsidiary is a member. No “reportable event” (as defined under ERISA) has occurred or is reasonably expected to occur with respect to any “employee pension benefit plan” (as defined under ERISA) established or maintained by the Company, its subsidiaries or any of their ERISA Affiliates. No “employee pension benefit plan” established or maintained by the Company, its subsidiaries or any of their ERISA Affiliates, if such “employee pension benefit plan” were terminated, would have any “amount of unfunded benefit liabilities” (as defined under ERISA). None of the Company, its subsidiaries or any of their ERISA Affiliates has incurred or reasonably expects to incur any liability under (i) Title IV of ERISA with respect to termination of, or withdrawal from, any “employee pension benefit plan” or (ii) Sections 412, 4971 or 4975 of the Code or (iii) Section 4980B of the Code as a result of a failure to comply with such Section. Except as would not, individually or in the aggregate, reasonably be expected to result in a Material Adverse Change, each “employee pension benefit plan” established or maintained by the Company, its subsidiaries or any of their ERISA Affiliates that is intended to be qualified under Section 401(a) of the Code is so qualified and, to the Company’s knowledge, nothing has occurred, whether by action or failure to act, which would cause the loss of such qualification.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Except as otherwise disclosed in the Registration Statement and the Prospectus, there is no broker, finder or other party that is entitled to receive from the Company any brokerage or finder’s fee or other fee or commission as a result of any transactions contemplated by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val="false"/>
          <w:caps w:val="false"/>
          <w:smallCaps w:val="false"/>
          <w:sz w:val="20"/>
          <w:u w:val="single"/>
        </w:rPr>
        <w:t>Foreign Corrupt Practices Act</w:t>
      </w:r>
      <w:r>
        <w:rPr>
          <w:rFonts w:ascii="Times New Roman;Times;Serif" w:hAnsi="Times New Roman;Times;Serif"/>
          <w:b w:val="false"/>
          <w:i w:val="false"/>
          <w:caps w:val="false"/>
          <w:smallCaps w:val="false"/>
          <w:sz w:val="20"/>
        </w:rPr>
        <w:t>. Except as would not reasonably be expected to result in a Material Adverse Change, neither the Company nor any of its subsidiaries nor, to the knowledge of the Company, any director, officer, agent, employee, affiliate or other person acting on behalf of the Company or any of its subsidiaries is aware of or has taken any action, directly or indirectly, that has resulted or would result in a violation of the Foreign Corrupt Practices Act of 1977, as amended, and the rules and regulations thereunder (the “</w:t>
      </w:r>
      <w:r>
        <w:rPr>
          <w:rFonts w:ascii="Times New Roman;Times;Serif" w:hAnsi="Times New Roman;Times;Serif"/>
          <w:b/>
          <w:i w:val="false"/>
          <w:caps w:val="false"/>
          <w:smallCaps w:val="false"/>
          <w:sz w:val="20"/>
          <w:u w:val="single"/>
        </w:rPr>
        <w:t>FCPA</w:t>
      </w:r>
      <w:r>
        <w:rPr>
          <w:rFonts w:ascii="Times New Roman;Times;Serif" w:hAnsi="Times New Roman;Times;Serif"/>
          <w:b w:val="false"/>
          <w:i w:val="false"/>
          <w:caps w:val="false"/>
          <w:smallCaps w:val="false"/>
          <w:sz w:val="20"/>
        </w:rPr>
        <w:t>”) or any other applicable anti-bribery law,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its subsidiaries and, to the knowledge of the Company, the Company’s affiliates have conducted their respective businesses in compliance with the FCPA.</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Times;Serif" w:hAnsi="Times New Roman;Times;Serif"/>
          <w:b/>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Neither the Company nor any of its subsidiaries nor, to the knowledge of the Company, any director, officer, agent, employee, affiliate or person acting on behalf of the Company or any of its subsidiaries is currently subject to any U.S. sanctions administered by the Office of Foreign Assets Control of the U.S. Treasury Department (“</w:t>
      </w:r>
      <w:r>
        <w:rPr>
          <w:rFonts w:ascii="Times New Roman;Times;Serif" w:hAnsi="Times New Roman;Times;Serif"/>
          <w:b/>
          <w:i w:val="false"/>
          <w:caps w:val="false"/>
          <w:smallCaps w:val="false"/>
          <w:sz w:val="20"/>
          <w:u w:val="single"/>
        </w:rPr>
        <w:t>OFAC</w:t>
      </w:r>
      <w:r>
        <w:rPr>
          <w:rFonts w:ascii="Times New Roman;Times;Serif" w:hAnsi="Times New Roman;Times;Serif"/>
          <w:b w:val="false"/>
          <w:i w:val="false"/>
          <w:caps w:val="false"/>
          <w:smallCaps w:val="false"/>
          <w:sz w:val="20"/>
        </w:rPr>
        <w:t>”); and the Company will not directly or indirectly use the proceeds of this offering, or lend, contribute or otherwise make available such proceeds to any subsidiary, joint venture partner or other person or entity, for the purpose of financing the activities of any person currently subject to any U.S. sanctions administered by OFAC or to fund any activities of or business with any person in any country or territory that, at the time of such funding, is subject to any U.S. sanctions administered by OFAC.</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(A) The Company is not aware of any current (or event or condition that would reasonably be expected to result in any future) security breach, unauthorized access or disclosure, or other compromise of the Company’s or its subsidiaries’ information technology and computer systems, networks, hardware, software, data and databases used, processed or stored by the Company or its subsidiaries or on behalf of the Company or its subsidiaries (collectively, “</w:t>
      </w:r>
      <w:r>
        <w:rPr>
          <w:rFonts w:ascii="Times New Roman;Times;Serif" w:hAnsi="Times New Roman;Times;Serif"/>
          <w:b/>
          <w:i w:val="false"/>
          <w:caps w:val="false"/>
          <w:smallCaps w:val="false"/>
          <w:sz w:val="20"/>
          <w:u w:val="single"/>
        </w:rPr>
        <w:t>IT Systems and Data</w:t>
      </w:r>
      <w:r>
        <w:rPr>
          <w:rFonts w:ascii="Times New Roman;Times;Serif" w:hAnsi="Times New Roman;Times;Serif"/>
          <w:b w:val="false"/>
          <w:i w:val="false"/>
          <w:caps w:val="false"/>
          <w:smallCaps w:val="false"/>
          <w:sz w:val="20"/>
        </w:rPr>
        <w:t>”), except for any such security breach, unauthorized access or disclosure, or other compromise of the Company’s or its subsidiaries’ IT Systems and Data that would not be reasonably expected to, individually or in the aggregate, have a Material Adverse Change and (B) the Company and its subsidiaries have implemented reasonable controls, policies, procedures and technological safeguards designed to maintain and protect the integrity, operation, redundancy and security of their IT Systems and Data to be used in connection with the Company’s proposed method of operation. To the Company’s knowledge, the Company and its subsidiaries are presently in compliance with all applicable laws and regulations, judgments and orders of any court or arbitrator or governmental or regulatory authority and contractual obligations relating to the privacy and security of IT Systems and Data and to the protection of such IT Systems and Data from unauthorized use, access, misappropriation or modification, except where failure to be so in compliance would not, individually or in the aggregate, have a Material Adverse Change.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Accurate Disclosure</w:t>
      </w:r>
      <w:r>
        <w:rPr>
          <w:rFonts w:ascii="Times New Roman;Times;Serif" w:hAnsi="Times New Roman;Times;Serif"/>
          <w:b w:val="false"/>
          <w:i w:val="false"/>
          <w:caps w:val="false"/>
          <w:smallCaps w:val="false"/>
          <w:sz w:val="20"/>
        </w:rPr>
        <w:t>. The statements set forth in the Prospectus under the captions “</w:t>
      </w:r>
      <w:r>
        <w:rPr>
          <w:rFonts w:ascii="Times New Roman;Times;Serif" w:hAnsi="Times New Roman;Times;Serif"/>
          <w:b w:val="false"/>
          <w:i/>
          <w:caps w:val="false"/>
          <w:smallCaps w:val="false"/>
          <w:sz w:val="20"/>
        </w:rPr>
        <w:t>Description of Capital Stock</w:t>
      </w:r>
      <w:r>
        <w:rPr>
          <w:rFonts w:ascii="Times New Roman;Times;Serif" w:hAnsi="Times New Roman;Times;Serif"/>
          <w:b w:val="false"/>
          <w:i w:val="false"/>
          <w:caps w:val="false"/>
          <w:smallCaps w:val="false"/>
          <w:sz w:val="20"/>
        </w:rPr>
        <w:t xml:space="preserve">” insofar as such statements summarize legal matters, agreements, documents or proceedings discussed therein, are accurate summaries of such legal matters, agreements, documents or proceedings in all material respects and there are no contracts or documents that are required to be described in the Prospectus or to be filed as exhibits to the Registration Statement that have not been so described or filed as required. Any certificate signed by any officer of the Company or any of its subsidiaries and delivered to the Agents or to counsel for the Agents shall be deemed a representation and warranty by the Company to the Agents as to the matters covered thereby. The Company acknowledges that the Agents and, for purposes of the opinions to be delivered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Covenants</w:t>
      </w:r>
      <w:r>
        <w:rPr>
          <w:rFonts w:ascii="Times New Roman;Times;Serif" w:hAnsi="Times New Roman;Times;Serif"/>
          <w:b w:val="false"/>
          <w:i w:val="false"/>
          <w:caps w:val="false"/>
          <w:smallCaps w:val="false"/>
          <w:sz w:val="20"/>
        </w:rPr>
        <w:t>) hereof, counsel to the Company and counsel to the Agents, will rely upon the accuracy and truthfulness of the foregoing representations and hereby consents to such reliance.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Covenants of the Company</w:t>
      </w:r>
      <w:r>
        <w:rPr>
          <w:rFonts w:ascii="Times New Roman;Times;Serif" w:hAnsi="Times New Roman;Times;Serif"/>
          <w:b w:val="false"/>
          <w:i w:val="false"/>
          <w:caps w:val="false"/>
          <w:smallCaps w:val="false"/>
          <w:sz w:val="20"/>
        </w:rPr>
        <w:t>. The Company further covenants and agrees with each Agent that: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Registration Statement Amendments; Securities Act Compliance</w:t>
      </w:r>
      <w:r>
        <w:rPr>
          <w:rFonts w:ascii="Times New Roman;Times;Serif" w:hAnsi="Times New Roman;Times;Serif"/>
          <w:b w:val="false"/>
          <w:i w:val="false"/>
          <w:caps w:val="false"/>
          <w:smallCaps w:val="false"/>
          <w:sz w:val="20"/>
        </w:rPr>
        <w:t>. After the date of this Agreement and during any period in which a Prospectus relating to any Placement Shares is required to be delivered by the Agents under the Securities Act (including in circumstances where such requirement may be satisfied pursuant to Rule 172 under the Securities Act), the Company shall (i) promptly advise the Agents in writing of the receipt of any comments of, or requests for additional or supplemental information from, the Commission; (ii) promptly advise the Agents in writing of the time and date of any filing of any post-effective amendment to the Registration Statement or any amendment or supplement to any free writing prospectus or the Prospectus; (iii) promptly advise the Agents in writing of the time and date that any post-effective amendment to the Registration Statement becomes effective; (iv) promptly advise the Agents in writing of the issuance by the Commission of any stop order suspending the effectiveness of the Registration Statement or any post-effective amendment thereto or any amendment or supplement to the Prospectus or of any order preventing or suspending the use of any free writing prospectus or the Prospectus, or of any proceedings to remove, suspend or terminate from listing or quotation the Shares from any securities exchange upon which they are listed for trading or included or designated for quotation, or of the threatening or initiation of any proceedings for any of such purposes or pursuant to Section 8A of the Securities Act; (v) prepare and file with the Commission, promptly upon the Agents’ request, any amendments or supplements to the Registration Statement or Prospectus that, in counsel for the Agents’ reasonable opinion, may be necessary or advisable in connection with the distribution of the Placement Shares by the Agents (provided however, that the failure of the Agents to make such request shall not relieve the Company of any obligation or liability hereunder, or affect the Agents’ right to rely on the representations and warranties made by the Company in this Agreement); and (vi) furnish to the Agents at the time of filing thereof a copy of any document that upon filing is deemed to be incorporated by reference into the Registration Statement or Prospectus, except for those documents available via EDGAR. If the Commission shall enter any such stop order described in clause (iv) at any time, the Company will use its reasonable efforts to obtain the lifting of such order at the earliest possible moment. Additionally, the Company agrees that it shall comply with the provisions of Rule 424(b), Rule 433 and Rule 430B, as applicable, under the Securities Act and will use its reasonable efforts to confirm that any filings made by the Company under such Rule 424(b) or Rule 433 are made in a timely manner.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Delivery of Registration Statement and Prospectus.</w:t>
      </w:r>
      <w:r>
        <w:rPr>
          <w:rFonts w:ascii="Times New Roman;Times;Serif" w:hAnsi="Times New Roman;Times;Serif"/>
          <w:b w:val="false"/>
          <w:i w:val="false"/>
          <w:caps w:val="false"/>
          <w:smallCaps w:val="false"/>
          <w:sz w:val="20"/>
        </w:rPr>
        <w:t xml:space="preserve"> The Company shall furnish to the Agents and their counsel, without charge, as many copies as the Agents may reasonably request of the Registration Statement (including exhibits thereto),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at the Agents’ request, will also furnish copies of the Prospectus to each exchange or market on which sales of the Placement Shares may be made;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the Company shall not be required to furnish any document (other than the Prospectus) to the Agents to the extent such document is available to the Agents or the public on EDGAR.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The Agents’ Review of Proposed Amendments and Supplements</w:t>
      </w:r>
      <w:r>
        <w:rPr>
          <w:rFonts w:ascii="Times New Roman;Times;Serif" w:hAnsi="Times New Roman;Times;Serif"/>
          <w:b w:val="false"/>
          <w:i w:val="false"/>
          <w:caps w:val="false"/>
          <w:smallCaps w:val="false"/>
          <w:sz w:val="20"/>
        </w:rPr>
        <w:t>. Prior to amending or supplementing the Registration Statement or the Prospectus, the Company shall furnish to the Agents for review, a reasonable amount of time prior to the proposed time of filing or use thereof, a copy of each such proposed amendment or supplement, and the Company shall not file or use any such proposed amendment or supplement without the Agents’ consent (not to be unreasonably withheld or delayed), and to file with the Commission within the applicable period specified in Rule 424(b) under the Securities Act any prospectus required to be filed pursuant to such Rule.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Free Writing Prospectuses</w:t>
      </w:r>
      <w:r>
        <w:rPr>
          <w:rFonts w:ascii="Times New Roman;Times;Serif" w:hAnsi="Times New Roman;Times;Serif"/>
          <w:b w:val="false"/>
          <w:i w:val="false"/>
          <w:caps w:val="false"/>
          <w:smallCaps w:val="false"/>
          <w:sz w:val="20"/>
        </w:rPr>
        <w:t xml:space="preserve">. The Company shall furnish to the Agents for review, a reasonable amount of time prior to the proposed time of filing or use thereof, a copy of each proposed issuer free writing prospectus or any amendment or supplement thereto to be prepared by or on behalf of, used by, or referred to by the Company, and the Company shall not file, use or refer to any issuer proposed free writing prospectus or any amendment or supplement thereto without the Agents’ consent (not to be unreasonably withheld or delayed). The Company shall furnish to the Agents, without charge, as many copies of any free writing prospectus prepared by or on behalf of, or used by the Company, as the Agents may reasonably request, except for those documents available via EDGAR. If at any time when a prospectus is required by the Securities Act (including, without limitation, pursuant to Rule 173(d)) to be delivered in connection with sales of the Placement Shares there occurred or occurs an event or development as a result of which any free writing prospectus prepared by or on behalf of, used by, or referred to by the Company conflicted or would conflict with the information contained in the Registration Statement or, when taken together with the Registration Statement,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prior to amending or supplementing any such free writing prospectus, the Company shall furnish to the Agents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 (not to be unreasonably withheld or delayed).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Delivery of Prospectus; Subsequent Changes</w:t>
      </w:r>
      <w:r>
        <w:rPr>
          <w:rFonts w:ascii="Times New Roman;Times;Serif" w:hAnsi="Times New Roman;Times;Serif"/>
          <w:b w:val="false"/>
          <w:i w:val="false"/>
          <w:caps w:val="false"/>
          <w:smallCaps w:val="false"/>
          <w:sz w:val="20"/>
        </w:rPr>
        <w:t xml:space="preserve">. During any period in which a Prospectus relating to the Placement Shares is required to be delivered by the Agents under the Securities Act with respect to a pending sale of the Placement Shares (including in circumstances where such requirement may be satisfied pursuant to Rule 172 under the Securities Act), the Company will comply in all material respects with the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during such period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then existing, not misleading, or if in the opinion of counsel for the Agents it is otherwise necessary to amend or supplement the Prospectus to comply with applicable law, including the Securities Act, the Company will promptly notify the Applicable Agent to suspend the offering of Placement Shares during such period and the Company agrees (subject to </w:t>
      </w:r>
      <w:r>
        <w:rPr>
          <w:rFonts w:ascii="Times New Roman;Times;Serif" w:hAnsi="Times New Roman;Times;Serif"/>
          <w:b w:val="false"/>
          <w:i w:val="false"/>
          <w:caps w:val="false"/>
          <w:smallCaps w:val="false"/>
          <w:sz w:val="20"/>
          <w:u w:val="single"/>
        </w:rPr>
        <w:t>Section 7(c)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7(d)</w:t>
      </w:r>
      <w:r>
        <w:rPr>
          <w:rFonts w:ascii="Times New Roman;Times;Serif" w:hAnsi="Times New Roman;Times;Serif"/>
          <w:b w:val="false"/>
          <w:i w:val="false"/>
          <w:caps w:val="false"/>
          <w:smallCaps w:val="false"/>
          <w:sz w:val="20"/>
        </w:rPr>
        <w:t xml:space="preserve">) to promptly prepare, file with the Commission and furnish at its own expense to the Agents,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then existing, be misleading or so that the Prospectus, as amended or supplemented, will comply with applicable law including the Securities Act. Neither the Agents’ consent to, nor delivery of, any such amendment or supplement shall constitute a waiver of any of the Company’s obligations under </w:t>
      </w:r>
      <w:r>
        <w:rPr>
          <w:rFonts w:ascii="Times New Roman;Times;Serif" w:hAnsi="Times New Roman;Times;Serif"/>
          <w:b w:val="false"/>
          <w:i w:val="false"/>
          <w:caps w:val="false"/>
          <w:smallCaps w:val="false"/>
          <w:sz w:val="20"/>
          <w:u w:val="single"/>
        </w:rPr>
        <w:t>Sections 7(c)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Listing of Placement Shares</w:t>
      </w:r>
      <w:r>
        <w:rPr>
          <w:rFonts w:ascii="Times New Roman;Times;Serif" w:hAnsi="Times New Roman;Times;Serif"/>
          <w:b w:val="false"/>
          <w:i w:val="false"/>
          <w:caps w:val="false"/>
          <w:smallCaps w:val="false"/>
          <w:sz w:val="20"/>
        </w:rPr>
        <w:t>. During any period in which the Prospectus relating to the Placement Shares is required to be delivered by the Agents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the Exchange.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Earnings Statement</w:t>
      </w:r>
      <w:r>
        <w:rPr>
          <w:rFonts w:ascii="Times New Roman;Times;Serif" w:hAnsi="Times New Roman;Times;Serif"/>
          <w:b w:val="false"/>
          <w:i w:val="false"/>
          <w:caps w:val="false"/>
          <w:smallCaps w:val="false"/>
          <w:sz w:val="20"/>
        </w:rPr>
        <w:t>. As soon as practicable, but in any event no later than 15 months after the effective date of the Registration Statement (as such date is defined in Rule 158(c) under the Securities Act), the Company will make generally available to its security holders an earnings statement (which need not be audited) complying with Section 11(a) of the Securities Act and the rules and regulations of the Commission thereunder.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xml:space="preserve"> The Company agrees to pay all costs, fees and expenses incurred in connection with the performance of its obligations hereunder and in connection with the transactions contemplated hereby, including without limitation (i) all expenses incident to the issuance and delivery of the Placement Shares (including all printing and engraving costs); (ii) all fees and expenses of the registrar and transfer agent of the Placement Shares; (iii) all necessary issue, transfer and other stamp taxes in connection with the issuance and sale of the Placement Shares to the Agents;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prepared by or on behalf of, used by, or referred to by the Company, and all amendments and supplements thereto, and this Agreement; (vi) all filing fees, attorneys’ fees and expenses incurred by the Company or the Agents in connection with qualifying or registering (or obtaining exemptions from the qualification or registration of) all or any part of the Placement Shares for offer and sale under the state securities or blue sky laws or the provincial securities laws of Canada, and, if requested by the Agents, preparing and printing a “Blue Sky Survey” or memorandum and a “Canadian wrapper,” and any supplements thereto, advising the Agents of such qualifications, registrations and exemptions; (vii) the filing fees incident to, and the reasonable fees and expenses of counsel for the Agents in connection with, FINRA’s review, if any, and approval of the Agents’ participation in the offering and distribution of the Placement Shares; provided that the fees of the Agents’ counsel in connection therewith and with </w:t>
      </w:r>
      <w:r>
        <w:rPr>
          <w:rFonts w:ascii="Times New Roman;Times;Serif" w:hAnsi="Times New Roman;Times;Serif"/>
          <w:b w:val="false"/>
          <w:i w:val="false"/>
          <w:caps w:val="false"/>
          <w:smallCaps w:val="false"/>
          <w:sz w:val="20"/>
          <w:u w:val="single"/>
        </w:rPr>
        <w:t>clause (vi)</w:t>
      </w:r>
      <w:r>
        <w:rPr>
          <w:rFonts w:ascii="Times New Roman;Times;Serif" w:hAnsi="Times New Roman;Times;Serif"/>
          <w:b w:val="false"/>
          <w:i w:val="false"/>
          <w:caps w:val="false"/>
          <w:smallCaps w:val="false"/>
          <w:sz w:val="20"/>
        </w:rPr>
        <w:t xml:space="preserve"> above shall not exceed an aggregate of $10,000; (viii) the fees and expenses associated with including the Placement Shares on the Exchange; (ix) all other fees, costs and expenses of the nature referred to in Item 14 of Part II of the Registration Statement; and (x) if Shares having an aggregate offering price of $10.0 million or more have not been offered and sold under this Agreement by November 30, 2026 (or such earlier date at which the Company terminates this Agreement (the “</w:t>
      </w:r>
      <w:r>
        <w:rPr>
          <w:rFonts w:ascii="Times New Roman;Times;Serif" w:hAnsi="Times New Roman;Times;Serif"/>
          <w:b/>
          <w:i w:val="false"/>
          <w:caps w:val="false"/>
          <w:smallCaps w:val="false"/>
          <w:sz w:val="20"/>
          <w:u w:val="single"/>
        </w:rPr>
        <w:t>Determination Date</w:t>
      </w:r>
      <w:r>
        <w:rPr>
          <w:rFonts w:ascii="Times New Roman;Times;Serif" w:hAnsi="Times New Roman;Times;Serif"/>
          <w:b w:val="false"/>
          <w:i w:val="false"/>
          <w:caps w:val="false"/>
          <w:smallCaps w:val="false"/>
          <w:sz w:val="20"/>
        </w:rPr>
        <w:t>”)), the Company shall reimburse the Agents for all of their reasonable out of pocket expenses, including the reasonable fees and disbursements of counsel to the Agents, in connection with the transactions contemplated by this Agreement (the “</w:t>
      </w:r>
      <w:r>
        <w:rPr>
          <w:rFonts w:ascii="Times New Roman;Times;Serif" w:hAnsi="Times New Roman;Times;Serif"/>
          <w:b/>
          <w:i w:val="false"/>
          <w:caps w:val="false"/>
          <w:smallCaps w:val="false"/>
          <w:sz w:val="20"/>
          <w:u w:val="single"/>
        </w:rPr>
        <w:t>Expenses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Company will not be obligated to reimburse the Agents any Expenses pursuant to this </w:t>
      </w:r>
      <w:r>
        <w:rPr>
          <w:rFonts w:ascii="Times New Roman;Times;Serif" w:hAnsi="Times New Roman;Times;Serif"/>
          <w:b w:val="false"/>
          <w:i w:val="false"/>
          <w:caps w:val="false"/>
          <w:smallCaps w:val="false"/>
          <w:sz w:val="20"/>
          <w:u w:val="single"/>
        </w:rPr>
        <w:t>Section 7(h)(x)</w:t>
      </w:r>
      <w:r>
        <w:rPr>
          <w:rFonts w:ascii="Times New Roman;Times;Serif" w:hAnsi="Times New Roman;Times;Serif"/>
          <w:b w:val="false"/>
          <w:i w:val="false"/>
          <w:caps w:val="false"/>
          <w:smallCaps w:val="false"/>
          <w:sz w:val="20"/>
        </w:rPr>
        <w:t xml:space="preserve">, in excess of $30,000 in the aggregate. The Expenses shall be due and payable by the Company within five (5) Business Days of the Determination Date. Except as provided in this </w:t>
      </w:r>
      <w:r>
        <w:rPr>
          <w:rFonts w:ascii="Times New Roman;Times;Serif" w:hAnsi="Times New Roman;Times;Serif"/>
          <w:b w:val="false"/>
          <w:i w:val="false"/>
          <w:caps w:val="false"/>
          <w:smallCaps w:val="false"/>
          <w:sz w:val="20"/>
          <w:u w:val="single"/>
        </w:rPr>
        <w:t>Section 7(h)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Contribution</w:t>
      </w:r>
      <w:r>
        <w:rPr>
          <w:rFonts w:ascii="Times New Roman;Times;Serif" w:hAnsi="Times New Roman;Times;Serif"/>
          <w:b w:val="false"/>
          <w:i w:val="false"/>
          <w:caps w:val="false"/>
          <w:smallCaps w:val="false"/>
          <w:sz w:val="20"/>
        </w:rPr>
        <w:t>), hereof, the Agents shall pay their own expenses, including the fees and disbursements of its counsel.</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will apply the net proceeds from the sale of the Shares to be sold by it hereunder in accordance with the statements under the caption “Use of Proceeds” in the Prospectus.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Notice of Other Sales</w:t>
      </w:r>
      <w:r>
        <w:rPr>
          <w:rFonts w:ascii="Times New Roman;Times;Serif" w:hAnsi="Times New Roman;Times;Serif"/>
          <w:b w:val="false"/>
          <w:i w:val="false"/>
          <w:caps w:val="false"/>
          <w:smallCaps w:val="false"/>
          <w:sz w:val="20"/>
        </w:rPr>
        <w:t xml:space="preserve">. During the pendency of any Placement Notice given hereunder, the Company shall provide the Applicable Agent written notice as promptly as reasonably practicable before it offers to sell, contracts to sell, sells, grants any option to sell or otherwise disposes of any shares of Common Stock (other than Placement Shares offered pursuant to the provisions of the Agreement) or securities convertible into or exchangeable for Common Stock, warrants or any rights to purchase or acquire Common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notice shall not be required in connection with (i) the issuance, grant or sale of Common Stock, options to purchase Common Stock or Common Stock issuable upon the exercise of options or other equity awards pursuant to any stock option, stock bonus or other stock or compensatory plan or arrangement described in the Prospectus, (ii) the issuance of securities in connection with an acquisition, merger or sale or purchase of assets described in the Prospectus or (iii) the issuance or sale of Common Stock pursuant to any dividend reinvestment plan that the Company may adopt from time to time provided the implementation of such is disclosed to the Agents in advance.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Change of Circumstances</w:t>
      </w:r>
      <w:r>
        <w:rPr>
          <w:rFonts w:ascii="Times New Roman;Times;Serif" w:hAnsi="Times New Roman;Times;Serif"/>
          <w:b w:val="false"/>
          <w:i w:val="false"/>
          <w:caps w:val="false"/>
          <w:smallCaps w:val="false"/>
          <w:sz w:val="20"/>
        </w:rPr>
        <w:t>. The Company will, at any time during the pendency of a Placement Notice, advise the Applicable Agent as promptly as reasonably practicable after it shall have received notice or obtained knowledge thereof, of any information or fact that would alter or affect in any material respect any opinion, certificate, letter or other document provided to the Agents pursuant to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Due Diligence Cooperation</w:t>
      </w:r>
      <w:r>
        <w:rPr>
          <w:rFonts w:ascii="Times New Roman;Times;Serif" w:hAnsi="Times New Roman;Times;Serif"/>
          <w:b w:val="false"/>
          <w:i w:val="false"/>
          <w:caps w:val="false"/>
          <w:smallCaps w:val="false"/>
          <w:sz w:val="20"/>
        </w:rPr>
        <w:t xml:space="preserve">. The Company will cooperate with any commercially reasonable due diligence review conducted by the Agents, or its agents and counsel, in connection with the transactions contemplated hereby, including, without limitation, providing information and making available documents and senior officers, upon reasonable notice during regular business hours and at the Company’s principal offices, as the Agents may reasonably request (i) on or prior to the date that the first Shares are sold pursuant to the terms of this Agreement and (ii) prior to each Representation Date. The Company will make available its appropriate officers and cause such officers to participate in a call with the Agents and their counsel prior to each Representation Date (including, without limitation, the availability of the chief financial officer to respond to questions regarding the business and financial condition of the Company) and otherwise as the Agents may reasonably request; such call shall be for the purpose of updating the Agent’s due diligence review of the Company in connection with the transactions contemplated hereby. The obligations set forth in the preceding sentence of this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shall be suspended following delivery of written notice to the Agents specifying that the Company does not intend to sell Shares under this Agreement until notice to the contrary is provided (such time period, a “</w:t>
      </w:r>
      <w:r>
        <w:rPr>
          <w:rFonts w:ascii="Times New Roman;Times;Serif" w:hAnsi="Times New Roman;Times;Serif"/>
          <w:b/>
          <w:i w:val="false"/>
          <w:caps w:val="false"/>
          <w:smallCaps w:val="false"/>
          <w:sz w:val="20"/>
          <w:u w:val="single"/>
        </w:rPr>
        <w:t>Suspension Period</w:t>
      </w:r>
      <w:r>
        <w:rPr>
          <w:rFonts w:ascii="Times New Roman;Times;Serif" w:hAnsi="Times New Roman;Times;Serif"/>
          <w:b w:val="false"/>
          <w:i w:val="false"/>
          <w:caps w:val="false"/>
          <w:smallCaps w:val="false"/>
          <w:sz w:val="20"/>
        </w:rPr>
        <w:t xml:space="preserve">”). Following delivery of notice to the Applicable Agent that the Company intends to recommence sales of Shares under this Agreement, the provisions of this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shall once again be operative.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Required Filings Relating to Placement of Placement Shares</w:t>
      </w:r>
      <w:r>
        <w:rPr>
          <w:rFonts w:ascii="Times New Roman;Times;Serif" w:hAnsi="Times New Roman;Times;Serif"/>
          <w:b w:val="false"/>
          <w:i w:val="false"/>
          <w:caps w:val="false"/>
          <w:smallCaps w:val="false"/>
          <w:sz w:val="20"/>
        </w:rPr>
        <w:t>. The Company agrees that on or prior to such dates as the Securities Act shall require, the Company will (i) file and disclose in a prospectus supplement with the Commission under the applicable paragraph of Rule 424(b) under the Securities Act or (ii) disclose in its annual reports on Form 10-K, quarterly reports on Form 10-Q or current reports on Form 8-K, as applicable, the number of Shares sold through the Agents under the Agreement, the Net Proceeds to the Company, the compensation paid by the Company with respect to sales of Shares pursuant to the Agreement during the relevant period and any other information regarding the Placement Shares that the Company reasonably believes is required to comply with the Securities Act. The Company agrees to deliver such number of copies of each such prospectus supplement (if any) to each exchange or market on which such sales were effected as may be required by the rules or regulations of such exchange or market.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Representation Dates; Certificate</w:t>
      </w:r>
      <w:r>
        <w:rPr>
          <w:rFonts w:ascii="Times New Roman;Times;Serif" w:hAnsi="Times New Roman;Times;Serif"/>
          <w:b w:val="false"/>
          <w:i w:val="false"/>
          <w:caps w:val="false"/>
          <w:smallCaps w:val="false"/>
          <w:sz w:val="20"/>
        </w:rPr>
        <w:t xml:space="preserve">. On or prior to the date that the first Shares are sold pursuant to the terms of this Agreement and (A) each time the Company (i) files the Prospectus relating to the Placement Shares or amends or supplements the Registration Statement or the Prospectus relating to the Placement Shares (other than a prospectus supplement filed in accordance with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 xml:space="preserve"> of this Agreement) by means of a post-effective amendment, sticker, or supplement but not by means of incorporation of documents by reference into the Registration Statement or the Prospectus relating to the Placement Shares; (ii) files an annual report on Form 10-K under the Exchange Act; (iii) files its quarterly reports on Form 10-Q under the Exchange Act; or (iv) files a report on Form 8-K containing amended financial information (other than an earnings release, to “furnish” information pursuant to Items 2.02 or 7.01 of Form 8-K, and other than a report on Form 8-K containing financial information of a tenant of the Company or its subsidiaries) under the Exchange Act and (B) (i) upon recommencement of sales after a suspension in accordance with Section 4 hereof or (ii) upon delivery of a notice to the Applicable Agent that the Company intends to recommence sales after a Suspension Period in accordance with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Due Diligence Cooperation</w:t>
      </w:r>
      <w:r>
        <w:rPr>
          <w:rFonts w:ascii="Times New Roman;Times;Serif" w:hAnsi="Times New Roman;Times;Serif"/>
          <w:b w:val="false"/>
          <w:i w:val="false"/>
          <w:caps w:val="false"/>
          <w:smallCaps w:val="false"/>
          <w:sz w:val="20"/>
        </w:rPr>
        <w:t>) hereof and as reasonably requested (each date of filing of one or more of the documents referred to in clauses (A)(i) through (iv) and any date of recommencement after a suspension referred to in clause (B)(i) and (B)(ii) shall be a “</w:t>
      </w:r>
      <w:r>
        <w:rPr>
          <w:rFonts w:ascii="Times New Roman;Times;Serif" w:hAnsi="Times New Roman;Times;Serif"/>
          <w:b/>
          <w:i w:val="false"/>
          <w:caps w:val="false"/>
          <w:smallCaps w:val="false"/>
          <w:sz w:val="20"/>
          <w:u w:val="single"/>
        </w:rPr>
        <w:t>Representation Date</w:t>
      </w:r>
      <w:r>
        <w:rPr>
          <w:rFonts w:ascii="Times New Roman;Times;Serif" w:hAnsi="Times New Roman;Times;Serif"/>
          <w:b w:val="false"/>
          <w:i w:val="false"/>
          <w:caps w:val="false"/>
          <w:smallCaps w:val="false"/>
          <w:sz w:val="20"/>
        </w:rPr>
        <w:t xml:space="preserve">”); the Company shall furnish the Agents with a certificate, in the form attached hereto as </w:t>
      </w:r>
      <w:r>
        <w:rPr>
          <w:rFonts w:ascii="Times New Roman;Times;Serif" w:hAnsi="Times New Roman;Times;Serif"/>
          <w:b w:val="false"/>
          <w:i w:val="false"/>
          <w:caps w:val="false"/>
          <w:smallCaps w:val="false"/>
          <w:sz w:val="20"/>
          <w:u w:val="single"/>
        </w:rPr>
        <w:t>Exhibit 7(n)</w:t>
      </w:r>
      <w:r>
        <w:rPr>
          <w:rFonts w:ascii="Times New Roman;Times;Serif" w:hAnsi="Times New Roman;Times;Serif"/>
          <w:b w:val="false"/>
          <w:i w:val="false"/>
          <w:caps w:val="false"/>
          <w:smallCaps w:val="false"/>
          <w:sz w:val="20"/>
        </w:rPr>
        <w:t xml:space="preserve"> within three (3) Trading Days of any Representation Date if requested by the Agents. The requirement to provide a certificate under this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 xml:space="preserve"> is hereby waived for any Representation Date occurring at a time at which no Placement Notice is pending, which waiver shall continue until the earlier to occur of the date the Company delivers a Placement Notice hereunder (which for such calendar quarter shall be considered a Representation Date) and the next occurring Representation Date;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such waiver shall not apply for any Representation Date on which the Company files its annual report on Form 10-K; </w:t>
      </w:r>
      <w:r>
        <w:rPr>
          <w:rFonts w:ascii="Times New Roman;Times;Serif" w:hAnsi="Times New Roman;Times;Serif"/>
          <w:b w:val="false"/>
          <w:i/>
          <w:caps w:val="false"/>
          <w:smallCaps w:val="false"/>
          <w:sz w:val="20"/>
        </w:rPr>
        <w:t>provided, further, however</w:t>
      </w:r>
      <w:r>
        <w:rPr>
          <w:rFonts w:ascii="Times New Roman;Times;Serif" w:hAnsi="Times New Roman;Times;Serif"/>
          <w:b w:val="false"/>
          <w:i w:val="false"/>
          <w:caps w:val="false"/>
          <w:smallCaps w:val="false"/>
          <w:sz w:val="20"/>
        </w:rPr>
        <w:t xml:space="preserve">, that the obligation of the Company under this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 xml:space="preserve"> shall be deferred during any Suspension Period and shall recommence upon the termination of such Suspension Period. Notwithstanding the foregoing, if the Company subsequently decides to sell Placement Shares following a Representation Date when the Company relied on such waiver and did not provide the Applicable Agent with a certificate under this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 xml:space="preserve">, then before the Company delivers the Placement Notice or the Applicable Agent sells any Placement Shares, the Company shall provide the Agents with a certificate, in the form attached hereto as </w:t>
      </w:r>
      <w:r>
        <w:rPr>
          <w:rFonts w:ascii="Times New Roman;Times;Serif" w:hAnsi="Times New Roman;Times;Serif"/>
          <w:b w:val="false"/>
          <w:i w:val="false"/>
          <w:caps w:val="false"/>
          <w:smallCaps w:val="false"/>
          <w:sz w:val="20"/>
          <w:u w:val="single"/>
        </w:rPr>
        <w:t>Exhibit 7(n)</w:t>
      </w:r>
      <w:r>
        <w:rPr>
          <w:rFonts w:ascii="Times New Roman;Times;Serif" w:hAnsi="Times New Roman;Times;Serif"/>
          <w:b w:val="false"/>
          <w:i w:val="false"/>
          <w:caps w:val="false"/>
          <w:smallCaps w:val="false"/>
          <w:sz w:val="20"/>
        </w:rPr>
        <w:t>, dated the date of the Placement Notice.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Legal Opinion of Counsel for the Company</w:t>
      </w:r>
      <w:r>
        <w:rPr>
          <w:rFonts w:ascii="Times New Roman;Times;Serif" w:hAnsi="Times New Roman;Times;Serif"/>
          <w:b w:val="false"/>
          <w:i w:val="false"/>
          <w:caps w:val="false"/>
          <w:smallCaps w:val="false"/>
          <w:sz w:val="20"/>
        </w:rPr>
        <w:t xml:space="preserve">. On or prior to the date that the first Shares are sold pursuant to the terms of this Agreement and within three (3) Trading Days of each Representation Date with respect to which the Company is obligated to deliver a certificate in the form attached hereto as </w:t>
      </w:r>
      <w:r>
        <w:rPr>
          <w:rFonts w:ascii="Times New Roman;Times;Serif" w:hAnsi="Times New Roman;Times;Serif"/>
          <w:b w:val="false"/>
          <w:i w:val="false"/>
          <w:caps w:val="false"/>
          <w:smallCaps w:val="false"/>
          <w:sz w:val="20"/>
          <w:u w:val="single"/>
        </w:rPr>
        <w:t>Exhibit 7(n)</w:t>
      </w:r>
      <w:r>
        <w:rPr>
          <w:rFonts w:ascii="Times New Roman;Times;Serif" w:hAnsi="Times New Roman;Times;Serif"/>
          <w:b w:val="false"/>
          <w:i w:val="false"/>
          <w:caps w:val="false"/>
          <w:smallCaps w:val="false"/>
          <w:sz w:val="20"/>
        </w:rPr>
        <w:t xml:space="preserve"> for which no waiver is applicable, the Company shall cause to be furnished to the Agents the written opinion of Haynes and Boone, LLP or other counsel satisfactory to the Agents, in form and substance satisfactory to the Agents and their counsel, dated the date that the opinion is required to be delivered, substantially similar to the forms attached hereto as </w:t>
      </w:r>
      <w:r>
        <w:rPr>
          <w:rFonts w:ascii="Times New Roman;Times;Serif" w:hAnsi="Times New Roman;Times;Serif"/>
          <w:b w:val="false"/>
          <w:i w:val="false"/>
          <w:caps w:val="false"/>
          <w:smallCaps w:val="false"/>
          <w:sz w:val="20"/>
          <w:u w:val="single"/>
        </w:rPr>
        <w:t>Exhibit 7(o)(1)</w:t>
      </w:r>
      <w:r>
        <w:rPr>
          <w:rFonts w:ascii="Times New Roman;Times;Serif" w:hAnsi="Times New Roman;Times;Serif"/>
          <w:b w:val="false"/>
          <w:i w:val="false"/>
          <w:caps w:val="false"/>
          <w:smallCaps w:val="false"/>
          <w:sz w:val="20"/>
        </w:rPr>
        <w:t xml:space="preserve">, modified, as necessary, to relate to the Registration Statement and the Prospectus as then amended or supplemented;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lieu of such opinions for subsequent Representation Dates, counsel may furnish the Agents with a letter (a “</w:t>
      </w:r>
      <w:r>
        <w:rPr>
          <w:rFonts w:ascii="Times New Roman;Times;Serif" w:hAnsi="Times New Roman;Times;Serif"/>
          <w:b/>
          <w:i w:val="false"/>
          <w:caps w:val="false"/>
          <w:smallCaps w:val="false"/>
          <w:sz w:val="20"/>
          <w:u w:val="single"/>
        </w:rPr>
        <w:t>Reliance Letter</w:t>
      </w:r>
      <w:r>
        <w:rPr>
          <w:rFonts w:ascii="Times New Roman;Times;Serif" w:hAnsi="Times New Roman;Times;Serif"/>
          <w:b w:val="false"/>
          <w:i w:val="false"/>
          <w:caps w:val="false"/>
          <w:smallCaps w:val="false"/>
          <w:sz w:val="20"/>
        </w:rPr>
        <w:t xml:space="preserve">”) to the effect that the Agents may rely on a prior opinion delivered under this </w:t>
      </w:r>
      <w:r>
        <w:rPr>
          <w:rFonts w:ascii="Times New Roman;Times;Serif" w:hAnsi="Times New Roman;Times;Serif"/>
          <w:b w:val="false"/>
          <w:i w:val="false"/>
          <w:caps w:val="false"/>
          <w:smallCaps w:val="false"/>
          <w:sz w:val="20"/>
          <w:u w:val="single"/>
        </w:rPr>
        <w:t>Section 7(o)</w:t>
      </w:r>
      <w:r>
        <w:rPr>
          <w:rFonts w:ascii="Times New Roman;Times;Serif" w:hAnsi="Times New Roman;Times;Serif"/>
          <w:b w:val="false"/>
          <w:i w:val="false"/>
          <w:caps w:val="false"/>
          <w:smallCaps w:val="false"/>
          <w:sz w:val="20"/>
        </w:rPr>
        <w:t xml:space="preserve"> to the same extent as if it were dated the date of such letter (except that statements in such prior opinion shall be deemed to relate to the Registration Statement and the Prospectus as amended or supplemented at such Representation Date). The obligation of the Company under this </w:t>
      </w:r>
      <w:r>
        <w:rPr>
          <w:rFonts w:ascii="Times New Roman;Times;Serif" w:hAnsi="Times New Roman;Times;Serif"/>
          <w:b w:val="false"/>
          <w:i w:val="false"/>
          <w:caps w:val="false"/>
          <w:smallCaps w:val="false"/>
          <w:sz w:val="20"/>
          <w:u w:val="single"/>
        </w:rPr>
        <w:t>Section 7(o)</w:t>
      </w:r>
      <w:r>
        <w:rPr>
          <w:rFonts w:ascii="Times New Roman;Times;Serif" w:hAnsi="Times New Roman;Times;Serif"/>
          <w:b w:val="false"/>
          <w:i w:val="false"/>
          <w:caps w:val="false"/>
          <w:smallCaps w:val="false"/>
          <w:sz w:val="20"/>
        </w:rPr>
        <w:t xml:space="preserve"> shall be deferred during any Suspension Period and shall recommence upon the termination of such Suspension Period.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Comfort Letter</w:t>
      </w:r>
      <w:r>
        <w:rPr>
          <w:rFonts w:ascii="Times New Roman;Times;Serif" w:hAnsi="Times New Roman;Times;Serif"/>
          <w:b w:val="false"/>
          <w:i w:val="false"/>
          <w:caps w:val="false"/>
          <w:smallCaps w:val="false"/>
          <w:sz w:val="20"/>
        </w:rPr>
        <w:t xml:space="preserve">. On or prior to the date that the first Shares are sold pursuant to the terms of this Agreement and within three (3) Trading Days of each Representation Date with respect to which the Company is obligated to deliver a certificate in the form attached hereto as </w:t>
      </w:r>
      <w:r>
        <w:rPr>
          <w:rFonts w:ascii="Times New Roman;Times;Serif" w:hAnsi="Times New Roman;Times;Serif"/>
          <w:b w:val="false"/>
          <w:i w:val="false"/>
          <w:caps w:val="false"/>
          <w:smallCaps w:val="false"/>
          <w:sz w:val="20"/>
          <w:u w:val="single"/>
        </w:rPr>
        <w:t>Exhibit 7(n)</w:t>
      </w:r>
      <w:r>
        <w:rPr>
          <w:rFonts w:ascii="Times New Roman;Times;Serif" w:hAnsi="Times New Roman;Times;Serif"/>
          <w:b w:val="false"/>
          <w:i w:val="false"/>
          <w:caps w:val="false"/>
          <w:smallCaps w:val="false"/>
          <w:sz w:val="20"/>
        </w:rPr>
        <w:t xml:space="preserve"> for which no waiver is applicable, the Company shall cause (a) Grant Thornton LLP, independent public or certified public accountants for the Company, to furnish the Agents a letter dated the date the letter is delivered and addressed to the Agents, in form and substance satisfactory to the Agents, (i) containing statements and information of the type ordinarily included in accountants’ “comfort letters” to underwriters, delivered according to Accounting Standards Update No. 634 (or any successor bulletin), with respect to the audited and unaudited financial statements and certain financial information of the Company and its subsidiaries contained in the Registration Statement, the Prospectus, and each free writing prospectus, if any, and, with respect to each letter dated the date hereof only, the Prospectus, and (ii) confirming that they are (A) independent public or certified public accountants as required by the Securities Act and the Exchange Act and the applicable published rules and regulations thereunder (the “</w:t>
      </w:r>
      <w:r>
        <w:rPr>
          <w:rFonts w:ascii="Times New Roman;Times;Serif" w:hAnsi="Times New Roman;Times;Serif"/>
          <w:b/>
          <w:i w:val="false"/>
          <w:caps w:val="false"/>
          <w:smallCaps w:val="false"/>
          <w:sz w:val="20"/>
          <w:u w:val="single"/>
        </w:rPr>
        <w:t>Comfort Letter”</w:t>
      </w:r>
      <w:r>
        <w:rPr>
          <w:rFonts w:ascii="Times New Roman;Times;Serif" w:hAnsi="Times New Roman;Times;Serif"/>
          <w:b w:val="false"/>
          <w:i w:val="false"/>
          <w:caps w:val="false"/>
          <w:smallCaps w:val="false"/>
          <w:sz w:val="20"/>
        </w:rPr>
        <w:t>, the first such letter, the “</w:t>
      </w:r>
      <w:r>
        <w:rPr>
          <w:rFonts w:ascii="Times New Roman;Times;Serif" w:hAnsi="Times New Roman;Times;Serif"/>
          <w:b/>
          <w:i w:val="false"/>
          <w:caps w:val="false"/>
          <w:smallCaps w:val="false"/>
          <w:sz w:val="20"/>
          <w:u w:val="single"/>
        </w:rPr>
        <w:t>Initial Comfort Letter</w:t>
      </w:r>
      <w:r>
        <w:rPr>
          <w:rFonts w:ascii="Times New Roman;Times;Serif" w:hAnsi="Times New Roman;Times;Serif"/>
          <w:b w:val="false"/>
          <w:i w:val="false"/>
          <w:caps w:val="false"/>
          <w:smallCaps w:val="false"/>
          <w:sz w:val="20"/>
        </w:rPr>
        <w:t xml:space="preserve">”) and (b) Grant Thornton LLP to update the Initial Comfort Letter with any information that would have been included in the Initial Comfort Letter had it been given on such date and modified as necessary to relate to the Registration Statement and the Prospectus, as amended and supplemented to the date of such letter. The obligations of the Company under this </w:t>
      </w:r>
      <w:r>
        <w:rPr>
          <w:rFonts w:ascii="Times New Roman;Times;Serif" w:hAnsi="Times New Roman;Times;Serif"/>
          <w:b w:val="false"/>
          <w:i w:val="false"/>
          <w:caps w:val="false"/>
          <w:smallCaps w:val="false"/>
          <w:sz w:val="20"/>
          <w:u w:val="single"/>
        </w:rPr>
        <w:t>Section 7(p)</w:t>
      </w:r>
      <w:r>
        <w:rPr>
          <w:rFonts w:ascii="Times New Roman;Times;Serif" w:hAnsi="Times New Roman;Times;Serif"/>
          <w:b w:val="false"/>
          <w:i w:val="false"/>
          <w:caps w:val="false"/>
          <w:smallCaps w:val="false"/>
          <w:sz w:val="20"/>
        </w:rPr>
        <w:t xml:space="preserve"> shall be deferred during any Suspension Period and shall recommence upon the termination of such Suspension Period.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its subsidiaries shall maintain, or cause to be maintained, insurance in such amounts and covering such risks as is commercially reasonable and customary for companies engaged in similar businesses in similar industries.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The Company will use its commercially reasonable efforts to maintain its status as a “seasoned issuer” under Financial Industry Regulatory Authority, Inc. (“</w:t>
      </w:r>
      <w:r>
        <w:rPr>
          <w:rFonts w:ascii="Times New Roman;Times;Serif" w:hAnsi="Times New Roman;Times;Serif"/>
          <w:b/>
          <w:i w:val="false"/>
          <w:caps w:val="false"/>
          <w:smallCaps w:val="false"/>
          <w:sz w:val="20"/>
          <w:u w:val="single"/>
        </w:rPr>
        <w:t>FINRA</w:t>
      </w:r>
      <w:r>
        <w:rPr>
          <w:rFonts w:ascii="Times New Roman;Times;Serif" w:hAnsi="Times New Roman;Times;Serif"/>
          <w:b w:val="false"/>
          <w:i w:val="false"/>
          <w:caps w:val="false"/>
          <w:smallCaps w:val="false"/>
          <w:sz w:val="20"/>
        </w:rPr>
        <w:t>”) Rule 5110(b)(7)(C)(i). In the event that the Company is unable to maintain such status, the Company will promptly notify the Agents of such matter and cooperate with the Agents to make any filings with FINRA as may be required in connection with the offering of the Shares hereunder.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Securities Act and Exchange Act</w:t>
      </w:r>
      <w:r>
        <w:rPr>
          <w:rFonts w:ascii="Times New Roman;Times;Serif" w:hAnsi="Times New Roman;Times;Serif"/>
          <w:b w:val="false"/>
          <w:i w:val="false"/>
          <w:caps w:val="false"/>
          <w:smallCaps w:val="false"/>
          <w:sz w:val="20"/>
        </w:rPr>
        <w:t>. The Company will use its commercially reasonable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 including the filing of any and all documents required to be filed with the Commission pursuant to Section 13, 14 or 15 of the Exchange Act in the manner and within the time periods required by the Exchange Act.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No Offer to Sell</w:t>
      </w:r>
      <w:r>
        <w:rPr>
          <w:rFonts w:ascii="Times New Roman;Times;Serif" w:hAnsi="Times New Roman;Times;Serif"/>
          <w:b w:val="false"/>
          <w:i w:val="false"/>
          <w:caps w:val="false"/>
          <w:smallCaps w:val="false"/>
          <w:sz w:val="20"/>
        </w:rPr>
        <w:t>. Other than a free writing prospectus (as defined in Rule 405 under the Securities Act) approved in advance in writing by the Company and the Agents in their capacity as principal or agent hereunder, neither the Agents nor the Company (including its agents and representatives, other than the Agents in their capacity as such) will, directly or indirectly, use, authorize, approve or refer to any free writing prospectus relating to the Shares to be sold by the Agents as principal or agent hereunder.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Filing of Free Writing Prospectuses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Company shall not take any action that would result in the Agents or the Company being required to file with the Commission pursuant to Rule 433(d) under the Securities Act a free writing prospectus prepared by or on behalf of the Agents that the Agents otherwise would not have been required to file thereunder.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Blue Sky Compliance</w:t>
      </w:r>
      <w:r>
        <w:rPr>
          <w:rFonts w:ascii="Times New Roman;Times;Serif" w:hAnsi="Times New Roman;Times;Serif"/>
          <w:b w:val="false"/>
          <w:i w:val="false"/>
          <w:caps w:val="false"/>
          <w:smallCaps w:val="false"/>
          <w:sz w:val="20"/>
        </w:rPr>
        <w:t>. The Company shall cooperate with the Agents and counsel for the Agents to qualify or register the Shares for sale under (or obtain exemptions from the application of) the state securities or blue sky laws or Canadian provincial securities laws of those jurisdictions designated by the Agents,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Agents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reasonable efforts to obtain the withdrawal thereof at the earliest possible moment.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The Company shall engage and maintain, at its expense, a registrar and transfer agent for the Shares.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Company to Provide Copy of the Prospectus in Form That May be Downloaded from the Internet</w:t>
      </w:r>
      <w:r>
        <w:rPr>
          <w:rFonts w:ascii="Times New Roman;Times;Serif" w:hAnsi="Times New Roman;Times;Serif"/>
          <w:b w:val="false"/>
          <w:i w:val="false"/>
          <w:caps w:val="false"/>
          <w:smallCaps w:val="false"/>
          <w:sz w:val="20"/>
        </w:rPr>
        <w:t>. The Company shall cause to be prepared and delivered, at its expense, within one Business Day from the effective date of this Agreement, to the Agents an “</w:t>
      </w:r>
      <w:r>
        <w:rPr>
          <w:rFonts w:ascii="Times New Roman;Times;Serif" w:hAnsi="Times New Roman;Times;Serif"/>
          <w:b/>
          <w:i w:val="false"/>
          <w:caps w:val="false"/>
          <w:smallCaps w:val="false"/>
          <w:sz w:val="20"/>
        </w:rPr>
        <w:t>electronic Prospectus</w:t>
      </w:r>
      <w:r>
        <w:rPr>
          <w:rFonts w:ascii="Times New Roman;Times;Serif" w:hAnsi="Times New Roman;Times;Serif"/>
          <w:b w:val="false"/>
          <w:i w:val="false"/>
          <w:caps w:val="false"/>
          <w:smallCaps w:val="false"/>
          <w:sz w:val="20"/>
        </w:rPr>
        <w:t>” to be used by the Agents in connection with the offering and sale of the Shares. As used herein, the term “</w:t>
      </w:r>
      <w:r>
        <w:rPr>
          <w:rFonts w:ascii="Times New Roman;Times;Serif" w:hAnsi="Times New Roman;Times;Serif"/>
          <w:b/>
          <w:i w:val="false"/>
          <w:caps w:val="false"/>
          <w:smallCaps w:val="false"/>
          <w:sz w:val="20"/>
        </w:rPr>
        <w:t>electronic Prospectus</w:t>
      </w:r>
      <w:r>
        <w:rPr>
          <w:rFonts w:ascii="Times New Roman;Times;Serif" w:hAnsi="Times New Roman;Times;Serif"/>
          <w:b w:val="false"/>
          <w:i w:val="false"/>
          <w:caps w:val="false"/>
          <w:smallCaps w:val="false"/>
          <w:sz w:val="20"/>
        </w:rPr>
        <w:t>” means a form of the Prospectus, and any amendment or supplement thereto, that meets each of the following conditions: (i) it shall be encoded in an electronic format, satisfactory to the Agents that may be transmitted electronically by the Agents to offerees and purchasers of the Shares; (ii) it shall disclose the same information as the paper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Agents, that will allow investors to store and have continuously ready access to the Prospectus at any future time, without charge to investors (other than any fee charged for subscription to the Internet as a whole and for on-line time).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Future Reports to the Agents</w:t>
      </w:r>
      <w:r>
        <w:rPr>
          <w:rFonts w:ascii="Times New Roman;Times;Serif" w:hAnsi="Times New Roman;Times;Serif"/>
          <w:b w:val="false"/>
          <w:i w:val="false"/>
          <w:caps w:val="false"/>
          <w:smallCaps w:val="false"/>
          <w:sz w:val="20"/>
        </w:rPr>
        <w:t xml:space="preserve">. For so long as the delivery of a prospectus is required in connection with the offer and sale of the Shares, the Company will furnish to each of the Agents: (i) as soon as practicable after the filing thereof, copies of each proxy statement, Annual Report on Form 10-K, Quarterly Report on Form 10-Q, Current Report on Form 8-K or other report filed by the Company with the Commission, FINRA or any securities exchange; and (ii) as soon as available, copies of any report or communication of the Company mailed generally to holders of its capital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each case, the Company will be deemed to have furnished the foregoing documents as required by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to the extent they are filed with the Commission and publicly accessible on EDGAR.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Renewal of Registration Statement</w:t>
      </w:r>
      <w:r>
        <w:rPr>
          <w:rFonts w:ascii="Times New Roman;Times;Serif" w:hAnsi="Times New Roman;Times;Serif"/>
          <w:b w:val="false"/>
          <w:i w:val="false"/>
          <w:caps w:val="false"/>
          <w:smallCaps w:val="false"/>
          <w:sz w:val="20"/>
        </w:rPr>
        <w:t>. The date of this Agreement is not more than three years subsequent to the initial effective date of the Registration Statement (the “</w:t>
      </w:r>
      <w:r>
        <w:rPr>
          <w:rFonts w:ascii="Times New Roman;Times;Serif" w:hAnsi="Times New Roman;Times;Serif"/>
          <w:b/>
          <w:i w:val="false"/>
          <w:caps w:val="false"/>
          <w:smallCaps w:val="false"/>
          <w:sz w:val="20"/>
          <w:u w:val="single"/>
        </w:rPr>
        <w:t>Renewal Date</w:t>
      </w:r>
      <w:r>
        <w:rPr>
          <w:rFonts w:ascii="Times New Roman;Times;Serif" w:hAnsi="Times New Roman;Times;Serif"/>
          <w:b w:val="false"/>
          <w:i w:val="false"/>
          <w:caps w:val="false"/>
          <w:smallCaps w:val="false"/>
          <w:sz w:val="20"/>
        </w:rPr>
        <w:t>”). If, immediately prior to the Renewal Date, this Agreement has not terminated and a prospectus is required to be delivered or made available by the Agents under the Securities Act or the Exchange Act in connection with the sale of Shares, the Company will, prior to the Renewal Date, file, if it has not already done so, a new shelf registration statement or, if applicable, an automatic shelf registration statement relating to such Shares, and, if such registration statement is not an automatic shelf registration statement, will use its commercially efforts to cause such registration statement to be declared effective within 180 days after the Renewal Date, and will take all other reasonable actions necessary or appropriate to permit the public offer and sale of such Shares to continue as contemplated in the expired registration statement relating to such Securities. References herein to the “Registration Statement” shall include such new shelf registration statement or automatic shelf registration statement, as the case may be.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val="false"/>
          <w:caps w:val="false"/>
          <w:smallCaps w:val="false"/>
          <w:sz w:val="20"/>
          <w:u w:val="single"/>
        </w:rPr>
        <w:t>Covenant of the Agents</w:t>
      </w:r>
      <w:r>
        <w:rPr>
          <w:rFonts w:ascii="Times New Roman;Times;Serif" w:hAnsi="Times New Roman;Times;Serif"/>
          <w:b w:val="false"/>
          <w:i w:val="false"/>
          <w:caps w:val="false"/>
          <w:smallCaps w:val="false"/>
          <w:sz w:val="20"/>
        </w:rPr>
        <w:t>. Each Agent, severally and not jointly, covenants with the Company not to take any action that would result in the Company being required to file with the Commission pursuant to Rule 433(d) under the Securities Act a free writing prospectus prepared by or on behalf of the Agents that otherwise would not be required to be filed by the Company thereunder, but for the action of the Agents.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               </w:t>
      </w:r>
      <w:r>
        <w:rPr>
          <w:rFonts w:ascii="Times New Roman;Times;Serif" w:hAnsi="Times New Roman;Times;Serif"/>
          <w:b w:val="false"/>
          <w:i w:val="false"/>
          <w:caps w:val="false"/>
          <w:smallCaps w:val="false"/>
          <w:sz w:val="20"/>
          <w:u w:val="single"/>
        </w:rPr>
        <w:t>Conditions to the Agents’ Obligations</w:t>
      </w:r>
      <w:r>
        <w:rPr>
          <w:rFonts w:ascii="Times New Roman;Times;Serif" w:hAnsi="Times New Roman;Times;Serif"/>
          <w:b w:val="false"/>
          <w:i w:val="false"/>
          <w:caps w:val="false"/>
          <w:smallCaps w:val="false"/>
          <w:sz w:val="20"/>
        </w:rPr>
        <w:t xml:space="preserve">. The obligations of each Agent hereunder with respect to a Placement will be subject to the continuing accuracy of the representations and warranties on the part of the Company set forth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hereof, to the timely performance by the Company of its covenants and other obligations hereunder, to the completion by the Agents of a due diligence review satisfactory to the Agents in its reasonable judgment, and to the continuing satisfaction (or waiver by the Agents in their sole discretion) each of the following additional conditions: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Registration Statement Effective</w:t>
      </w:r>
      <w:r>
        <w:rPr>
          <w:rFonts w:ascii="Times New Roman;Times;Serif" w:hAnsi="Times New Roman;Times;Serif"/>
          <w:b w:val="false"/>
          <w:i w:val="false"/>
          <w:caps w:val="false"/>
          <w:smallCaps w:val="false"/>
          <w:sz w:val="20"/>
        </w:rPr>
        <w:t>. The Registration Statement shall be effective and shall be available for (i) all sales of Placement Shares issued pursuant to all prior Placement Notices, and (ii) the sale of all Placement Shares contemplated to be issued by any Placement Notice.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Material Notices</w:t>
      </w:r>
      <w:r>
        <w:rPr>
          <w:rFonts w:ascii="Times New Roman;Times;Serif" w:hAnsi="Times New Roman;Times;Serif"/>
          <w:b w:val="false"/>
          <w:i w:val="false"/>
          <w:caps w:val="false"/>
          <w:smallCaps w:val="false"/>
          <w:sz w:val="20"/>
        </w:rPr>
        <w:t>. None of the following events shall have occurred and be continuing: (i) receipt by the Company of any notification with respect to the suspension of the qualification or exemption from qualification of any of the Placement Shares for sale in any jurisdiction or the initiation or threatening of any proceeding for such purpose; (ii) receipt by the Company or any of its subsidiaries of any request for additional information from the Commission or any other Governmental Entity during the period of effectiveness of the Registration Statement, the response to which would require any post-effective amendments or supplements to the Registration Statement or the Prospectus; and (iii)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required to be stated therein or necessary to make the statements therein, in the light of the circumstances under which they were made, not misleading.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Misstatement or Material Omission</w:t>
      </w:r>
      <w:r>
        <w:rPr>
          <w:rFonts w:ascii="Times New Roman;Times;Serif" w:hAnsi="Times New Roman;Times;Serif"/>
          <w:b w:val="false"/>
          <w:i w:val="false"/>
          <w:caps w:val="false"/>
          <w:smallCaps w:val="false"/>
          <w:sz w:val="20"/>
        </w:rPr>
        <w:t>. The Registration Statement and Prospectus, and any amendment or supplement thereto, shall not contain any untrue statement of a material fact, or omit to state a material fact that is required to be stated therein or is necessary to make the statements therein not misleading.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Material Changes</w:t>
      </w:r>
      <w:r>
        <w:rPr>
          <w:rFonts w:ascii="Times New Roman;Times;Serif" w:hAnsi="Times New Roman;Times;Serif"/>
          <w:b w:val="false"/>
          <w:i w:val="false"/>
          <w:caps w:val="false"/>
          <w:smallCaps w:val="false"/>
          <w:sz w:val="20"/>
        </w:rPr>
        <w:t>. Except as contemplated in the Registration Statement and the Prospectus or disclosed in the Company’s reports filed with the Commission, there shall not have occurred (i) any Material Adverse Change in the judgment of the Agents and (ii)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in Section 3(a)(62) of the Exchange Act.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Company Counsel Legal Opinion</w:t>
      </w:r>
      <w:r>
        <w:rPr>
          <w:rFonts w:ascii="Times New Roman;Times;Serif" w:hAnsi="Times New Roman;Times;Serif"/>
          <w:b w:val="false"/>
          <w:i w:val="false"/>
          <w:caps w:val="false"/>
          <w:smallCaps w:val="false"/>
          <w:sz w:val="20"/>
        </w:rPr>
        <w:t xml:space="preserve">. The Agents shall have received the opinions of Haynes and Boone LLP and, if applicable, such other counsel to the Company, in each case as required to be delivered pursuant to </w:t>
      </w:r>
      <w:r>
        <w:rPr>
          <w:rFonts w:ascii="Times New Roman;Times;Serif" w:hAnsi="Times New Roman;Times;Serif"/>
          <w:b w:val="false"/>
          <w:i w:val="false"/>
          <w:caps w:val="false"/>
          <w:smallCaps w:val="false"/>
          <w:sz w:val="20"/>
          <w:u w:val="single"/>
        </w:rPr>
        <w:t>Section 7(o)</w:t>
      </w:r>
      <w:r>
        <w:rPr>
          <w:rFonts w:ascii="Times New Roman;Times;Serif" w:hAnsi="Times New Roman;Times;Serif"/>
          <w:b w:val="false"/>
          <w:i w:val="false"/>
          <w:caps w:val="false"/>
          <w:smallCaps w:val="false"/>
          <w:sz w:val="20"/>
        </w:rPr>
        <w:t xml:space="preserve"> on or before the date on which such delivery of such opinion is required pursuant to </w:t>
      </w:r>
      <w:r>
        <w:rPr>
          <w:rFonts w:ascii="Times New Roman;Times;Serif" w:hAnsi="Times New Roman;Times;Serif"/>
          <w:b w:val="false"/>
          <w:i w:val="false"/>
          <w:caps w:val="false"/>
          <w:smallCaps w:val="false"/>
          <w:sz w:val="20"/>
          <w:u w:val="single"/>
        </w:rPr>
        <w:t>Section 7(o)</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Opinion of Counsel for the Agent</w:t>
      </w:r>
      <w:r>
        <w:rPr>
          <w:rFonts w:ascii="Times New Roman;Times;Serif" w:hAnsi="Times New Roman;Times;Serif"/>
          <w:b w:val="false"/>
          <w:i w:val="false"/>
          <w:caps w:val="false"/>
          <w:smallCaps w:val="false"/>
          <w:sz w:val="20"/>
        </w:rPr>
        <w:t xml:space="preserve">. On or prior to the date that the first Shares are sold pursuant to the terms of this Agreement and within three (3) Trading Days of each Representation Date with respect to which the Company is obligated to deliver a certificate in the form attached hereto as </w:t>
      </w:r>
      <w:r>
        <w:rPr>
          <w:rFonts w:ascii="Times New Roman;Times;Serif" w:hAnsi="Times New Roman;Times;Serif"/>
          <w:b w:val="false"/>
          <w:i w:val="false"/>
          <w:caps w:val="false"/>
          <w:smallCaps w:val="false"/>
          <w:sz w:val="20"/>
          <w:u w:val="single"/>
        </w:rPr>
        <w:t>Exhibit 9(f)</w:t>
      </w:r>
      <w:r>
        <w:rPr>
          <w:rFonts w:ascii="Times New Roman;Times;Serif" w:hAnsi="Times New Roman;Times;Serif"/>
          <w:b w:val="false"/>
          <w:i w:val="false"/>
          <w:caps w:val="false"/>
          <w:smallCaps w:val="false"/>
          <w:sz w:val="20"/>
        </w:rPr>
        <w:t xml:space="preserve"> for which no waiver is applicable, the Agents shall have received from Mayer Brown LLP, or such other counsel for the Agents, such opinion or opinions, dated the date that the opinion is required to be delivered, with respect to such matters as the Agents may require, and the Company shall have furnished to such counsel such documents as they request for the purpose of enabling them to pass upon such matters;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obligation of Mayer Brown LLP under this </w:t>
      </w:r>
      <w:r>
        <w:rPr>
          <w:rFonts w:ascii="Times New Roman;Times;Serif" w:hAnsi="Times New Roman;Times;Serif"/>
          <w:b w:val="false"/>
          <w:i w:val="false"/>
          <w:caps w:val="false"/>
          <w:smallCaps w:val="false"/>
          <w:sz w:val="20"/>
          <w:u w:val="single"/>
        </w:rPr>
        <w:t>Section 9(f)</w:t>
      </w:r>
      <w:r>
        <w:rPr>
          <w:rFonts w:ascii="Times New Roman;Times;Serif" w:hAnsi="Times New Roman;Times;Serif"/>
          <w:b w:val="false"/>
          <w:i w:val="false"/>
          <w:caps w:val="false"/>
          <w:smallCaps w:val="false"/>
          <w:sz w:val="20"/>
        </w:rPr>
        <w:t xml:space="preserve"> shall be deferred during any Suspension Period and shall recommence upon the termination of such Suspension Period.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Comfort Letter</w:t>
      </w:r>
      <w:r>
        <w:rPr>
          <w:rFonts w:ascii="Times New Roman;Times;Serif" w:hAnsi="Times New Roman;Times;Serif"/>
          <w:b w:val="false"/>
          <w:i w:val="false"/>
          <w:caps w:val="false"/>
          <w:smallCaps w:val="false"/>
          <w:sz w:val="20"/>
        </w:rPr>
        <w:t xml:space="preserve">. The Agents shall have received the Comfort Letter required to be delivered pursuant to </w:t>
      </w:r>
      <w:r>
        <w:rPr>
          <w:rFonts w:ascii="Times New Roman;Times;Serif" w:hAnsi="Times New Roman;Times;Serif"/>
          <w:b w:val="false"/>
          <w:i w:val="false"/>
          <w:caps w:val="false"/>
          <w:smallCaps w:val="false"/>
          <w:sz w:val="20"/>
          <w:u w:val="single"/>
        </w:rPr>
        <w:t>Section 7(p)</w:t>
      </w:r>
      <w:r>
        <w:rPr>
          <w:rFonts w:ascii="Times New Roman;Times;Serif" w:hAnsi="Times New Roman;Times;Serif"/>
          <w:b w:val="false"/>
          <w:i w:val="false"/>
          <w:caps w:val="false"/>
          <w:smallCaps w:val="false"/>
          <w:sz w:val="20"/>
        </w:rPr>
        <w:t xml:space="preserve"> on or before the date on which such delivery of such letter is required pursuant to </w:t>
      </w:r>
      <w:r>
        <w:rPr>
          <w:rFonts w:ascii="Times New Roman;Times;Serif" w:hAnsi="Times New Roman;Times;Serif"/>
          <w:b w:val="false"/>
          <w:i w:val="false"/>
          <w:caps w:val="false"/>
          <w:smallCaps w:val="false"/>
          <w:sz w:val="20"/>
          <w:u w:val="single"/>
        </w:rPr>
        <w:t>Section 7(p)</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Representation Certificate</w:t>
      </w:r>
      <w:r>
        <w:rPr>
          <w:rFonts w:ascii="Times New Roman;Times;Serif" w:hAnsi="Times New Roman;Times;Serif"/>
          <w:b w:val="false"/>
          <w:i w:val="false"/>
          <w:caps w:val="false"/>
          <w:smallCaps w:val="false"/>
          <w:sz w:val="20"/>
        </w:rPr>
        <w:t xml:space="preserve">. The Agents shall have received the certificate required to be delivered pursuant to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 xml:space="preserve"> on or before the date on which delivery of such certificate is required pursuant to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 Stop Order; No Objection from FINRA</w:t>
      </w:r>
      <w:r>
        <w:rPr>
          <w:rFonts w:ascii="Times New Roman;Times;Serif" w:hAnsi="Times New Roman;Times;Serif"/>
          <w:b w:val="false"/>
          <w:i w:val="false"/>
          <w:caps w:val="false"/>
          <w:smallCaps w:val="false"/>
          <w:sz w:val="20"/>
        </w:rPr>
        <w:t>. No stop order suspending the effectiveness of the Registration Statement or any post-effective amendment to the Registration Statement, shall be in effect and no proceedings for such purpose or pursuant to Section 8A of the Securities Act shall have been instituted or, to the Company’s knowledge, threatened by the Commission, and FINRA shall have raised no objection to the fairness and reasonableness of the underwriting terms and arrangements.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No Suspension</w:t>
      </w:r>
      <w:r>
        <w:rPr>
          <w:rFonts w:ascii="Times New Roman;Times;Serif" w:hAnsi="Times New Roman;Times;Serif"/>
          <w:b w:val="false"/>
          <w:i w:val="false"/>
          <w:caps w:val="false"/>
          <w:smallCaps w:val="false"/>
          <w:sz w:val="20"/>
        </w:rPr>
        <w:t>. Trading in the Shares shall not have been suspended on the Exchange.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Other Materials</w:t>
      </w:r>
      <w:r>
        <w:rPr>
          <w:rFonts w:ascii="Times New Roman;Times;Serif" w:hAnsi="Times New Roman;Times;Serif"/>
          <w:b w:val="false"/>
          <w:i w:val="false"/>
          <w:caps w:val="false"/>
          <w:smallCaps w:val="false"/>
          <w:sz w:val="20"/>
        </w:rPr>
        <w:t xml:space="preserve">. On each date on which the Company is required to deliver a certificate pursuant to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 the Agents and counsel for the Agents shall have received such information, documents and opinions as they may reasonably request for the purposes of enabling them to pass upon the issuance and sale of the Shares as contemplated herein, or in order to evidence the accuracy of any of the representations and warranties, or the satisfaction of any of the conditions or agreements, herein contained; and all proceedings taken by the Company in connection with the issuance and sale of the Shares as contemplated herein and in connection with the other transactions contemplated by this Agreement shall be satisfactory in form and substance to the Agents and counsel for the Agents.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Securities Act Filings Made</w:t>
      </w:r>
      <w:r>
        <w:rPr>
          <w:rFonts w:ascii="Times New Roman;Times;Serif" w:hAnsi="Times New Roman;Times;Serif"/>
          <w:b w:val="false"/>
          <w:i w:val="false"/>
          <w:caps w:val="false"/>
          <w:smallCaps w:val="false"/>
          <w:sz w:val="20"/>
        </w:rPr>
        <w:t>. All filings with the Commission required by Rule 424 under the Securities Act to have been filed prior to the issuance of any Placement Notice hereunder shall have been made within the applicable time period prescribed for such filing by Rule 424.</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Approval for Listing</w:t>
      </w:r>
      <w:r>
        <w:rPr>
          <w:rFonts w:ascii="Times New Roman;Times;Serif" w:hAnsi="Times New Roman;Times;Serif"/>
          <w:b w:val="false"/>
          <w:i w:val="false"/>
          <w:caps w:val="false"/>
          <w:smallCaps w:val="false"/>
          <w:sz w:val="20"/>
        </w:rPr>
        <w:t>. Either (i) the Placement Shares shall either have been approved for listing on the Exchange, subject only to notice of issuance, or (ii) the Company shall have filed an application for listing of the Placement Shares on the Exchange at, or prior to, the issuance of any Placement Notice.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Actively-Traded Security</w:t>
      </w:r>
      <w:r>
        <w:rPr>
          <w:rFonts w:ascii="Times New Roman;Times;Serif" w:hAnsi="Times New Roman;Times;Serif"/>
          <w:b w:val="false"/>
          <w:i w:val="false"/>
          <w:caps w:val="false"/>
          <w:smallCaps w:val="false"/>
          <w:sz w:val="20"/>
        </w:rPr>
        <w:t>. The Common Stock shall be an “actively-traded security” exempted from the requirements of Rule 101 of Regulation M under the Exchange Act by subsection (c)(1) of such rule.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No Termination Event</w:t>
      </w:r>
      <w:r>
        <w:rPr>
          <w:rFonts w:ascii="Times New Roman;Times;Serif" w:hAnsi="Times New Roman;Times;Serif"/>
          <w:b w:val="false"/>
          <w:i w:val="false"/>
          <w:caps w:val="false"/>
          <w:smallCaps w:val="false"/>
          <w:sz w:val="20"/>
        </w:rPr>
        <w:t xml:space="preserve">. There shall not have occurred any event that would permit the Agents to terminate this Agreement pursuant to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Termination of this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Indemnification.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Indemnification of the Agents</w:t>
      </w:r>
      <w:r>
        <w:rPr>
          <w:rFonts w:ascii="Times New Roman;Times;Serif" w:hAnsi="Times New Roman;Times;Serif"/>
          <w:b w:val="false"/>
          <w:i w:val="false"/>
          <w:caps w:val="false"/>
          <w:smallCaps w:val="false"/>
          <w:sz w:val="20"/>
        </w:rPr>
        <w:t>. Subject to the limitations in this paragraph below, the Company agrees to indemnify and hold harmless the Agents, their officers, directors, employees and agents, and each person, if any, who controls the Agents within the meaning of the Securities Act or the Exchange Act against any loss, claim, damage, liability or expense (a “</w:t>
      </w:r>
      <w:r>
        <w:rPr>
          <w:rFonts w:ascii="Times New Roman;Times;Serif" w:hAnsi="Times New Roman;Times;Serif"/>
          <w:b/>
          <w:i w:val="false"/>
          <w:caps w:val="false"/>
          <w:smallCaps w:val="false"/>
          <w:sz w:val="20"/>
          <w:u w:val="single"/>
        </w:rPr>
        <w:t>Loss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u w:val="single"/>
        </w:rPr>
        <w:t>Losses</w:t>
      </w:r>
      <w:r>
        <w:rPr>
          <w:rFonts w:ascii="Times New Roman;Times;Serif" w:hAnsi="Times New Roman;Times;Serif"/>
          <w:b w:val="false"/>
          <w:i w:val="false"/>
          <w:caps w:val="false"/>
          <w:smallCaps w:val="false"/>
          <w:sz w:val="20"/>
        </w:rPr>
        <w:t xml:space="preserve">”), as incurred, to which the Agents or such officer, director, employee, agent or controlling person may become subject, under the Securities Act, the Exchange Act, other federal or state statutory law or regulation, or at common law or otherwise (including in settlement of any litigation, subject to </w:t>
      </w:r>
      <w:r>
        <w:rPr>
          <w:rFonts w:ascii="Times New Roman;Times;Serif" w:hAnsi="Times New Roman;Times;Serif"/>
          <w:b w:val="false"/>
          <w:i w:val="false"/>
          <w:caps w:val="false"/>
          <w:smallCaps w:val="false"/>
          <w:sz w:val="20"/>
          <w:u w:val="single"/>
        </w:rPr>
        <w:t>Section 10(d)</w:t>
      </w:r>
      <w:r>
        <w:rPr>
          <w:rFonts w:ascii="Times New Roman;Times;Serif" w:hAnsi="Times New Roman;Times;Serif"/>
          <w:b w:val="false"/>
          <w:i w:val="false"/>
          <w:caps w:val="false"/>
          <w:smallCaps w:val="false"/>
          <w:sz w:val="20"/>
        </w:rPr>
        <w:t xml:space="preserve"> below), insofar as such Loss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the Prospectus or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Agents and each such officer, director, employee, agent or controlling person for any and all expenses (including reasonable costs of investigation and the fees and disbursements of counsel chosen by the Agents) as such expenses are reasonably incurred by the Agents or such officer, director, employee, agent or controlling person in connection with investigating, defending, settling, compromising or paying any such Loss or 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foregoing indemnity agreement shall not apply to any Loss to the extent, but only to the extent, arising out of or based upon any untrue statement or alleged untrue statement or omission or alleged omission made in reliance upon and in conformity with written information furnished to the Company by or on behalf of the Agents expressly for use in the Registration Statement, any such free writing prospectus or the Prospectus (or any amendment or supplement thereto), it being understood and agreed that the only such information furnished by the Agents to the Company consists of the information described in </w:t>
      </w:r>
      <w:r>
        <w:rPr>
          <w:rFonts w:ascii="Times New Roman;Times;Serif" w:hAnsi="Times New Roman;Times;Serif"/>
          <w:b w:val="false"/>
          <w:i w:val="false"/>
          <w:caps w:val="false"/>
          <w:smallCaps w:val="false"/>
          <w:sz w:val="20"/>
          <w:u w:val="single"/>
        </w:rPr>
        <w:t>subsection (b)</w:t>
      </w:r>
      <w:r>
        <w:rPr>
          <w:rFonts w:ascii="Times New Roman;Times;Serif" w:hAnsi="Times New Roman;Times;Serif"/>
          <w:b w:val="false"/>
          <w:i w:val="false"/>
          <w:caps w:val="false"/>
          <w:smallCaps w:val="false"/>
          <w:sz w:val="20"/>
        </w:rPr>
        <w:t xml:space="preserve"> below. The indemnity agreement set forth in this </w:t>
      </w:r>
      <w:r>
        <w:rPr>
          <w:rFonts w:ascii="Times New Roman;Times;Serif" w:hAnsi="Times New Roman;Times;Serif"/>
          <w:b w:val="false"/>
          <w:i w:val="false"/>
          <w:caps w:val="false"/>
          <w:smallCaps w:val="false"/>
          <w:sz w:val="20"/>
          <w:u w:val="single"/>
        </w:rPr>
        <w:t>Section 10(a)</w:t>
      </w:r>
      <w:r>
        <w:rPr>
          <w:rFonts w:ascii="Times New Roman;Times;Serif" w:hAnsi="Times New Roman;Times;Serif"/>
          <w:b w:val="false"/>
          <w:i w:val="false"/>
          <w:caps w:val="false"/>
          <w:smallCaps w:val="false"/>
          <w:sz w:val="20"/>
        </w:rPr>
        <w:t xml:space="preserve"> shall be in addition to any liabilities that the Company may otherwise have.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Indemnification of the Company, its Directors and Officers</w:t>
      </w:r>
      <w:r>
        <w:rPr>
          <w:rFonts w:ascii="Times New Roman;Times;Serif" w:hAnsi="Times New Roman;Times;Serif"/>
          <w:b w:val="false"/>
          <w:i w:val="false"/>
          <w:caps w:val="false"/>
          <w:smallCaps w:val="false"/>
          <w:sz w:val="20"/>
        </w:rPr>
        <w:t xml:space="preserve">. Each Agent agrees, severally and not jointly, to indemnify and hold harmless the Company, each of its directors, each of its officers who signed the Registration Statement and each person, if any, who controls the Company within the meaning of the Securities Act or the Exchange Act, against any Loss, as incurred, to which the Company, or any such director, officer or controlling person may become subject, under the Securities Act, the Exchange Act, or other federal or state statutory law or regulation, or at common law or otherwise (including in settlement of any litigation, subject to </w:t>
      </w:r>
      <w:r>
        <w:rPr>
          <w:rFonts w:ascii="Times New Roman;Times;Serif" w:hAnsi="Times New Roman;Times;Serif"/>
          <w:b w:val="false"/>
          <w:i w:val="false"/>
          <w:caps w:val="false"/>
          <w:smallCaps w:val="false"/>
          <w:sz w:val="20"/>
          <w:u w:val="single"/>
        </w:rPr>
        <w:t>Section 10(d)</w:t>
      </w:r>
      <w:r>
        <w:rPr>
          <w:rFonts w:ascii="Times New Roman;Times;Serif" w:hAnsi="Times New Roman;Times;Serif"/>
          <w:b w:val="false"/>
          <w:i w:val="false"/>
          <w:caps w:val="false"/>
          <w:smallCaps w:val="false"/>
          <w:sz w:val="20"/>
        </w:rPr>
        <w:t xml:space="preserve"> below), insofar as such Loss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the Prospectus or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in reliance upon and in conformity with written information furnished to the Company by or on behalf of the Agents expressly for use therein; and to reimburse the Company, or any such director, officer or controlling person for any and all expenses (including reasonable costs of investigation and the fees and disbursements of counsel chosen by the Company) as such expenses are reasonably incurred by the Company, or any such director, officer or controlling person in connection with investigating, defending, settling, compromising or paying any such Loss or action. The Company hereby acknowledges that the only such information that the Agents have furnished to the Company expressly for use in the Registration Statement, the Prospectus, any free writing prospectus that the Company has filed, or is required to file, pursuant to Rule 433(d) of the Securities Act or the Prospectus (or any amendment or supplement thereto) are the statements set forth in the seventh paragraph under the caption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in the Prospectus Supplement relating to the offering of the Shares.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216" w:right="21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indemnity agreement set forth in this </w:t>
      </w:r>
      <w:r>
        <w:rPr>
          <w:rFonts w:ascii="Times New Roman;Times;Serif" w:hAnsi="Times New Roman;Times;Serif"/>
          <w:b w:val="false"/>
          <w:i w:val="false"/>
          <w:caps w:val="false"/>
          <w:smallCaps w:val="false"/>
          <w:sz w:val="20"/>
          <w:u w:val="single"/>
        </w:rPr>
        <w:t>Section 10(b)</w:t>
      </w:r>
      <w:r>
        <w:rPr>
          <w:rFonts w:ascii="Times New Roman;Times;Serif" w:hAnsi="Times New Roman;Times;Serif"/>
          <w:b w:val="false"/>
          <w:i w:val="false"/>
          <w:caps w:val="false"/>
          <w:smallCaps w:val="false"/>
          <w:sz w:val="20"/>
        </w:rPr>
        <w:t xml:space="preserve"> shall be in addition to any liabilities that the Agents may otherwise have.</w:t>
      </w:r>
    </w:p>
    <w:p>
      <w:pPr>
        <w:pStyle w:val="TextBody"/>
        <w:bidi w:val="0"/>
        <w:spacing w:before="0" w:after="0"/>
        <w:ind w:left="216" w:right="216"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Notifications and Other Indemnification Procedures</w:t>
      </w:r>
      <w:r>
        <w:rPr>
          <w:rFonts w:ascii="Times New Roman;Times;Serif" w:hAnsi="Times New Roman;Times;Serif"/>
          <w:b w:val="false"/>
          <w:i w:val="false"/>
          <w:caps w:val="false"/>
          <w:smallCaps w:val="false"/>
          <w:sz w:val="20"/>
        </w:rPr>
        <w:t xml:space="preserve">. Promptly after receipt by an indemnified party under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of notice of the commencement of any action, such indemnified party will, if a claim in respect thereof is to be made against an indemnifying party under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Agents (in the case of counsel for the indemnified parties referred to in </w:t>
      </w:r>
      <w:r>
        <w:rPr>
          <w:rFonts w:ascii="Times New Roman;Times;Serif" w:hAnsi="Times New Roman;Times;Serif"/>
          <w:b w:val="false"/>
          <w:i w:val="false"/>
          <w:caps w:val="false"/>
          <w:smallCaps w:val="false"/>
          <w:sz w:val="20"/>
          <w:u w:val="single"/>
        </w:rPr>
        <w:t>Section 10(a)</w:t>
      </w:r>
      <w:r>
        <w:rPr>
          <w:rFonts w:ascii="Times New Roman;Times;Serif" w:hAnsi="Times New Roman;Times;Serif"/>
          <w:b w:val="false"/>
          <w:i w:val="false"/>
          <w:caps w:val="false"/>
          <w:smallCaps w:val="false"/>
          <w:sz w:val="20"/>
        </w:rPr>
        <w:t xml:space="preserve"> above) or by the Company (in the case of counsel for the indemnified parties referred to in </w:t>
      </w:r>
      <w:r>
        <w:rPr>
          <w:rFonts w:ascii="Times New Roman;Times;Serif" w:hAnsi="Times New Roman;Times;Serif"/>
          <w:b w:val="false"/>
          <w:i w:val="false"/>
          <w:caps w:val="false"/>
          <w:smallCaps w:val="false"/>
          <w:sz w:val="20"/>
          <w:u w:val="single"/>
        </w:rPr>
        <w:t>Section 10(b)</w:t>
      </w:r>
      <w:r>
        <w:rPr>
          <w:rFonts w:ascii="Times New Roman;Times;Serif" w:hAnsi="Times New Roman;Times;Serif"/>
          <w:b w:val="false"/>
          <w:i w:val="false"/>
          <w:caps w:val="false"/>
          <w:smallCaps w:val="false"/>
          <w:sz w:val="20"/>
        </w:rPr>
        <w:t xml:space="preserve"> above),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 Any interim reimbursement payments contemplated by </w:t>
      </w:r>
      <w:r>
        <w:rPr>
          <w:rFonts w:ascii="Times New Roman;Times;Serif" w:hAnsi="Times New Roman;Times;Serif"/>
          <w:b w:val="false"/>
          <w:i w:val="false"/>
          <w:caps w:val="false"/>
          <w:smallCaps w:val="false"/>
          <w:sz w:val="20"/>
          <w:u w:val="single"/>
        </w:rPr>
        <w:t>Section 10(a)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10(b)</w:t>
      </w:r>
      <w:r>
        <w:rPr>
          <w:rFonts w:ascii="Times New Roman;Times;Serif" w:hAnsi="Times New Roman;Times;Serif"/>
          <w:b w:val="false"/>
          <w:i w:val="false"/>
          <w:caps w:val="false"/>
          <w:smallCaps w:val="false"/>
          <w:sz w:val="20"/>
        </w:rPr>
        <w:t xml:space="preserve"> that are not made to the indemnified party within 30 days of a request for reimbursement shall bear interest compounded daily at a rate determined on the basis of the base lending rate announced from time to time by The Wall Street Journal from the date of such request.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Settlements</w:t>
      </w:r>
      <w:r>
        <w:rPr>
          <w:rFonts w:ascii="Times New Roman;Times;Serif" w:hAnsi="Times New Roman;Times;Serif"/>
          <w:b w:val="false"/>
          <w:i w:val="false"/>
          <w:caps w:val="false"/>
          <w:smallCaps w:val="false"/>
          <w:sz w:val="20"/>
        </w:rPr>
        <w:t xml:space="preserve">. The indemnifying party under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shall not be liable for any settlement of any proceeding effected without its written consent, but if settled with such consent or if there shall be a final judgment for the plaintiff, the indemnifying party agrees to indemnify the indemnified party against any loss, claim, damage, liability or expense by reason of such settlement or judgment.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 statement as to or an admission of fault, culpability or a failure to act by or on behalf of any indemnified party.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xml:space="preserve">. If the indemnification provided for in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xml:space="preserve">) hereof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Agents, on the other hand, from the offering of the Shares pursuant to this Agreement or (ii) if the allocation provided by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above is not permitted by applicable law, in such proportion as is appropriate to reflect not only the relative benefits referred to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above but also the relative fault of the Company, on the one hand, and the Agents, on the other hand, in connection with the statements or omissions which resulted in such losses, claims, damages, liabilities or expenses, as well as any other relevant equitable considerations. The relative benefits received by the Company, on the one hand, and the Agents, on the other hand, in connection with the offering of the Shares pursuant to this Agreement shall be deemed to be in the same respective proportions as the total net proceeds from the offering of the Shares pursuant to this Agreement (before deducting expenses) received by the Company, and the total compensation received by the Agents. The relative fault of the Company, on the one hand, and the Agents, on the other hand, shall be determined by reference to, among other things, whether any such untrue or alleged untrue statement of a material fact or omission or alleged omission to state a material fact relates to information supplied by the Company, on the one hand, or the Agents, on the other hand, and the parties’ relative intent, knowledge, access to information and opportunity to correct or prevent such statement or omission.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 paid or payable by a party as a result of the Losses referred to above shall be deemed to include, subject to the limitations set forth in </w:t>
      </w:r>
      <w:r>
        <w:rPr>
          <w:rFonts w:ascii="Times New Roman;Times;Serif" w:hAnsi="Times New Roman;Times;Serif"/>
          <w:b w:val="false"/>
          <w:i w:val="false"/>
          <w:caps w:val="false"/>
          <w:smallCaps w:val="false"/>
          <w:sz w:val="20"/>
          <w:u w:val="single"/>
        </w:rPr>
        <w:t>Section 10(c)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xml:space="preserve">) hereof, any legal or other fees or expenses reasonably incurred by such party in connection with investigating or defending any action or claim. The provisions set forth in </w:t>
      </w:r>
      <w:r>
        <w:rPr>
          <w:rFonts w:ascii="Times New Roman;Times;Serif" w:hAnsi="Times New Roman;Times;Serif"/>
          <w:b w:val="false"/>
          <w:i w:val="false"/>
          <w:caps w:val="false"/>
          <w:smallCaps w:val="false"/>
          <w:sz w:val="20"/>
          <w:u w:val="single"/>
        </w:rPr>
        <w:t>Section 10(c)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xml:space="preserve">) hereof with respect to notice of commencement of any action shall apply if a claim for contribution is to be made under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that no additional notice shall be required with respect to any action for which notice has been given under </w:t>
      </w:r>
      <w:r>
        <w:rPr>
          <w:rFonts w:ascii="Times New Roman;Times;Serif" w:hAnsi="Times New Roman;Times;Serif"/>
          <w:b w:val="false"/>
          <w:i w:val="false"/>
          <w:caps w:val="false"/>
          <w:smallCaps w:val="false"/>
          <w:sz w:val="20"/>
          <w:u w:val="single"/>
        </w:rPr>
        <w:t>Section 10(c)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hereof for purposes of indemnification.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 w:right="72"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and the Agents agree severally and not jointly that it would not be just and equitable if contribution pursuant to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were determined by pro rata allocation or by any other method of allocation which does not take account of the equitable considerations referred to in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Notwithstanding the provisions of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the Agents shall not be required to contribute any amount in excess of the compensation received by it in connection with the Placement Shares distributed by it to the public. No person guilty of fraudulent misrepresentation (within the meaning of Section 11(f) of the Securities Act) shall be entitled to contribution from any person who was not guilty of such fraudulent misrepresentation. For purposes of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each officer, employee and agent of the Agents and each person, if any, who controls the Agents within the meaning of the Securities Act or the Exchange Act shall have the same rights to contribution as the Agents,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pStyle w:val="TextBody"/>
        <w:bidi w:val="0"/>
        <w:spacing w:before="0" w:after="0"/>
        <w:ind w:left="72" w:right="72"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Representations and Indemnities to Survive Delivery</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respective indemnities, contribution and reimbursement agreements, representations and warranties of the Company and of the Agents set forth in this Agreement will remain in full force and effect, regardless of any investigation made by or on behalf of the Agents or the Company or any of its or their respective officers or directors or any controlling person, as the case may be, and, anything herein to the contrary notwithstanding, will survive delivery of and payment for the Placement Shares sold hereunder and any termination of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Termination of this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Applicable Agent shall have the right, by giving notice as hereinafter specified at any time, to terminate its obligations pursuant to a Placement Notice if (i) trading in the Company’s Common Stock shall have been suspended or limited by the Commission or by the Exchange, or trading in securities generally on either the Nasdaq Stock Market or the New York Stock Exchange shall have been suspended or materially limited, or minimum or maximum prices shall have been generally established on any of such stock exchanges by the Commission or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the United States’ or international political, financial or economic conditions, as in the judgment of the Agents is material and adverse and makes it impracticable or inadvisable to market the Placement Shares in the manner and on the terms described in the Prospectus or to enforce contracts for the sale of securities; (iv) in the judgment of the Applicable Agent there shall have occurred any Material Adverse Change; or (v) the Company or any of its subsidiaries shall have sustained a loss by strike, fire, flood, earthquake, accident or other calamity of such character as in the judgment of the Applicable Agent may interfere materially with the conduct of the business and operations of the Company and any of its subsidiaries taken as a whole, regardless of whether or not such loss shall have been insured. Any termination pursuant to this </w:t>
      </w:r>
      <w:r>
        <w:rPr>
          <w:rFonts w:ascii="Times New Roman;Times;Serif" w:hAnsi="Times New Roman;Times;Serif"/>
          <w:b w:val="false"/>
          <w:i w:val="false"/>
          <w:caps w:val="false"/>
          <w:smallCaps w:val="false"/>
          <w:sz w:val="20"/>
          <w:u w:val="single"/>
        </w:rPr>
        <w:t>Section 13(a)</w:t>
      </w:r>
      <w:r>
        <w:rPr>
          <w:rFonts w:ascii="Times New Roman;Times;Serif" w:hAnsi="Times New Roman;Times;Serif"/>
          <w:b w:val="false"/>
          <w:i w:val="false"/>
          <w:caps w:val="false"/>
          <w:smallCaps w:val="false"/>
          <w:sz w:val="20"/>
        </w:rPr>
        <w:t xml:space="preserve"> shall be without liability on the part of (a) the Company to the Applicable Agent, except that the Company shall be obligated to reimburse the expenses of the Applicable Agent pursuant to </w:t>
      </w:r>
      <w:r>
        <w:rPr>
          <w:rFonts w:ascii="Times New Roman;Times;Serif" w:hAnsi="Times New Roman;Times;Serif"/>
          <w:b w:val="false"/>
          <w:i w:val="false"/>
          <w:caps w:val="false"/>
          <w:smallCaps w:val="false"/>
          <w:sz w:val="20"/>
          <w:u w:val="single"/>
        </w:rPr>
        <w:t>Sections 7(h)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 xml:space="preserve">) hereof, (b) the Applicable Agent to the Company, or (c) of any party hereto to any other party except that the provisions of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Contribution</w:t>
      </w:r>
      <w:r>
        <w:rPr>
          <w:rFonts w:ascii="Times New Roman;Times;Serif" w:hAnsi="Times New Roman;Times;Serif"/>
          <w:b w:val="false"/>
          <w:i w:val="false"/>
          <w:caps w:val="false"/>
          <w:smallCaps w:val="false"/>
          <w:sz w:val="20"/>
        </w:rPr>
        <w:t>) hereof shall at all times be effective and shall survive such termination.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shall have the right to terminate this Agreement in its sole discretion at any time after the date of this Agreement. Any such termination shall be without liability of any party to any other party except that the provisions of </w:t>
      </w:r>
      <w:r>
        <w:rPr>
          <w:rFonts w:ascii="Times New Roman;Times;Serif" w:hAnsi="Times New Roman;Times;Serif"/>
          <w:b w:val="false"/>
          <w:i w:val="false"/>
          <w:caps w:val="false"/>
          <w:smallCaps w:val="false"/>
          <w:sz w:val="20"/>
          <w:u w:val="single"/>
        </w:rPr>
        <w:t>Section 7(h)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Contribution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Applicable Law; Consent to Jurisdiction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hereof shall remain in full force and effect notwithstanding such termination.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Agent shall have the right to terminate this Agreement in its sole discretion at any time after the date of this Agreement. Any such termination shall be without liability of any party to any other party except that the provisions of </w:t>
      </w:r>
      <w:r>
        <w:rPr>
          <w:rFonts w:ascii="Times New Roman;Times;Serif" w:hAnsi="Times New Roman;Times;Serif"/>
          <w:b w:val="false"/>
          <w:i w:val="false"/>
          <w:caps w:val="false"/>
          <w:smallCaps w:val="false"/>
          <w:sz w:val="20"/>
          <w:u w:val="single"/>
        </w:rPr>
        <w:t>Section 7(h)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Contribution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Applicable Law; Consent to Jurisdiction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hereof shall remain in full force and effect notwithstanding such termination.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Unless earlier terminated pursuant to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this Agreement shall automatically terminate upon the issuance and sale of all of the Shares through the Agents on the terms and subject to the conditions set forth herein;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provisions of </w:t>
      </w:r>
      <w:r>
        <w:rPr>
          <w:rFonts w:ascii="Times New Roman;Times;Serif" w:hAnsi="Times New Roman;Times;Serif"/>
          <w:b w:val="false"/>
          <w:i w:val="false"/>
          <w:caps w:val="false"/>
          <w:smallCaps w:val="false"/>
          <w:sz w:val="20"/>
          <w:u w:val="single"/>
        </w:rPr>
        <w:t>Section 7(h)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Contribution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Applicable Law; Consent to Jurisdiction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hereof shall remain in full force and effect notwithstanding such termination.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This Agreement shall remain in full force and effect unless terminated pursuant to </w:t>
      </w:r>
      <w:r>
        <w:rPr>
          <w:rFonts w:ascii="Times New Roman;Times;Serif" w:hAnsi="Times New Roman;Times;Serif"/>
          <w:b w:val="false"/>
          <w:i w:val="false"/>
          <w:caps w:val="false"/>
          <w:smallCaps w:val="false"/>
          <w:sz w:val="20"/>
          <w:u w:val="single"/>
        </w:rPr>
        <w:t>Sections 13(a)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above or otherwise by mutual agreement of the parties;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any such termination by mutual agreement shall in all cases be deemed to provide that </w:t>
      </w:r>
      <w:r>
        <w:rPr>
          <w:rFonts w:ascii="Times New Roman;Times;Serif" w:hAnsi="Times New Roman;Times;Serif"/>
          <w:b w:val="false"/>
          <w:i w:val="false"/>
          <w:caps w:val="false"/>
          <w:smallCaps w:val="false"/>
          <w:sz w:val="20"/>
          <w:u w:val="single"/>
        </w:rPr>
        <w:t>Section 7(h)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Contribution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Applicable Law; Consent to Jurisdiction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shall remain in full force and effect.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termination of this Agreement shall be effective on the date specified in such notice of termination;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such termination shall not be effective until the close of business on the date of receipt of such notice by the Agents or the Company, as the case may be. If such termination shall occur prior to the Settlement Date for any sale of Placement Shares, such Placement Shares shall settle in accordance with the provisions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communications hereunder shall be in writing and shall be mailed, hand delivered or transmitted and confirmed by any standard form of communication to the parties hereto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Agents: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Raymond James &amp; Associates, Inc.</w:t>
        <w:br/>
        <w:t>880 Carillon Parkway</w:t>
        <w:br/>
        <w:t>St. Petersburg, Florida 33716</w:t>
        <w:br/>
        <w:t>Email: GEIBLegal@raymondjames.com</w:t>
        <w:br/>
        <w:t>Attn: Brad Cole, General Counsel, Global Equities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Needham &amp; Company, LLC</w:t>
        <w:br/>
        <w:t>250 Park Avenue</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10177</w:t>
        <w:br/>
        <w:t>Email: mcastrovince@needhamco.com</w:t>
        <w:br/>
        <w:t>Attn: Matthew Castrovince, Head of Technology Capital Markets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Mayer Brown LLP</w:t>
        <w:br/>
        <w:t>1221 Avenue of the Americas</w:t>
        <w:br/>
        <w:t>New York, New York 10020-1001</w:t>
        <w:br/>
        <w:t>Facsimile: (212) 849-5767</w:t>
        <w:br/>
        <w:t>Email: apinedo@mayerbrown.com</w:t>
        <w:br/>
        <w:t>Attention: Anna T. Pinedo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Applied Optoelectronics, Inc.</w:t>
        <w:br/>
        <w:t>13139 Jess Pirtle Blvd</w:t>
        <w:br/>
        <w:t>Sugar Land, Texas 77478</w:t>
        <w:br/>
        <w:t>Facsimile: (281) 966-6988</w:t>
        <w:br/>
        <w:t>Attention: David C. Kuo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Haynes and Boone, LLP</w:t>
        <w:br/>
        <w:t>1221 McKinney Street, Suite 4000</w:t>
        <w:br/>
        <w:t>Houston, TX 77010-2007</w:t>
        <w:br/>
        <w:t>Facsimile: (713) 236-5659</w:t>
        <w:br/>
        <w:t>Attention: Frank Wu</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party hereto may change the address for receipt of communications by giving written notice to the others.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inure to the benefit of and be binding upon the Company and the Agents and their respective successors, permitted assigns and the affiliates, controlling persons, officers, directors, employees and agents referred to in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No party may assign its rights or obligations under this Agreement without the prior written consent of each of the other parties;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an Agent may assign its rights and obligations hereunder to an affiliate of such Agent without obtaining the Company’s consent.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Adjustments for Stock Splits</w:t>
      </w:r>
      <w:r>
        <w:rPr>
          <w:rFonts w:ascii="Times New Roman;Times;Serif" w:hAnsi="Times New Roman;Times;Serif"/>
          <w:b w:val="false"/>
          <w:i w:val="false"/>
          <w:caps w:val="false"/>
          <w:smallCaps w:val="false"/>
          <w:sz w:val="20"/>
        </w:rPr>
        <w:t>. The parties acknowledge and agree that all stock-related numbers contained in this Agreement shall be adjusted to take into account any stock split, stock dividend or similar event effected with respect to the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val="false"/>
          <w:smallCaps w:val="false"/>
          <w:sz w:val="20"/>
          <w:u w:val="single"/>
        </w:rPr>
        <w:t>Entire Agreement; Amendment; Severability</w:t>
      </w:r>
      <w:r>
        <w:rPr>
          <w:rFonts w:ascii="Times New Roman;Times;Serif" w:hAnsi="Times New Roman;Times;Serif"/>
          <w:b w:val="false"/>
          <w:i w:val="false"/>
          <w:caps w:val="false"/>
          <w:smallCaps w:val="false"/>
          <w:sz w:val="20"/>
        </w:rPr>
        <w:t>. This Agreement (including all schedules and exhibits attached hereto and Placement Notices issued pursuant hereto and not declined by the Agents) constitutes the entire agreement of the parties to this Agreement and supersedes all prior written or oral and all contemporaneous oral agreements, understandings and negotiations with respect to the subject matter hereof. This Agreement may not be amended or modified unless in writing by all of the parties hereto, and no condition herein (express or implied) may be waived unless waived in writing by each party whom the condition is meant to benefit.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val="false"/>
          <w:smallCaps w:val="false"/>
          <w:sz w:val="20"/>
          <w:u w:val="single"/>
        </w:rPr>
        <w:t>Applicable Law; Consent to Jurisdiction</w:t>
      </w:r>
      <w:r>
        <w:rPr>
          <w:rFonts w:ascii="Times New Roman;Times;Serif" w:hAnsi="Times New Roman;Times;Serif"/>
          <w:b w:val="false"/>
          <w:i w:val="false"/>
          <w:caps w:val="false"/>
          <w:smallCaps w:val="false"/>
          <w:sz w:val="20"/>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Times;Serif" w:hAnsi="Times New Roman;Times;Serif"/>
          <w:b/>
          <w:i w:val="false"/>
          <w:caps w:val="false"/>
          <w:smallCaps w:val="false"/>
          <w:sz w:val="20"/>
          <w:u w:val="single"/>
        </w:rPr>
        <w:t>Specified Courts</w:t>
      </w:r>
      <w:r>
        <w:rPr>
          <w:rFonts w:ascii="Times New Roman;Times;Serif" w:hAnsi="Times New Roman;Times;Serif"/>
          <w:b w:val="false"/>
          <w:i w:val="false"/>
          <w:caps w:val="false"/>
          <w:smallCaps w:val="false"/>
          <w:sz w:val="20"/>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19.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The Company and the Agents each hereby irrevocably waives any right it may have to a trial by jury in respect of any claim based upon or arising out of this Agreement or any transaction contemplated 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             </w:t>
      </w:r>
      <w:r>
        <w:rPr>
          <w:rFonts w:ascii="Times New Roman;Times;Serif" w:hAnsi="Times New Roman;Times;Serif"/>
          <w:b w:val="false"/>
          <w:i w:val="false"/>
          <w:caps w:val="false"/>
          <w:smallCaps w:val="false"/>
          <w:sz w:val="20"/>
          <w:u w:val="single"/>
        </w:rPr>
        <w:t>Absence of Fiduciary Relationship</w:t>
      </w:r>
      <w:r>
        <w:rPr>
          <w:rFonts w:ascii="Times New Roman;Times;Serif" w:hAnsi="Times New Roman;Times;Serif"/>
          <w:b w:val="false"/>
          <w:i w:val="false"/>
          <w:caps w:val="false"/>
          <w:smallCaps w:val="false"/>
          <w:sz w:val="20"/>
        </w:rPr>
        <w:t>. The Company acknowledges and agrees that: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Agents have been retained solely to act as agent in connection with the sale of the Shares and that no fiduciary, advisory or agency relationship between the Company and either of the Agents has been created in respect of any of the transactions contemplated by this Agreement, irrespective of whether either of the Agents has advised or is advising the Company on other matters;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Company is capable of evaluating and understanding and understands and accepts the terms, risks and conditions of the transactions contemplated by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been advised that each of the Agents and their respective affiliates are engaged in a broad range of transactions which may involve interests that differ from those of the Company and that each of the Agents has no obligation to disclose such interests and transactions to the Company by virtue of any fiduciary, advisory or agency relationship;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waives, to the fullest extent permitted by law, any claims it may have against each of the Agents, for breach of fiduciary duty or alleged breach of fiduciary duty and agrees that each of the Agents shall have no liability (whether direct or indirect) to the Company in respect of such a fiduciary claim or to any person asserting a fiduciary duty claim on behalf of or in right of the Company, including stockholders, partners, employees or creditors of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counterparts, each of which shall be deemed an original, but all of which together shall constitute one and the same instrument. Delivery may be made by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Recognition of the U.S. Special Resolutions Regime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any Agent is a Covered Entity (as defined below) becomes subject to a proceeding under a U.S. Special Resolution Regime (as defined below), the transfer from such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Agent is a Covered Entity or a BHC Act Affiliate (as defined below) of such Agent becomes subject to a proceeding under a U.S. Special Resolution Regime, Default Rights (as defined below) under this Agreement that may be exercised against such Agent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(A) “</w:t>
      </w:r>
      <w:r>
        <w:rPr>
          <w:rFonts w:ascii="Times New Roman;Times;Serif" w:hAnsi="Times New Roman;Times;Serif"/>
          <w:b/>
          <w:i w:val="false"/>
          <w:caps w:val="false"/>
          <w:smallCaps w:val="false"/>
          <w:sz w:val="20"/>
          <w:u w:val="single"/>
        </w:rPr>
        <w:t>BHC Act Affiliate</w:t>
      </w:r>
      <w:r>
        <w:rPr>
          <w:rFonts w:ascii="Times New Roman;Times;Serif" w:hAnsi="Times New Roman;Times;Serif"/>
          <w:b w:val="false"/>
          <w:i w:val="false"/>
          <w:caps w:val="false"/>
          <w:smallCaps w:val="false"/>
          <w:sz w:val="20"/>
        </w:rPr>
        <w:t>” has the meaning assigned to the term “affiliate” in, and shall be interpreted in accordance with, 12 U.S.C. § 1841(k); (B) “</w:t>
      </w:r>
      <w:r>
        <w:rPr>
          <w:rFonts w:ascii="Times New Roman;Times;Serif" w:hAnsi="Times New Roman;Times;Serif"/>
          <w:b/>
          <w:i w:val="false"/>
          <w:caps w:val="false"/>
          <w:smallCaps w:val="false"/>
          <w:sz w:val="20"/>
          <w:u w:val="single"/>
        </w:rPr>
        <w:t>Covered Entity</w:t>
      </w:r>
      <w:r>
        <w:rPr>
          <w:rFonts w:ascii="Times New Roman;Times;Serif" w:hAnsi="Times New Roman;Times;Serif"/>
          <w:b w:val="false"/>
          <w:i w:val="false"/>
          <w:caps w:val="false"/>
          <w:smallCaps w:val="false"/>
          <w:sz w:val="20"/>
        </w:rPr>
        <w:t>” means any of the following: (i) a “covered entity” as the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Times;Serif" w:hAnsi="Times New Roman;Times;Serif"/>
          <w:b/>
          <w:i w:val="false"/>
          <w:caps w:val="false"/>
          <w:smallCaps w:val="false"/>
          <w:sz w:val="20"/>
          <w:u w:val="single"/>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 and (D) “</w:t>
      </w:r>
      <w:r>
        <w:rPr>
          <w:rFonts w:ascii="Times New Roman;Times;Serif" w:hAnsi="Times New Roman;Times;Serif"/>
          <w:b/>
          <w:i w:val="false"/>
          <w:caps w:val="false"/>
          <w:smallCaps w:val="false"/>
          <w:sz w:val="20"/>
          <w:u w:val="single"/>
        </w:rPr>
        <w:t>U.S. Special Resolution Regime</w:t>
      </w:r>
      <w:r>
        <w:rPr>
          <w:rFonts w:ascii="Times New Roman;Times;Serif" w:hAnsi="Times New Roman;Times;Serif"/>
          <w:b w:val="false"/>
          <w:i w:val="false"/>
          <w:caps w:val="false"/>
          <w:smallCaps w:val="false"/>
          <w:sz w:val="20"/>
        </w:rPr>
        <w:t>”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in this Agreement, the following terms have the respective meanings set forth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u w:val="single"/>
        </w:rPr>
        <w:t>Applicable Time</w:t>
      </w:r>
      <w:r>
        <w:rPr>
          <w:rFonts w:ascii="Times New Roman;Times;Serif" w:hAnsi="Times New Roman;Times;Serif"/>
          <w:b w:val="false"/>
          <w:i w:val="false"/>
          <w:caps w:val="false"/>
          <w:smallCaps w:val="false"/>
          <w:sz w:val="20"/>
        </w:rPr>
        <w:t>” means the date of this Agreement, each Representation Date, the date on which a Placement Notice is given, any date on which Placement Shares are sold hereunder and each Settlement Date, or such other time as agreed to by the Company and the Agents.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u w:val="single"/>
        </w:rPr>
        <w:t>GAAP</w:t>
      </w:r>
      <w:r>
        <w:rPr>
          <w:rFonts w:ascii="Times New Roman;Times;Serif" w:hAnsi="Times New Roman;Times;Serif"/>
          <w:b w:val="false"/>
          <w:i w:val="false"/>
          <w:caps w:val="false"/>
          <w:smallCaps w:val="false"/>
          <w:sz w:val="20"/>
        </w:rPr>
        <w:t>” means United States generally accepted accounting principles, consistently applied.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u w:val="single"/>
        </w:rPr>
        <w:t>Business Day</w:t>
      </w:r>
      <w:r>
        <w:rPr>
          <w:rFonts w:ascii="Times New Roman;Times;Serif" w:hAnsi="Times New Roman;Times;Serif"/>
          <w:b w:val="false"/>
          <w:i w:val="false"/>
          <w:caps w:val="false"/>
          <w:smallCaps w:val="false"/>
          <w:sz w:val="20"/>
        </w:rPr>
        <w:t>” means any day on which the Exchange and commercial banks in the City of New York are open for business.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xml:space="preserve">. Each of the parties hereto acknowledges that it is a sophisticated business person who was adequately represented by counsel during negotiations regarding the provisions hereof, including, without limitation, the indemnification provisions of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xml:space="preserve">) and the contribution provisions of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Contribution</w:t>
      </w:r>
      <w:r>
        <w:rPr>
          <w:rFonts w:ascii="Times New Roman;Times;Serif" w:hAnsi="Times New Roman;Times;Serif"/>
          <w:b w:val="false"/>
          <w:i w:val="false"/>
          <w:caps w:val="false"/>
          <w:smallCaps w:val="false"/>
          <w:sz w:val="20"/>
        </w:rPr>
        <w:t xml:space="preserve">), and is fully informed regarding said provisions. Each of the parties hereto further acknowledges that the provisions of </w:t>
      </w:r>
      <w:r>
        <w:rPr>
          <w:rFonts w:ascii="Times New Roman;Times;Serif" w:hAnsi="Times New Roman;Times;Serif"/>
          <w:b w:val="false"/>
          <w:i w:val="false"/>
          <w:caps w:val="false"/>
          <w:smallCaps w:val="false"/>
          <w:sz w:val="20"/>
          <w:u w:val="single"/>
        </w:rPr>
        <w:t>Sections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Contribution</w:t>
      </w:r>
      <w:r>
        <w:rPr>
          <w:rFonts w:ascii="Times New Roman;Times;Serif" w:hAnsi="Times New Roman;Times;Serif"/>
          <w:b w:val="false"/>
          <w:i w:val="false"/>
          <w:caps w:val="false"/>
          <w:smallCaps w:val="false"/>
          <w:sz w:val="20"/>
        </w:rPr>
        <w:t>) hereto fairly allocate the risks in light of the ability of the parties to investigate the Company, its affairs and its business in order to assure that adequate disclosure has been made in the Registration Statement, each free writing prospectus and the Prospectus (and any amendments and supplements thereto), as required by the Securities Act and the Exchange Act. The section headings herein are for the convenience of the parties only and shall not affect the construction or interpretation of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correctly sets forth the understanding between the Company and each of the Agents, please so indicate in the space provided below for that purpose, whereupon this letter shall constitute a binding agreement between the Company and each of the Agents.</w:t>
      </w:r>
    </w:p>
    <w:p>
      <w:pPr>
        <w:pStyle w:val="TextBody"/>
        <w:bidi w:val="0"/>
        <w:spacing w:before="0" w:after="0"/>
        <w:ind w:left="0" w:right="0" w:firstLine="720"/>
        <w:jc w:val="left"/>
        <w:rPr>
          <w:caps w:val="false"/>
          <w:smallCaps w:val="false"/>
        </w:rPr>
      </w:pPr>
      <w:r>
        <w:rPr>
          <w:caps w:val="false"/>
          <w:smallCaps w:val="false"/>
        </w:rPr>
        <w:t> </w:t>
      </w:r>
    </w:p>
    <w:tbl>
      <w:tblPr>
        <w:tblW w:w="3459" w:type="dxa"/>
        <w:jc w:val="left"/>
        <w:tblInd w:w="0" w:type="dxa"/>
        <w:tblLayout w:type="fixed"/>
        <w:tblCellMar>
          <w:top w:w="0" w:type="dxa"/>
          <w:left w:w="0" w:type="dxa"/>
          <w:bottom w:w="0" w:type="dxa"/>
          <w:right w:w="0" w:type="dxa"/>
        </w:tblCellMar>
      </w:tblPr>
      <w:tblGrid>
        <w:gridCol w:w="80"/>
        <w:gridCol w:w="610"/>
        <w:gridCol w:w="2769"/>
      </w:tblGrid>
      <w:tr>
        <w:trPr/>
        <w:tc>
          <w:tcPr>
            <w:tcW w:w="80" w:type="dxa"/>
            <w:tcBorders/>
            <w:vAlign w:val="center"/>
          </w:tcPr>
          <w:p>
            <w:pPr>
              <w:pStyle w:val="TableContents"/>
              <w:bidi w:val="0"/>
              <w:spacing w:before="0" w:after="283"/>
              <w:jc w:val="left"/>
              <w:rPr/>
            </w:pPr>
            <w:r>
              <w:rPr/>
              <w:t> </w:t>
            </w:r>
          </w:p>
        </w:tc>
        <w:tc>
          <w:tcPr>
            <w:tcW w:w="33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80" w:type="dxa"/>
            <w:tcBorders/>
            <w:vAlign w:val="center"/>
          </w:tcPr>
          <w:p>
            <w:pPr>
              <w:pStyle w:val="TableContents"/>
              <w:bidi w:val="0"/>
              <w:spacing w:before="0" w:after="283"/>
              <w:jc w:val="left"/>
              <w:rPr/>
            </w:pPr>
            <w:r>
              <w:rPr/>
              <w:t> </w:t>
            </w:r>
          </w:p>
        </w:tc>
        <w:tc>
          <w:tcPr>
            <w:tcW w:w="33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37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APPLIED OPTOELECTRONICS, INC.</w:t>
            </w:r>
          </w:p>
        </w:tc>
      </w:tr>
      <w:tr>
        <w:trPr/>
        <w:tc>
          <w:tcPr>
            <w:tcW w:w="80" w:type="dxa"/>
            <w:tcBorders/>
            <w:vAlign w:val="center"/>
          </w:tcPr>
          <w:p>
            <w:pPr>
              <w:pStyle w:val="TableContents"/>
              <w:bidi w:val="0"/>
              <w:spacing w:before="0" w:after="283"/>
              <w:jc w:val="left"/>
              <w:rPr/>
            </w:pPr>
            <w:r>
              <w:rPr/>
              <w:t> </w:t>
            </w:r>
          </w:p>
        </w:tc>
        <w:tc>
          <w:tcPr>
            <w:tcW w:w="33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76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Chih-Hsiang (Thompson) Lin</w:t>
            </w:r>
          </w:p>
        </w:tc>
      </w:tr>
      <w:tr>
        <w:trPr/>
        <w:tc>
          <w:tcPr>
            <w:tcW w:w="8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7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Chih-Hsiang (Thompson) Lin</w:t>
            </w:r>
          </w:p>
        </w:tc>
      </w:tr>
      <w:tr>
        <w:trPr/>
        <w:tc>
          <w:tcPr>
            <w:tcW w:w="8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7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CEO &amp; Chairman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95" w:type="dxa"/>
        <w:jc w:val="left"/>
        <w:tblInd w:w="0" w:type="dxa"/>
        <w:tblLayout w:type="fixed"/>
        <w:tblCellMar>
          <w:top w:w="0" w:type="dxa"/>
          <w:left w:w="0" w:type="dxa"/>
          <w:bottom w:w="0" w:type="dxa"/>
          <w:right w:w="0" w:type="dxa"/>
        </w:tblCellMar>
      </w:tblPr>
      <w:tblGrid>
        <w:gridCol w:w="80"/>
        <w:gridCol w:w="590"/>
        <w:gridCol w:w="3425"/>
      </w:tblGrid>
      <w:tr>
        <w:trPr/>
        <w:tc>
          <w:tcPr>
            <w:tcW w:w="80" w:type="dxa"/>
            <w:tcBorders/>
            <w:vAlign w:val="center"/>
          </w:tcPr>
          <w:p>
            <w:pPr>
              <w:pStyle w:val="TableContents"/>
              <w:bidi w:val="0"/>
              <w:spacing w:before="0" w:after="283"/>
              <w:jc w:val="left"/>
              <w:rPr/>
            </w:pPr>
            <w:r>
              <w:rPr/>
              <w:t> </w:t>
            </w:r>
          </w:p>
        </w:tc>
        <w:tc>
          <w:tcPr>
            <w:tcW w:w="40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ACCEPTED as of the date first-above written:</w:t>
            </w:r>
          </w:p>
        </w:tc>
      </w:tr>
      <w:tr>
        <w:trPr/>
        <w:tc>
          <w:tcPr>
            <w:tcW w:w="80" w:type="dxa"/>
            <w:tcBorders/>
            <w:vAlign w:val="center"/>
          </w:tcPr>
          <w:p>
            <w:pPr>
              <w:pStyle w:val="TableContents"/>
              <w:bidi w:val="0"/>
              <w:spacing w:before="0" w:after="283"/>
              <w:jc w:val="left"/>
              <w:rPr/>
            </w:pPr>
            <w:r>
              <w:rPr/>
              <w:t> </w:t>
            </w:r>
          </w:p>
        </w:tc>
        <w:tc>
          <w:tcPr>
            <w:tcW w:w="401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0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RAYMOND JAMES &amp; ASSOCIATES, INC.</w:t>
            </w:r>
          </w:p>
        </w:tc>
      </w:tr>
      <w:tr>
        <w:trPr/>
        <w:tc>
          <w:tcPr>
            <w:tcW w:w="80" w:type="dxa"/>
            <w:tcBorders/>
            <w:vAlign w:val="center"/>
          </w:tcPr>
          <w:p>
            <w:pPr>
              <w:pStyle w:val="TableContents"/>
              <w:bidi w:val="0"/>
              <w:spacing w:before="0" w:after="283"/>
              <w:jc w:val="left"/>
              <w:rPr/>
            </w:pPr>
            <w:r>
              <w:rPr/>
              <w:t> </w:t>
            </w:r>
          </w:p>
        </w:tc>
        <w:tc>
          <w:tcPr>
            <w:tcW w:w="401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Geoffrey M. Tobin</w:t>
            </w:r>
          </w:p>
        </w:tc>
      </w:tr>
      <w:tr>
        <w:trPr/>
        <w:tc>
          <w:tcPr>
            <w:tcW w:w="8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Geoffrey M. Tobin</w:t>
            </w:r>
          </w:p>
        </w:tc>
      </w:tr>
      <w:tr>
        <w:trPr/>
        <w:tc>
          <w:tcPr>
            <w:tcW w:w="8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 – Investment Banking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59" w:type="dxa"/>
        <w:jc w:val="left"/>
        <w:tblInd w:w="0" w:type="dxa"/>
        <w:tblLayout w:type="fixed"/>
        <w:tblCellMar>
          <w:top w:w="0" w:type="dxa"/>
          <w:left w:w="0" w:type="dxa"/>
          <w:bottom w:w="0" w:type="dxa"/>
          <w:right w:w="0" w:type="dxa"/>
        </w:tblCellMar>
      </w:tblPr>
      <w:tblGrid>
        <w:gridCol w:w="80"/>
        <w:gridCol w:w="629"/>
        <w:gridCol w:w="2150"/>
      </w:tblGrid>
      <w:tr>
        <w:trPr/>
        <w:tc>
          <w:tcPr>
            <w:tcW w:w="80" w:type="dxa"/>
            <w:tcBorders/>
            <w:vAlign w:val="center"/>
          </w:tcPr>
          <w:p>
            <w:pPr>
              <w:pStyle w:val="TableContents"/>
              <w:bidi w:val="0"/>
              <w:spacing w:before="0" w:after="283"/>
              <w:jc w:val="left"/>
              <w:rPr/>
            </w:pPr>
            <w:r>
              <w:rPr/>
              <w:t> </w:t>
            </w:r>
          </w:p>
        </w:tc>
        <w:tc>
          <w:tcPr>
            <w:tcW w:w="277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NEEDHAM &amp; COMPANY, LLC</w:t>
            </w:r>
          </w:p>
        </w:tc>
      </w:tr>
      <w:tr>
        <w:trPr/>
        <w:tc>
          <w:tcPr>
            <w:tcW w:w="80" w:type="dxa"/>
            <w:tcBorders/>
            <w:vAlign w:val="center"/>
          </w:tcPr>
          <w:p>
            <w:pPr>
              <w:pStyle w:val="TableContents"/>
              <w:bidi w:val="0"/>
              <w:spacing w:before="0" w:after="283"/>
              <w:jc w:val="left"/>
              <w:rPr/>
            </w:pPr>
            <w:r>
              <w:rPr/>
              <w:t> </w:t>
            </w:r>
          </w:p>
        </w:tc>
        <w:tc>
          <w:tcPr>
            <w:tcW w:w="27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1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Matthew Castrovince</w:t>
            </w:r>
          </w:p>
        </w:tc>
      </w:tr>
      <w:tr>
        <w:trPr/>
        <w:tc>
          <w:tcPr>
            <w:tcW w:w="8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Castrovince</w:t>
            </w:r>
          </w:p>
        </w:tc>
      </w:tr>
      <w:tr>
        <w:trPr/>
        <w:tc>
          <w:tcPr>
            <w:tcW w:w="8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PLACEMENT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 ]</w:t>
        <w:br/>
        <w:t>Cc: [ ]</w:t>
        <w:br/>
        <w:t>To: [ ]</w:t>
        <w:br/>
        <w:t>Subject: Controlled Equity Offering — Placement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and subject to the conditions contained in the Equity Distribution Agreement between Applied Optoelectronics,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Raymond James &amp; Associates, Inc. and Needham &amp; Company, LLC, dated May [●], 2026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 hereby request on behalf of the Company that [●] (the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sell up to [●] shares of the Company’s common stock, par value $0.001 per share, at a minimum market price of $[●] per share, during the time period beginning [month, day, time] and ending [month, day, time]. The foregoing sales shall be made on The Nasdaq Global Market or as otherwise agreed to in writing by the Company and the Agent.</w:t>
      </w:r>
    </w:p>
    <w:p>
      <w:pPr>
        <w:pStyle w:val="TextBody"/>
        <w:bidi w:val="0"/>
        <w:spacing w:before="0" w:after="0"/>
        <w:ind w:left="0" w:right="0" w:hanging="0"/>
        <w:jc w:val="both"/>
        <w:rPr>
          <w:caps w:val="false"/>
          <w:smallCaps w:val="false"/>
        </w:rPr>
      </w:pPr>
      <w:r>
        <w:rPr>
          <w:caps w:val="false"/>
          <w:smallCaps w:val="false"/>
        </w:rPr>
        <w:t> </w:t>
      </w:r>
    </w:p>
    <w:tbl>
      <w:tblPr>
        <w:tblW w:w="3459" w:type="dxa"/>
        <w:jc w:val="left"/>
        <w:tblInd w:w="0" w:type="dxa"/>
        <w:tblLayout w:type="fixed"/>
        <w:tblCellMar>
          <w:top w:w="0" w:type="dxa"/>
          <w:left w:w="0" w:type="dxa"/>
          <w:bottom w:w="0" w:type="dxa"/>
          <w:right w:w="0" w:type="dxa"/>
        </w:tblCellMar>
      </w:tblPr>
      <w:tblGrid>
        <w:gridCol w:w="80"/>
        <w:gridCol w:w="854"/>
        <w:gridCol w:w="2525"/>
      </w:tblGrid>
      <w:tr>
        <w:trPr/>
        <w:tc>
          <w:tcPr>
            <w:tcW w:w="80" w:type="dxa"/>
            <w:tcBorders/>
            <w:vAlign w:val="center"/>
          </w:tcPr>
          <w:p>
            <w:pPr>
              <w:pStyle w:val="TableContents"/>
              <w:bidi w:val="0"/>
              <w:spacing w:before="0" w:after="283"/>
              <w:jc w:val="left"/>
              <w:rPr/>
            </w:pPr>
            <w:r>
              <w:rPr/>
              <w:t> </w:t>
            </w:r>
          </w:p>
        </w:tc>
        <w:tc>
          <w:tcPr>
            <w:tcW w:w="337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APPLIED OPTOELECTRONICS, INC.</w:t>
            </w:r>
          </w:p>
        </w:tc>
      </w:tr>
      <w:tr>
        <w:trPr/>
        <w:tc>
          <w:tcPr>
            <w:tcW w:w="80" w:type="dxa"/>
            <w:tcBorders/>
            <w:vAlign w:val="center"/>
          </w:tcPr>
          <w:p>
            <w:pPr>
              <w:pStyle w:val="TableContents"/>
              <w:bidi w:val="0"/>
              <w:spacing w:before="0" w:after="283"/>
              <w:jc w:val="left"/>
              <w:rPr/>
            </w:pPr>
            <w:r>
              <w:rPr/>
              <w:t> </w:t>
            </w:r>
          </w:p>
        </w:tc>
        <w:tc>
          <w:tcPr>
            <w:tcW w:w="33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2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2</w:t>
      </w:r>
    </w:p>
    <w:p>
      <w:pPr>
        <w:pStyle w:val="TextBody"/>
        <w:bidi w:val="0"/>
        <w:spacing w:before="0" w:after="0"/>
        <w:ind w:left="0" w:right="0" w:hanging="0"/>
        <w:jc w:val="right"/>
        <w:rPr>
          <w:caps w:val="false"/>
          <w:smallCaps w:val="false"/>
        </w:rPr>
      </w:pPr>
      <w:r>
        <w:rPr>
          <w:caps w:val="false"/>
          <w:smallCaps w:val="false"/>
        </w:rPr>
        <w:t> </w:t>
      </w:r>
    </w:p>
    <w:tbl>
      <w:tblPr>
        <w:tblW w:w="6735" w:type="dxa"/>
        <w:jc w:val="left"/>
        <w:tblInd w:w="0" w:type="dxa"/>
        <w:tblLayout w:type="fixed"/>
        <w:tblCellMar>
          <w:top w:w="0" w:type="dxa"/>
          <w:left w:w="0" w:type="dxa"/>
          <w:bottom w:w="0" w:type="dxa"/>
          <w:right w:w="0" w:type="dxa"/>
        </w:tblCellMar>
      </w:tblPr>
      <w:tblGrid>
        <w:gridCol w:w="3695"/>
        <w:gridCol w:w="65"/>
        <w:gridCol w:w="2975"/>
      </w:tblGrid>
      <w:tr>
        <w:trPr/>
        <w:tc>
          <w:tcPr>
            <w:tcW w:w="369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RAYMOND JAMES &amp; ASSOCIATES, INC.</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29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Geoffrey M. Tobin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2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Geoffrey.tobin@raymondjames.com</w:t>
            </w:r>
          </w:p>
        </w:tc>
      </w:tr>
      <w:tr>
        <w:trPr/>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 Fordham</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2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Jeff.fordham@raymondjames.com</w:t>
            </w:r>
          </w:p>
        </w:tc>
      </w:tr>
      <w:tr>
        <w:trPr/>
        <w:tc>
          <w:tcPr>
            <w:tcW w:w="369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29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NEEDHAM &amp; COMPANY, LLC</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29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Castrovince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2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Mcastrovince@needhamco.com</w:t>
            </w:r>
          </w:p>
        </w:tc>
      </w:tr>
      <w:tr>
        <w:trPr/>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 Higgins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2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Jhiggins@needhamco.com</w:t>
            </w:r>
          </w:p>
        </w:tc>
      </w:tr>
      <w:tr>
        <w:trPr/>
        <w:tc>
          <w:tcPr>
            <w:tcW w:w="369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29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APPLIED OPTOELECTRONICS, INC.</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29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Chih-Hsiang (Thompson)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2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chlin@ao-inc.com</w:t>
            </w:r>
          </w:p>
        </w:tc>
      </w:tr>
      <w:tr>
        <w:trPr/>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Stefan Murry</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2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Smurry@ao-inc.com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FREE WRITING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7(n)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OFFICERS’ CERTIFICATE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7(n) of the Equity Distribution Agreement between Applied Optoelectronics, Inc., a Delaware corporation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Raymond James &amp; Associates, Inc., and Needham &amp; Company, LLC, dated May [●], 2026 (the “</w:t>
      </w:r>
      <w:r>
        <w:rPr>
          <w:rFonts w:ascii="Times New Roman;Times;Serif" w:hAnsi="Times New Roman;Times;Serif"/>
          <w:b/>
          <w:i w:val="false"/>
          <w:caps w:val="false"/>
          <w:smallCaps w:val="false"/>
          <w:sz w:val="20"/>
          <w:u w:val="single"/>
        </w:rPr>
        <w:t>Agreement</w:t>
      </w:r>
      <w:r>
        <w:rPr>
          <w:rFonts w:ascii="Times New Roman;Times;Serif" w:hAnsi="Times New Roman;Times;Serif"/>
          <w:b w:val="false"/>
          <w:i w:val="false"/>
          <w:caps w:val="false"/>
          <w:smallCaps w:val="false"/>
          <w:sz w:val="20"/>
        </w:rPr>
        <w:t>”), each of the undersigned, Chih-Hsiang (Thompson) Lin, the duly qualified and elected Chairman, President and Chief Executive Officer of the Company, and Stefan Murry, the duly qualified and elected Chief Financial Officer of the Company, hereby certifies solely in his capacity and on behalf of the Company, that to the best of his knowledge: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representations and warranties of the Company in Section 6 of the Agreement (A) to the extent such representations and warranties are subject to qualifications and exceptions contained therein relating to materiality or result in a Material Adverse Change,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has complied with all agreements and satisfied all conditions on its part to be performed or satisfied pursuant to the Agreement at or prior to the date hereof.</w:t>
      </w:r>
    </w:p>
    <w:p>
      <w:pPr>
        <w:pStyle w:val="TextBody"/>
        <w:bidi w:val="0"/>
        <w:spacing w:before="0" w:after="0"/>
        <w:ind w:left="0" w:right="0" w:firstLine="720"/>
        <w:jc w:val="left"/>
        <w:rPr>
          <w:caps w:val="false"/>
          <w:smallCaps w:val="false"/>
        </w:rPr>
      </w:pPr>
      <w:r>
        <w:rPr>
          <w:caps w:val="false"/>
          <w:smallCaps w:val="false"/>
        </w:rPr>
        <w:t> </w:t>
      </w:r>
    </w:p>
    <w:tbl>
      <w:tblPr>
        <w:tblW w:w="3120" w:type="dxa"/>
        <w:jc w:val="left"/>
        <w:tblInd w:w="0" w:type="dxa"/>
        <w:tblLayout w:type="fixed"/>
        <w:tblCellMar>
          <w:top w:w="0" w:type="dxa"/>
          <w:left w:w="0" w:type="dxa"/>
          <w:bottom w:w="0" w:type="dxa"/>
          <w:right w:w="0" w:type="dxa"/>
        </w:tblCellMar>
      </w:tblPr>
      <w:tblGrid>
        <w:gridCol w:w="80"/>
        <w:gridCol w:w="590"/>
        <w:gridCol w:w="2450"/>
      </w:tblGrid>
      <w:tr>
        <w:trPr/>
        <w:tc>
          <w:tcPr>
            <w:tcW w:w="8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5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Chih-Hsiang (Thompson) Lin</w:t>
            </w:r>
          </w:p>
        </w:tc>
      </w:tr>
      <w:tr>
        <w:trPr/>
        <w:tc>
          <w:tcPr>
            <w:tcW w:w="8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CEO</w:t>
            </w:r>
          </w:p>
        </w:tc>
      </w:tr>
      <w:tr>
        <w:trPr/>
        <w:tc>
          <w:tcPr>
            <w:tcW w:w="80" w:type="dxa"/>
            <w:tcBorders/>
            <w:vAlign w:val="center"/>
          </w:tcPr>
          <w:p>
            <w:pPr>
              <w:pStyle w:val="TableContents"/>
              <w:bidi w:val="0"/>
              <w:spacing w:before="0" w:after="283"/>
              <w:jc w:val="left"/>
              <w:rPr/>
            </w:pPr>
            <w:r>
              <w:rPr/>
              <w:t> </w:t>
            </w:r>
          </w:p>
        </w:tc>
        <w:tc>
          <w:tcPr>
            <w:tcW w:w="30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5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Stefan J. Murry</w:t>
            </w:r>
          </w:p>
        </w:tc>
      </w:tr>
      <w:tr>
        <w:trPr/>
        <w:tc>
          <w:tcPr>
            <w:tcW w:w="8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283"/>
        <w:jc w:val="left"/>
        <w:rPr/>
      </w:pPr>
      <w:r>
        <w:rPr/>
        <w:t> </w:t>
      </w:r>
    </w:p>
    <w:tbl>
      <w:tblPr>
        <w:tblW w:w="615" w:type="dxa"/>
        <w:jc w:val="left"/>
        <w:tblInd w:w="0" w:type="dxa"/>
        <w:tblLayout w:type="fixed"/>
        <w:tblCellMar>
          <w:top w:w="0" w:type="dxa"/>
          <w:left w:w="0" w:type="dxa"/>
          <w:bottom w:w="0" w:type="dxa"/>
          <w:right w:w="0" w:type="dxa"/>
        </w:tblCellMar>
      </w:tblPr>
      <w:tblGrid>
        <w:gridCol w:w="470"/>
        <w:gridCol w:w="65"/>
        <w:gridCol w:w="80"/>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7(o)(1)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Legal Opinion of Haynes and Boone, LLP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[Omitted.]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4" w:name="tm2614157d2_ex5-1.htm"/>
      <w:bookmarkStart w:id="25" w:name="kstm2614157d2_ex51"/>
      <w:bookmarkEnd w:id="24"/>
      <w:bookmarkEnd w:id="25"/>
      <w:r>
        <w:rPr/>
        <w:t> </w:t>
      </w:r>
      <w:r>
        <w:br w:type="page"/>
      </w:r>
    </w:p>
    <w:p>
      <w:pPr>
        <w:pStyle w:val="TextBody"/>
        <w:bidi w:val="0"/>
        <w:jc w:val="right"/>
        <w:rPr>
          <w:b/>
        </w:rPr>
      </w:pPr>
      <w:r>
        <w:rPr>
          <w:b/>
        </w:rPr>
        <w:t>Exhibit 5.1</w:t>
      </w:r>
    </w:p>
    <w:p>
      <w:pPr>
        <w:pStyle w:val="TextBody"/>
        <w:bidi w:val="0"/>
        <w:spacing w:before="0" w:after="283"/>
        <w:jc w:val="left"/>
        <w:rPr/>
      </w:pPr>
      <w:r>
        <w:rPr/>
        <w:t> </w:t>
      </w:r>
    </w:p>
    <w:tbl>
      <w:tblPr>
        <w:tblW w:w="1445" w:type="dxa"/>
        <w:jc w:val="left"/>
        <w:tblInd w:w="0" w:type="dxa"/>
        <w:tblLayout w:type="fixed"/>
        <w:tblCellMar>
          <w:top w:w="0" w:type="dxa"/>
          <w:left w:w="0" w:type="dxa"/>
          <w:bottom w:w="0" w:type="dxa"/>
          <w:right w:w="0" w:type="dxa"/>
        </w:tblCellMar>
      </w:tblPr>
      <w:tblGrid>
        <w:gridCol w:w="75"/>
        <w:gridCol w:w="1370"/>
      </w:tblGrid>
      <w:tr>
        <w:trPr/>
        <w:tc>
          <w:tcPr>
            <w:tcW w:w="75" w:type="dxa"/>
            <w:tcBorders/>
            <w:vAlign w:val="center"/>
          </w:tcPr>
          <w:p>
            <w:pPr>
              <w:pStyle w:val="TableContents"/>
              <w:bidi w:val="0"/>
              <w:spacing w:before="0" w:after="283"/>
              <w:jc w:val="right"/>
              <w:rPr/>
            </w:pPr>
            <w:r>
              <w:rPr/>
              <w:t> </w:t>
            </w:r>
          </w:p>
        </w:tc>
        <w:tc>
          <w:tcPr>
            <w:tcW w:w="1370" w:type="dxa"/>
            <w:tcBorders/>
            <w:vAlign w:val="center"/>
          </w:tcPr>
          <w:p>
            <w:pPr>
              <w:pStyle w:val="TableContents"/>
              <w:bidi w:val="0"/>
              <w:spacing w:before="0" w:after="283"/>
              <w:jc w:val="left"/>
              <w:rPr/>
            </w:pPr>
            <w:r>
              <w:rPr/>
              <w:t>May 14,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Applied Optoelectronics,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13139 Jess Pirtle Blvd.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Sugar Land, TX 77478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for Applied Optoelectronics,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issuance and sale by the Company from time to time on a delayed continuous basis pursuant to Rule 415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of (i) securities, including shares of the Company’s common stock, $0.001 par value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registered pursuant to the Registration Statement on Form S-3 (File No. 333-283905) (including the prospectus contained therein,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filed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and (ii) the prospectus supplement, dated May 14, 2026 (the “</w:t>
      </w:r>
      <w:r>
        <w:rPr>
          <w:rFonts w:ascii="Times New Roman;Times;Serif" w:hAnsi="Times New Roman;Times;Serif"/>
          <w:b/>
          <w:i/>
          <w:caps w:val="false"/>
          <w:smallCaps w:val="false"/>
          <w:sz w:val="20"/>
        </w:rPr>
        <w:t>Prospectus Supplement</w:t>
      </w:r>
      <w:r>
        <w:rPr>
          <w:rFonts w:ascii="Times New Roman;Times;Serif" w:hAnsi="Times New Roman;Times;Serif"/>
          <w:b w:val="false"/>
          <w:i w:val="false"/>
          <w:caps w:val="false"/>
          <w:smallCaps w:val="false"/>
          <w:sz w:val="20"/>
        </w:rPr>
        <w:t>”), relating to the issuance and sale from time to time by the Company of shares of Common Stock with an aggregate offering price of up to $600,000,000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The Shares are to be issued and sold by the Company pursuant to an Equity Distribution Agreement, dated May 14, 2026 (the “</w:t>
      </w:r>
      <w:r>
        <w:rPr>
          <w:rFonts w:ascii="Times New Roman;Times;Serif" w:hAnsi="Times New Roman;Times;Serif"/>
          <w:b/>
          <w:i/>
          <w:caps w:val="false"/>
          <w:smallCaps w:val="false"/>
          <w:sz w:val="20"/>
        </w:rPr>
        <w:t>Distribution Agreement</w:t>
      </w:r>
      <w:r>
        <w:rPr>
          <w:rFonts w:ascii="Times New Roman;Times;Serif" w:hAnsi="Times New Roman;Times;Serif"/>
          <w:b w:val="false"/>
          <w:i w:val="false"/>
          <w:caps w:val="false"/>
          <w:smallCaps w:val="false"/>
          <w:sz w:val="20"/>
        </w:rPr>
        <w:t>”), among the Company, Raymond James &amp; Associates, Inc. and Needham &amp; Company, LLC. The Distribution Agreement will be filed with the Commission as Exhibit 1.1 to the Company’s Current Report on Form 8-K, dated May 14,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opinion we express below, we have examined originals, or copies certified or otherwise identified, of (i) the certificate of incorporation and bylaws, each as amended to date, of the Company (the “</w:t>
      </w:r>
      <w:r>
        <w:rPr>
          <w:rFonts w:ascii="Times New Roman;Times;Serif" w:hAnsi="Times New Roman;Times;Serif"/>
          <w:b/>
          <w:i/>
          <w:caps w:val="false"/>
          <w:smallCaps w:val="false"/>
          <w:sz w:val="20"/>
        </w:rPr>
        <w:t>Company Charter Documents</w:t>
      </w:r>
      <w:r>
        <w:rPr>
          <w:rFonts w:ascii="Times New Roman;Times;Serif" w:hAnsi="Times New Roman;Times;Serif"/>
          <w:b w:val="false"/>
          <w:i w:val="false"/>
          <w:caps w:val="false"/>
          <w:smallCaps w:val="false"/>
          <w:sz w:val="20"/>
        </w:rPr>
        <w:t>”); (ii) the Registration Statement and all exhibits thereto; (iii) the Prospectus Supplement and all exhibits thereto; (iv) the Distribution Agreement and all exhibits thereto; (v) the minutes and records of the corporate proceedings of the Company with respect to the filing of the Registration Statement and the Prospectus Supplement and the entering into of the Distribution Agreement; and (vi) such other corporate records of the Company as we have deemed necessary or appropriate for purposes of the opinion hereafter expressed.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questions of fact material to the opinion expressed below, we have, without independent verification of their accuracy, relied to the extent we deem reasonably appropriate upon the representations and warranties of the Company contained in such documents, records, certificates, instruments or representations furnished or made available to us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the foregoing examination, we have assumed (i) the genuineness of all signatures, (ii) the authenticity of all documents submitted to us as originals, (iii) the conformity to original documents of all documents submitted to us as certified or photostatic copies, (iv) that all agreements or instruments we have examined are the valid, binding and enforceable obligations of the parties thereto, and (v) that all factual information on which we have relied was accurate and complete.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assumed that (i) the Prospectus Supplement has been timely filed with the Commission; (ii) the Company will issue and deliver the Shares in the manner contemplated by the Registration Statement, the Prospectus Supplement and the Distribution Agreement; (iii) the Shares will be issued in compliance with applicable federal and state securities law; (iv) no stop orders of the Commission preventing or suspending the use of the Prospectus Supplement will have been issued; and (v) the Company will receive consideration for the issuance of the Shares that is at least equal to the par value of the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subject to the limitations and qualifications set forth herein, we are of the opinion that when issued and paid for in accordance with the terms and conditions of the Distribution Agreement, the Shares will be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expressed herein is limited to the Delaware General Corporation Law as in effect on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Applied Optoelectronics,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14,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letter as Exhibit 5.1 to the Current Report on Form 8-K to be filed by the Company in connection with the issuance and sale of the Shares in accordance with the requirements of Item 601(b)(5) of Regulation S-K under the Securities Act and to the reference to our firm therein and in the Prospectus Supplement under the caption “Legal Matters.” In giving this consent, we do not hereby admit we are in the category of persons whose consent is required under Section 7 of the Act or the rules and regulations of the Commission thereunder.</w:t>
      </w:r>
    </w:p>
    <w:p>
      <w:pPr>
        <w:pStyle w:val="TextBody"/>
        <w:bidi w:val="0"/>
        <w:spacing w:before="0" w:after="0"/>
        <w:ind w:left="0" w:right="0" w:firstLine="720"/>
        <w:jc w:val="both"/>
        <w:rPr>
          <w:caps w:val="false"/>
          <w:smallCaps w:val="false"/>
        </w:rPr>
      </w:pPr>
      <w:r>
        <w:rPr>
          <w:caps w:val="false"/>
          <w:smallCaps w:val="false"/>
        </w:rPr>
        <w:t> </w:t>
      </w:r>
    </w:p>
    <w:tbl>
      <w:tblPr>
        <w:tblW w:w="2315" w:type="dxa"/>
        <w:jc w:val="left"/>
        <w:tblInd w:w="0" w:type="dxa"/>
        <w:tblLayout w:type="fixed"/>
        <w:tblCellMar>
          <w:top w:w="0" w:type="dxa"/>
          <w:left w:w="0" w:type="dxa"/>
          <w:bottom w:w="0" w:type="dxa"/>
          <w:right w:w="0" w:type="dxa"/>
        </w:tblCellMar>
      </w:tblPr>
      <w:tblGrid>
        <w:gridCol w:w="75"/>
        <w:gridCol w:w="2240"/>
      </w:tblGrid>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Haynes and Boone, LLP</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432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58114/000110465916157015/a16-21428_1ex4d1.htm" TargetMode="External"/><Relationship Id="rId3" Type="http://schemas.openxmlformats.org/officeDocument/2006/relationships/hyperlink" Target="https://www.sec.gov/Archives/edgar/data/1158114/000110465916157015/a16-21428_1ex4d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23004</Words>
  <Characters>120728</Characters>
  <CharactersWithSpaces>144795</CharactersWithSpaces>
  <Paragraphs>791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