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FORM 10-Q</w:t>
      </w:r>
    </w:p>
    <w:p>
      <w:pPr>
        <w:spacing w:after="0" w:line="94" w:lineRule="exact"/>
        <w:rPr>
          <w:sz w:val="24"/>
          <w:szCs w:val="24"/>
          <w:color w:val="auto"/>
        </w:rPr>
      </w:pPr>
    </w:p>
    <w:p>
      <w:pPr>
        <w:ind w:left="2"/>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222" w:right="1040" w:hanging="3222"/>
        <w:spacing w:after="0" w:line="415" w:lineRule="auto"/>
        <w:tabs>
          <w:tab w:leader="none" w:pos="2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jc w:val="center"/>
        <w:ind w:right="-1"/>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2982" w:right="1040" w:hanging="2982"/>
        <w:spacing w:after="0" w:line="454" w:lineRule="auto"/>
        <w:tabs>
          <w:tab w:leader="none" w:pos="19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__________ to </w:t>
      </w:r>
      <w:r>
        <w:rPr>
          <w:rFonts w:ascii="Arial" w:cs="Arial" w:eastAsia="Arial" w:hAnsi="Arial"/>
          <w:sz w:val="18"/>
          <w:szCs w:val="18"/>
          <w:color w:val="auto"/>
        </w:rPr>
        <w:t>__________</w:t>
      </w:r>
    </w:p>
    <w:p>
      <w:pPr>
        <w:spacing w:after="0" w:line="14" w:lineRule="exact"/>
        <w:rPr>
          <w:sz w:val="24"/>
          <w:szCs w:val="24"/>
          <w:color w:val="auto"/>
        </w:rPr>
      </w:pPr>
    </w:p>
    <w:p>
      <w:pPr>
        <w:ind w:left="3762"/>
        <w:spacing w:after="0"/>
        <w:rPr>
          <w:sz w:val="20"/>
          <w:szCs w:val="20"/>
          <w:color w:val="auto"/>
        </w:rPr>
      </w:pPr>
      <w:r>
        <w:rPr>
          <w:rFonts w:ascii="Arial" w:cs="Arial" w:eastAsia="Arial" w:hAnsi="Arial"/>
          <w:sz w:val="18"/>
          <w:szCs w:val="18"/>
          <w:b w:val="1"/>
          <w:bCs w:val="1"/>
          <w:color w:val="auto"/>
        </w:rPr>
        <w:t>Commission File Number: 001-36083</w:t>
      </w:r>
    </w:p>
    <w:p>
      <w:pPr>
        <w:spacing w:after="0" w:line="158" w:lineRule="exact"/>
        <w:rPr>
          <w:sz w:val="24"/>
          <w:szCs w:val="24"/>
          <w:color w:val="auto"/>
        </w:rPr>
      </w:pPr>
    </w:p>
    <w:p>
      <w:pPr>
        <w:ind w:left="4082"/>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3" w:lineRule="exact"/>
        <w:rPr>
          <w:sz w:val="24"/>
          <w:szCs w:val="24"/>
          <w:color w:val="auto"/>
        </w:rPr>
      </w:pPr>
    </w:p>
    <w:p>
      <w:pPr>
        <w:ind w:left="2242"/>
        <w:spacing w:after="0"/>
        <w:tabs>
          <w:tab w:leader="none" w:pos="7342"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76-0533927</w:t>
      </w:r>
    </w:p>
    <w:p>
      <w:pPr>
        <w:spacing w:after="0" w:line="27" w:lineRule="exact"/>
        <w:rPr>
          <w:sz w:val="24"/>
          <w:szCs w:val="24"/>
          <w:color w:val="auto"/>
        </w:rPr>
      </w:pPr>
    </w:p>
    <w:p>
      <w:pPr>
        <w:ind w:left="282"/>
        <w:spacing w:after="0"/>
        <w:tabs>
          <w:tab w:leader="none" w:pos="6402" w:val="left"/>
        </w:tabs>
        <w:rPr>
          <w:sz w:val="20"/>
          <w:szCs w:val="20"/>
          <w:color w:val="auto"/>
        </w:rPr>
      </w:pPr>
      <w:r>
        <w:rPr>
          <w:rFonts w:ascii="Arial" w:cs="Arial" w:eastAsia="Arial" w:hAnsi="Arial"/>
          <w:sz w:val="18"/>
          <w:szCs w:val="18"/>
          <w:b w:val="1"/>
          <w:bCs w:val="1"/>
          <w:color w:val="auto"/>
        </w:rPr>
        <w:t>(State or other jurisdiction of incorporation or organization)</w:t>
      </w:r>
      <w:r>
        <w:rPr>
          <w:sz w:val="20"/>
          <w:szCs w:val="20"/>
          <w:color w:val="auto"/>
        </w:rPr>
        <w:tab/>
      </w:r>
      <w:r>
        <w:rPr>
          <w:rFonts w:ascii="Arial" w:cs="Arial" w:eastAsia="Arial" w:hAnsi="Arial"/>
          <w:sz w:val="16"/>
          <w:szCs w:val="16"/>
          <w:b w:val="1"/>
          <w:bCs w:val="1"/>
          <w:color w:val="auto"/>
        </w:rPr>
        <w:t>(I.R.S. Employer Identification No.)</w:t>
      </w:r>
    </w:p>
    <w:p>
      <w:pPr>
        <w:spacing w:after="0" w:line="139" w:lineRule="exact"/>
        <w:rPr>
          <w:sz w:val="24"/>
          <w:szCs w:val="24"/>
          <w:color w:val="auto"/>
        </w:rPr>
      </w:pPr>
    </w:p>
    <w:p>
      <w:pPr>
        <w:jc w:val="center"/>
        <w:ind w:right="18"/>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ind w:right="18"/>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39" w:lineRule="exact"/>
        <w:rPr>
          <w:sz w:val="24"/>
          <w:szCs w:val="24"/>
          <w:color w:val="auto"/>
        </w:rPr>
      </w:pPr>
    </w:p>
    <w:p>
      <w:pPr>
        <w:ind w:left="5062" w:hanging="428"/>
        <w:spacing w:after="0"/>
        <w:tabs>
          <w:tab w:leader="none" w:pos="506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394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143" w:lineRule="exact"/>
        <w:rPr>
          <w:sz w:val="24"/>
          <w:szCs w:val="24"/>
          <w:color w:val="auto"/>
        </w:rPr>
      </w:pPr>
    </w:p>
    <w:p>
      <w:pPr>
        <w:jc w:val="both"/>
        <w:ind w:left="2" w:right="20" w:firstLine="416"/>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w:t>
      </w:r>
    </w:p>
    <w:p>
      <w:pPr>
        <w:spacing w:after="0" w:line="1" w:lineRule="exact"/>
        <w:rPr>
          <w:sz w:val="24"/>
          <w:szCs w:val="24"/>
          <w:color w:val="auto"/>
        </w:rPr>
      </w:pPr>
    </w:p>
    <w:p>
      <w:pPr>
        <w:ind w:left="2"/>
        <w:spacing w:after="0" w:line="207" w:lineRule="exact"/>
        <w:tabs>
          <w:tab w:leader="none" w:pos="8602" w:val="left"/>
        </w:tabs>
        <w:rPr>
          <w:sz w:val="20"/>
          <w:szCs w:val="20"/>
          <w:color w:val="auto"/>
        </w:rPr>
      </w:pPr>
      <w:r>
        <w:rPr>
          <w:rFonts w:ascii="Arial" w:cs="Arial" w:eastAsia="Arial" w:hAnsi="Arial"/>
          <w:sz w:val="18"/>
          <w:szCs w:val="18"/>
          <w:color w:val="auto"/>
        </w:rPr>
        <w:t>reports), and (2) has been subject to such filing 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2" w:lineRule="exact"/>
        <w:rPr>
          <w:sz w:val="24"/>
          <w:szCs w:val="24"/>
          <w:color w:val="auto"/>
        </w:rPr>
      </w:pPr>
    </w:p>
    <w:p>
      <w:pPr>
        <w:jc w:val="both"/>
        <w:ind w:left="2" w:right="20" w:firstLine="416"/>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ind w:left="8962"/>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ind w:left="2" w:right="20" w:firstLine="41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1222"/>
        <w:spacing w:after="0" w:line="207" w:lineRule="exact"/>
        <w:tabs>
          <w:tab w:leader="none" w:pos="4102"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1222"/>
        <w:spacing w:after="0" w:line="207" w:lineRule="exact"/>
        <w:tabs>
          <w:tab w:leader="none" w:pos="4102"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1222"/>
        <w:spacing w:after="0" w:line="207" w:lineRule="exact"/>
        <w:tabs>
          <w:tab w:leader="none" w:pos="4102"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1222"/>
        <w:spacing w:after="0" w:line="207" w:lineRule="exact"/>
        <w:tabs>
          <w:tab w:leader="none" w:pos="4102"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1222"/>
        <w:spacing w:after="0" w:line="207" w:lineRule="exact"/>
        <w:tabs>
          <w:tab w:leader="none" w:pos="4102"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8" w:lineRule="exact"/>
        <w:rPr>
          <w:sz w:val="24"/>
          <w:szCs w:val="24"/>
          <w:color w:val="auto"/>
        </w:rPr>
      </w:pPr>
    </w:p>
    <w:p>
      <w:pPr>
        <w:ind w:left="422"/>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w:t>
      </w:r>
    </w:p>
    <w:p>
      <w:pPr>
        <w:spacing w:after="0" w:line="30" w:lineRule="exact"/>
        <w:rPr>
          <w:sz w:val="24"/>
          <w:szCs w:val="24"/>
          <w:color w:val="auto"/>
        </w:rPr>
      </w:pPr>
    </w:p>
    <w:tbl>
      <w:tblPr>
        <w:tblLayout w:type="fixed"/>
        <w:tblInd w:w="12" w:type="dxa"/>
        <w:tblCellMar>
          <w:top w:w="0" w:type="dxa"/>
          <w:left w:w="0" w:type="dxa"/>
          <w:bottom w:w="0" w:type="dxa"/>
          <w:right w:w="0" w:type="dxa"/>
        </w:tblCellMar>
      </w:tblPr>
      <w:tr>
        <w:trPr>
          <w:trHeight w:val="283"/>
        </w:trPr>
        <w:tc>
          <w:tcPr>
            <w:tcW w:w="9820" w:type="dxa"/>
            <w:vAlign w:val="bottom"/>
            <w:gridSpan w:val="3"/>
          </w:tcPr>
          <w:p>
            <w:pPr>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5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6"/>
        </w:trPr>
        <w:tc>
          <w:tcPr>
            <w:tcW w:w="9820" w:type="dxa"/>
            <w:vAlign w:val="bottom"/>
            <w:gridSpan w:val="3"/>
          </w:tcPr>
          <w:p>
            <w:pPr>
              <w:jc w:val="center"/>
              <w:ind w:right="710"/>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Exchange Act).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860" w:type="dxa"/>
            <w:vAlign w:val="bottom"/>
            <w:gridSpan w:val="2"/>
            <w:vMerge w:val="restart"/>
          </w:tcPr>
          <w:p>
            <w:pPr>
              <w:ind w:left="420"/>
              <w:spacing w:after="0"/>
              <w:rPr>
                <w:sz w:val="20"/>
                <w:szCs w:val="20"/>
                <w:color w:val="auto"/>
              </w:rPr>
            </w:pPr>
            <w:r>
              <w:rPr>
                <w:rFonts w:ascii="Arial" w:cs="Arial" w:eastAsia="Arial" w:hAnsi="Arial"/>
                <w:sz w:val="18"/>
                <w:szCs w:val="18"/>
                <w:color w:val="auto"/>
              </w:rPr>
              <w:t>Securities registered pursuant to Section 12(b) of the Act:</w:t>
            </w:r>
          </w:p>
        </w:tc>
        <w:tc>
          <w:tcPr>
            <w:tcW w:w="3960" w:type="dxa"/>
            <w:vAlign w:val="bottom"/>
          </w:tcPr>
          <w:p>
            <w:pPr>
              <w:ind w:left="2980"/>
              <w:spacing w:after="0" w:line="207" w:lineRule="exact"/>
              <w:rPr>
                <w:sz w:val="20"/>
                <w:szCs w:val="20"/>
                <w:color w:val="auto"/>
              </w:rPr>
            </w:pPr>
            <w:r>
              <w:rPr>
                <w:rFonts w:ascii="Arial" w:cs="Arial" w:eastAsia="Arial" w:hAnsi="Arial"/>
                <w:sz w:val="18"/>
                <w:szCs w:val="18"/>
                <w:color w:val="auto"/>
                <w:w w:val="91"/>
              </w:rPr>
              <w:t xml:space="preserve">Yes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No </w:t>
            </w:r>
            <w:r>
              <w:rPr>
                <w:rFonts w:ascii="MS PGothic" w:cs="MS PGothic" w:eastAsia="MS PGothic" w:hAnsi="MS PGothic"/>
                <w:sz w:val="18"/>
                <w:szCs w:val="18"/>
                <w:color w:val="auto"/>
                <w:w w:val="91"/>
              </w:rPr>
              <w: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60" w:type="dxa"/>
            <w:vAlign w:val="bottom"/>
            <w:gridSpan w:val="2"/>
            <w:vMerge w:val="continue"/>
          </w:tcPr>
          <w:p>
            <w:pPr>
              <w:spacing w:after="0"/>
              <w:rPr>
                <w:sz w:val="17"/>
                <w:szCs w:val="17"/>
                <w:color w:val="auto"/>
              </w:rPr>
            </w:pPr>
          </w:p>
        </w:tc>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Trading Name of each exchange on which registered</w:t>
            </w:r>
          </w:p>
        </w:tc>
        <w:tc>
          <w:tcPr>
            <w:tcW w:w="0" w:type="dxa"/>
            <w:vAlign w:val="bottom"/>
          </w:tcPr>
          <w:p>
            <w:pPr>
              <w:spacing w:after="0"/>
              <w:rPr>
                <w:sz w:val="1"/>
                <w:szCs w:val="1"/>
                <w:color w:val="auto"/>
              </w:rPr>
            </w:pPr>
          </w:p>
        </w:tc>
      </w:tr>
      <w:tr>
        <w:trPr>
          <w:trHeight w:val="210"/>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AAOI</w:t>
            </w:r>
          </w:p>
        </w:tc>
        <w:tc>
          <w:tcPr>
            <w:tcW w:w="39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5"/>
              </w:rPr>
              <w:t>NASDAQ Global Market</w:t>
            </w: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sectPr>
          <w:pgSz w:w="11900" w:h="16838" w:orient="portrait"/>
          <w:cols w:equalWidth="0" w:num="1">
            <w:col w:w="10402"/>
          </w:cols>
          <w:pgMar w:left="758" w:top="665" w:right="739" w:bottom="1440" w:gutter="0" w:footer="0" w:header="0"/>
        </w:sectPr>
      </w:pPr>
    </w:p>
    <w:p>
      <w:pPr>
        <w:ind w:left="2" w:right="20" w:firstLine="415"/>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4, 2019 there were 20,111,843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400050</wp:posOffset>
            </wp:positionV>
            <wp:extent cx="6595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2"/>
          </w:cols>
          <w:pgMar w:left="758" w:top="665"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2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0"/>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4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w w:val="89"/>
              </w:rPr>
              <w:t>Applied Optoelectronics, Inc.</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0" w:type="dxa"/>
            <w:vAlign w:val="bottom"/>
            <w:gridSpan w:val="9"/>
          </w:tcPr>
          <w:p>
            <w:pPr>
              <w:jc w:val="center"/>
              <w:ind w:right="3360"/>
              <w:spacing w:after="0"/>
              <w:rPr>
                <w:sz w:val="20"/>
                <w:szCs w:val="20"/>
                <w:color w:val="auto"/>
              </w:rPr>
            </w:pPr>
            <w:r>
              <w:rPr>
                <w:rFonts w:ascii="Arial" w:cs="Arial" w:eastAsia="Arial" w:hAnsi="Arial"/>
                <w:sz w:val="18"/>
                <w:szCs w:val="18"/>
                <w:b w:val="1"/>
                <w:bCs w:val="1"/>
                <w:color w:val="auto"/>
                <w:w w:val="89"/>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12"/>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6360" w:type="dxa"/>
            <w:vAlign w:val="bottom"/>
            <w:gridSpan w:val="13"/>
            <w:vMerge w:val="restart"/>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12"/>
            <w:vMerge w:val="continue"/>
          </w:tcPr>
          <w:p>
            <w:pPr>
              <w:spacing w:after="0"/>
              <w:rPr>
                <w:sz w:val="13"/>
                <w:szCs w:val="13"/>
                <w:color w:val="auto"/>
              </w:rPr>
            </w:pPr>
          </w:p>
        </w:tc>
        <w:tc>
          <w:tcPr>
            <w:tcW w:w="6360" w:type="dxa"/>
            <w:vAlign w:val="bottom"/>
            <w:gridSpan w:val="13"/>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40" w:type="dxa"/>
            <w:vAlign w:val="bottom"/>
            <w:gridSpan w:val="2"/>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2019 (Unaudited) and December 31, 2018</w:t>
              </w:r>
            </w:hyperlink>
          </w:p>
        </w:tc>
        <w:tc>
          <w:tcPr>
            <w:tcW w:w="36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w:t>
              </w:r>
            </w:hyperlink>
          </w:p>
        </w:tc>
        <w:tc>
          <w:tcPr>
            <w:tcW w:w="34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2019 and 2018 (Unaudited)</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Nine Months ended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2019 and 2018 (Unaudited)</w:t>
              </w:r>
            </w:hyperlink>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Stockholders’ Equity for the Three and Nine Months ended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2019 and 2018 (Unaudited)</w:t>
              </w:r>
            </w:hyperlink>
          </w:p>
        </w:tc>
        <w:tc>
          <w:tcPr>
            <w:tcW w:w="72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September 30, 2019 and</w:t>
              </w:r>
            </w:hyperlink>
          </w:p>
        </w:tc>
        <w:tc>
          <w:tcPr>
            <w:tcW w:w="36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2018 (Unaudited)</w:t>
              </w:r>
            </w:hyperlink>
          </w:p>
        </w:tc>
        <w:tc>
          <w:tcPr>
            <w:tcW w:w="6580" w:type="dxa"/>
            <w:vAlign w:val="bottom"/>
            <w:gridSpan w:val="16"/>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290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240" w:type="dxa"/>
            <w:vAlign w:val="bottom"/>
            <w:gridSpan w:val="2"/>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240" w:type="dxa"/>
            <w:vAlign w:val="bottom"/>
            <w:gridSpan w:val="2"/>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520" w:type="dxa"/>
            <w:vAlign w:val="bottom"/>
            <w:tcBorders>
              <w:left w:val="single" w:sz="8" w:color="0000EE"/>
            </w:tcBorders>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240" w:type="dxa"/>
            <w:vAlign w:val="bottom"/>
            <w:gridSpan w:val="2"/>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gridSpan w:val="25"/>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1.</w:t>
              </w:r>
            </w:hyperlink>
          </w:p>
        </w:tc>
        <w:tc>
          <w:tcPr>
            <w:tcW w:w="240" w:type="dxa"/>
            <w:vAlign w:val="bottom"/>
            <w:gridSpan w:val="2"/>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1A.</w:t>
              </w:r>
            </w:hyperlink>
          </w:p>
        </w:tc>
        <w:tc>
          <w:tcPr>
            <w:tcW w:w="786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Unregistered Sales of Equity Securities and Use of Proceeds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Defaults Upon Senior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10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5.</w:t>
              </w:r>
            </w:hyperlink>
          </w:p>
        </w:tc>
        <w:tc>
          <w:tcPr>
            <w:tcW w:w="240" w:type="dxa"/>
            <w:vAlign w:val="bottom"/>
            <w:gridSpan w:val="2"/>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6.</w:t>
              </w:r>
            </w:hyperlink>
          </w:p>
        </w:tc>
        <w:tc>
          <w:tcPr>
            <w:tcW w:w="240" w:type="dxa"/>
            <w:vAlign w:val="bottom"/>
            <w:gridSpan w:val="2"/>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0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1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3500" w:type="dxa"/>
            <w:vAlign w:val="bottom"/>
            <w:gridSpan w:val="10"/>
          </w:tcPr>
          <w:p>
            <w:pPr>
              <w:jc w:val="center"/>
              <w:ind w:left="243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00"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67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69,994</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55,646</w:t>
            </w: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2,358</w:t>
            </w: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 trade, net of allowance of $30 and $32, respectively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30,534</w:t>
            </w: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93,256</w:t>
            </w: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income tax</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16"/>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11,293</w:t>
            </w:r>
          </w:p>
        </w:tc>
      </w:tr>
      <w:tr>
        <w:trPr>
          <w:trHeight w:val="210"/>
        </w:trPr>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194,275</w:t>
            </w: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245,535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234,211</w:t>
            </w: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use rights,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Operating right of use asset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Deferred income tax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29,362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21,714</w:t>
            </w: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r>
      <w:tr>
        <w:trPr>
          <w:trHeight w:val="250"/>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483,878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466,840</w:t>
            </w:r>
          </w:p>
        </w:tc>
      </w:tr>
      <w:tr>
        <w:trPr>
          <w:trHeight w:val="197"/>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notes payable and long-term debt</w:t>
            </w:r>
          </w:p>
        </w:tc>
        <w:tc>
          <w:tcPr>
            <w:tcW w:w="4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15,803</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23,589</w:t>
            </w: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29,910</w:t>
            </w: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 acceptance payable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Current lease liability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19,291</w:t>
            </w:r>
          </w:p>
        </w:tc>
      </w:tr>
      <w:tr>
        <w:trPr>
          <w:trHeight w:val="210"/>
        </w:trPr>
        <w:tc>
          <w:tcPr>
            <w:tcW w:w="67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64,423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77,418</w:t>
            </w: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 and long-term debt, less current portion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60,328</w:t>
            </w: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Convertible senior notes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76,835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 lease liability</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181,593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137,746</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2"/>
        </w:trPr>
        <w:tc>
          <w:tcPr>
            <w:tcW w:w="6720" w:type="dxa"/>
            <w:vAlign w:val="bottom"/>
          </w:tcPr>
          <w:p>
            <w:pPr>
              <w:ind w:left="120"/>
              <w:spacing w:after="0" w:line="201" w:lineRule="exact"/>
              <w:rPr>
                <w:sz w:val="20"/>
                <w:szCs w:val="20"/>
                <w:color w:val="auto"/>
              </w:rPr>
            </w:pPr>
            <w:r>
              <w:rPr>
                <w:rFonts w:ascii="Arial" w:cs="Arial" w:eastAsia="Arial" w:hAnsi="Arial"/>
                <w:sz w:val="18"/>
                <w:szCs w:val="18"/>
                <w:color w:val="auto"/>
                <w:w w:val="98"/>
              </w:rPr>
              <w:t>Preferred Stock; 5,000 shares authorized at $0.001 par value; no shares issued and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6720" w:type="dxa"/>
            <w:vAlign w:val="bottom"/>
          </w:tcPr>
          <w:p>
            <w:pPr>
              <w:ind w:left="120"/>
              <w:spacing w:after="0"/>
              <w:rPr>
                <w:sz w:val="20"/>
                <w:szCs w:val="20"/>
                <w:color w:val="auto"/>
              </w:rPr>
            </w:pPr>
            <w:r>
              <w:rPr>
                <w:rFonts w:ascii="Arial" w:cs="Arial" w:eastAsia="Arial" w:hAnsi="Arial"/>
                <w:sz w:val="18"/>
                <w:szCs w:val="18"/>
                <w:color w:val="auto"/>
              </w:rPr>
              <w:t>outstanding at September 30, 2019 and December 31, 2018, respectively</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7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Common Stock; 45,000 shares authorized at $0.001 par value; 20,061 and 19,810 shares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issued and outstanding at September 30, 2019 and December 31, 2018, respectively</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300,725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292,480</w:t>
            </w: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35,992</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329,094</w:t>
            </w:r>
          </w:p>
        </w:tc>
      </w:tr>
      <w:tr>
        <w:trPr>
          <w:trHeight w:val="210"/>
        </w:trPr>
        <w:tc>
          <w:tcPr>
            <w:tcW w:w="67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483,878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466,840</w:t>
            </w: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OPERATIONS (Unaudited,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209,447</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107,349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132,211</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77,236</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71,558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75,727</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(4,003)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(38,225)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used to compute net income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(loss) per share: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20,022,520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19,707,036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19,939,605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19,597,181</w:t>
            </w:r>
          </w:p>
        </w:tc>
        <w:tc>
          <w:tcPr>
            <w:tcW w:w="0" w:type="dxa"/>
            <w:vAlign w:val="bottom"/>
          </w:tcPr>
          <w:p>
            <w:pPr>
              <w:spacing w:after="0"/>
              <w:rPr>
                <w:sz w:val="1"/>
                <w:szCs w:val="1"/>
                <w:color w:val="auto"/>
              </w:rPr>
            </w:pPr>
          </w:p>
        </w:tc>
      </w:tr>
      <w:tr>
        <w:trPr>
          <w:trHeight w:val="230"/>
        </w:trPr>
        <w:tc>
          <w:tcPr>
            <w:tcW w:w="40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20,022,520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19,707,036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19,939,605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20,038,657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16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2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7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(3,732)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(30,620)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Loss on foreign currency translation adjustment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(3,453)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(4,798)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(4,434)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(8,908)</w:t>
            </w:r>
          </w:p>
        </w:tc>
      </w:tr>
      <w:tr>
        <w:trPr>
          <w:trHeight w:val="210"/>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(8,530)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(35,054)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(2,486)</w:t>
            </w: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STOCKHOLDERS’ EQUITY Three and Nine Months ended September 30, 2019 and 2018 (Unaudited,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00" w:type="dxa"/>
            <w:vAlign w:val="bottom"/>
          </w:tcPr>
          <w:p>
            <w:pPr>
              <w:spacing w:after="0"/>
              <w:rPr>
                <w:sz w:val="13"/>
                <w:szCs w:val="13"/>
                <w:color w:val="auto"/>
              </w:rPr>
            </w:pPr>
          </w:p>
        </w:tc>
        <w:tc>
          <w:tcPr>
            <w:tcW w:w="1200" w:type="dxa"/>
            <w:vAlign w:val="bottom"/>
            <w:gridSpan w:val="5"/>
          </w:tcPr>
          <w:p>
            <w:pPr>
              <w:ind w:left="100"/>
              <w:spacing w:after="0"/>
              <w:rPr>
                <w:sz w:val="20"/>
                <w:szCs w:val="20"/>
                <w:color w:val="auto"/>
              </w:rPr>
            </w:pPr>
            <w:r>
              <w:rPr>
                <w:rFonts w:ascii="Arial" w:cs="Arial" w:eastAsia="Arial" w:hAnsi="Arial"/>
                <w:sz w:val="13"/>
                <w:szCs w:val="13"/>
                <w:b w:val="1"/>
                <w:bCs w:val="1"/>
                <w:color w:val="auto"/>
              </w:rPr>
              <w:t>Preferred Stock</w:t>
            </w:r>
          </w:p>
        </w:tc>
        <w:tc>
          <w:tcPr>
            <w:tcW w:w="112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3500" w:type="dxa"/>
            <w:vAlign w:val="bottom"/>
          </w:tcPr>
          <w:p>
            <w:pPr>
              <w:spacing w:after="0"/>
              <w:rPr>
                <w:sz w:val="9"/>
                <w:szCs w:val="9"/>
                <w:color w:val="auto"/>
              </w:rPr>
            </w:pPr>
          </w:p>
        </w:tc>
        <w:tc>
          <w:tcPr>
            <w:tcW w:w="480" w:type="dxa"/>
            <w:vAlign w:val="bottom"/>
            <w:tcBorders>
              <w:top w:val="single" w:sz="8" w:color="auto"/>
            </w:tcBorders>
          </w:tcPr>
          <w:p>
            <w:pPr>
              <w:ind w:left="20"/>
              <w:spacing w:after="0" w:line="110" w:lineRule="exact"/>
              <w:rPr>
                <w:sz w:val="20"/>
                <w:szCs w:val="20"/>
                <w:color w:val="auto"/>
              </w:rPr>
            </w:pPr>
            <w:r>
              <w:rPr>
                <w:rFonts w:ascii="Arial" w:cs="Arial" w:eastAsia="Arial" w:hAnsi="Arial"/>
                <w:sz w:val="12"/>
                <w:szCs w:val="12"/>
                <w:b w:val="1"/>
                <w:bCs w:val="1"/>
                <w:color w:val="auto"/>
                <w:w w:val="96"/>
              </w:rPr>
              <w:t>Number</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ind w:left="20"/>
              <w:spacing w:after="0" w:line="110" w:lineRule="exact"/>
              <w:rPr>
                <w:sz w:val="20"/>
                <w:szCs w:val="20"/>
                <w:color w:val="auto"/>
              </w:rPr>
            </w:pPr>
            <w:r>
              <w:rPr>
                <w:rFonts w:ascii="Arial" w:cs="Arial" w:eastAsia="Arial" w:hAnsi="Arial"/>
                <w:sz w:val="12"/>
                <w:szCs w:val="12"/>
                <w:b w:val="1"/>
                <w:bCs w:val="1"/>
                <w:color w:val="auto"/>
                <w:w w:val="96"/>
              </w:rPr>
              <w:t>Number</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paid-in</w:t>
            </w:r>
          </w:p>
        </w:tc>
        <w:tc>
          <w:tcPr>
            <w:tcW w:w="60" w:type="dxa"/>
            <w:vAlign w:val="bottom"/>
          </w:tcPr>
          <w:p>
            <w:pPr>
              <w:spacing w:after="0"/>
              <w:rPr>
                <w:sz w:val="9"/>
                <w:szCs w:val="9"/>
                <w:color w:val="auto"/>
              </w:rPr>
            </w:pPr>
          </w:p>
        </w:tc>
        <w:tc>
          <w:tcPr>
            <w:tcW w:w="900" w:type="dxa"/>
            <w:vAlign w:val="bottom"/>
            <w:gridSpan w:val="3"/>
          </w:tcPr>
          <w:p>
            <w:pPr>
              <w:jc w:val="center"/>
              <w:ind w:right="60"/>
              <w:spacing w:after="0" w:line="110" w:lineRule="exact"/>
              <w:rPr>
                <w:sz w:val="20"/>
                <w:szCs w:val="20"/>
                <w:color w:val="auto"/>
              </w:rPr>
            </w:pPr>
            <w:r>
              <w:rPr>
                <w:rFonts w:ascii="Arial" w:cs="Arial" w:eastAsia="Arial" w:hAnsi="Arial"/>
                <w:sz w:val="12"/>
                <w:szCs w:val="12"/>
                <w:b w:val="1"/>
                <w:bCs w:val="1"/>
                <w:color w:val="auto"/>
                <w:w w:val="90"/>
              </w:rPr>
              <w:t>comprehensive</w:t>
            </w:r>
          </w:p>
        </w:tc>
        <w:tc>
          <w:tcPr>
            <w:tcW w:w="60" w:type="dxa"/>
            <w:vAlign w:val="bottom"/>
          </w:tcPr>
          <w:p>
            <w:pPr>
              <w:spacing w:after="0"/>
              <w:rPr>
                <w:sz w:val="9"/>
                <w:szCs w:val="9"/>
                <w:color w:val="auto"/>
              </w:rPr>
            </w:pPr>
          </w:p>
        </w:tc>
        <w:tc>
          <w:tcPr>
            <w:tcW w:w="62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9"/>
                <w:szCs w:val="9"/>
                <w:color w:val="auto"/>
              </w:rPr>
            </w:pPr>
          </w:p>
        </w:tc>
        <w:tc>
          <w:tcPr>
            <w:tcW w:w="8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w w:val="96"/>
              </w:rPr>
              <w:t>Stockholders'</w:t>
            </w:r>
          </w:p>
        </w:tc>
      </w:tr>
      <w:tr>
        <w:trPr>
          <w:trHeight w:val="153"/>
        </w:trPr>
        <w:tc>
          <w:tcPr>
            <w:tcW w:w="35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79"/>
              </w:rPr>
              <w:t>of shares</w:t>
            </w:r>
          </w:p>
        </w:tc>
        <w:tc>
          <w:tcPr>
            <w:tcW w:w="1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spacing w:after="0"/>
              <w:rPr>
                <w:sz w:val="20"/>
                <w:szCs w:val="20"/>
                <w:color w:val="auto"/>
              </w:rPr>
            </w:pPr>
            <w:r>
              <w:rPr>
                <w:rFonts w:ascii="Arial" w:cs="Arial" w:eastAsia="Arial" w:hAnsi="Arial"/>
                <w:sz w:val="13"/>
                <w:szCs w:val="13"/>
                <w:b w:val="1"/>
                <w:bCs w:val="1"/>
                <w:color w:val="auto"/>
                <w:w w:val="79"/>
              </w:rPr>
              <w:t>of shares</w:t>
            </w:r>
          </w:p>
        </w:tc>
        <w:tc>
          <w:tcPr>
            <w:tcW w:w="640" w:type="dxa"/>
            <w:vAlign w:val="bottom"/>
            <w:gridSpan w:val="4"/>
          </w:tcPr>
          <w:p>
            <w:pPr>
              <w:ind w:left="14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gain (loss)</w:t>
            </w:r>
          </w:p>
        </w:tc>
        <w:tc>
          <w:tcPr>
            <w:tcW w:w="6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earnings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equity</w:t>
            </w:r>
          </w:p>
        </w:tc>
      </w:tr>
      <w:tr>
        <w:trPr>
          <w:trHeight w:val="129"/>
        </w:trPr>
        <w:tc>
          <w:tcPr>
            <w:tcW w:w="35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July 1, 2019</w:t>
            </w: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19,951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297,922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(379)</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14,152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311,715</w:t>
            </w: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w w:val="93"/>
              </w:rPr>
              <w:t>Stock options exercised, net of shares withheld for employee tax</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r>
      <w:tr>
        <w:trPr>
          <w:trHeight w:val="121"/>
        </w:trPr>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Issuance of restricted stock, net of shares withheld for employee</w:t>
            </w: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tax</w:t>
            </w:r>
          </w:p>
        </w:tc>
        <w:tc>
          <w:tcPr>
            <w:tcW w:w="4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20" w:type="dxa"/>
            <w:vAlign w:val="bottom"/>
            <w:shd w:val="clear" w:color="auto" w:fill="CCEEFF"/>
          </w:tcPr>
          <w:p>
            <w:pPr>
              <w:spacing w:after="0"/>
              <w:rPr>
                <w:sz w:val="12"/>
                <w:szCs w:val="12"/>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2,978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2,978</w:t>
            </w:r>
          </w:p>
        </w:tc>
        <w:tc>
          <w:tcPr>
            <w:tcW w:w="20" w:type="dxa"/>
            <w:vAlign w:val="bottom"/>
          </w:tcPr>
          <w:p>
            <w:pPr>
              <w:spacing w:after="0"/>
              <w:rPr>
                <w:sz w:val="11"/>
                <w:szCs w:val="1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4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(3,453)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(3,453)</w:t>
            </w:r>
          </w:p>
        </w:tc>
        <w:tc>
          <w:tcPr>
            <w:tcW w:w="20" w:type="dxa"/>
            <w:vAlign w:val="bottom"/>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Net income (loss)</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(8,780)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(8,780)</w:t>
            </w:r>
          </w:p>
        </w:tc>
        <w:tc>
          <w:tcPr>
            <w:tcW w:w="20" w:type="dxa"/>
            <w:vAlign w:val="bottom"/>
          </w:tcPr>
          <w:p>
            <w:pPr>
              <w:spacing w:after="0"/>
              <w:rPr>
                <w:sz w:val="11"/>
                <w:szCs w:val="11"/>
                <w:color w:val="auto"/>
              </w:rPr>
            </w:pPr>
          </w:p>
        </w:tc>
      </w:tr>
      <w:tr>
        <w:trPr>
          <w:trHeight w:val="129"/>
        </w:trPr>
        <w:tc>
          <w:tcPr>
            <w:tcW w:w="35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September 30, 2019</w:t>
            </w:r>
          </w:p>
        </w:tc>
        <w:tc>
          <w:tcPr>
            <w:tcW w:w="480" w:type="dxa"/>
            <w:vAlign w:val="bottom"/>
            <w:tcBorders>
              <w:top w:val="single" w:sz="8" w:color="auto"/>
              <w:bottom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20,061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$ 300,725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(3,832)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5,372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302,285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7"/>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3500" w:type="dxa"/>
            <w:vAlign w:val="bottom"/>
          </w:tcPr>
          <w:p>
            <w:pPr>
              <w:spacing w:after="0"/>
              <w:rPr>
                <w:sz w:val="13"/>
                <w:szCs w:val="13"/>
                <w:color w:val="auto"/>
              </w:rPr>
            </w:pPr>
          </w:p>
        </w:tc>
        <w:tc>
          <w:tcPr>
            <w:tcW w:w="1200" w:type="dxa"/>
            <w:vAlign w:val="bottom"/>
            <w:gridSpan w:val="5"/>
          </w:tcPr>
          <w:p>
            <w:pPr>
              <w:ind w:left="100"/>
              <w:spacing w:after="0"/>
              <w:rPr>
                <w:sz w:val="20"/>
                <w:szCs w:val="20"/>
                <w:color w:val="auto"/>
              </w:rPr>
            </w:pPr>
            <w:r>
              <w:rPr>
                <w:rFonts w:ascii="Arial" w:cs="Arial" w:eastAsia="Arial" w:hAnsi="Arial"/>
                <w:sz w:val="13"/>
                <w:szCs w:val="13"/>
                <w:b w:val="1"/>
                <w:bCs w:val="1"/>
                <w:color w:val="auto"/>
              </w:rPr>
              <w:t>Preferred Stock</w:t>
            </w:r>
          </w:p>
        </w:tc>
        <w:tc>
          <w:tcPr>
            <w:tcW w:w="112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3500" w:type="dxa"/>
            <w:vAlign w:val="bottom"/>
          </w:tcPr>
          <w:p>
            <w:pPr>
              <w:spacing w:after="0"/>
              <w:rPr>
                <w:sz w:val="9"/>
                <w:szCs w:val="9"/>
                <w:color w:val="auto"/>
              </w:rPr>
            </w:pPr>
          </w:p>
        </w:tc>
        <w:tc>
          <w:tcPr>
            <w:tcW w:w="480" w:type="dxa"/>
            <w:vAlign w:val="bottom"/>
            <w:tcBorders>
              <w:top w:val="single" w:sz="8" w:color="auto"/>
            </w:tcBorders>
          </w:tcPr>
          <w:p>
            <w:pPr>
              <w:ind w:left="20"/>
              <w:spacing w:after="0" w:line="110" w:lineRule="exact"/>
              <w:rPr>
                <w:sz w:val="20"/>
                <w:szCs w:val="20"/>
                <w:color w:val="auto"/>
              </w:rPr>
            </w:pPr>
            <w:r>
              <w:rPr>
                <w:rFonts w:ascii="Arial" w:cs="Arial" w:eastAsia="Arial" w:hAnsi="Arial"/>
                <w:sz w:val="12"/>
                <w:szCs w:val="12"/>
                <w:b w:val="1"/>
                <w:bCs w:val="1"/>
                <w:color w:val="auto"/>
                <w:w w:val="96"/>
              </w:rPr>
              <w:t>Number</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ind w:left="20"/>
              <w:spacing w:after="0" w:line="110" w:lineRule="exact"/>
              <w:rPr>
                <w:sz w:val="20"/>
                <w:szCs w:val="20"/>
                <w:color w:val="auto"/>
              </w:rPr>
            </w:pPr>
            <w:r>
              <w:rPr>
                <w:rFonts w:ascii="Arial" w:cs="Arial" w:eastAsia="Arial" w:hAnsi="Arial"/>
                <w:sz w:val="12"/>
                <w:szCs w:val="12"/>
                <w:b w:val="1"/>
                <w:bCs w:val="1"/>
                <w:color w:val="auto"/>
                <w:w w:val="96"/>
              </w:rPr>
              <w:t>Number</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paid-in</w:t>
            </w:r>
          </w:p>
        </w:tc>
        <w:tc>
          <w:tcPr>
            <w:tcW w:w="60" w:type="dxa"/>
            <w:vAlign w:val="bottom"/>
          </w:tcPr>
          <w:p>
            <w:pPr>
              <w:spacing w:after="0"/>
              <w:rPr>
                <w:sz w:val="9"/>
                <w:szCs w:val="9"/>
                <w:color w:val="auto"/>
              </w:rPr>
            </w:pPr>
          </w:p>
        </w:tc>
        <w:tc>
          <w:tcPr>
            <w:tcW w:w="900" w:type="dxa"/>
            <w:vAlign w:val="bottom"/>
            <w:gridSpan w:val="3"/>
          </w:tcPr>
          <w:p>
            <w:pPr>
              <w:jc w:val="center"/>
              <w:ind w:right="60"/>
              <w:spacing w:after="0" w:line="110" w:lineRule="exact"/>
              <w:rPr>
                <w:sz w:val="20"/>
                <w:szCs w:val="20"/>
                <w:color w:val="auto"/>
              </w:rPr>
            </w:pPr>
            <w:r>
              <w:rPr>
                <w:rFonts w:ascii="Arial" w:cs="Arial" w:eastAsia="Arial" w:hAnsi="Arial"/>
                <w:sz w:val="12"/>
                <w:szCs w:val="12"/>
                <w:b w:val="1"/>
                <w:bCs w:val="1"/>
                <w:color w:val="auto"/>
                <w:w w:val="90"/>
              </w:rPr>
              <w:t>comprehensive</w:t>
            </w:r>
          </w:p>
        </w:tc>
        <w:tc>
          <w:tcPr>
            <w:tcW w:w="60" w:type="dxa"/>
            <w:vAlign w:val="bottom"/>
          </w:tcPr>
          <w:p>
            <w:pPr>
              <w:spacing w:after="0"/>
              <w:rPr>
                <w:sz w:val="9"/>
                <w:szCs w:val="9"/>
                <w:color w:val="auto"/>
              </w:rPr>
            </w:pPr>
          </w:p>
        </w:tc>
        <w:tc>
          <w:tcPr>
            <w:tcW w:w="62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9"/>
                <w:szCs w:val="9"/>
                <w:color w:val="auto"/>
              </w:rPr>
            </w:pPr>
          </w:p>
        </w:tc>
        <w:tc>
          <w:tcPr>
            <w:tcW w:w="8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w w:val="96"/>
              </w:rPr>
              <w:t>Stockholders'</w:t>
            </w:r>
          </w:p>
        </w:tc>
      </w:tr>
      <w:tr>
        <w:trPr>
          <w:trHeight w:val="153"/>
        </w:trPr>
        <w:tc>
          <w:tcPr>
            <w:tcW w:w="35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79"/>
              </w:rPr>
              <w:t>of shares</w:t>
            </w:r>
          </w:p>
        </w:tc>
        <w:tc>
          <w:tcPr>
            <w:tcW w:w="1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spacing w:after="0"/>
              <w:rPr>
                <w:sz w:val="20"/>
                <w:szCs w:val="20"/>
                <w:color w:val="auto"/>
              </w:rPr>
            </w:pPr>
            <w:r>
              <w:rPr>
                <w:rFonts w:ascii="Arial" w:cs="Arial" w:eastAsia="Arial" w:hAnsi="Arial"/>
                <w:sz w:val="13"/>
                <w:szCs w:val="13"/>
                <w:b w:val="1"/>
                <w:bCs w:val="1"/>
                <w:color w:val="auto"/>
                <w:w w:val="79"/>
              </w:rPr>
              <w:t>of shares</w:t>
            </w:r>
          </w:p>
        </w:tc>
        <w:tc>
          <w:tcPr>
            <w:tcW w:w="640" w:type="dxa"/>
            <w:vAlign w:val="bottom"/>
            <w:gridSpan w:val="4"/>
          </w:tcPr>
          <w:p>
            <w:pPr>
              <w:ind w:left="14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gain (loss)</w:t>
            </w:r>
          </w:p>
        </w:tc>
        <w:tc>
          <w:tcPr>
            <w:tcW w:w="6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earnings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equity</w:t>
            </w:r>
          </w:p>
        </w:tc>
      </w:tr>
      <w:tr>
        <w:trPr>
          <w:trHeight w:val="129"/>
        </w:trPr>
        <w:tc>
          <w:tcPr>
            <w:tcW w:w="35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July 1, 2018</w:t>
            </w: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19,634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288,686</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5,633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48,292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342,631</w:t>
            </w: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w w:val="93"/>
              </w:rPr>
              <w:t>Stock options exercised, net of shares withheld for employee tax</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(845)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(845)</w:t>
            </w:r>
          </w:p>
        </w:tc>
        <w:tc>
          <w:tcPr>
            <w:tcW w:w="20" w:type="dxa"/>
            <w:vAlign w:val="bottom"/>
          </w:tcPr>
          <w:p>
            <w:pPr>
              <w:spacing w:after="0"/>
              <w:rPr>
                <w:sz w:val="11"/>
                <w:szCs w:val="11"/>
                <w:color w:val="auto"/>
              </w:rPr>
            </w:pPr>
          </w:p>
        </w:tc>
      </w:tr>
      <w:tr>
        <w:trPr>
          <w:trHeight w:val="121"/>
        </w:trPr>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Issuance of restricted stock, net of shares withheld for employee</w:t>
            </w: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tax</w:t>
            </w:r>
          </w:p>
        </w:tc>
        <w:tc>
          <w:tcPr>
            <w:tcW w:w="4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w:t>
            </w:r>
          </w:p>
        </w:tc>
        <w:tc>
          <w:tcPr>
            <w:tcW w:w="20" w:type="dxa"/>
            <w:vAlign w:val="bottom"/>
            <w:shd w:val="clear" w:color="auto" w:fill="CCEEFF"/>
          </w:tcPr>
          <w:p>
            <w:pPr>
              <w:spacing w:after="0"/>
              <w:rPr>
                <w:sz w:val="12"/>
                <w:szCs w:val="12"/>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2,894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2,894</w:t>
            </w:r>
          </w:p>
        </w:tc>
        <w:tc>
          <w:tcPr>
            <w:tcW w:w="20" w:type="dxa"/>
            <w:vAlign w:val="bottom"/>
          </w:tcPr>
          <w:p>
            <w:pPr>
              <w:spacing w:after="0"/>
              <w:rPr>
                <w:sz w:val="11"/>
                <w:szCs w:val="1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4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(4,798)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(4,798)</w:t>
            </w:r>
          </w:p>
        </w:tc>
        <w:tc>
          <w:tcPr>
            <w:tcW w:w="20" w:type="dxa"/>
            <w:vAlign w:val="bottom"/>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(3,732)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(3,732)</w:t>
            </w:r>
          </w:p>
        </w:tc>
        <w:tc>
          <w:tcPr>
            <w:tcW w:w="20" w:type="dxa"/>
            <w:vAlign w:val="bottom"/>
          </w:tcPr>
          <w:p>
            <w:pPr>
              <w:spacing w:after="0"/>
              <w:rPr>
                <w:sz w:val="11"/>
                <w:szCs w:val="11"/>
                <w:color w:val="auto"/>
              </w:rPr>
            </w:pPr>
          </w:p>
        </w:tc>
      </w:tr>
      <w:tr>
        <w:trPr>
          <w:trHeight w:val="129"/>
        </w:trPr>
        <w:tc>
          <w:tcPr>
            <w:tcW w:w="35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September 30, 2018</w:t>
            </w:r>
          </w:p>
        </w:tc>
        <w:tc>
          <w:tcPr>
            <w:tcW w:w="480" w:type="dxa"/>
            <w:vAlign w:val="bottom"/>
            <w:tcBorders>
              <w:top w:val="single" w:sz="8" w:color="auto"/>
              <w:bottom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19,758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$ 290,070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44,560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335,485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7"/>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3500" w:type="dxa"/>
            <w:vAlign w:val="bottom"/>
          </w:tcPr>
          <w:p>
            <w:pPr>
              <w:spacing w:after="0"/>
              <w:rPr>
                <w:sz w:val="13"/>
                <w:szCs w:val="13"/>
                <w:color w:val="auto"/>
              </w:rPr>
            </w:pPr>
          </w:p>
        </w:tc>
        <w:tc>
          <w:tcPr>
            <w:tcW w:w="1200" w:type="dxa"/>
            <w:vAlign w:val="bottom"/>
            <w:gridSpan w:val="5"/>
          </w:tcPr>
          <w:p>
            <w:pPr>
              <w:ind w:left="100"/>
              <w:spacing w:after="0"/>
              <w:rPr>
                <w:sz w:val="20"/>
                <w:szCs w:val="20"/>
                <w:color w:val="auto"/>
              </w:rPr>
            </w:pPr>
            <w:r>
              <w:rPr>
                <w:rFonts w:ascii="Arial" w:cs="Arial" w:eastAsia="Arial" w:hAnsi="Arial"/>
                <w:sz w:val="13"/>
                <w:szCs w:val="13"/>
                <w:b w:val="1"/>
                <w:bCs w:val="1"/>
                <w:color w:val="auto"/>
              </w:rPr>
              <w:t>Preferred Stock</w:t>
            </w:r>
          </w:p>
        </w:tc>
        <w:tc>
          <w:tcPr>
            <w:tcW w:w="112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3500" w:type="dxa"/>
            <w:vAlign w:val="bottom"/>
          </w:tcPr>
          <w:p>
            <w:pPr>
              <w:spacing w:after="0"/>
              <w:rPr>
                <w:sz w:val="9"/>
                <w:szCs w:val="9"/>
                <w:color w:val="auto"/>
              </w:rPr>
            </w:pPr>
          </w:p>
        </w:tc>
        <w:tc>
          <w:tcPr>
            <w:tcW w:w="480" w:type="dxa"/>
            <w:vAlign w:val="bottom"/>
            <w:tcBorders>
              <w:top w:val="single" w:sz="8" w:color="auto"/>
            </w:tcBorders>
          </w:tcPr>
          <w:p>
            <w:pPr>
              <w:ind w:left="20"/>
              <w:spacing w:after="0" w:line="110" w:lineRule="exact"/>
              <w:rPr>
                <w:sz w:val="20"/>
                <w:szCs w:val="20"/>
                <w:color w:val="auto"/>
              </w:rPr>
            </w:pPr>
            <w:r>
              <w:rPr>
                <w:rFonts w:ascii="Arial" w:cs="Arial" w:eastAsia="Arial" w:hAnsi="Arial"/>
                <w:sz w:val="12"/>
                <w:szCs w:val="12"/>
                <w:b w:val="1"/>
                <w:bCs w:val="1"/>
                <w:color w:val="auto"/>
                <w:w w:val="96"/>
              </w:rPr>
              <w:t>Number</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ind w:left="20"/>
              <w:spacing w:after="0" w:line="110" w:lineRule="exact"/>
              <w:rPr>
                <w:sz w:val="20"/>
                <w:szCs w:val="20"/>
                <w:color w:val="auto"/>
              </w:rPr>
            </w:pPr>
            <w:r>
              <w:rPr>
                <w:rFonts w:ascii="Arial" w:cs="Arial" w:eastAsia="Arial" w:hAnsi="Arial"/>
                <w:sz w:val="12"/>
                <w:szCs w:val="12"/>
                <w:b w:val="1"/>
                <w:bCs w:val="1"/>
                <w:color w:val="auto"/>
                <w:w w:val="96"/>
              </w:rPr>
              <w:t>Number</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paid-in</w:t>
            </w:r>
          </w:p>
        </w:tc>
        <w:tc>
          <w:tcPr>
            <w:tcW w:w="60" w:type="dxa"/>
            <w:vAlign w:val="bottom"/>
          </w:tcPr>
          <w:p>
            <w:pPr>
              <w:spacing w:after="0"/>
              <w:rPr>
                <w:sz w:val="9"/>
                <w:szCs w:val="9"/>
                <w:color w:val="auto"/>
              </w:rPr>
            </w:pPr>
          </w:p>
        </w:tc>
        <w:tc>
          <w:tcPr>
            <w:tcW w:w="900" w:type="dxa"/>
            <w:vAlign w:val="bottom"/>
            <w:gridSpan w:val="3"/>
          </w:tcPr>
          <w:p>
            <w:pPr>
              <w:jc w:val="center"/>
              <w:ind w:right="60"/>
              <w:spacing w:after="0" w:line="110" w:lineRule="exact"/>
              <w:rPr>
                <w:sz w:val="20"/>
                <w:szCs w:val="20"/>
                <w:color w:val="auto"/>
              </w:rPr>
            </w:pPr>
            <w:r>
              <w:rPr>
                <w:rFonts w:ascii="Arial" w:cs="Arial" w:eastAsia="Arial" w:hAnsi="Arial"/>
                <w:sz w:val="12"/>
                <w:szCs w:val="12"/>
                <w:b w:val="1"/>
                <w:bCs w:val="1"/>
                <w:color w:val="auto"/>
                <w:w w:val="90"/>
              </w:rPr>
              <w:t>comprehensive</w:t>
            </w:r>
          </w:p>
        </w:tc>
        <w:tc>
          <w:tcPr>
            <w:tcW w:w="60" w:type="dxa"/>
            <w:vAlign w:val="bottom"/>
          </w:tcPr>
          <w:p>
            <w:pPr>
              <w:spacing w:after="0"/>
              <w:rPr>
                <w:sz w:val="9"/>
                <w:szCs w:val="9"/>
                <w:color w:val="auto"/>
              </w:rPr>
            </w:pPr>
          </w:p>
        </w:tc>
        <w:tc>
          <w:tcPr>
            <w:tcW w:w="62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9"/>
                <w:szCs w:val="9"/>
                <w:color w:val="auto"/>
              </w:rPr>
            </w:pPr>
          </w:p>
        </w:tc>
        <w:tc>
          <w:tcPr>
            <w:tcW w:w="8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w w:val="96"/>
              </w:rPr>
              <w:t>Stockholders'</w:t>
            </w:r>
          </w:p>
        </w:tc>
      </w:tr>
      <w:tr>
        <w:trPr>
          <w:trHeight w:val="153"/>
        </w:trPr>
        <w:tc>
          <w:tcPr>
            <w:tcW w:w="35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79"/>
              </w:rPr>
              <w:t>of shares</w:t>
            </w:r>
          </w:p>
        </w:tc>
        <w:tc>
          <w:tcPr>
            <w:tcW w:w="1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spacing w:after="0"/>
              <w:rPr>
                <w:sz w:val="20"/>
                <w:szCs w:val="20"/>
                <w:color w:val="auto"/>
              </w:rPr>
            </w:pPr>
            <w:r>
              <w:rPr>
                <w:rFonts w:ascii="Arial" w:cs="Arial" w:eastAsia="Arial" w:hAnsi="Arial"/>
                <w:sz w:val="13"/>
                <w:szCs w:val="13"/>
                <w:b w:val="1"/>
                <w:bCs w:val="1"/>
                <w:color w:val="auto"/>
                <w:w w:val="79"/>
              </w:rPr>
              <w:t>of shares</w:t>
            </w:r>
          </w:p>
        </w:tc>
        <w:tc>
          <w:tcPr>
            <w:tcW w:w="640" w:type="dxa"/>
            <w:vAlign w:val="bottom"/>
            <w:gridSpan w:val="4"/>
          </w:tcPr>
          <w:p>
            <w:pPr>
              <w:ind w:left="14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gain (loss)</w:t>
            </w:r>
          </w:p>
        </w:tc>
        <w:tc>
          <w:tcPr>
            <w:tcW w:w="6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earnings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equity</w:t>
            </w:r>
          </w:p>
        </w:tc>
      </w:tr>
      <w:tr>
        <w:trPr>
          <w:trHeight w:val="129"/>
        </w:trPr>
        <w:tc>
          <w:tcPr>
            <w:tcW w:w="35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January 1, 2019</w:t>
            </w: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19,810</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292,480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35,992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329,094</w:t>
            </w: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w w:val="93"/>
              </w:rPr>
              <w:t>Stock options exercised, net of shares withheld for employee tax</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20" w:type="dxa"/>
            <w:vAlign w:val="bottom"/>
          </w:tcPr>
          <w:p>
            <w:pPr>
              <w:spacing w:after="0"/>
              <w:rPr>
                <w:sz w:val="11"/>
                <w:szCs w:val="11"/>
                <w:color w:val="auto"/>
              </w:rPr>
            </w:pPr>
          </w:p>
        </w:tc>
      </w:tr>
      <w:tr>
        <w:trPr>
          <w:trHeight w:val="121"/>
        </w:trPr>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Issuance of restricted stock, net of shares withheld for employee</w:t>
            </w: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tax</w:t>
            </w:r>
          </w:p>
        </w:tc>
        <w:tc>
          <w:tcPr>
            <w:tcW w:w="4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(702)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(702)</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8,939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8,939</w:t>
            </w:r>
          </w:p>
        </w:tc>
        <w:tc>
          <w:tcPr>
            <w:tcW w:w="20" w:type="dxa"/>
            <w:vAlign w:val="bottom"/>
          </w:tcPr>
          <w:p>
            <w:pPr>
              <w:spacing w:after="0"/>
              <w:rPr>
                <w:sz w:val="11"/>
                <w:szCs w:val="1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4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(4,434)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(4,434)</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Other</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4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0"/>
              </w:rPr>
              <w:t>(30,620)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(30,620)</w:t>
            </w: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3"/>
                <w:szCs w:val="13"/>
                <w:color w:val="auto"/>
              </w:rPr>
              <w:t>September 30, 2019</w:t>
            </w:r>
          </w:p>
        </w:tc>
        <w:tc>
          <w:tcPr>
            <w:tcW w:w="480" w:type="dxa"/>
            <w:vAlign w:val="bottom"/>
            <w:tcBorders>
              <w:top w:val="single" w:sz="8" w:color="auto"/>
              <w:bottom w:val="single" w:sz="8" w:color="auto"/>
            </w:tcBorders>
          </w:tcPr>
          <w:p>
            <w:pPr>
              <w:ind w:left="32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20,061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9"/>
              </w:rPr>
              <w:t>$ 300,725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(3,832)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5,372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302,285</w:t>
            </w:r>
          </w:p>
        </w:tc>
        <w:tc>
          <w:tcPr>
            <w:tcW w:w="20" w:type="dxa"/>
            <w:vAlign w:val="bottom"/>
          </w:tcPr>
          <w:p>
            <w:pPr>
              <w:spacing w:after="0"/>
              <w:rPr>
                <w:sz w:val="11"/>
                <w:szCs w:val="1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7"/>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3500" w:type="dxa"/>
            <w:vAlign w:val="bottom"/>
          </w:tcPr>
          <w:p>
            <w:pPr>
              <w:spacing w:after="0"/>
              <w:rPr>
                <w:sz w:val="13"/>
                <w:szCs w:val="13"/>
                <w:color w:val="auto"/>
              </w:rPr>
            </w:pPr>
          </w:p>
        </w:tc>
        <w:tc>
          <w:tcPr>
            <w:tcW w:w="1200" w:type="dxa"/>
            <w:vAlign w:val="bottom"/>
            <w:gridSpan w:val="5"/>
          </w:tcPr>
          <w:p>
            <w:pPr>
              <w:ind w:left="100"/>
              <w:spacing w:after="0"/>
              <w:rPr>
                <w:sz w:val="20"/>
                <w:szCs w:val="20"/>
                <w:color w:val="auto"/>
              </w:rPr>
            </w:pPr>
            <w:r>
              <w:rPr>
                <w:rFonts w:ascii="Arial" w:cs="Arial" w:eastAsia="Arial" w:hAnsi="Arial"/>
                <w:sz w:val="13"/>
                <w:szCs w:val="13"/>
                <w:b w:val="1"/>
                <w:bCs w:val="1"/>
                <w:color w:val="auto"/>
              </w:rPr>
              <w:t>Preferred Stock</w:t>
            </w:r>
          </w:p>
        </w:tc>
        <w:tc>
          <w:tcPr>
            <w:tcW w:w="112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3500" w:type="dxa"/>
            <w:vAlign w:val="bottom"/>
          </w:tcPr>
          <w:p>
            <w:pPr>
              <w:spacing w:after="0"/>
              <w:rPr>
                <w:sz w:val="9"/>
                <w:szCs w:val="9"/>
                <w:color w:val="auto"/>
              </w:rPr>
            </w:pPr>
          </w:p>
        </w:tc>
        <w:tc>
          <w:tcPr>
            <w:tcW w:w="480" w:type="dxa"/>
            <w:vAlign w:val="bottom"/>
            <w:tcBorders>
              <w:top w:val="single" w:sz="8" w:color="auto"/>
            </w:tcBorders>
          </w:tcPr>
          <w:p>
            <w:pPr>
              <w:ind w:left="20"/>
              <w:spacing w:after="0" w:line="110" w:lineRule="exact"/>
              <w:rPr>
                <w:sz w:val="20"/>
                <w:szCs w:val="20"/>
                <w:color w:val="auto"/>
              </w:rPr>
            </w:pPr>
            <w:r>
              <w:rPr>
                <w:rFonts w:ascii="Arial" w:cs="Arial" w:eastAsia="Arial" w:hAnsi="Arial"/>
                <w:sz w:val="12"/>
                <w:szCs w:val="12"/>
                <w:b w:val="1"/>
                <w:bCs w:val="1"/>
                <w:color w:val="auto"/>
                <w:w w:val="96"/>
              </w:rPr>
              <w:t>Number</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ind w:left="20"/>
              <w:spacing w:after="0" w:line="110" w:lineRule="exact"/>
              <w:rPr>
                <w:sz w:val="20"/>
                <w:szCs w:val="20"/>
                <w:color w:val="auto"/>
              </w:rPr>
            </w:pPr>
            <w:r>
              <w:rPr>
                <w:rFonts w:ascii="Arial" w:cs="Arial" w:eastAsia="Arial" w:hAnsi="Arial"/>
                <w:sz w:val="12"/>
                <w:szCs w:val="12"/>
                <w:b w:val="1"/>
                <w:bCs w:val="1"/>
                <w:color w:val="auto"/>
                <w:w w:val="96"/>
              </w:rPr>
              <w:t>Number</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paid-in</w:t>
            </w:r>
          </w:p>
        </w:tc>
        <w:tc>
          <w:tcPr>
            <w:tcW w:w="60" w:type="dxa"/>
            <w:vAlign w:val="bottom"/>
          </w:tcPr>
          <w:p>
            <w:pPr>
              <w:spacing w:after="0"/>
              <w:rPr>
                <w:sz w:val="9"/>
                <w:szCs w:val="9"/>
                <w:color w:val="auto"/>
              </w:rPr>
            </w:pPr>
          </w:p>
        </w:tc>
        <w:tc>
          <w:tcPr>
            <w:tcW w:w="900" w:type="dxa"/>
            <w:vAlign w:val="bottom"/>
            <w:gridSpan w:val="3"/>
          </w:tcPr>
          <w:p>
            <w:pPr>
              <w:jc w:val="center"/>
              <w:ind w:right="60"/>
              <w:spacing w:after="0" w:line="110" w:lineRule="exact"/>
              <w:rPr>
                <w:sz w:val="20"/>
                <w:szCs w:val="20"/>
                <w:color w:val="auto"/>
              </w:rPr>
            </w:pPr>
            <w:r>
              <w:rPr>
                <w:rFonts w:ascii="Arial" w:cs="Arial" w:eastAsia="Arial" w:hAnsi="Arial"/>
                <w:sz w:val="12"/>
                <w:szCs w:val="12"/>
                <w:b w:val="1"/>
                <w:bCs w:val="1"/>
                <w:color w:val="auto"/>
                <w:w w:val="90"/>
              </w:rPr>
              <w:t>comprehensive</w:t>
            </w:r>
          </w:p>
        </w:tc>
        <w:tc>
          <w:tcPr>
            <w:tcW w:w="60" w:type="dxa"/>
            <w:vAlign w:val="bottom"/>
          </w:tcPr>
          <w:p>
            <w:pPr>
              <w:spacing w:after="0"/>
              <w:rPr>
                <w:sz w:val="9"/>
                <w:szCs w:val="9"/>
                <w:color w:val="auto"/>
              </w:rPr>
            </w:pPr>
          </w:p>
        </w:tc>
        <w:tc>
          <w:tcPr>
            <w:tcW w:w="62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9"/>
                <w:szCs w:val="9"/>
                <w:color w:val="auto"/>
              </w:rPr>
            </w:pPr>
          </w:p>
        </w:tc>
        <w:tc>
          <w:tcPr>
            <w:tcW w:w="8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w w:val="96"/>
              </w:rPr>
              <w:t>Stockholders'</w:t>
            </w:r>
          </w:p>
        </w:tc>
      </w:tr>
      <w:tr>
        <w:trPr>
          <w:trHeight w:val="153"/>
        </w:trPr>
        <w:tc>
          <w:tcPr>
            <w:tcW w:w="35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79"/>
              </w:rPr>
              <w:t>of shares</w:t>
            </w:r>
          </w:p>
        </w:tc>
        <w:tc>
          <w:tcPr>
            <w:tcW w:w="1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spacing w:after="0"/>
              <w:rPr>
                <w:sz w:val="20"/>
                <w:szCs w:val="20"/>
                <w:color w:val="auto"/>
              </w:rPr>
            </w:pPr>
            <w:r>
              <w:rPr>
                <w:rFonts w:ascii="Arial" w:cs="Arial" w:eastAsia="Arial" w:hAnsi="Arial"/>
                <w:sz w:val="13"/>
                <w:szCs w:val="13"/>
                <w:b w:val="1"/>
                <w:bCs w:val="1"/>
                <w:color w:val="auto"/>
                <w:w w:val="79"/>
              </w:rPr>
              <w:t>of shares</w:t>
            </w:r>
          </w:p>
        </w:tc>
        <w:tc>
          <w:tcPr>
            <w:tcW w:w="640" w:type="dxa"/>
            <w:vAlign w:val="bottom"/>
            <w:gridSpan w:val="4"/>
          </w:tcPr>
          <w:p>
            <w:pPr>
              <w:ind w:left="14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gain (loss)</w:t>
            </w:r>
          </w:p>
        </w:tc>
        <w:tc>
          <w:tcPr>
            <w:tcW w:w="6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earnings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equity</w:t>
            </w:r>
          </w:p>
        </w:tc>
      </w:tr>
      <w:tr>
        <w:trPr>
          <w:trHeight w:val="129"/>
        </w:trPr>
        <w:tc>
          <w:tcPr>
            <w:tcW w:w="35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January 1, 2018</w:t>
            </w: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19,451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285,376</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9,743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38,138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333,276</w:t>
            </w: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w w:val="93"/>
              </w:rPr>
              <w:t>Stock options exercised, net of shares withheld for employee tax</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(2,073)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(2,073)</w:t>
            </w:r>
          </w:p>
        </w:tc>
      </w:tr>
      <w:tr>
        <w:trPr>
          <w:trHeight w:val="121"/>
        </w:trPr>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Issuance of restricted stock, net of shares withheld for employee</w:t>
            </w: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tax</w:t>
            </w:r>
          </w:p>
        </w:tc>
        <w:tc>
          <w:tcPr>
            <w:tcW w:w="4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(1,595)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(1,594)</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8,362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8,362</w:t>
            </w:r>
          </w:p>
        </w:tc>
        <w:tc>
          <w:tcPr>
            <w:tcW w:w="20" w:type="dxa"/>
            <w:vAlign w:val="bottom"/>
          </w:tcPr>
          <w:p>
            <w:pPr>
              <w:spacing w:after="0"/>
              <w:rPr>
                <w:sz w:val="11"/>
                <w:szCs w:val="1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4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(8,908)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(8,908)</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48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6,422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6,422</w:t>
            </w:r>
          </w:p>
        </w:tc>
        <w:tc>
          <w:tcPr>
            <w:tcW w:w="20" w:type="dxa"/>
            <w:vAlign w:val="bottom"/>
          </w:tcPr>
          <w:p>
            <w:pPr>
              <w:spacing w:after="0"/>
              <w:rPr>
                <w:sz w:val="11"/>
                <w:szCs w:val="11"/>
                <w:color w:val="auto"/>
              </w:rPr>
            </w:pPr>
          </w:p>
        </w:tc>
      </w:tr>
      <w:tr>
        <w:trPr>
          <w:trHeight w:val="129"/>
        </w:trPr>
        <w:tc>
          <w:tcPr>
            <w:tcW w:w="35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September 30, 2018</w:t>
            </w:r>
          </w:p>
        </w:tc>
        <w:tc>
          <w:tcPr>
            <w:tcW w:w="480" w:type="dxa"/>
            <w:vAlign w:val="bottom"/>
            <w:tcBorders>
              <w:top w:val="single" w:sz="8" w:color="auto"/>
              <w:bottom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19,758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$ 290,070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44,560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335,485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Nine months ended</w:t>
      </w:r>
    </w:p>
    <w:p>
      <w:pPr>
        <w:ind w:left="75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5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(30,620)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6,422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Lower of cost or market reserve adjustment to inventory</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(7,710)</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(5,734)</w:t>
            </w: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Loss (gain) on disposal of assets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Unrealized foreign exchange gain</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(220)</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Accounts receivable, trade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27,822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receivable</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Prepaid income tax</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(41,288)</w:t>
            </w: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right of use asset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(1,836)</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10,082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(2,405)</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(7,390)</w:t>
            </w: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Lease liability</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(777)</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25,625</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80" w:type="dxa"/>
            <w:vAlign w:val="bottom"/>
          </w:tcPr>
          <w:p>
            <w:pPr>
              <w:spacing w:after="0"/>
              <w:rPr>
                <w:sz w:val="20"/>
                <w:szCs w:val="20"/>
                <w:color w:val="auto"/>
              </w:rPr>
            </w:pPr>
            <w:r>
              <w:rPr>
                <w:rFonts w:ascii="Arial" w:cs="Arial" w:eastAsia="Arial" w:hAnsi="Arial"/>
                <w:sz w:val="16"/>
                <w:szCs w:val="16"/>
                <w:color w:val="auto"/>
              </w:rPr>
              <w:t>Investing activities:</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short-term investments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(15,023)</w:t>
            </w:r>
          </w:p>
        </w:tc>
        <w:tc>
          <w:tcPr>
            <w:tcW w:w="0" w:type="dxa"/>
            <w:vAlign w:val="bottom"/>
          </w:tcPr>
          <w:p>
            <w:pPr>
              <w:spacing w:after="0"/>
              <w:rPr>
                <w:sz w:val="1"/>
                <w:szCs w:val="1"/>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Maturities of short-term investments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9,036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property, plant and equipment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(25,982)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(52,268)</w:t>
            </w:r>
          </w:p>
        </w:tc>
        <w:tc>
          <w:tcPr>
            <w:tcW w:w="0" w:type="dxa"/>
            <w:vAlign w:val="bottom"/>
          </w:tcPr>
          <w:p>
            <w:pPr>
              <w:spacing w:after="0"/>
              <w:rPr>
                <w:sz w:val="1"/>
                <w:szCs w:val="1"/>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Purchase of land use rights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(5,591)</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disposal of equipment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Deposits and prepaid for equipment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(520)</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(7,533)</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intangible assets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(497)</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(26,997)</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(71,025)</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Proceeds from issuance of notes payable and long-term debt, net of debt issuance costs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13,661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35,899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Principal payments of long-term debt and notes payable</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(42,272)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Proceeds from line of credit borrowings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59,296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113,266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line of credit borrowings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(66,299)</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(125,678)</w:t>
            </w:r>
          </w:p>
        </w:tc>
        <w:tc>
          <w:tcPr>
            <w:tcW w:w="0" w:type="dxa"/>
            <w:vAlign w:val="bottom"/>
          </w:tcPr>
          <w:p>
            <w:pPr>
              <w:spacing w:after="0"/>
              <w:rPr>
                <w:sz w:val="1"/>
                <w:szCs w:val="1"/>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Proceeds from bank acceptance payable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bank acceptance payable</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(8,682)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Proceeds from issuance of convertible senior notes, net of debt issuance costs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76,362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stock options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Payments of tax withholding on behalf of employees related to share-based compensation</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(702)</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(3,788)</w:t>
            </w:r>
          </w:p>
        </w:tc>
        <w:tc>
          <w:tcPr>
            <w:tcW w:w="0" w:type="dxa"/>
            <w:vAlign w:val="bottom"/>
          </w:tcPr>
          <w:p>
            <w:pPr>
              <w:spacing w:after="0"/>
              <w:rPr>
                <w:sz w:val="1"/>
                <w:szCs w:val="1"/>
                <w:color w:val="auto"/>
              </w:rPr>
            </w:pPr>
          </w:p>
        </w:tc>
      </w:tr>
      <w:tr>
        <w:trPr>
          <w:trHeight w:val="196"/>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17,936</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58,004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83,948</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72,376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58,075</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Interest</w:t>
            </w:r>
          </w:p>
        </w:tc>
        <w:tc>
          <w:tcPr>
            <w:tcW w:w="5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2,933</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(329)</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accounts payable related to property and equipment additions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(4,626)</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220"/>
              <w:spacing w:after="0"/>
              <w:rPr>
                <w:sz w:val="20"/>
                <w:szCs w:val="20"/>
                <w:color w:val="auto"/>
              </w:rPr>
            </w:pPr>
            <w:r>
              <w:rPr>
                <w:rFonts w:ascii="Arial" w:cs="Arial" w:eastAsia="Arial" w:hAnsi="Arial"/>
                <w:sz w:val="16"/>
                <w:szCs w:val="16"/>
                <w:color w:val="auto"/>
                <w:w w:val="96"/>
              </w:rPr>
              <w:t>Net change in deposits and prepaid for equipment related to property and equipment additions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460" w:right="1540"/>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39" w:firstLine="648"/>
        <w:spacing w:after="0" w:line="257" w:lineRule="auto"/>
        <w:rPr>
          <w:sz w:val="20"/>
          <w:szCs w:val="20"/>
          <w:color w:val="auto"/>
        </w:rPr>
      </w:pPr>
      <w:r>
        <w:rPr>
          <w:rFonts w:ascii="Arial" w:cs="Arial" w:eastAsia="Arial" w:hAnsi="Arial"/>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telecommunications and fiber-to-the-home.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ind w:right="19" w:firstLine="648"/>
        <w:spacing w:after="0" w:line="269" w:lineRule="auto"/>
        <w:rPr>
          <w:sz w:val="20"/>
          <w:szCs w:val="20"/>
          <w:color w:val="auto"/>
        </w:rPr>
      </w:pPr>
      <w:r>
        <w:rPr>
          <w:rFonts w:ascii="Arial" w:cs="Arial" w:eastAsia="Arial" w:hAnsi="Arial"/>
          <w:sz w:val="17"/>
          <w:szCs w:val="17"/>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Cable TV Broadband (“CATV”) systems and equipment, and performs research and development activities for the CATV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right="39" w:firstLine="648"/>
        <w:spacing w:after="0" w:line="286" w:lineRule="auto"/>
        <w:rPr>
          <w:sz w:val="20"/>
          <w:szCs w:val="20"/>
          <w:color w:val="auto"/>
        </w:rPr>
      </w:pPr>
      <w:r>
        <w:rPr>
          <w:rFonts w:ascii="Arial" w:cs="Arial" w:eastAsia="Arial" w:hAnsi="Arial"/>
          <w:sz w:val="16"/>
          <w:szCs w:val="16"/>
          <w:color w:val="auto"/>
        </w:rPr>
        <w:t>The unaudited condensed consolidated financial statements of the Company as of September 30, 2019 and December 31, 2018 and for the three and nine months ended September 30, 2019 and September 30, 2018,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2018. The results of operations for the three and nine months ended September 30, 2019 are not necessarily indicative of the results expected for the entire fiscal year. All significant intercompany accounts and transactions have been eliminated.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39" w:firstLine="64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inventory reserve, product warranty costs, share-based compensation expense, estimated useful lives of property and equipment, and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159" w:firstLine="648"/>
        <w:spacing w:after="0" w:line="264" w:lineRule="auto"/>
        <w:rPr>
          <w:sz w:val="20"/>
          <w:szCs w:val="20"/>
          <w:color w:val="auto"/>
        </w:rPr>
      </w:pPr>
      <w:r>
        <w:rPr>
          <w:rFonts w:ascii="Arial" w:cs="Arial" w:eastAsia="Arial" w:hAnsi="Arial"/>
          <w:sz w:val="18"/>
          <w:szCs w:val="18"/>
          <w:color w:val="auto"/>
        </w:rPr>
        <w:t>There have been no changes in the Company’s significant accounting policies for the three and nine months ended September 30, 2019, as compared to the significant accounting policies described in its 2018 Annual Report, except as described below.</w:t>
      </w:r>
    </w:p>
    <w:p>
      <w:pPr>
        <w:sectPr>
          <w:pgSz w:w="11900" w:h="16838" w:orient="portrait"/>
          <w:cols w:equalWidth="0" w:num="1">
            <w:col w:w="9039"/>
          </w:cols>
          <w:pgMar w:left="1420" w:top="517" w:right="1440" w:bottom="1440" w:gutter="0" w:footer="0" w:header="0"/>
        </w:sect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 in 2019</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February 25, 2016, the FASB released Accounting Standards Update (ASU) No. 2016-02, Leases, to complete its project to overhaul lease accounting. The ASU codifies ASC 842, Leases, which will replace the guidance in ASC 840. The new standard establishes a right-of-use model (ROU) that requires a lessee to recognize a ROU asset and lease liability on the balance sheet for all leases with a term longer than 12 months. The Company adopted this ASU on January 1, 2019 without any impact to beginning retained earnings. Upon adoption of the new lease standard, the Company elected the package of practical expedients which allowed it to carry forward the historical lease classification on existing leases at adoption. In addition, the Company elected the short-term lease recognition exemption for all leases that qualify. The Company also elected the practical expedient to not separate lease and non-lease components for all of its leases. The Company has implemented internal controls to enable the presentation of financial information on adoption. The standard has a material impact on the Company’s consolidated balance sheet, but did not have an impact in its consolidated income statements. The most significant effects of adopting the new standard relate to the recognition of new ROU assets and lease liabilities on its balance sheet for its Taiwan branch. See Note 4, "Operating Leases" for additional information on the required disclosures related to the impact of adopting this standard.</w:t>
      </w:r>
    </w:p>
    <w:p>
      <w:pPr>
        <w:spacing w:after="0" w:line="17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June 2018, the FASB issued ASU 2018-07, Compensation-Stock Compensation (Topic 718): Improvements to Nonemployee Share-Based Payment Accounting, which simplifies the accounting for nonemployee share-based payment transactions. The amendments specify that Topic 718 applies to all share-based payment transactions in which a grantor acquires goods or services to be used or consumed in a grantor’s own operations by issuing share-based payment awards. The Company adopted this ASU on January 1, 2019 with no impact on its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Yet to be Adopted</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June 2016, the FASB issued ASU 2016-13 Financial Instruments - Credit Losses, Measurement of Credit Losses on Financial Instruments, which changes the way entities measure credit losses for most financial assets and certain other instruments that are not measured at fair value through net earnings. The new standard is effective for annual periods beginning after December 15, 2019, including interim periods within those annual periods. Based on the composition of the Company’s investment portfolio, current market conditions, and historical credit loss activity, the adoption of ASU 2016-13 is not expected to have a material impact on its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adoption of Topic 606 represents a change in accounting principle that will provide financial statement readers with enhanced revenue recognition disclosures. In accordance with Topic 606, revenue is recognized when obligations under the terms of a contract with our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 which are accounted for as variable consideration. To achieve this core principle, the Company applies the following five steps: (i) identify the contract with a customer; (ii) identify the performance obligations in the contract; (iii) determine the transaction price; (iv) allocate the transaction price to performance obligations in the contract; and (v) recognize revenue when or as the Company satisfies a performance obligation. The Company generally satisfies performance obligations at a point in time. Revenue is recognized based on the transaction price at the time the related performance obligation is satisfied by transferring a promised product or service to a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is classified based on the location of where the product is manufactured. For additional information on the disaggregated revenues by geographical region, see Note 17, "Geographic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9"/>
          </w:tcPr>
          <w:p>
            <w:pPr>
              <w:jc w:val="center"/>
              <w:ind w:right="75"/>
              <w:spacing w:after="0"/>
              <w:rPr>
                <w:sz w:val="20"/>
                <w:szCs w:val="20"/>
                <w:color w:val="auto"/>
              </w:rPr>
            </w:pPr>
            <w:r>
              <w:rPr>
                <w:rFonts w:ascii="Arial" w:cs="Arial" w:eastAsia="Arial" w:hAnsi="Arial"/>
                <w:sz w:val="14"/>
                <w:szCs w:val="14"/>
                <w:b w:val="1"/>
                <w:bCs w:val="1"/>
                <w:color w:val="auto"/>
                <w:w w:val="91"/>
              </w:rPr>
              <w:t>Three months ended September 30,</w:t>
            </w: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39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CATV</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8,797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FTTH</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39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46,084</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center"/>
              <w:ind w:left="374"/>
              <w:spacing w:after="0"/>
              <w:rPr>
                <w:sz w:val="20"/>
                <w:szCs w:val="20"/>
                <w:color w:val="auto"/>
              </w:rPr>
            </w:pPr>
            <w:r>
              <w:rPr>
                <w:rFonts w:ascii="Arial" w:cs="Arial" w:eastAsia="Arial" w:hAnsi="Arial"/>
                <w:sz w:val="14"/>
                <w:szCs w:val="14"/>
                <w:b w:val="1"/>
                <w:bCs w:val="1"/>
                <w:color w:val="auto"/>
                <w:w w:val="91"/>
              </w:rPr>
              <w:t>Nine months ended September 30,</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39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104,311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158,577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CATV</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30,577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FTTH</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39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142,214</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209,447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Operating Leases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leases space under non-cancelable operating leases for manufacturing facilities, research and development offices and certain storage facilities and apartments. These leases do not contain contingent rent provisions. The Company also leases certain machinery, office equipment and a vehicle under operating leases.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includes or excludes from the calculation of the lease liability of the ROU asset based on management’s intentions and individual fact patterns. Several warehouses and apartments have non-cancelable lease terms of less than one-year and therefore, the Company has elected the practical expedient to exclude these short-term leases from its ROU asset and lease liabilities.</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for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254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0"/>
              </w:rPr>
              <w:t>Nine months ended</w:t>
            </w:r>
          </w:p>
        </w:tc>
      </w:tr>
      <w:tr>
        <w:trPr>
          <w:trHeight w:val="186"/>
        </w:trPr>
        <w:tc>
          <w:tcPr>
            <w:tcW w:w="10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25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9"/>
              </w:rPr>
              <w:t>September 30,</w:t>
            </w:r>
          </w:p>
        </w:tc>
      </w:tr>
      <w:tr>
        <w:trPr>
          <w:trHeight w:val="201"/>
        </w:trPr>
        <w:tc>
          <w:tcPr>
            <w:tcW w:w="1060" w:type="dxa"/>
            <w:vAlign w:val="bottom"/>
          </w:tcPr>
          <w:p>
            <w:pPr>
              <w:spacing w:after="0"/>
              <w:rPr>
                <w:sz w:val="17"/>
                <w:szCs w:val="17"/>
                <w:color w:val="auto"/>
              </w:rPr>
            </w:pPr>
          </w:p>
        </w:tc>
        <w:tc>
          <w:tcPr>
            <w:tcW w:w="3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2019</w:t>
            </w:r>
          </w:p>
        </w:tc>
        <w:tc>
          <w:tcPr>
            <w:tcW w:w="1040" w:type="dxa"/>
            <w:vAlign w:val="bottom"/>
          </w:tcPr>
          <w:p>
            <w:pPr>
              <w:spacing w:after="0"/>
              <w:rPr>
                <w:sz w:val="17"/>
                <w:szCs w:val="17"/>
                <w:color w:val="auto"/>
              </w:rPr>
            </w:pPr>
          </w:p>
        </w:tc>
      </w:tr>
      <w:tr>
        <w:trPr>
          <w:trHeight w:val="210"/>
        </w:trPr>
        <w:tc>
          <w:tcPr>
            <w:tcW w:w="10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 Term lease expense</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40" w:type="dxa"/>
            <w:vAlign w:val="bottom"/>
          </w:tcPr>
          <w:p>
            <w:pPr>
              <w:spacing w:after="0"/>
              <w:rPr>
                <w:sz w:val="18"/>
                <w:szCs w:val="18"/>
                <w:color w:val="auto"/>
              </w:rPr>
            </w:pPr>
          </w:p>
        </w:tc>
      </w:tr>
      <w:tr>
        <w:trPr>
          <w:trHeight w:val="210"/>
        </w:trPr>
        <w:tc>
          <w:tcPr>
            <w:tcW w:w="106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845"/>
        </w:trPr>
        <w:tc>
          <w:tcPr>
            <w:tcW w:w="10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61"/>
        </w:trPr>
        <w:tc>
          <w:tcPr>
            <w:tcW w:w="10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Maturities of lease liabilities are as follows for the future one-year periods ending September 30, (in thousands):</w:t>
      </w:r>
    </w:p>
    <w:p>
      <w:pPr>
        <w:spacing w:after="0" w:line="26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2021</w:t>
            </w: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2023</w:t>
            </w: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16"/>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 and thereafter</w:t>
            </w:r>
          </w:p>
        </w:tc>
        <w:tc>
          <w:tcPr>
            <w:tcW w:w="18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r>
      <w:tr>
        <w:trPr>
          <w:trHeight w:val="230"/>
        </w:trPr>
        <w:tc>
          <w:tcPr>
            <w:tcW w:w="3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imputed interest</w:t>
            </w:r>
          </w:p>
        </w:tc>
        <w:tc>
          <w:tcPr>
            <w:tcW w:w="18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r>
      <w:tr>
        <w:trPr>
          <w:trHeight w:val="21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w:t>
            </w:r>
          </w:p>
        </w:tc>
        <w:tc>
          <w:tcPr>
            <w:tcW w:w="18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r>
      <w:tr>
        <w:trPr>
          <w:trHeight w:val="20"/>
        </w:trPr>
        <w:tc>
          <w:tcPr>
            <w:tcW w:w="3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weighted average remaining lease term and discount rate for operating leases were as follows for the periods indicated:</w:t>
      </w:r>
    </w:p>
    <w:p>
      <w:pPr>
        <w:spacing w:after="0" w:line="284"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Arial" w:cs="Arial" w:eastAsia="Arial" w:hAnsi="Arial"/>
                <w:sz w:val="14"/>
                <w:szCs w:val="14"/>
                <w:b w:val="1"/>
                <w:bCs w:val="1"/>
                <w:color w:val="auto"/>
              </w:rPr>
              <w:t>September 30,</w:t>
            </w:r>
          </w:p>
        </w:tc>
      </w:tr>
      <w:tr>
        <w:trPr>
          <w:trHeight w:val="201"/>
        </w:trPr>
        <w:tc>
          <w:tcPr>
            <w:tcW w:w="56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580" w:type="dxa"/>
            <w:vAlign w:val="bottom"/>
          </w:tcPr>
          <w:p>
            <w:pPr>
              <w:jc w:val="right"/>
              <w:spacing w:after="0"/>
              <w:rPr>
                <w:sz w:val="20"/>
                <w:szCs w:val="20"/>
                <w:color w:val="auto"/>
              </w:rPr>
            </w:pPr>
            <w:r>
              <w:rPr>
                <w:rFonts w:ascii="Arial" w:cs="Arial" w:eastAsia="Arial" w:hAnsi="Arial"/>
                <w:sz w:val="18"/>
                <w:szCs w:val="18"/>
                <w:color w:val="auto"/>
              </w:rPr>
              <w:t>3.13%</w:t>
            </w:r>
          </w:p>
        </w:tc>
      </w:tr>
    </w:tbl>
    <w:p>
      <w:pPr>
        <w:spacing w:after="0" w:line="214" w:lineRule="exact"/>
        <w:rPr>
          <w:sz w:val="20"/>
          <w:szCs w:val="20"/>
          <w:color w:val="auto"/>
        </w:rPr>
      </w:pPr>
    </w:p>
    <w:p>
      <w:pPr>
        <w:ind w:right="720" w:firstLine="648"/>
        <w:spacing w:after="0" w:line="284" w:lineRule="auto"/>
        <w:rPr>
          <w:sz w:val="20"/>
          <w:szCs w:val="20"/>
          <w:color w:val="auto"/>
        </w:rPr>
      </w:pPr>
      <w:r>
        <w:rPr>
          <w:rFonts w:ascii="Arial" w:cs="Arial" w:eastAsia="Arial" w:hAnsi="Arial"/>
          <w:sz w:val="18"/>
          <w:szCs w:val="18"/>
          <w:color w:val="auto"/>
        </w:rPr>
        <w:t>Supplemental cash flow information related to operating leases was as follows for the periods indicated (in thousands):</w:t>
      </w:r>
    </w:p>
    <w:tbl>
      <w:tblPr>
        <w:tblLayout w:type="fixed"/>
        <w:tblInd w:w="920" w:type="dxa"/>
        <w:tblCellMar>
          <w:top w:w="0" w:type="dxa"/>
          <w:left w:w="0" w:type="dxa"/>
          <w:bottom w:w="0" w:type="dxa"/>
          <w:right w:w="0" w:type="dxa"/>
        </w:tblCellMar>
      </w:tblPr>
      <w:tr>
        <w:trPr>
          <w:trHeight w:val="150"/>
        </w:trPr>
        <w:tc>
          <w:tcPr>
            <w:tcW w:w="5920" w:type="dxa"/>
            <w:vAlign w:val="bottom"/>
          </w:tcPr>
          <w:p>
            <w:pPr>
              <w:spacing w:after="0"/>
              <w:rPr>
                <w:sz w:val="13"/>
                <w:szCs w:val="13"/>
                <w:color w:val="auto"/>
              </w:rPr>
            </w:pPr>
          </w:p>
        </w:tc>
        <w:tc>
          <w:tcPr>
            <w:tcW w:w="13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0"/>
              </w:rPr>
              <w:t>Nine months ended</w:t>
            </w:r>
          </w:p>
        </w:tc>
      </w:tr>
      <w:tr>
        <w:trPr>
          <w:trHeight w:val="186"/>
        </w:trPr>
        <w:tc>
          <w:tcPr>
            <w:tcW w:w="59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201"/>
        </w:trPr>
        <w:tc>
          <w:tcPr>
            <w:tcW w:w="59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320" w:type="dxa"/>
            <w:vAlign w:val="bottom"/>
            <w:shd w:val="clear" w:color="auto" w:fill="CCEEFF"/>
          </w:tcPr>
          <w:p>
            <w:pPr>
              <w:spacing w:after="0"/>
              <w:rPr>
                <w:sz w:val="18"/>
                <w:szCs w:val="18"/>
                <w:color w:val="auto"/>
              </w:rPr>
            </w:pPr>
          </w:p>
        </w:tc>
      </w:tr>
      <w:tr>
        <w:trPr>
          <w:trHeight w:val="216"/>
        </w:trPr>
        <w:tc>
          <w:tcPr>
            <w:tcW w:w="592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32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16"/>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financing lease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220"/>
              <w:spacing w:after="0"/>
              <w:rPr>
                <w:sz w:val="20"/>
                <w:szCs w:val="20"/>
                <w:color w:val="auto"/>
              </w:rPr>
            </w:pPr>
            <w:r>
              <w:rPr>
                <w:rFonts w:ascii="Arial" w:cs="Arial" w:eastAsia="Arial" w:hAnsi="Arial"/>
                <w:sz w:val="18"/>
                <w:szCs w:val="18"/>
                <w:color w:val="auto"/>
              </w:rPr>
              <w:t>Financing cash flows from financing lease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8"/>
              </w:rPr>
              <w:t>Right-of-use assets obtained in exchange for new operating lease liabilities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22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statement of financial position that sum to the total of the same such amounts in the statement of cash flows (in thousands):</w:t>
      </w:r>
    </w:p>
    <w:tbl>
      <w:tblPr>
        <w:tblLayout w:type="fixed"/>
        <w:tblInd w:w="92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05"/>
        </w:trPr>
        <w:tc>
          <w:tcPr>
            <w:tcW w:w="46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55,646</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182"/>
        </w:trPr>
        <w:tc>
          <w:tcPr>
            <w:tcW w:w="4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Total cash, cash equivalents and restricted cash shown in the</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72,376</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58,004</w:t>
            </w: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38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Restricted cash includes guarantee deposits for customs duties and compensating balances required for certain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earnings per share are the same.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income (loss) per share for the periods indicated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1"/>
              </w:rPr>
              <w:t>Three months ended September 30,</w:t>
            </w:r>
          </w:p>
        </w:tc>
        <w:tc>
          <w:tcPr>
            <w:tcW w:w="80" w:type="dxa"/>
            <w:vAlign w:val="bottom"/>
          </w:tcPr>
          <w:p>
            <w:pPr>
              <w:spacing w:after="0"/>
              <w:rPr>
                <w:sz w:val="14"/>
                <w:szCs w:val="14"/>
                <w:color w:val="auto"/>
              </w:rPr>
            </w:pPr>
          </w:p>
        </w:tc>
        <w:tc>
          <w:tcPr>
            <w:tcW w:w="2340" w:type="dxa"/>
            <w:vAlign w:val="bottom"/>
            <w:gridSpan w:val="7"/>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0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(8,780)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(3,732)</w:t>
            </w:r>
          </w:p>
        </w:tc>
        <w:tc>
          <w:tcPr>
            <w:tcW w:w="2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(30,620)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6,422</w:t>
            </w:r>
          </w:p>
        </w:tc>
        <w:tc>
          <w:tcPr>
            <w:tcW w:w="140" w:type="dxa"/>
            <w:vAlign w:val="bottom"/>
          </w:tcPr>
          <w:p>
            <w:pPr>
              <w:spacing w:after="0"/>
              <w:rPr>
                <w:sz w:val="18"/>
                <w:szCs w:val="18"/>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used to compute net income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(loss) per share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19,597</w:t>
            </w:r>
          </w:p>
        </w:tc>
        <w:tc>
          <w:tcPr>
            <w:tcW w:w="140" w:type="dxa"/>
            <w:vAlign w:val="bottom"/>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w w:val="99"/>
              </w:rPr>
              <w:t>Effect of dilutive options and restricted stock units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r>
      <w:tr>
        <w:trPr>
          <w:trHeight w:val="210"/>
        </w:trPr>
        <w:tc>
          <w:tcPr>
            <w:tcW w:w="4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spacing w:after="0"/>
              <w:rPr>
                <w:sz w:val="18"/>
                <w:szCs w:val="18"/>
                <w:color w:val="auto"/>
              </w:rPr>
            </w:pPr>
          </w:p>
        </w:tc>
      </w:tr>
      <w:tr>
        <w:trPr>
          <w:trHeight w:val="230"/>
        </w:trPr>
        <w:tc>
          <w:tcPr>
            <w:tcW w:w="4080" w:type="dxa"/>
            <w:vAlign w:val="bottom"/>
          </w:tcPr>
          <w:p>
            <w:pPr>
              <w:ind w:left="120"/>
              <w:spacing w:after="0"/>
              <w:rPr>
                <w:sz w:val="20"/>
                <w:szCs w:val="20"/>
                <w:color w:val="auto"/>
              </w:rPr>
            </w:pPr>
            <w:r>
              <w:rPr>
                <w:rFonts w:ascii="Arial" w:cs="Arial" w:eastAsia="Arial" w:hAnsi="Arial"/>
                <w:sz w:val="18"/>
                <w:szCs w:val="18"/>
                <w:color w:val="auto"/>
              </w:rPr>
              <w:t>Diluted</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2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20"/>
                <w:szCs w:val="20"/>
                <w:color w:val="auto"/>
              </w:rPr>
            </w:pPr>
          </w:p>
        </w:tc>
      </w:tr>
    </w:tbl>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diluted net income (loss) per share as their effect would have been antidilutive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42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38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2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Shares for convertible senior notes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Total antidilutive shares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4,622</w:t>
            </w:r>
          </w:p>
        </w:tc>
        <w:tc>
          <w:tcPr>
            <w:tcW w:w="1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2018</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49,192</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13,850</w:t>
            </w:r>
          </w:p>
        </w:tc>
        <w:tc>
          <w:tcPr>
            <w:tcW w:w="4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Total inventories</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82,118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93,256</w:t>
            </w:r>
          </w:p>
        </w:tc>
        <w:tc>
          <w:tcPr>
            <w:tcW w:w="4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303" w:lineRule="auto"/>
        <w:rPr>
          <w:sz w:val="20"/>
          <w:szCs w:val="20"/>
          <w:color w:val="auto"/>
        </w:rPr>
      </w:pPr>
      <w:r>
        <w:rPr>
          <w:rFonts w:ascii="Arial" w:cs="Arial" w:eastAsia="Arial" w:hAnsi="Arial"/>
          <w:sz w:val="17"/>
          <w:szCs w:val="17"/>
          <w:color w:val="auto"/>
        </w:rPr>
        <w:t>The lower of cost or market adjustment expensed for inventory for the three months ended September 30, 2019 and 2018 was $1.4 million and $3.2 million, respectively. The lower of cost or market adjustment expensed for inventory for the nine months ended September 30, 2019 and 2018 was $6.6 million and $5.5 million,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2018</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82,543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80,960</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214,718</w:t>
            </w:r>
          </w:p>
        </w:tc>
        <w:tc>
          <w:tcPr>
            <w:tcW w:w="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5,043</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40" w:type="dxa"/>
            <w:vAlign w:val="bottom"/>
            <w:shd w:val="clear" w:color="auto" w:fill="CCEEFF"/>
          </w:tcPr>
          <w:p>
            <w:pPr>
              <w:spacing w:after="0"/>
              <w:rPr>
                <w:sz w:val="18"/>
                <w:szCs w:val="18"/>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equipment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40" w:type="dxa"/>
            <w:vAlign w:val="bottom"/>
            <w:tcBorders>
              <w:bottom w:val="single" w:sz="8" w:color="CCEEFF"/>
            </w:tcBorders>
          </w:tcPr>
          <w:p>
            <w:pPr>
              <w:spacing w:after="0"/>
              <w:rPr>
                <w:sz w:val="18"/>
                <w:szCs w:val="18"/>
                <w:color w:val="auto"/>
              </w:rPr>
            </w:pPr>
          </w:p>
        </w:tc>
      </w:tr>
      <w:tr>
        <w:trPr>
          <w:trHeight w:val="210"/>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311,894</w:t>
            </w:r>
          </w:p>
        </w:tc>
        <w:tc>
          <w:tcPr>
            <w:tcW w:w="40" w:type="dxa"/>
            <w:vAlign w:val="bottom"/>
            <w:shd w:val="clear" w:color="auto" w:fill="CCEEFF"/>
          </w:tcPr>
          <w:p>
            <w:pPr>
              <w:spacing w:after="0"/>
              <w:rPr>
                <w:sz w:val="18"/>
                <w:szCs w:val="18"/>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(110,499)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(95,233)</w:t>
            </w:r>
          </w:p>
        </w:tc>
        <w:tc>
          <w:tcPr>
            <w:tcW w:w="40" w:type="dxa"/>
            <w:vAlign w:val="bottom"/>
            <w:tcBorders>
              <w:bottom w:val="single" w:sz="8" w:color="CCEEFF"/>
            </w:tcBorders>
          </w:tcPr>
          <w:p>
            <w:pPr>
              <w:spacing w:after="0"/>
              <w:rPr>
                <w:sz w:val="18"/>
                <w:szCs w:val="18"/>
                <w:color w:val="auto"/>
              </w:rPr>
            </w:pPr>
          </w:p>
        </w:tc>
      </w:tr>
      <w:tr>
        <w:trPr>
          <w:trHeight w:val="210"/>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216,661</w:t>
            </w:r>
          </w:p>
        </w:tc>
        <w:tc>
          <w:tcPr>
            <w:tcW w:w="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16,449</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4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245,535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234,211</w:t>
            </w:r>
          </w:p>
        </w:tc>
        <w:tc>
          <w:tcPr>
            <w:tcW w:w="4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For the three months ended September 30, 2019 and 2018, depreciation expense of property, plant and equipment was $5.9 million and $7.4 million, respectively. For the nine months ended September 30, 2019 and 2018, depreciation expense of property, plant and equipment was $17.6 million and $21.4 million, respectively.</w:t>
      </w:r>
    </w:p>
    <w:p>
      <w:pPr>
        <w:spacing w:after="0" w:line="1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Depreciation expense of $2.3 million and $3.7 million was recorded as cost of sales for the three months ended September 30, 2019 and 2018, respectively. Depreciation expense of $7.1 million and $11.3 million was recorded as cost of sales for the nine months ended September 30, 2019 and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30"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1"/>
              </w:rPr>
              <w:t>September 30, 2019</w:t>
            </w:r>
          </w:p>
        </w:tc>
        <w:tc>
          <w:tcPr>
            <w:tcW w:w="560" w:type="dxa"/>
            <w:vAlign w:val="bottom"/>
            <w:tcBorders>
              <w:bottom w:val="single" w:sz="8" w:color="auto"/>
            </w:tcBorders>
          </w:tcPr>
          <w:p>
            <w:pPr>
              <w:spacing w:after="0"/>
              <w:rPr>
                <w:sz w:val="14"/>
                <w:szCs w:val="14"/>
                <w:color w:val="auto"/>
              </w:rPr>
            </w:pPr>
          </w:p>
        </w:tc>
      </w:tr>
      <w:tr>
        <w:trPr>
          <w:trHeight w:val="119"/>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Intangible</w:t>
            </w:r>
          </w:p>
        </w:tc>
      </w:tr>
      <w:tr>
        <w:trPr>
          <w:trHeight w:val="17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91"/>
              </w:rPr>
              <w:t>assets, net</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Trademarks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3"/>
              </w:rPr>
              <w:t>December 31, 2018</w:t>
            </w:r>
          </w:p>
        </w:tc>
        <w:tc>
          <w:tcPr>
            <w:tcW w:w="560" w:type="dxa"/>
            <w:vAlign w:val="bottom"/>
            <w:tcBorders>
              <w:bottom w:val="single" w:sz="8" w:color="auto"/>
            </w:tcBorders>
          </w:tcPr>
          <w:p>
            <w:pPr>
              <w:spacing w:after="0"/>
              <w:rPr>
                <w:sz w:val="24"/>
                <w:szCs w:val="24"/>
                <w:color w:val="auto"/>
              </w:rPr>
            </w:pPr>
          </w:p>
        </w:tc>
      </w:tr>
      <w:tr>
        <w:trPr>
          <w:trHeight w:val="119"/>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Intangible</w:t>
            </w:r>
          </w:p>
        </w:tc>
      </w:tr>
      <w:tr>
        <w:trPr>
          <w:trHeight w:val="17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91"/>
              </w:rPr>
              <w:t>assets, net</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Trademarks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w:t>
            </w: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For the three months ended September 30, 2019 and 2018, amortization expense for intangible assets, included in general and administrative expenses on the income statement, was each $0.1 million</w:t>
      </w:r>
      <w:r>
        <w:rPr>
          <w:rFonts w:ascii="Arial" w:cs="Arial" w:eastAsia="Arial" w:hAnsi="Arial"/>
          <w:sz w:val="19"/>
          <w:szCs w:val="19"/>
          <w:color w:val="auto"/>
        </w:rPr>
        <w:t>.</w:t>
      </w:r>
      <w:r>
        <w:rPr>
          <w:rFonts w:ascii="Arial" w:cs="Arial" w:eastAsia="Arial" w:hAnsi="Arial"/>
          <w:sz w:val="18"/>
          <w:szCs w:val="18"/>
          <w:color w:val="auto"/>
        </w:rPr>
        <w:t xml:space="preserve"> For the nine months ended September 30, 2019 and 2018, amortization expense for intangible assets, included in general and administrative expenses on the income statement, was each $0.4 million</w:t>
      </w:r>
      <w:r>
        <w:rPr>
          <w:rFonts w:ascii="Arial" w:cs="Arial" w:eastAsia="Arial" w:hAnsi="Arial"/>
          <w:sz w:val="19"/>
          <w:szCs w:val="19"/>
          <w:color w:val="auto"/>
        </w:rPr>
        <w: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weighted average amortization period for intangible assets is approximately 7 years.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represents a summary of the Company’s financial instruments measured at fair value on a recurring basis for the periods indicated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1"/>
              </w:rPr>
              <w:t>As of September 30, 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2"/>
              </w:rPr>
              <w:t>As of December 31, 2018</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2"/>
                <w:szCs w:val="12"/>
                <w:color w:val="auto"/>
              </w:rPr>
            </w:pPr>
          </w:p>
        </w:tc>
        <w:tc>
          <w:tcPr>
            <w:tcW w:w="7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4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69,994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69,994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55,646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55,646</w:t>
            </w:r>
          </w:p>
        </w:tc>
        <w:tc>
          <w:tcPr>
            <w:tcW w:w="20" w:type="dxa"/>
            <w:vAlign w:val="bottom"/>
          </w:tcPr>
          <w:p>
            <w:pPr>
              <w:spacing w:after="0"/>
              <w:rPr>
                <w:sz w:val="18"/>
                <w:szCs w:val="18"/>
                <w:color w:val="auto"/>
              </w:rPr>
            </w:pPr>
          </w:p>
        </w:tc>
      </w:tr>
      <w:tr>
        <w:trPr>
          <w:trHeight w:val="216"/>
        </w:trPr>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0" w:type="dxa"/>
            <w:vAlign w:val="bottom"/>
            <w:shd w:val="clear" w:color="auto" w:fill="CCEEFF"/>
          </w:tcPr>
          <w:p>
            <w:pPr>
              <w:spacing w:after="0"/>
              <w:rPr>
                <w:sz w:val="18"/>
                <w:szCs w:val="18"/>
                <w:color w:val="auto"/>
              </w:rPr>
            </w:pPr>
          </w:p>
        </w:tc>
      </w:tr>
      <w:tr>
        <w:trPr>
          <w:trHeight w:val="250"/>
        </w:trPr>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72,376</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72,376</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58,004</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58,004</w:t>
            </w:r>
          </w:p>
        </w:tc>
        <w:tc>
          <w:tcPr>
            <w:tcW w:w="20" w:type="dxa"/>
            <w:vAlign w:val="bottom"/>
            <w:tcBorders>
              <w:bottom w:val="single" w:sz="8" w:color="CCEEFF"/>
            </w:tcBorders>
          </w:tcPr>
          <w:p>
            <w:pPr>
              <w:spacing w:after="0"/>
              <w:rPr>
                <w:sz w:val="21"/>
                <w:szCs w:val="21"/>
                <w:color w:val="auto"/>
              </w:rPr>
            </w:pPr>
          </w:p>
        </w:tc>
      </w:tr>
      <w:tr>
        <w:trPr>
          <w:trHeight w:val="197"/>
        </w:trPr>
        <w:tc>
          <w:tcPr>
            <w:tcW w:w="2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2440" w:type="dxa"/>
            <w:vAlign w:val="bottom"/>
          </w:tcPr>
          <w:p>
            <w:pPr>
              <w:ind w:left="120"/>
              <w:spacing w:after="0"/>
              <w:rPr>
                <w:sz w:val="20"/>
                <w:szCs w:val="20"/>
                <w:color w:val="auto"/>
              </w:rPr>
            </w:pPr>
            <w:r>
              <w:rPr>
                <w:rFonts w:ascii="Arial" w:cs="Arial" w:eastAsia="Arial" w:hAnsi="Arial"/>
                <w:sz w:val="18"/>
                <w:szCs w:val="18"/>
                <w:color w:val="auto"/>
              </w:rPr>
              <w:t>Bank acceptance payable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4,628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4,628</w:t>
            </w:r>
          </w:p>
        </w:tc>
        <w:tc>
          <w:tcPr>
            <w:tcW w:w="20" w:type="dxa"/>
            <w:vAlign w:val="bottom"/>
          </w:tcPr>
          <w:p>
            <w:pPr>
              <w:spacing w:after="0"/>
              <w:rPr>
                <w:sz w:val="18"/>
                <w:szCs w:val="18"/>
                <w:color w:val="auto"/>
              </w:rPr>
            </w:pPr>
          </w:p>
        </w:tc>
      </w:tr>
      <w:tr>
        <w:trPr>
          <w:trHeight w:val="216"/>
        </w:trPr>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senior notes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75,131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75,131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2440" w:type="dxa"/>
            <w:vAlign w:val="bottom"/>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79,211</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79,211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4,628</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20" w:type="dxa"/>
            <w:vAlign w:val="bottom"/>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carrying value amounts of accounts receivable, prepaid expenses and other current assets, accounts payable, accrued expenses and other current liabilities approximate fair value because of the short-term maturity of these instruments. The carrying value amounts of debt approximate fair value due to the short-term nature of the debt since it renews frequently at current interest rates. The Company believes that the interest rates in effect at each period end represent the current market rates for similar borrowings.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September 30, 2019</w:t>
            </w:r>
          </w:p>
        </w:tc>
        <w:tc>
          <w:tcPr>
            <w:tcW w:w="1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2018</w:t>
            </w:r>
          </w:p>
        </w:tc>
      </w:tr>
      <w:tr>
        <w:trPr>
          <w:trHeight w:val="182"/>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Revolving line of credit with a U.S. bank up to $25,000 with interest at LIBOR plus</w:t>
            </w: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1.5%, maturing April 2, 2021</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80" w:type="dxa"/>
            <w:vAlign w:val="bottom"/>
            <w:shd w:val="clear" w:color="auto" w:fill="CCEEFF"/>
          </w:tcPr>
          <w:p>
            <w:pPr>
              <w:spacing w:after="0"/>
              <w:rPr>
                <w:sz w:val="20"/>
                <w:szCs w:val="20"/>
                <w:color w:val="auto"/>
              </w:rPr>
            </w:pP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rPr>
              <w:t>Term loan with a U.S. bank with monthly payments of principal and interest at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LIBOR plus 1.15%, maturing April 1, 2024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20,067</w:t>
            </w:r>
          </w:p>
        </w:tc>
        <w:tc>
          <w:tcPr>
            <w:tcW w:w="80" w:type="dxa"/>
            <w:vAlign w:val="bottom"/>
          </w:tcPr>
          <w:p>
            <w:pPr>
              <w:spacing w:after="0"/>
              <w:rPr>
                <w:sz w:val="20"/>
                <w:szCs w:val="20"/>
                <w:color w:val="auto"/>
              </w:rPr>
            </w:pP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Term loan with a U.S. bank with monthly payments of principal and interest at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LIBOR plus 1.3%, maturing between April 1, 2023 and December 18, 2023</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w:t>
            </w:r>
          </w:p>
        </w:tc>
        <w:tc>
          <w:tcPr>
            <w:tcW w:w="80" w:type="dxa"/>
            <w:vAlign w:val="bottom"/>
            <w:shd w:val="clear" w:color="auto" w:fill="CCEEFF"/>
          </w:tcPr>
          <w:p>
            <w:pPr>
              <w:spacing w:after="0"/>
              <w:rPr>
                <w:sz w:val="20"/>
                <w:szCs w:val="20"/>
                <w:color w:val="auto"/>
              </w:rPr>
            </w:pP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w w:val="92"/>
              </w:rPr>
              <w:t>Revolving line of credit with a Taiwan bank up to $3,222 with 2.2% interest, maturing</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July 31, 2020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3,256</w:t>
            </w:r>
          </w:p>
        </w:tc>
        <w:tc>
          <w:tcPr>
            <w:tcW w:w="80" w:type="dxa"/>
            <w:vAlign w:val="bottom"/>
          </w:tcPr>
          <w:p>
            <w:pPr>
              <w:spacing w:after="0"/>
              <w:rPr>
                <w:sz w:val="20"/>
                <w:szCs w:val="20"/>
                <w:color w:val="auto"/>
              </w:rPr>
            </w:pP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Revolving line of credit with a Taiwan bank up to $7,000 with interest ranging from</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1.5% to 3.5%, matured July 26, 2019</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80" w:type="dxa"/>
            <w:vAlign w:val="bottom"/>
            <w:shd w:val="clear" w:color="auto" w:fill="CCEEFF"/>
          </w:tcPr>
          <w:p>
            <w:pPr>
              <w:spacing w:after="0"/>
              <w:rPr>
                <w:sz w:val="20"/>
                <w:szCs w:val="20"/>
                <w:color w:val="auto"/>
              </w:rPr>
            </w:pP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w w:val="93"/>
              </w:rPr>
              <w:t>Notes payable to a finance company due in monthly installments with 3.4% interest,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maturing November 30, 2021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6,331</w:t>
            </w:r>
          </w:p>
        </w:tc>
        <w:tc>
          <w:tcPr>
            <w:tcW w:w="80" w:type="dxa"/>
            <w:vAlign w:val="bottom"/>
          </w:tcPr>
          <w:p>
            <w:pPr>
              <w:spacing w:after="0"/>
              <w:rPr>
                <w:sz w:val="20"/>
                <w:szCs w:val="20"/>
                <w:color w:val="auto"/>
              </w:rPr>
            </w:pP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Notes payable to a finance company due in monthly installments with 3.1% interest,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maturing January 21, 2022</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rPr>
              <w:t>Revolving line of credit with a Taiwan bank up to $2,576 with interest of 1.7%,</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maturing December 11, 2019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$19,158 with interest ranging from</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4.1% to 4.6%</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80" w:type="dxa"/>
            <w:vAlign w:val="bottom"/>
            <w:shd w:val="clear" w:color="auto" w:fill="CCEEFF"/>
          </w:tcPr>
          <w:p>
            <w:pPr>
              <w:spacing w:after="0"/>
              <w:rPr>
                <w:sz w:val="20"/>
                <w:szCs w:val="20"/>
                <w:color w:val="auto"/>
              </w:rPr>
            </w:pP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w w:val="99"/>
              </w:rPr>
              <w:t>Revolving line of credit with a China bank up to $25,449 with interest of 4.57%,</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maturing May 24, 2024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Credit facility with a China bank up to $7,069 with interest of 5.7%, maturing June</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20, 2022</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48,241</w:t>
            </w: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84,124</w:t>
            </w:r>
          </w:p>
        </w:tc>
        <w:tc>
          <w:tcPr>
            <w:tcW w:w="8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debt issuance costs, net</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Grand total</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48,176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83,917</w:t>
            </w:r>
          </w:p>
        </w:tc>
        <w:tc>
          <w:tcPr>
            <w:tcW w:w="80" w:type="dxa"/>
            <w:vAlign w:val="bottom"/>
          </w:tcPr>
          <w:p>
            <w:pPr>
              <w:spacing w:after="0"/>
              <w:rPr>
                <w:sz w:val="18"/>
                <w:szCs w:val="18"/>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(23,589)</w:t>
            </w:r>
          </w:p>
        </w:tc>
        <w:tc>
          <w:tcPr>
            <w:tcW w:w="80" w:type="dxa"/>
            <w:vAlign w:val="bottom"/>
            <w:shd w:val="clear" w:color="auto" w:fill="CCEEFF"/>
          </w:tcPr>
          <w:p>
            <w:pPr>
              <w:spacing w:after="0"/>
              <w:rPr>
                <w:sz w:val="19"/>
                <w:szCs w:val="19"/>
                <w:color w:val="auto"/>
              </w:rPr>
            </w:pPr>
          </w:p>
        </w:tc>
      </w:tr>
      <w:tr>
        <w:trPr>
          <w:trHeight w:val="250"/>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32,373</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60,328</w:t>
            </w:r>
          </w:p>
        </w:tc>
        <w:tc>
          <w:tcPr>
            <w:tcW w:w="80" w:type="dxa"/>
            <w:vAlign w:val="bottom"/>
            <w:tcBorders>
              <w:bottom w:val="single" w:sz="8" w:color="CCEEFF"/>
            </w:tcBorders>
          </w:tcPr>
          <w:p>
            <w:pPr>
              <w:spacing w:after="0"/>
              <w:rPr>
                <w:sz w:val="21"/>
                <w:szCs w:val="21"/>
                <w:color w:val="auto"/>
              </w:rPr>
            </w:pPr>
          </w:p>
        </w:tc>
      </w:tr>
      <w:tr>
        <w:trPr>
          <w:trHeight w:val="197"/>
        </w:trPr>
        <w:tc>
          <w:tcPr>
            <w:tcW w:w="6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24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Bank Acceptance Notes Payable</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Bank acceptance notes issued to vendors with a zero percent interest rate</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220"/>
          </w:cols>
          <w:pgMar w:left="1420" w:top="517" w:right="1259" w:bottom="1440" w:gutter="0" w:footer="0" w:header="0"/>
        </w:sectPr>
      </w:pPr>
    </w:p>
    <w:p>
      <w:pPr>
        <w:spacing w:after="0" w:line="21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20"/>
          </w:cols>
          <w:pgMar w:left="1420" w:top="517" w:right="1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September 30,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Maturities of long-term debt are as follows for the future one-year periods ending September 30, (in thousands):</w:t>
      </w:r>
    </w:p>
    <w:p>
      <w:pPr>
        <w:spacing w:after="0" w:line="265"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15,803</w:t>
            </w:r>
          </w:p>
        </w:tc>
        <w:tc>
          <w:tcPr>
            <w:tcW w:w="100" w:type="dxa"/>
            <w:vAlign w:val="bottom"/>
            <w:shd w:val="clear" w:color="auto" w:fill="CCEEFF"/>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2021</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24,230</w:t>
            </w:r>
          </w:p>
        </w:tc>
        <w:tc>
          <w:tcPr>
            <w:tcW w:w="100" w:type="dxa"/>
            <w:vAlign w:val="bottom"/>
          </w:tcPr>
          <w:p>
            <w:pPr>
              <w:spacing w:after="0"/>
              <w:rPr>
                <w:sz w:val="19"/>
                <w:szCs w:val="19"/>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100" w:type="dxa"/>
            <w:vAlign w:val="bottom"/>
            <w:shd w:val="clear" w:color="auto" w:fill="CCEEFF"/>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2023</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2025 and thereafter</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48,176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95"/>
        <w:spacing w:after="0" w:line="288" w:lineRule="auto"/>
        <w:rPr>
          <w:sz w:val="20"/>
          <w:szCs w:val="20"/>
          <w:color w:val="auto"/>
        </w:rPr>
      </w:pPr>
      <w:r>
        <w:rPr>
          <w:rFonts w:ascii="Arial" w:cs="Arial" w:eastAsia="Arial" w:hAnsi="Arial"/>
          <w:sz w:val="16"/>
          <w:szCs w:val="16"/>
          <w:color w:val="auto"/>
        </w:rPr>
        <w:t>On September 28, 2017, the Company entered into a Loan Agreement (“Loan Agreement”), a Promissory Note, an Addendum to the Promissory Note, a BB&amp;T Security Agreement, a Trademark Security Agreement, and a Patent Security Agreement (together the “Credit Facility”) with Branch Banking and Trust Company (“BB&amp;T”). The Credit Facility provides the Company with a three-year, $50 million, revolving line of credit. Borrowings under the Credit Facility will be used for general corporate purposes. The Company makes monthly payments of accrued interest with the final monthly payment being for all principal and all accrued interest not yet paid. The Company’s obligations under the Credit Facility are secured by the Company’s accounts receivable, inventory, intellectual property, and all business assets with the exception of real estate and equipment. Borrowings under the Credit Facility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6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the Company’s three-year $50 million line of credit with BB&amp;T. The Amended Credit Facility (1) increases the principal amount of the three-year line of credit from $50 million to $60 million (the “Line of Credit”); (2) allows the Company to borrow an additional $26 million from BB&amp;T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bear interest at a rate equal to the one-month LIBOR plus a Line of Credit margin ranging between 1.40% and 2.0%. Borrowings under the CapEx Loan bear interest at a rate equal to the one-month LIBOR plus a CapEx Loan margin ranging between 1.30% and 2.0%. Borrowings under the Term Loan bear interest at a rate equal to the one-month LIBOR plus a Term Loan margin ranging between 1.15% and 2.0%. The Company is required to make monthly payments of principal and accrued interest with the final monthly payments being for all principal and accrued interest not yet paid. The Company’s obligations under the Amended Credit Facility are secured by the Company’s accounts receivable, inventory, equipment, intellectual property, real property, and virtually all business assets.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February 1, 2019, the Company executed a Second Amendment to Loan Agreement with BB&amp;T. The original loan agreement with BB&amp;T, executed on September 28, 2017, and a first amendment to the original loan agreement, executed on March 30, 2018, provided the Company with a three-year $60 million line of credit; a $26 million five-year CapEx Loan and a $21.5 million seventy-month real estate term loan for the Company’s plant and facilities in Sugar Land, Texas. The Second Amendment to Loan Agreement extends the CapEx Loan draw-down date from March 30, 2019 to September 30, 2019, requires the Company to provide BB&amp;T monthly financial statements and allows additional unfinanced capital expenditures.</w:t>
      </w:r>
    </w:p>
    <w:p>
      <w:pPr>
        <w:spacing w:after="0" w:line="18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March 5, 2019, the Company executed a Third Amendment (the “Third Amendment”) to Loan Agreement with BB&amp;T pursuant to which the Company has established a revolving credit line used for working capital purposes. The Third Amendment to the Loan Agreement, among other things: (i) contemplates the issuance of the Notes (as defined in Note 12 below) and the subsequent conversion of the Notes into common stock in accordance with the</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terms of the Indenture, including the payment of cash for any fractional shares; (ii) adjusts pricing of the unused line fee to 0.20% per annum; (iii) reduces the maximum commitment under the line of credit from $60,000,000 to $25,000,000; and</w:t>
      </w:r>
    </w:p>
    <w:p>
      <w:pPr>
        <w:ind w:right="180" w:firstLine="2"/>
        <w:spacing w:after="0" w:line="253"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that, so long as the Company’s utilization of the revolving credit line is not greater than 60% of the available commitment, the Company will not be required to comply with its financial covenants, including its fixed charge coverage ratio or funded debt to EBITDA covenant, and provided that, such restriction on utilization will not apply during the period of time commencing seven business days prior to the end of any fiscal quarter through seven business days after the subsequent fiscal quarter.</w:t>
      </w:r>
    </w:p>
    <w:p>
      <w:pPr>
        <w:spacing w:after="0" w:line="19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March 5, 2019, the Company used approximately $37.8 million of the net proceeds from the offering of the Notes to fully repay the CapEx Loan and Term Loan with BB&amp;T.</w:t>
      </w:r>
    </w:p>
    <w:p>
      <w:pPr>
        <w:spacing w:after="0" w:line="170"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On September 30, 2019, the Company executed a Fourth Amendment (the “Fourth Amendment”) to Loan Agreement with BB&amp;T. Under the terms of the Fourth Amendment (i) the maximum commitment under the line of credit was reduced from $25,000,000 to $20,000,000; (ii) the maturity date of the line of credit was extended from September 28, 2020 to April 2, 2021; (iii) pricing of the unused line fee was adjusted to 0.30% per annum; and (iv) the Covenant Threshold Amount test created in the Third Amendment was removed and replaced with the requirement that if, at any time during any reporting period and pursuant to the most recent loan base report received by BB&amp;T, the principal balance outstanding under the line of credit exceeds the lesser of the approved maximum amount of the line of credit commitment amount or the collateral loan value reduced by the reserves, the Company shall immediately prepay the line of credit to the extent necessary to eliminate such excess. Such reserves shall, at any time that the fixed charge coverage ratio for the loan is less than 1.5 to</w:t>
      </w:r>
    </w:p>
    <w:p>
      <w:pPr>
        <w:spacing w:after="0" w:line="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1.0, tested for the period of twelve months ended on the applicable covenant measurement date, equal to an amount equal to seventy-five percent (75%) of the lesser of the line of credit commitment amount or collateral loan value reduced by the sum of (i) the principal balance outstanding under the line of credit, (ii) the letter of credit exposure reserve, and (iii) the availability reserve as determined by BB&amp;T from the most recent loan base report and otherwise in the sole discretion of BB&amp;T after consideration of collections.</w:t>
      </w:r>
    </w:p>
    <w:p>
      <w:pPr>
        <w:spacing w:after="0" w:line="19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September 30, 2019, the Company was in compliance with all covenants under the Loan Agreement. As of September 30, 2019, $20.0 million was outstanding under the Line of Credit.</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June 19, 2018, Prime World entered into a one year revolving credit facility totaling 300 million New Taiwan dollars, or approximately $9.7 million, (the “Taiwan Credit Facility”) with Taishin International Bank in Taiwan (“Taishin”). Borrowing under the Taiwan Credit Facility would have been used for short-term working capital. Prime World could have drawn upon the Taiwan Credit Facility from June 19, 2018 until July 31, 2019. The term of each draw would have been either 90 or 120 days. Borrowings under the Taiwan Credit Facility bore interest at a rate of 2.00% for 90 day draws and 1.95% for 120 day draws. At the end of the draw term, Prime World would have been required to make payments for all principal and accrued interest. The agreements for the Taiwan Credit Facility contained representations and warranties and events of default applicable to Prime World that are customary for agreements of this type. As of September 30, 2019, the Taiwan Credit Facility has been fully repaid and the agreement has terminated.</w:t>
      </w:r>
    </w:p>
    <w:p>
      <w:pPr>
        <w:spacing w:after="0" w:line="18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July 23, 2019, Prime World entered into a one-year revolving credit facility totaling 100,000,000 NTD, or approximately $3.3 million, (the “NT$100M Credit Line”) and 1,000,000 USD (the “US$1M Credit Line”) with Taishin. Borrowing under the NT$100M Credit Line will be used for short-term working capital; the borrowing under the US$1M Credit Line will be strictly used for spot transactions in the foreign exchange market. The NT$100M Credit Line and US$1M Credit Line are collectively referred to as the “Credit Facility”. Prime World may draw upon the Credit Facility from July 23, 2019 through July 31, 2020. The term of each draw shall be either 90 or 120 days. Borrowings under the NT$100M Credit Line will bear interest at a rate of 2.25% for 90 day draws and 2.2% for 120 day draws; borrowings under the US$1M Credit Line will bear interest equal to the Taishin’s foreign exchange rate effective on the day of the applicable draw. At the end of the draw term Prime World will make payment for all principal and accrued interest. Prime World’s obligations under the Credit Facility will be secured by a promissory note executed between Prime World and Taishin. The agreements for the Credit Facility contain representations and warranties, and events of default applicable to Prime World that are customary for agreements of this type. As of September 30, 2019, $3.2 million was outstanding under the Credit Facility.</w:t>
      </w:r>
    </w:p>
    <w:p>
      <w:pPr>
        <w:spacing w:after="0" w:line="16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October 3, 2018, Prime World entered into a revolving credit facility for up to $7 million, (the “Revolving Credit Facility”) with the Development Bank of Singapore (Taiwan) Ltd. (“DBS”). Borrowing under the Revolving Credit Facility will be used for short-term working capital. Prime World may draw upon the Revolving Credit Facility from October 3, 2018 until July 26, 2019. The term of each draw shall be either 60 or 90 days depending on the purpose</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of the draw. Borrowings under the Revolving Credit Facility bear interest at a rate equal to DBS’s cost of funds rate plus 1.25% for draws in U.S. Dollars and 1.35% plus the Bank’s cost of funds rate for draws in New Taiwan Dollars. DBS’s cost of fund’s rate is adjusted daily. Prime World is required to make monthly payments of accrued interest with the final monthly payment being for all principal and all accrued interest not yet paid. Prime World’s obligations under the Revolving Credit Facility is secured by promissory notes executed between Prime World and DBS at the time of each draw. The agreements for the Revolving Credit Facility contain representations and warranties and events of default applicable to the Prime World that are customary for agreements of this type. As of September 30, 2019, the Revolving Credit Facility has been fully repaid and the agreement has terminated.</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November 29, 2018, Prime World entered into a Purchase and Sale Contract (the “Sale Contract”) and an Equipment Finance Agreement with Chailease Finance Co., Ltd. (“Chailease”) in connection with certain equipment. Pursuant to the Sale Contract, Prime World sold certain equipment to Chailease for a purchase price of NT$267,340,468, or approximately $8.7 million. Simultaneously, Prime World financed the equipment back from Chailease for a term of three-years, pursuant to the Equipment Finance Agreement. Prime World is obligated to pay an initial payment of NT$67,340,468, or approximately $2.2 million, thereafter the monthly payments range from NT$5,571,229, or $0.2 million, to NT$6,139,188, or approximately $0.2 million. Based on the monthly payments made under the Equipment Finance Agreement, the annual interest rate is calculated to be 3.5%. Upon an event of default under the Equipment Finance Agreement, Prime World’s payment obligation will be secured by a promissory note to Chailease in the amount of NT$210,601,605, or approximately $6.8 million, subject to certain terms and conditions. The title of the equipment will be transferred to Prime World upon expiration of the Equipment Finance Agreement. As of September 30, 2019, $4.7 million was outstanding under the Equipment Finance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21, 2019, Prime World entered into a Second Purchase and Sale Contract (the “Second Sales Contract”),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Promissory Note, and a second Equipment Finance Agreement with Chailease in connection with certain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Second Sales Contract, Prime World sold certain equipment to Chailease for a purchase price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NT$267,333,186, or approximately $8.7 million. Simultaneously, Prime World financed the equipment back from Chailease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 term of three-years, pursuant to the Second Equipment Finance Agreement. Prime World is obligated to pay an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monthly payment of NT$67,333,186, or approximately $2.2 million, thereafter the monthly payments range from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NT$5,570,167, or approximately $0.2 million to NT$6,082,131, or approximately $0.2 million. Based on the monthly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payments made under the Second Equipment Finance Agreement, the annual interest rate is calculated to be 3.1%. Upon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of default under the Second Equipment Finance Agreement, Prime World’s payment obligation will be secured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 to Chailease at the amount of NT$209,555,736 or approximately $6.8 million, subject to certain terms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The title of the equipment will be transferred to Prime World upon expiration of the Second Equipment Finance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As of September 30, 2019, $5.0 million was outstanding under the Second Equipment Finance Agreement.</w:t>
      </w:r>
    </w:p>
    <w:p>
      <w:pPr>
        <w:spacing w:after="0" w:line="22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December 11, 2018, Prime World entered into a one-year credit facility totaling New Taiwan Dollars 150 million, or approximately $4.9 million, (the “Credit Facility”) with CTBC Bank Co., Ltd. (“CTBC”). Borrowing under the Credit Facility will be used for short-term working capital. Prime World may draw upon the Credit Facility from December 11, 2018 until October 31, 2019. The term of each draw shall be up to 120 days. Under the Credit Facility borrowing in New Taiwan Dollars will bear interest at a rate equal to CTBC’s Enterprise Swap Index Rate plus 1.2%; for all foreign currency borrowing interest bear at a rate equal to CTBC’s Cost of Fund lending rate plus 1.2%. As of the execution of the Credit Facility, CTBC’s Enterprise Swap Index Rate and Cost of Funds lending rate is 0.69% and 3.40% respectively. At the end of the draw term, Prime World is required to make payments for all principal and accrued interest. The Credit Facility contains representations and warranties, and events of default applicable to Prime World that are customary for agreements of this type. As of September 30, 2019, there was no outstanding balance under the Credit Facility.</w:t>
      </w:r>
    </w:p>
    <w:p>
      <w:pPr>
        <w:spacing w:after="0" w:line="16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April 11, 2019, Prime World entered into a one-year credit facility totaling NT$80 million, or approximately $2.6 million, (the “Far Eastern Credit Facility”) with Far Eastern International Bank Co., Ltd. (“Far Eastern”). Prime World may draw upon the Far Eastern Credit Facility from April 11, 2019 until April 11, 2020. The term of each draw shall be up to 180 days. Under the Far Eastern Credit Facility borrowing in New Taiwan Dollars will bear interest at a rate equal to Far Eastern’s published one-year fixed term time deposits rate, plus 0.655%; for all foreign currency borrowing, interest shall be the TAIFX3 rate for the length of time equal to the term of the loan or the next longer tenor for which rates are quoted, plus 0.7%. As of the execution of the Far Eastern Credit Facility, Far Eastern’s published one-year fixed term time deposits rate and TAIFX3 rate are 1.045 % and 2.75%, respectively. Prime World’s obligations</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under the Far Eastern Credit Facility will be secured by a promissory note executed between Prime World and Far Eastern.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$0.6 million was outstanding under the Far Eastern Credit Facility.</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September 21, 2018, the Company’s China subsidiary, Global, entered into a five-year revolving credit line agreement, totaling 129,000,000 Chinese Renminbi, or RMB, or approximately $18.6 million, (the “Credit Line”) and a Security Agreement with China Construction Bank Co., Ltd., in Ningbo, China (“CCB”). Borrowing under the Credit Line will be used for general corporate and capital investment purposes, including the issuance of bank acceptance notes to Global’s vendors. Global may draw upon the Credit Line between September 21, 2018 and September 17, 2023; however, the amount of available credit under the Credit Line may be reduced by CCB without notice to Global and may be decreased subject to changes of Chinese government regulations. Each draw bears interest equal to CCB’s commercial banking interest rate effective on the day of the applicable draw. Global’s obligations under the Credit Line is secured by real property owned by Global in China and mortgaged to CCB under the terms of the Security Agreement. On May 10, 2019, Global repaid the Credit Line without penalty and terminated the agreement. On September 26, 2019, $0.5 million of outstanding bank acceptance notes issued to vendors was fully repaid.</w:t>
      </w:r>
    </w:p>
    <w:p>
      <w:pPr>
        <w:spacing w:after="0" w:line="18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including the issuance of bank acceptance notes to Global’s vendors. Global may draw upon the China Merchants Credit Line from April 19, 2019 until April 18,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 As of September 30, 2019, there was no outstanding balance under the China Merchants Credit Line and the outstanding balance of bank acceptance notes issued to vendors was $1.0 million.</w:t>
      </w:r>
    </w:p>
    <w:p>
      <w:pPr>
        <w:spacing w:after="0" w:line="18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April 30, 2019, the Company’s China subsidiary, Global, entered into a one-year credit facility totaling 9,900,000 RMB, or approximately $1.5 million, (the “SPD ¥9.9M Credit Facility”), with SPD. Borrowing under the SPD ¥9.9M Credit Facility will be used for short-term working capital. Global may draw upon the SPD ¥9.9M Credit Facility from April 30, 2019 until May 9, 2019. Borrowing under the SPD ¥9.9M Credit Facility will mature on April 30, 2020 and will bear interest equal to SPD’s published twelve (12) month prime loan rate in effect on the date of the draw, plus 0.2475%. Under the SPD ¥9.9M Credit Facility, Global will make monthly payments of accrued interest and the principal shall be repaid upon maturity. Global’s obligations under the SPD ¥9.9M Credit Facility are unsecured. The SPD ¥9.9M Credit Facility has been replaced by the SPD Credit Line on May 24, 2019.</w:t>
      </w:r>
    </w:p>
    <w:p>
      <w:pPr>
        <w:spacing w:after="0" w:line="17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May 7, 2019, the Company’s China subsidiary, Global, entered into a one-year credit facility totaling 30,000,000 RMB, or approximately $4.5 million, (the “SPD ¥30M Credit Facility”), with SPD. Borrowing under the SPD ¥30M Credit Facility will be used to repay Global’s outstanding loans with China Construction Bank. Borrowing under the SPD ¥30M Credit Facility will mature on May 7, 2020 and will bear interest equal to the Bank’s published twelve (12) month prime loan rate in effect on the date of the draw, plus 0.2475%. As of the execution of the Credit Facility agreement, the Bank’s published 12 months prime loan rate is 4.32%. Under the SPD ¥30M Credit Facility, Global will make monthly payments of accrued interest; principal shall be repaid upon maturity. Global’s obligations under the SPD ¥30M Credit Facility are unsecured. The SPD ¥30M Credit Facility has been replaced by the SPD Credit Line on May 24, 2019.</w:t>
      </w:r>
    </w:p>
    <w:p>
      <w:pPr>
        <w:spacing w:after="0" w:line="166"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On May 8, 2019, the Company’s China subsidiary, Global, entered into a six-month credit facility totaling 2,000,000 USD (the “$2M Credit Facility”) with SPD. Borrowing under the $2M Credit Facility will be used to repay Global’s outstanding loans with CCB and for general corporate purposes. Borrowing under the $2M Credit Facility will mature on November 7, 2019 and will bear interest equal to SPD’s published six (6) month LIBOR in effect on the date of the draw, plus 1.48%. As of the execution of the $2M Credit Facility agreement, the SPD published 6 months LIBOR rate was</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2.59438%. Under the $2M Credit Facility, Global will make quarterly payments of accrued interest; principal shall be repaid upon maturity. Global’s obligations under the $2M Credit Facility are unsecured. The $2M Credit Facility also contains rights and obligations, representations and warranties, and events of default applicable to the Company that are customary for agreements of this type. The $2M Credit Facility has been replaced by the SPD Credit Line on May 24, 2019.</w:t>
      </w:r>
    </w:p>
    <w:p>
      <w:pPr>
        <w:sectPr>
          <w:pgSz w:w="11900" w:h="16838" w:orient="portrait"/>
          <w:cols w:equalWidth="0" w:num="1">
            <w:col w:w="9060"/>
          </w:cols>
          <w:pgMar w:left="1420" w:top="517"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May 24, 2019, the Company’s China subsidiary, Global, entered into a five-year revolving credit line agreement, totaling 180,000,000 RMB (the “SPD Credit Line”), or approximately $25.4 million, and a mortgage security agreement (the “Security Agreement”), with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The agreements for the SPD Credit Line and the Security Agreement also contain rights and obligations, representations and warranties, and events of default applicable to the Company that are customary for agreements of this type. As of September 30, 2019, $7.6 million was outstanding under the SPD Credit Line and the outstanding balance of bank acceptance notes issued to vendors was $1.8 million.</w:t>
      </w:r>
    </w:p>
    <w:p>
      <w:pPr>
        <w:spacing w:after="0" w:line="183"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On June 21, 2019, the Company’s China subsidiary, Global, entered into a 18 month credit facility totaling 100,000,000 RMB (the “¥100M Credit Facility”), or approximately $14.1 million, with China Zheshang Bank Co., Ltd., in Ningbo City, China (“CZB”). Borrowing under the ¥100M Credit Facility will be used by Global for general corporate purposes. Global may draw upon the ¥100M Credit Facility from June 21, 2019 until January 4, 2021 (the “¥100M Credit Period”). During the ¥100M Credit Period, Global may request to draw upon the ¥100M Credit Facility on an as-needed basis; however, draws under the ¥100M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¥100M Credit Facility will be secured by real property owned by Global and mortgaged to CZB under the terms of the Real Estate Security Agreement. The agreements for the ¥100M Credit Facility and the Real Estate Security Agreement also contain rights and obligations, representations and warranties, and events of default applicable to the Company that are customary for agreements of this type. As of September 30, 2019, there was no outstanding balance under the ¥100M Credit Facility.</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June 21, 2019, the Company’s China subsidiary, Global, entered into a three-year credit facility totaling 50,000,000 RMB (the “¥50M Credit Facility”), or approximately $7.1 million, with China Zheshang Bank Co., Ltd., in Ningbo City, China (“CZB”). Borrowing under the ¥50M Credit Facility will be used by Global for general corporate purposes. Global may draw upon the ¥50M Credit Facility from June 21, 2019 until June 20, 2022 (the “¥50M Credit Period”). During the ¥50M Credit Period, Global may request to draw upon the Credit Facility on an as-needed basis; however, draws under the ¥50M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¥50M Credit Facility will be secured by machinery and equipment owned by Global and mortgaged to CZB under the terms of the Machinery and Equipment Security Agreement. The agreements for the ¥50M Credit Facility and the Machinery and Equipment Security Agreement also contain rights and obligations, representations and warranties, and events of default applicable to the Company that are customary for agreements of this type. As of September 30, 2019, $7.1 million was outstanding under the ¥50M Credit Facility and the outstanding balance of bank acceptance notes issued to vendors was $1.3 million.</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September 30, 2019 and December 31, 2018, the Company had $57.3 million and $69.4 million of unused borrowing capacity,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One-month LIBOR rates were 2.0% and 2.5% at September 30, 2019 and December 31, 2018, respectively.</w:t>
      </w:r>
    </w:p>
    <w:p>
      <w:pPr>
        <w:spacing w:after="0" w:line="23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of September 30, 2019 and December 31, 2018, there was $1.3 million and $1.4 million of restricted cash, investments or security deposits associated with the loan facilities, respectively.</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Senior Notes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22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BB&amp;T and the remainder will be used for general corporate purposes.</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presents the carrying value of the Notes for the periods indicated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6"/>
              </w:rPr>
              <w:t>September 30,</w:t>
            </w:r>
          </w:p>
        </w:tc>
        <w:tc>
          <w:tcPr>
            <w:tcW w:w="28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15"/>
        </w:trPr>
        <w:tc>
          <w:tcPr>
            <w:tcW w:w="5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Principal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76,835</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February 28, 2019), subject to customary adjustments. If a make-whole fundamental change (as defined in the Indenture) occurs, and in connection with certain other conversions before March 15, 2022, the Company will in certain circumstances increase the conversion rate for a specified period of time.</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8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interest expense information related to the Notes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Three months ended September 30,</w:t>
            </w:r>
          </w:p>
        </w:tc>
        <w:tc>
          <w:tcPr>
            <w:tcW w:w="160" w:type="dxa"/>
            <w:vAlign w:val="bottom"/>
          </w:tcPr>
          <w:p>
            <w:pPr>
              <w:spacing w:after="0"/>
              <w:rPr>
                <w:sz w:val="14"/>
                <w:szCs w:val="14"/>
                <w:color w:val="auto"/>
              </w:rPr>
            </w:pPr>
          </w:p>
        </w:tc>
        <w:tc>
          <w:tcPr>
            <w:tcW w:w="236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9"/>
              </w:rPr>
              <w:t>Contractual interest expense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6"/>
              </w:rPr>
              <w:t>Amortization of debt issuance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cost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Effective interest rate</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2018</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Accrued rent</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1,088</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Advance payments</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Accrued commission expenses</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19,291</w:t>
            </w:r>
          </w:p>
        </w:tc>
        <w:tc>
          <w:tcPr>
            <w:tcW w:w="4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311"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240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8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transaction gain</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(loss) gain</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r>
      <w:tr>
        <w:trPr>
          <w:trHeight w:val="216"/>
        </w:trPr>
        <w:tc>
          <w:tcPr>
            <w:tcW w:w="2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(loss) on disposal of assets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r>
      <w:tr>
        <w:trPr>
          <w:trHeight w:val="210"/>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1000" w:hanging="32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3" w:lineRule="exact"/>
        <w:rPr>
          <w:rFonts w:ascii="Arial" w:cs="Arial" w:eastAsia="Arial" w:hAnsi="Arial"/>
          <w:sz w:val="18"/>
          <w:szCs w:val="18"/>
          <w:color w:val="auto"/>
        </w:rPr>
      </w:pPr>
    </w:p>
    <w:p>
      <w:pPr>
        <w:ind w:left="1000" w:hanging="32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9" w:lineRule="exact"/>
        <w:rPr>
          <w:rFonts w:ascii="Arial" w:cs="Arial" w:eastAsia="Arial" w:hAnsi="Arial"/>
          <w:sz w:val="18"/>
          <w:szCs w:val="18"/>
          <w:color w:val="auto"/>
        </w:rPr>
      </w:pPr>
    </w:p>
    <w:p>
      <w:pPr>
        <w:ind w:left="1000" w:hanging="32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9" w:lineRule="exact"/>
        <w:rPr>
          <w:rFonts w:ascii="Arial" w:cs="Arial" w:eastAsia="Arial" w:hAnsi="Arial"/>
          <w:sz w:val="18"/>
          <w:szCs w:val="18"/>
          <w:color w:val="auto"/>
        </w:rPr>
      </w:pPr>
    </w:p>
    <w:p>
      <w:pPr>
        <w:ind w:left="1000" w:hanging="32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2006 Share Incentive Plan</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hanging="32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8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Weighted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8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 Date of</w:t>
            </w:r>
          </w:p>
        </w:tc>
        <w:tc>
          <w:tcPr>
            <w:tcW w:w="820" w:type="dxa"/>
            <w:vAlign w:val="bottom"/>
            <w:gridSpan w:val="2"/>
          </w:tcPr>
          <w:p>
            <w:pPr>
              <w:jc w:val="right"/>
              <w:ind w:right="70"/>
              <w:spacing w:after="0" w:line="149" w:lineRule="exact"/>
              <w:rPr>
                <w:sz w:val="20"/>
                <w:szCs w:val="20"/>
                <w:color w:val="auto"/>
              </w:rPr>
            </w:pPr>
            <w:r>
              <w:rPr>
                <w:rFonts w:ascii="Arial" w:cs="Arial" w:eastAsia="Arial" w:hAnsi="Arial"/>
                <w:sz w:val="14"/>
                <w:szCs w:val="14"/>
                <w:b w:val="1"/>
                <w:bCs w:val="1"/>
                <w:color w:val="auto"/>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shares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20" w:type="dxa"/>
            <w:vAlign w:val="bottom"/>
            <w:gridSpan w:val="5"/>
          </w:tcPr>
          <w:p>
            <w:pPr>
              <w:jc w:val="right"/>
              <w:ind w:right="601"/>
              <w:spacing w:after="0" w:line="142" w:lineRule="exact"/>
              <w:rPr>
                <w:sz w:val="20"/>
                <w:szCs w:val="20"/>
                <w:color w:val="auto"/>
              </w:rPr>
            </w:pPr>
            <w:r>
              <w:rPr>
                <w:rFonts w:ascii="Arial" w:cs="Arial" w:eastAsia="Arial" w:hAnsi="Arial"/>
                <w:sz w:val="14"/>
                <w:szCs w:val="14"/>
                <w:b w:val="1"/>
                <w:bCs w:val="1"/>
                <w:color w:val="auto"/>
              </w:rPr>
              <w:t>(in thousands, except price data)</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$ 10.19</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5.31</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6.60</w:t>
            </w:r>
          </w:p>
        </w:tc>
        <w:tc>
          <w:tcPr>
            <w:tcW w:w="840" w:type="dxa"/>
            <w:vAlign w:val="bottom"/>
          </w:tcPr>
          <w:p>
            <w:pPr>
              <w:jc w:val="right"/>
              <w:ind w:right="65"/>
              <w:spacing w:after="0"/>
              <w:rPr>
                <w:sz w:val="20"/>
                <w:szCs w:val="20"/>
                <w:color w:val="auto"/>
              </w:rPr>
            </w:pPr>
            <w:r>
              <w:rPr>
                <w:rFonts w:ascii="Arial" w:cs="Arial" w:eastAsia="Arial" w:hAnsi="Arial"/>
                <w:sz w:val="18"/>
                <w:szCs w:val="18"/>
                <w:color w:val="auto"/>
              </w:rPr>
              <w:t>$  12.91</w:t>
            </w:r>
          </w:p>
        </w:tc>
        <w:tc>
          <w:tcPr>
            <w:tcW w:w="26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3.95</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11.35</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September 30,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jc w:val="right"/>
              <w:ind w:right="38"/>
              <w:spacing w:after="0"/>
              <w:rPr>
                <w:sz w:val="20"/>
                <w:szCs w:val="20"/>
                <w:color w:val="auto"/>
              </w:rPr>
            </w:pPr>
            <w:r>
              <w:rPr>
                <w:rFonts w:ascii="Arial" w:cs="Arial" w:eastAsia="Arial" w:hAnsi="Arial"/>
                <w:sz w:val="18"/>
                <w:szCs w:val="18"/>
                <w:color w:val="auto"/>
                <w:w w:val="99"/>
              </w:rPr>
              <w:t>$ 10.20</w:t>
            </w:r>
          </w:p>
        </w:tc>
        <w:tc>
          <w:tcPr>
            <w:tcW w:w="8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5.31</w:t>
            </w:r>
          </w:p>
        </w:tc>
        <w:tc>
          <w:tcPr>
            <w:tcW w:w="920" w:type="dxa"/>
            <w:vAlign w:val="bottom"/>
            <w:tcBorders>
              <w:bottom w:val="single" w:sz="8" w:color="CCEEFF"/>
            </w:tcBorders>
          </w:tcPr>
          <w:p>
            <w:pPr>
              <w:jc w:val="right"/>
              <w:ind w:right="41"/>
              <w:spacing w:after="0"/>
              <w:rPr>
                <w:sz w:val="20"/>
                <w:szCs w:val="20"/>
                <w:color w:val="auto"/>
              </w:rPr>
            </w:pPr>
            <w:r>
              <w:rPr>
                <w:rFonts w:ascii="Arial" w:cs="Arial" w:eastAsia="Arial" w:hAnsi="Arial"/>
                <w:sz w:val="18"/>
                <w:szCs w:val="18"/>
                <w:color w:val="auto"/>
              </w:rPr>
              <w:t>3.87</w:t>
            </w:r>
          </w:p>
        </w:tc>
        <w:tc>
          <w:tcPr>
            <w:tcW w:w="20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197"/>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September 30, 2019</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99"/>
              </w:rPr>
              <w:t>$ 10.20</w:t>
            </w:r>
          </w:p>
        </w:tc>
        <w:tc>
          <w:tcPr>
            <w:tcW w:w="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1"/>
              <w:spacing w:after="0" w:line="196" w:lineRule="exact"/>
              <w:rPr>
                <w:sz w:val="20"/>
                <w:szCs w:val="20"/>
                <w:color w:val="auto"/>
              </w:rPr>
            </w:pPr>
            <w:r>
              <w:rPr>
                <w:rFonts w:ascii="Arial" w:cs="Arial" w:eastAsia="Arial" w:hAnsi="Arial"/>
                <w:sz w:val="18"/>
                <w:szCs w:val="18"/>
                <w:color w:val="auto"/>
              </w:rPr>
              <w:t>3.87</w:t>
            </w: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Vested and expected to vest</w:t>
            </w: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vMerge w:val="restart"/>
          </w:tcPr>
          <w:p>
            <w:pPr>
              <w:jc w:val="right"/>
              <w:ind w:right="38"/>
              <w:spacing w:after="0"/>
              <w:rPr>
                <w:sz w:val="20"/>
                <w:szCs w:val="20"/>
                <w:color w:val="auto"/>
              </w:rPr>
            </w:pPr>
            <w:r>
              <w:rPr>
                <w:rFonts w:ascii="Arial" w:cs="Arial" w:eastAsia="Arial" w:hAnsi="Arial"/>
                <w:sz w:val="18"/>
                <w:szCs w:val="18"/>
                <w:color w:val="auto"/>
                <w:w w:val="99"/>
              </w:rPr>
              <w:t>$ 10.20</w:t>
            </w: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vMerge w:val="restart"/>
          </w:tcPr>
          <w:p>
            <w:pPr>
              <w:jc w:val="right"/>
              <w:ind w:right="41"/>
              <w:spacing w:after="0"/>
              <w:rPr>
                <w:sz w:val="20"/>
                <w:szCs w:val="20"/>
                <w:color w:val="auto"/>
              </w:rPr>
            </w:pPr>
            <w:r>
              <w:rPr>
                <w:rFonts w:ascii="Arial" w:cs="Arial" w:eastAsia="Arial" w:hAnsi="Arial"/>
                <w:sz w:val="18"/>
                <w:szCs w:val="18"/>
                <w:color w:val="auto"/>
              </w:rPr>
              <w:t>3.87</w:t>
            </w: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w:t>
            </w: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there was no unrecognized stock option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8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Average Share</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Price on Date</w:t>
            </w: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 Fair</w:t>
            </w:r>
          </w:p>
        </w:tc>
        <w:tc>
          <w:tcPr>
            <w:tcW w:w="140" w:type="dxa"/>
            <w:vAlign w:val="bottom"/>
          </w:tcPr>
          <w:p>
            <w:pPr>
              <w:spacing w:after="0"/>
              <w:rPr>
                <w:sz w:val="12"/>
                <w:szCs w:val="12"/>
                <w:color w:val="auto"/>
              </w:rPr>
            </w:pPr>
          </w:p>
        </w:tc>
        <w:tc>
          <w:tcPr>
            <w:tcW w:w="6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8"/>
              </w:rPr>
              <w:t>of Release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3"/>
              </w:rPr>
              <w:t>(in thousands, except price data)</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13.42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12.68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26.69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Cancelled/Forfeited</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26.64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9,819</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Vested and expected to vest</w:t>
            </w: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74"/>
              <w:spacing w:after="0"/>
              <w:rPr>
                <w:sz w:val="20"/>
                <w:szCs w:val="20"/>
                <w:color w:val="auto"/>
              </w:rPr>
            </w:pPr>
            <w:r>
              <w:rPr>
                <w:rFonts w:ascii="Arial" w:cs="Arial" w:eastAsia="Arial" w:hAnsi="Arial"/>
                <w:sz w:val="18"/>
                <w:szCs w:val="18"/>
                <w:color w:val="auto"/>
              </w:rPr>
              <w:t>25.22</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9,819</w:t>
            </w: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September 30, 2019, there was $19.9 million of unrecognized compensation expense related to these RSUs and RSAs. This expense is expected to be recognized over 2.1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34"/>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right="54"/>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7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2018</w:t>
            </w: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expense type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Cost of goods sold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1,884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5,224</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56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$ 2,978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2,894</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8,939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8,362</w:t>
            </w:r>
          </w:p>
        </w:tc>
      </w:tr>
      <w:tr>
        <w:trPr>
          <w:trHeight w:val="20"/>
        </w:trPr>
        <w:tc>
          <w:tcPr>
            <w:tcW w:w="3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r>
      <w:tr>
        <w:trPr>
          <w:trHeight w:val="336"/>
        </w:trPr>
        <w:tc>
          <w:tcPr>
            <w:tcW w:w="3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5"/>
          </w:tcPr>
          <w:p>
            <w:pPr>
              <w:jc w:val="center"/>
              <w:ind w:right="34"/>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right="54"/>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7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2018</w:t>
            </w: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award type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Employee stock options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2,978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2,882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8,350</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56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$ 2,978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2,894</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8,939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8,362</w:t>
            </w:r>
          </w:p>
        </w:tc>
      </w:tr>
      <w:tr>
        <w:trPr>
          <w:trHeight w:val="20"/>
        </w:trPr>
        <w:tc>
          <w:tcPr>
            <w:tcW w:w="3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ind w:right="19" w:firstLine="648"/>
        <w:spacing w:after="0" w:line="276" w:lineRule="auto"/>
        <w:rPr>
          <w:sz w:val="20"/>
          <w:szCs w:val="20"/>
          <w:color w:val="auto"/>
        </w:rPr>
      </w:pPr>
      <w:r>
        <w:rPr>
          <w:rFonts w:ascii="Arial" w:cs="Arial" w:eastAsia="Arial" w:hAnsi="Arial"/>
          <w:sz w:val="17"/>
          <w:szCs w:val="17"/>
          <w:color w:val="auto"/>
        </w:rPr>
        <w:t>The Company’s tax provision or benefit from income taxes for interim periods is determined using an estimate of its annual effective tax rate, adjusted for discrete items, if any, that are taken into account in the relevant period. The Company’s quarterly tax provision, and its quarterly estimate of its annual effective tax rate, are subject to significant variation due to several factors, including variability in accurately predicting its pre-tax income and loss and the mix of jurisdictions to which they relate, tax law developments and relative changes in permanent tax benefits or expenses.</w:t>
      </w:r>
    </w:p>
    <w:p>
      <w:pPr>
        <w:spacing w:after="0" w:line="173" w:lineRule="exact"/>
        <w:rPr>
          <w:sz w:val="20"/>
          <w:szCs w:val="20"/>
          <w:color w:val="auto"/>
        </w:rPr>
      </w:pPr>
    </w:p>
    <w:p>
      <w:pPr>
        <w:ind w:right="119" w:firstLine="648"/>
        <w:spacing w:after="0" w:line="255" w:lineRule="auto"/>
        <w:rPr>
          <w:sz w:val="20"/>
          <w:szCs w:val="20"/>
          <w:color w:val="auto"/>
        </w:rPr>
      </w:pPr>
      <w:r>
        <w:rPr>
          <w:rFonts w:ascii="Arial" w:cs="Arial" w:eastAsia="Arial" w:hAnsi="Arial"/>
          <w:sz w:val="18"/>
          <w:szCs w:val="18"/>
          <w:color w:val="auto"/>
        </w:rPr>
        <w:t>The Company’s effective tax rate for the three months ended September 30, 2019 and 2018 was 17.6% and 58.7%, respectively. For the three months ended September 30, 2019, the effective tax rate varied from the federal statutory rate of 21% primarily due to the level and mix of earnings among tax jurisdictions, share-based compensation, and tax benefits related to research and development. For the three months ended September 30, 2018, the effective tax rate varied from the federal statutory rate of 21% primarily due to the level and mix of earnings among tax jurisdictions, share-based compensation, tax benefits related to research and development and recognition of the U.S. global intangible low-taxed income ("GILTI").</w:t>
      </w:r>
    </w:p>
    <w:p>
      <w:pPr>
        <w:spacing w:after="0" w:line="189" w:lineRule="exact"/>
        <w:rPr>
          <w:sz w:val="20"/>
          <w:szCs w:val="20"/>
          <w:color w:val="auto"/>
        </w:rPr>
      </w:pPr>
    </w:p>
    <w:p>
      <w:pPr>
        <w:ind w:right="19" w:firstLine="648"/>
        <w:spacing w:after="0" w:line="272" w:lineRule="auto"/>
        <w:rPr>
          <w:sz w:val="20"/>
          <w:szCs w:val="20"/>
          <w:color w:val="auto"/>
        </w:rPr>
      </w:pPr>
      <w:r>
        <w:rPr>
          <w:rFonts w:ascii="Arial" w:cs="Arial" w:eastAsia="Arial" w:hAnsi="Arial"/>
          <w:sz w:val="17"/>
          <w:szCs w:val="17"/>
          <w:color w:val="auto"/>
        </w:rPr>
        <w:t>The Company’s effective tax rate for the nine months ended September 30, 2019 and 2018 was 19.9% and (164.5%) respectively. For the nine months ended September 30, 2019, the effective tax rate varied from the federal statutory rate of 21% primarily due to the level and mix of earnings among tax jurisdictions, share-based compensation, and tax benefits related to research and development. For the nine months ended September 30, 2018, the effective tax rate varied from the federal statutory rate of 21% primarily due to the level and mix of earnings among tax jurisdictions, share-based compensation, tax benefits related to research and development, recognition of the U.S. GILTI and an overall net tax benefit from certain tax reform measurement-period adjustments.</w:t>
      </w:r>
    </w:p>
    <w:p>
      <w:pPr>
        <w:spacing w:after="0" w:line="178" w:lineRule="exact"/>
        <w:rPr>
          <w:sz w:val="20"/>
          <w:szCs w:val="20"/>
          <w:color w:val="auto"/>
        </w:rPr>
      </w:pPr>
    </w:p>
    <w:p>
      <w:pPr>
        <w:ind w:right="79" w:firstLine="648"/>
        <w:spacing w:after="0" w:line="293" w:lineRule="auto"/>
        <w:rPr>
          <w:sz w:val="20"/>
          <w:szCs w:val="20"/>
          <w:color w:val="auto"/>
        </w:rPr>
      </w:pPr>
      <w:r>
        <w:rPr>
          <w:rFonts w:ascii="Arial" w:cs="Arial" w:eastAsia="Arial" w:hAnsi="Arial"/>
          <w:sz w:val="16"/>
          <w:szCs w:val="16"/>
          <w:color w:val="auto"/>
        </w:rPr>
        <w:t>As of September 30, 2019, the Company has accumulated undistributed earnings generated by its foreign subsidiaries of approximately $26 million. Because $26 million of such earnings have previously been subject to the one-time transition tax on foreign earnings required by the Tax Cut of Jobs Act of 2017 (the “Tax Act”), any additional taxes due with respect to such earnings or the excess of the amount for financial reporting over the tax basis of its foreign investments would generally be limited to foreign and state taxes. The Company intends, however, to indefinitely reinvest these earnings and expects future U.S. cash generation to be sufficient to meet future U.S. cash needs.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Geographic Information</w:t>
      </w:r>
    </w:p>
    <w:p>
      <w:pPr>
        <w:spacing w:after="0" w:line="229" w:lineRule="exact"/>
        <w:rPr>
          <w:sz w:val="20"/>
          <w:szCs w:val="20"/>
          <w:color w:val="auto"/>
        </w:rPr>
      </w:pPr>
    </w:p>
    <w:p>
      <w:pPr>
        <w:ind w:right="19" w:firstLine="648"/>
        <w:spacing w:after="0" w:line="286" w:lineRule="auto"/>
        <w:rPr>
          <w:sz w:val="20"/>
          <w:szCs w:val="20"/>
          <w:color w:val="auto"/>
        </w:rPr>
      </w:pPr>
      <w:r>
        <w:rPr>
          <w:rFonts w:ascii="Arial" w:cs="Arial" w:eastAsia="Arial" w:hAnsi="Arial"/>
          <w:sz w:val="17"/>
          <w:szCs w:val="17"/>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w:t>
      </w:r>
    </w:p>
    <w:p>
      <w:pPr>
        <w:sectPr>
          <w:pgSz w:w="11900" w:h="16838" w:orient="portrait"/>
          <w:cols w:equalWidth="0" w:num="1">
            <w:col w:w="9039"/>
          </w:cols>
          <w:pgMar w:left="1420" w:top="517" w:right="1440" w:bottom="1440"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evaluating financial performance and allocating resources.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7"/>
          </w:tcPr>
          <w:p>
            <w:pPr>
              <w:ind w:left="1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7"/>
          </w:tcPr>
          <w:p>
            <w:pPr>
              <w:ind w:left="2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r>
      <w:tr>
        <w:trPr>
          <w:trHeight w:val="142"/>
        </w:trPr>
        <w:tc>
          <w:tcPr>
            <w:tcW w:w="4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4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6,547</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10,258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Taiwan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29,883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92,056</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China</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14,796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23,576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61,148</w:t>
            </w:r>
          </w:p>
        </w:tc>
        <w:tc>
          <w:tcPr>
            <w:tcW w:w="8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107,133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46,084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56,386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$ 142,214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$ 209,447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As of the period ended</w:t>
            </w:r>
          </w:p>
        </w:tc>
        <w:tc>
          <w:tcPr>
            <w:tcW w:w="20" w:type="dxa"/>
            <w:vAlign w:val="bottom"/>
            <w:tcBorders>
              <w:bottom w:val="single" w:sz="8" w:color="auto"/>
            </w:tcBorders>
          </w:tcPr>
          <w:p>
            <w:pPr>
              <w:spacing w:after="0"/>
              <w:rPr>
                <w:sz w:val="24"/>
                <w:szCs w:val="24"/>
                <w:color w:val="auto"/>
              </w:rPr>
            </w:pPr>
          </w:p>
        </w:tc>
      </w:tr>
      <w:tr>
        <w:trPr>
          <w:trHeight w:val="142"/>
        </w:trPr>
        <w:tc>
          <w:tcPr>
            <w:tcW w:w="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3"/>
              </w:rPr>
              <w:t>September 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2"/>
                <w:szCs w:val="12"/>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1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auto"/>
              </w:rPr>
              <w:t>United States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94,420</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88,815</w:t>
            </w:r>
          </w:p>
        </w:tc>
        <w:tc>
          <w:tcPr>
            <w:tcW w:w="2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Taiwan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65,451</w:t>
            </w:r>
          </w:p>
        </w:tc>
        <w:tc>
          <w:tcPr>
            <w:tcW w:w="20" w:type="dxa"/>
            <w:vAlign w:val="bottom"/>
            <w:shd w:val="clear" w:color="auto" w:fill="CCEEFF"/>
          </w:tcPr>
          <w:p>
            <w:pPr>
              <w:spacing w:after="0"/>
              <w:rPr>
                <w:sz w:val="18"/>
                <w:szCs w:val="18"/>
                <w:color w:val="auto"/>
              </w:rPr>
            </w:pPr>
          </w:p>
        </w:tc>
      </w:tr>
      <w:tr>
        <w:trPr>
          <w:trHeight w:val="216"/>
        </w:trPr>
        <w:tc>
          <w:tcPr>
            <w:tcW w:w="4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China</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95,730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89,736</w:t>
            </w:r>
          </w:p>
        </w:tc>
        <w:tc>
          <w:tcPr>
            <w:tcW w:w="20" w:type="dxa"/>
            <w:vAlign w:val="bottom"/>
            <w:tcBorders>
              <w:bottom w:val="single" w:sz="8" w:color="auto"/>
            </w:tcBorders>
          </w:tcPr>
          <w:p>
            <w:pPr>
              <w:spacing w:after="0"/>
              <w:rPr>
                <w:sz w:val="18"/>
                <w:szCs w:val="18"/>
                <w:color w:val="auto"/>
              </w:rPr>
            </w:pPr>
          </w:p>
        </w:tc>
      </w:tr>
      <w:tr>
        <w:trPr>
          <w:trHeight w:val="210"/>
        </w:trPr>
        <w:tc>
          <w:tcPr>
            <w:tcW w:w="4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255,158</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244,002</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3"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Except for the lawsuits described below, the Company believes that there are no claims or actions pending or threatened against it, the ultimate disposition of which would have a material adverse effect on 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On August 5, 2017, a lawsuit was filed in the U.S. District Court for the Southern District of Texas against the Company and two of its officers in </w:t>
      </w:r>
      <w:r>
        <w:rPr>
          <w:rFonts w:ascii="Arial" w:cs="Arial" w:eastAsia="Arial" w:hAnsi="Arial"/>
          <w:sz w:val="17"/>
          <w:szCs w:val="17"/>
          <w:i w:val="1"/>
          <w:iCs w:val="1"/>
          <w:color w:val="auto"/>
        </w:rPr>
        <w:t>Mona Abouzied v. Applied Optoelectronics, Inc., Chih-Hsiang (Thompson) Lin, and</w:t>
      </w:r>
      <w:r>
        <w:rPr>
          <w:rFonts w:ascii="Arial" w:cs="Arial" w:eastAsia="Arial" w:hAnsi="Arial"/>
          <w:sz w:val="17"/>
          <w:szCs w:val="17"/>
          <w:color w:val="auto"/>
        </w:rPr>
        <w:t xml:space="preserve"> </w:t>
      </w:r>
      <w:r>
        <w:rPr>
          <w:rFonts w:ascii="Arial" w:cs="Arial" w:eastAsia="Arial" w:hAnsi="Arial"/>
          <w:sz w:val="17"/>
          <w:szCs w:val="17"/>
          <w:i w:val="1"/>
          <w:iCs w:val="1"/>
          <w:color w:val="auto"/>
        </w:rPr>
        <w:t>Stefan J. Murry, et al.</w:t>
      </w:r>
      <w:r>
        <w:rPr>
          <w:rFonts w:ascii="Arial" w:cs="Arial" w:eastAsia="Arial" w:hAnsi="Arial"/>
          <w:sz w:val="17"/>
          <w:szCs w:val="17"/>
          <w:color w:val="auto"/>
        </w:rPr>
        <w:t>, Case No. 4:17-cv-02399. The complaint in this matter seeks class action status on behalf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The Company filed a motion to dismiss on April 4, 2018, which was denied on March 28, 2019. The Company disputes the allegations, and intends to continue to vigorously defend against these claims.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case as a class action pursuant to Federal Rule of Civil Procedure 23 and seeking appointment of Plaintiffs as class representatives and Levi &amp; Korsinsky as class counsel. On July 12, 2019, the Company filed a response in opposition to the motion for class certification, and on August 26, 2019, Plaintiffs filed their Reply Brief. The Court has not yet ruled on the pending motion for class certification. The case is currently in the discovery phase, and fact discovery is scheduled to be completed by June 1, 2020. At this stage, we are not yet able to determine the likelihood of loss, if any, arising from this matter.</w:t>
      </w:r>
    </w:p>
    <w:p>
      <w:pPr>
        <w:spacing w:after="0" w:line="19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On August 7, 2018, Plaintiff Lei Jin filed a purported derivative action on behalf of nominal defendant Applied Optoelectronics, Inc. in the U.S. District Court for the Southern District of Texas against the Company’s chief executive officer, chief financial officer and board of directors (Case No. 4:18-cv-02713). This case was consolidated with a later filed derivative lawsuit filed by Plaintiff Yiu Kwong Ng in the U.S. District Court for the Southern District of Texas (Case No. 4:18-cv-4751). The allegations in the consolidated derivative complaints are substantially similar to those underlying the </w:t>
      </w:r>
      <w:r>
        <w:rPr>
          <w:rFonts w:ascii="Arial" w:cs="Arial" w:eastAsia="Arial" w:hAnsi="Arial"/>
          <w:sz w:val="16"/>
          <w:szCs w:val="16"/>
          <w:i w:val="1"/>
          <w:iCs w:val="1"/>
          <w:color w:val="auto"/>
        </w:rPr>
        <w:t xml:space="preserve">Abouzied </w:t>
      </w:r>
      <w:r>
        <w:rPr>
          <w:rFonts w:ascii="Arial" w:cs="Arial" w:eastAsia="Arial" w:hAnsi="Arial"/>
          <w:sz w:val="16"/>
          <w:szCs w:val="16"/>
          <w:color w:val="auto"/>
        </w:rPr>
        <w:t>securities class action and the</w:t>
      </w:r>
      <w:r>
        <w:rPr>
          <w:rFonts w:ascii="Arial" w:cs="Arial" w:eastAsia="Arial" w:hAnsi="Arial"/>
          <w:sz w:val="16"/>
          <w:szCs w:val="16"/>
          <w:i w:val="1"/>
          <w:iCs w:val="1"/>
          <w:color w:val="auto"/>
        </w:rPr>
        <w:t xml:space="preserve"> Taneja </w:t>
      </w:r>
      <w:r>
        <w:rPr>
          <w:rFonts w:ascii="Arial" w:cs="Arial" w:eastAsia="Arial" w:hAnsi="Arial"/>
          <w:sz w:val="16"/>
          <w:szCs w:val="16"/>
          <w:color w:val="auto"/>
        </w:rPr>
        <w:t>securities class action discussed below. The consolidated derivative action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stayed pending a ruling on defendants’ forthcoming motion to dismiss in the </w:t>
      </w:r>
      <w:r>
        <w:rPr>
          <w:rFonts w:ascii="Arial" w:cs="Arial" w:eastAsia="Arial" w:hAnsi="Arial"/>
          <w:sz w:val="16"/>
          <w:szCs w:val="16"/>
          <w:i w:val="1"/>
          <w:iCs w:val="1"/>
          <w:color w:val="auto"/>
        </w:rPr>
        <w:t>Taneja</w:t>
      </w:r>
      <w:r>
        <w:rPr>
          <w:rFonts w:ascii="Arial" w:cs="Arial" w:eastAsia="Arial" w:hAnsi="Arial"/>
          <w:sz w:val="16"/>
          <w:szCs w:val="16"/>
          <w:color w:val="auto"/>
        </w:rPr>
        <w:t xml:space="preserve"> securities class action.</w:t>
      </w:r>
    </w:p>
    <w:p>
      <w:pPr>
        <w:spacing w:after="0" w:line="16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On October 1, 2018, a lawsuit was filed in the U.S. District Court for the Southern District of Texas against the Company and two of its officers in </w:t>
      </w:r>
      <w:r>
        <w:rPr>
          <w:rFonts w:ascii="Arial" w:cs="Arial" w:eastAsia="Arial" w:hAnsi="Arial"/>
          <w:sz w:val="16"/>
          <w:szCs w:val="16"/>
          <w:i w:val="1"/>
          <w:iCs w:val="1"/>
          <w:color w:val="auto"/>
        </w:rPr>
        <w:t>Gaurav Taneja v. Applied Optoelectronics, Inc., Thompson Lin, and Stefan Murry</w:t>
      </w:r>
      <w:r>
        <w:rPr>
          <w:rFonts w:ascii="Arial" w:cs="Arial" w:eastAsia="Arial" w:hAnsi="Arial"/>
          <w:sz w:val="16"/>
          <w:szCs w:val="16"/>
          <w:color w:val="auto"/>
        </w:rPr>
        <w:t xml:space="preserve">, Case No. 4:18-cv-03544. The complaint in this matter seeks class action status on behalf of the Company’s shareholders, alleging violations of Sections 10(b) and 20(a) of the Exchange Act against the Company, its chief executive officer, and its chief financial officer, arising out of its announcement on September 28, 2018 that it was revising its third quarter revenue guidance due to “an issue with a small percentage of 25G lasers within a specific customer environment.” This case was consolidated with two identical cases styled </w:t>
      </w:r>
      <w:r>
        <w:rPr>
          <w:rFonts w:ascii="Arial" w:cs="Arial" w:eastAsia="Arial" w:hAnsi="Arial"/>
          <w:sz w:val="16"/>
          <w:szCs w:val="16"/>
          <w:i w:val="1"/>
          <w:iCs w:val="1"/>
          <w:color w:val="auto"/>
        </w:rPr>
        <w:t>Davin Pokoik v. Applied Optoelectronics, Inc., Chih-Hsiang Lin, and Stefan J.</w:t>
      </w:r>
      <w:r>
        <w:rPr>
          <w:rFonts w:ascii="Arial" w:cs="Arial" w:eastAsia="Arial" w:hAnsi="Arial"/>
          <w:sz w:val="16"/>
          <w:szCs w:val="16"/>
          <w:color w:val="auto"/>
        </w:rPr>
        <w:t xml:space="preserve"> </w:t>
      </w:r>
      <w:r>
        <w:rPr>
          <w:rFonts w:ascii="Arial" w:cs="Arial" w:eastAsia="Arial" w:hAnsi="Arial"/>
          <w:sz w:val="16"/>
          <w:szCs w:val="16"/>
          <w:i w:val="1"/>
          <w:iCs w:val="1"/>
          <w:color w:val="auto"/>
        </w:rPr>
        <w:t>Murry</w:t>
      </w:r>
      <w:r>
        <w:rPr>
          <w:rFonts w:ascii="Arial" w:cs="Arial" w:eastAsia="Arial" w:hAnsi="Arial"/>
          <w:sz w:val="16"/>
          <w:szCs w:val="16"/>
          <w:color w:val="auto"/>
        </w:rPr>
        <w:t>, Case No. 4:18-cv-3722 and</w:t>
      </w:r>
      <w:r>
        <w:rPr>
          <w:rFonts w:ascii="Arial" w:cs="Arial" w:eastAsia="Arial" w:hAnsi="Arial"/>
          <w:sz w:val="16"/>
          <w:szCs w:val="16"/>
          <w:i w:val="1"/>
          <w:iCs w:val="1"/>
          <w:color w:val="auto"/>
        </w:rPr>
        <w:t xml:space="preserve"> Stephen McGrath v. Applied Optoelectronics, Inc., Chih-Hsiang Lin, and Stefan J. Murry</w:t>
      </w:r>
      <w:r>
        <w:rPr>
          <w:rFonts w:ascii="Arial" w:cs="Arial" w:eastAsia="Arial" w:hAnsi="Arial"/>
          <w:sz w:val="16"/>
          <w:szCs w:val="16"/>
          <w:color w:val="auto"/>
        </w:rPr>
        <w:t>. Mark Naglich was appointed as Lead Plaintiff on the consolidated matter on January 4, 2019. Lead Plaintiff filed an</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consolidated complaint on March 5, 2019, and the Company filed a motion to dismiss the amended consolidated complaint on May 6, 2019. On July 5, 2019, Plaintiff filed a response in opposition to the motion to dismiss, and the Company filed its reply brief in further support of the motion on August 5, 2019. The motion to dismiss is now fully briefed and is pending before the court. The Company disputes the allegations and intends to vigorously contest the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Books and Records Request</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On April 10, 2019, stockholder David Bono filed a complaint in the Delaware Court of Chancery against the Company seeking to inspect certain corporate books and records pursuant to Section 220 of the Delaware General Corporation Law. The lawsuit is styled </w:t>
      </w:r>
      <w:r>
        <w:rPr>
          <w:rFonts w:ascii="Arial" w:cs="Arial" w:eastAsia="Arial" w:hAnsi="Arial"/>
          <w:sz w:val="18"/>
          <w:szCs w:val="18"/>
          <w:i w:val="1"/>
          <w:iCs w:val="1"/>
          <w:color w:val="auto"/>
        </w:rPr>
        <w:t>David Bono v. Applied Optoelectronics, Inc.</w:t>
      </w:r>
      <w:r>
        <w:rPr>
          <w:rFonts w:ascii="Arial" w:cs="Arial" w:eastAsia="Arial" w:hAnsi="Arial"/>
          <w:sz w:val="18"/>
          <w:szCs w:val="18"/>
          <w:color w:val="auto"/>
        </w:rPr>
        <w:t>, Case No. 2019-0275 (Del. Ch. 2019). The complaint does not seek damages but seeks the plaintiff’s costs and expenses, including attorneys’ fees, as well as the requested books and records. On July 5, 2019, by agreement of the parties, the Vice Chancellor issued an order staying the case to allow the parties to seek resolution of the dispute outside of litigation. Currently, the case remains stayed pursuant to this order.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Company has evaluated subsequent events through the date the financial statements were available to be issued.</w:t>
      </w:r>
    </w:p>
    <w:p>
      <w:pPr>
        <w:spacing w:after="0" w:line="26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October 24, 2019, the Company filed a new universal shelf Registration Statement on Form S-3 with the SEC. Once the new S-3 filed on October 24, 2019 is declared effective by the SEC, it will replace its Form S-3 Registration Statement which was filed with the SEC on October 17, 2016 and declared effective on November 1, 2016. Pursuant to the new S-3 registration statement, the Company will have the ability to sell certain securities of the Company in one or more public offerings up to an aggregate public offering price of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September 30, 2019 and the audited consolidated financial statements and notes thereto and management’s discussion and analysis of financial condition and results of operations for the fiscal year ended December 31, 2018 included in our Annual Report on Form 10-K. References to “Applied Optoelectronics,” “we,” “our” and “us” are to Applied Optoelectronics, Inc. and its subsidiaries unless otherwise specified or the context otherwise requires.</w:t>
      </w:r>
    </w:p>
    <w:p>
      <w:pPr>
        <w:spacing w:after="0" w:line="18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2018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leading, vertically integrated provider of fiber-optic networking products. We target four networking end-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markets: internet data centers, CATV, telecom and FTTH. We design and manufacture a range of optical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at varying levels of integration, from components, subassemblies and modules to complete turn-key equipment.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designing products for our customers, we begin with the fundamental building blocks of lasers and laser components.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foundational products, we design and manufacture a wide range of products to meet our customers’ needs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specifications, and such products differ from each other by their end market, intended use and level of integration.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focused on the higher-performance segments within the internet data center, CATV, telecom and FTTH markets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increasingly demand faster connectivity and innovation. Our vertically integrated manufacturing model provides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several advantages, including rapid product development, fast response times to customer requests and control over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quality and manufacturing costs.</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In the telecom market, we benefit from deployment of new high-speed fiber-optic networks by telecom network operators.</w:t>
      </w:r>
    </w:p>
    <w:p>
      <w:pPr>
        <w:spacing w:after="0" w:line="178"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control over product quality and manufacturing costs. We</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99"/>
        <w:spacing w:after="0" w:line="297" w:lineRule="auto"/>
        <w:rPr>
          <w:sz w:val="20"/>
          <w:szCs w:val="20"/>
          <w:color w:val="auto"/>
        </w:rPr>
      </w:pPr>
      <w:r>
        <w:rPr>
          <w:rFonts w:ascii="Arial" w:cs="Arial" w:eastAsia="Arial" w:hAnsi="Arial"/>
          <w:sz w:val="16"/>
          <w:szCs w:val="16"/>
          <w:color w:val="auto"/>
        </w:rPr>
        <w:t>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58" w:lineRule="exact"/>
        <w:rPr>
          <w:sz w:val="20"/>
          <w:szCs w:val="20"/>
          <w:color w:val="auto"/>
        </w:rPr>
      </w:pPr>
    </w:p>
    <w:p>
      <w:pPr>
        <w:ind w:right="19" w:firstLine="648"/>
        <w:spacing w:after="0" w:line="286"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75" w:lineRule="exact"/>
        <w:rPr>
          <w:sz w:val="20"/>
          <w:szCs w:val="20"/>
          <w:color w:val="auto"/>
        </w:rPr>
      </w:pPr>
    </w:p>
    <w:p>
      <w:pPr>
        <w:ind w:right="19" w:firstLine="648"/>
        <w:spacing w:after="0" w:line="290" w:lineRule="auto"/>
        <w:rPr>
          <w:sz w:val="20"/>
          <w:szCs w:val="20"/>
          <w:color w:val="auto"/>
        </w:rPr>
      </w:pPr>
      <w:r>
        <w:rPr>
          <w:rFonts w:ascii="Arial" w:cs="Arial" w:eastAsia="Arial" w:hAnsi="Arial"/>
          <w:sz w:val="16"/>
          <w:szCs w:val="16"/>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66" w:lineRule="exact"/>
        <w:rPr>
          <w:sz w:val="20"/>
          <w:szCs w:val="20"/>
          <w:color w:val="auto"/>
        </w:rPr>
      </w:pPr>
    </w:p>
    <w:p>
      <w:pPr>
        <w:ind w:right="319" w:firstLine="648"/>
        <w:spacing w:after="0" w:line="277" w:lineRule="auto"/>
        <w:rPr>
          <w:sz w:val="20"/>
          <w:szCs w:val="20"/>
          <w:color w:val="auto"/>
        </w:rPr>
      </w:pPr>
      <w:r>
        <w:rPr>
          <w:rFonts w:ascii="Arial" w:cs="Arial" w:eastAsia="Arial" w:hAnsi="Arial"/>
          <w:sz w:val="18"/>
          <w:szCs w:val="18"/>
          <w:color w:val="auto"/>
        </w:rPr>
        <w:t>Our principal executive offices are located at 13139 Jess Pirtle Blvd., Sugar Land, TX 77478, and our telephone number is (281) 295-1800.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7" w:name="page28"/>
    <w:bookmarkEnd w:id="27"/>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 w:right="16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 except percentages):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center"/>
              <w:ind w:right="195"/>
              <w:spacing w:after="0"/>
              <w:rPr>
                <w:sz w:val="20"/>
                <w:szCs w:val="20"/>
                <w:color w:val="auto"/>
              </w:rPr>
            </w:pPr>
            <w:r>
              <w:rPr>
                <w:rFonts w:ascii="Arial" w:cs="Arial" w:eastAsia="Arial" w:hAnsi="Arial"/>
                <w:sz w:val="14"/>
                <w:szCs w:val="14"/>
                <w:b w:val="1"/>
                <w:bCs w:val="1"/>
                <w:color w:val="auto"/>
                <w:w w:val="85"/>
              </w:rPr>
              <w:t>Three months ended</w:t>
            </w:r>
          </w:p>
        </w:tc>
        <w:tc>
          <w:tcPr>
            <w:tcW w:w="40" w:type="dxa"/>
            <w:vAlign w:val="bottom"/>
          </w:tcPr>
          <w:p>
            <w:pPr>
              <w:spacing w:after="0"/>
              <w:rPr>
                <w:sz w:val="14"/>
                <w:szCs w:val="14"/>
                <w:color w:val="auto"/>
              </w:rPr>
            </w:pPr>
          </w:p>
        </w:tc>
        <w:tc>
          <w:tcPr>
            <w:tcW w:w="1540" w:type="dxa"/>
            <w:vAlign w:val="bottom"/>
            <w:gridSpan w:val="5"/>
          </w:tcPr>
          <w:p>
            <w:pPr>
              <w:jc w:val="center"/>
              <w:ind w:right="155"/>
              <w:spacing w:after="0"/>
              <w:rPr>
                <w:sz w:val="20"/>
                <w:szCs w:val="20"/>
                <w:color w:val="auto"/>
              </w:rPr>
            </w:pPr>
            <w:r>
              <w:rPr>
                <w:rFonts w:ascii="Arial" w:cs="Arial" w:eastAsia="Arial" w:hAnsi="Arial"/>
                <w:sz w:val="14"/>
                <w:szCs w:val="14"/>
                <w:b w:val="1"/>
                <w:bCs w:val="1"/>
                <w:color w:val="auto"/>
                <w:w w:val="85"/>
              </w:rPr>
              <w:t>Three months ended</w:t>
            </w:r>
          </w:p>
        </w:tc>
        <w:tc>
          <w:tcPr>
            <w:tcW w:w="100" w:type="dxa"/>
            <w:vAlign w:val="bottom"/>
          </w:tcPr>
          <w:p>
            <w:pPr>
              <w:spacing w:after="0"/>
              <w:rPr>
                <w:sz w:val="14"/>
                <w:szCs w:val="14"/>
                <w:color w:val="auto"/>
              </w:rPr>
            </w:pPr>
          </w:p>
        </w:tc>
        <w:tc>
          <w:tcPr>
            <w:tcW w:w="1640" w:type="dxa"/>
            <w:vAlign w:val="bottom"/>
            <w:gridSpan w:val="5"/>
          </w:tcPr>
          <w:p>
            <w:pPr>
              <w:jc w:val="center"/>
              <w:ind w:right="375"/>
              <w:spacing w:after="0"/>
              <w:rPr>
                <w:sz w:val="20"/>
                <w:szCs w:val="20"/>
                <w:color w:val="auto"/>
              </w:rPr>
            </w:pPr>
            <w:r>
              <w:rPr>
                <w:rFonts w:ascii="Arial" w:cs="Arial" w:eastAsia="Arial" w:hAnsi="Arial"/>
                <w:sz w:val="14"/>
                <w:szCs w:val="14"/>
                <w:b w:val="1"/>
                <w:bCs w:val="1"/>
                <w:color w:val="auto"/>
                <w:w w:val="84"/>
              </w:rPr>
              <w:t>Nine months ended</w:t>
            </w:r>
          </w:p>
        </w:tc>
        <w:tc>
          <w:tcPr>
            <w:tcW w:w="1460" w:type="dxa"/>
            <w:vAlign w:val="bottom"/>
            <w:gridSpan w:val="4"/>
          </w:tcPr>
          <w:p>
            <w:pPr>
              <w:jc w:val="center"/>
              <w:ind w:right="195"/>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center"/>
              <w:ind w:right="235"/>
              <w:spacing w:after="0"/>
              <w:rPr>
                <w:sz w:val="20"/>
                <w:szCs w:val="20"/>
                <w:color w:val="auto"/>
              </w:rPr>
            </w:pPr>
            <w:r>
              <w:rPr>
                <w:rFonts w:ascii="Arial" w:cs="Arial" w:eastAsia="Arial" w:hAnsi="Arial"/>
                <w:sz w:val="14"/>
                <w:szCs w:val="14"/>
                <w:b w:val="1"/>
                <w:bCs w:val="1"/>
                <w:color w:val="auto"/>
                <w:w w:val="85"/>
              </w:rPr>
              <w:t>September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315"/>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640" w:type="dxa"/>
            <w:vAlign w:val="bottom"/>
            <w:gridSpan w:val="5"/>
          </w:tcPr>
          <w:p>
            <w:pPr>
              <w:jc w:val="center"/>
              <w:ind w:right="415"/>
              <w:spacing w:after="0"/>
              <w:rPr>
                <w:sz w:val="20"/>
                <w:szCs w:val="20"/>
                <w:color w:val="auto"/>
              </w:rPr>
            </w:pPr>
            <w:r>
              <w:rPr>
                <w:rFonts w:ascii="Arial" w:cs="Arial" w:eastAsia="Arial" w:hAnsi="Arial"/>
                <w:sz w:val="14"/>
                <w:szCs w:val="14"/>
                <w:b w:val="1"/>
                <w:bCs w:val="1"/>
                <w:color w:val="auto"/>
                <w:w w:val="85"/>
              </w:rPr>
              <w:t>September 30,</w:t>
            </w:r>
          </w:p>
        </w:tc>
        <w:tc>
          <w:tcPr>
            <w:tcW w:w="1460" w:type="dxa"/>
            <w:vAlign w:val="bottom"/>
            <w:gridSpan w:val="4"/>
          </w:tcPr>
          <w:p>
            <w:pPr>
              <w:jc w:val="center"/>
              <w:ind w:right="235"/>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ind w:left="318"/>
              <w:spacing w:after="0" w:line="142" w:lineRule="exact"/>
              <w:rPr>
                <w:sz w:val="20"/>
                <w:szCs w:val="20"/>
                <w:color w:val="auto"/>
              </w:rPr>
            </w:pPr>
            <w:r>
              <w:rPr>
                <w:rFonts w:ascii="Arial" w:cs="Arial" w:eastAsia="Arial" w:hAnsi="Arial"/>
                <w:sz w:val="14"/>
                <w:szCs w:val="14"/>
                <w:b w:val="1"/>
                <w:bCs w:val="1"/>
                <w:color w:val="auto"/>
                <w:w w:val="83"/>
              </w:rPr>
              <w:t>2019</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left="277"/>
              <w:spacing w:after="0" w:line="142" w:lineRule="exact"/>
              <w:rPr>
                <w:sz w:val="20"/>
                <w:szCs w:val="20"/>
                <w:color w:val="auto"/>
              </w:rPr>
            </w:pPr>
            <w:r>
              <w:rPr>
                <w:rFonts w:ascii="Arial" w:cs="Arial" w:eastAsia="Arial" w:hAnsi="Arial"/>
                <w:sz w:val="14"/>
                <w:szCs w:val="14"/>
                <w:b w:val="1"/>
                <w:bCs w:val="1"/>
                <w:color w:val="auto"/>
                <w:w w:val="83"/>
              </w:rPr>
              <w:t>2018</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center"/>
              <w:ind w:left="298"/>
              <w:spacing w:after="0" w:line="142" w:lineRule="exact"/>
              <w:rPr>
                <w:sz w:val="20"/>
                <w:szCs w:val="20"/>
                <w:color w:val="auto"/>
              </w:rPr>
            </w:pPr>
            <w:r>
              <w:rPr>
                <w:rFonts w:ascii="Arial" w:cs="Arial" w:eastAsia="Arial" w:hAnsi="Arial"/>
                <w:sz w:val="14"/>
                <w:szCs w:val="14"/>
                <w:b w:val="1"/>
                <w:bCs w:val="1"/>
                <w:color w:val="auto"/>
                <w:w w:val="83"/>
              </w:rPr>
              <w:t>2019</w:t>
            </w:r>
          </w:p>
        </w:tc>
        <w:tc>
          <w:tcPr>
            <w:tcW w:w="5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ind w:left="318"/>
              <w:spacing w:after="0" w:line="142" w:lineRule="exact"/>
              <w:rPr>
                <w:sz w:val="20"/>
                <w:szCs w:val="20"/>
                <w:color w:val="auto"/>
              </w:rPr>
            </w:pPr>
            <w:r>
              <w:rPr>
                <w:rFonts w:ascii="Arial" w:cs="Arial" w:eastAsia="Arial" w:hAnsi="Arial"/>
                <w:sz w:val="14"/>
                <w:szCs w:val="14"/>
                <w:b w:val="1"/>
                <w:bCs w:val="1"/>
                <w:color w:val="auto"/>
                <w:w w:val="83"/>
              </w:rPr>
              <w:t>2018</w:t>
            </w: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Revenue, net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46,084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56,386</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100.0</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142,214</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209,447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7"/>
                <w:szCs w:val="17"/>
                <w:color w:val="auto"/>
              </w:rPr>
              <w:t>Cost of goods sold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34,108</w:t>
            </w: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74.0 %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38,849</w:t>
            </w:r>
          </w:p>
        </w:tc>
        <w:tc>
          <w:tcPr>
            <w:tcW w:w="140" w:type="dxa"/>
            <w:vAlign w:val="bottom"/>
          </w:tcPr>
          <w:p>
            <w:pPr>
              <w:spacing w:after="0"/>
              <w:rPr>
                <w:sz w:val="17"/>
                <w:szCs w:val="17"/>
                <w:color w:val="auto"/>
              </w:rPr>
            </w:pPr>
          </w:p>
        </w:tc>
        <w:tc>
          <w:tcPr>
            <w:tcW w:w="720" w:type="dxa"/>
            <w:vAlign w:val="bottom"/>
            <w:gridSpan w:val="2"/>
          </w:tcPr>
          <w:p>
            <w:pPr>
              <w:jc w:val="right"/>
              <w:ind w:right="15"/>
              <w:spacing w:after="0"/>
              <w:rPr>
                <w:sz w:val="20"/>
                <w:szCs w:val="20"/>
                <w:color w:val="auto"/>
              </w:rPr>
            </w:pPr>
            <w:r>
              <w:rPr>
                <w:rFonts w:ascii="Arial" w:cs="Arial" w:eastAsia="Arial" w:hAnsi="Arial"/>
                <w:sz w:val="17"/>
                <w:szCs w:val="17"/>
                <w:color w:val="auto"/>
              </w:rPr>
              <w:t>68.9 %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107,349</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75.5 %</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132,211</w:t>
            </w: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63.1 %</w:t>
            </w:r>
          </w:p>
        </w:tc>
        <w:tc>
          <w:tcPr>
            <w:tcW w:w="0" w:type="dxa"/>
            <w:vAlign w:val="bottom"/>
          </w:tcPr>
          <w:p>
            <w:pPr>
              <w:spacing w:after="0"/>
              <w:rPr>
                <w:sz w:val="1"/>
                <w:szCs w:val="1"/>
                <w:color w:val="auto"/>
              </w:rPr>
            </w:pPr>
          </w:p>
        </w:tc>
      </w:tr>
      <w:tr>
        <w:trPr>
          <w:trHeight w:val="196"/>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profit</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11,976</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17,537</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24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7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34,865</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77,236</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20"/>
                <w:szCs w:val="20"/>
                <w:color w:val="auto"/>
              </w:rPr>
            </w:pPr>
            <w:r>
              <w:rPr>
                <w:rFonts w:ascii="Arial" w:cs="Arial" w:eastAsia="Arial" w:hAnsi="Arial"/>
                <w:sz w:val="17"/>
                <w:szCs w:val="17"/>
                <w:color w:val="auto"/>
              </w:rPr>
              <w:t>Operating expenses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10,466</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22.7 %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14,180</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25.1 %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32,802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23.1 %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38,561</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18.4 %</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7"/>
                <w:szCs w:val="17"/>
                <w:color w:val="auto"/>
              </w:rPr>
              <w:t>Sales and marketing</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2,518</w:t>
            </w: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5.5 %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2,370</w:t>
            </w:r>
          </w:p>
        </w:tc>
        <w:tc>
          <w:tcPr>
            <w:tcW w:w="140" w:type="dxa"/>
            <w:vAlign w:val="bottom"/>
          </w:tcPr>
          <w:p>
            <w:pPr>
              <w:spacing w:after="0"/>
              <w:rPr>
                <w:sz w:val="17"/>
                <w:szCs w:val="17"/>
                <w:color w:val="auto"/>
              </w:rPr>
            </w:pPr>
          </w:p>
        </w:tc>
        <w:tc>
          <w:tcPr>
            <w:tcW w:w="720" w:type="dxa"/>
            <w:vAlign w:val="bottom"/>
            <w:gridSpan w:val="2"/>
          </w:tcPr>
          <w:p>
            <w:pPr>
              <w:jc w:val="right"/>
              <w:ind w:right="15"/>
              <w:spacing w:after="0"/>
              <w:rPr>
                <w:sz w:val="20"/>
                <w:szCs w:val="20"/>
                <w:color w:val="auto"/>
              </w:rPr>
            </w:pPr>
            <w:r>
              <w:rPr>
                <w:rFonts w:ascii="Arial" w:cs="Arial" w:eastAsia="Arial" w:hAnsi="Arial"/>
                <w:sz w:val="17"/>
                <w:szCs w:val="17"/>
                <w:color w:val="auto"/>
              </w:rPr>
              <w:t>4.2 %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7,444</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5.2 %</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7,221</w:t>
            </w: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21.7 %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10,591</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18.8 %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31,312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29,945</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14.3 %</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operating expenses</w:t>
            </w:r>
          </w:p>
        </w:tc>
        <w:tc>
          <w:tcPr>
            <w:tcW w:w="2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22,972</w:t>
            </w:r>
          </w:p>
        </w:tc>
        <w:tc>
          <w:tcPr>
            <w:tcW w:w="12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79"/>
              </w:rPr>
              <w:t>%</w:t>
            </w:r>
          </w:p>
        </w:tc>
        <w:tc>
          <w:tcPr>
            <w:tcW w:w="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27,141</w:t>
            </w:r>
          </w:p>
        </w:tc>
        <w:tc>
          <w:tcPr>
            <w:tcW w:w="1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240" w:type="dxa"/>
            <w:vAlign w:val="bottom"/>
            <w:tcBorders>
              <w:bottom w:val="single" w:sz="8" w:color="CCEEFF"/>
            </w:tcBorders>
          </w:tcPr>
          <w:p>
            <w:pPr>
              <w:jc w:val="right"/>
              <w:ind w:right="15"/>
              <w:spacing w:after="0"/>
              <w:rPr>
                <w:sz w:val="20"/>
                <w:szCs w:val="20"/>
                <w:color w:val="auto"/>
              </w:rPr>
            </w:pPr>
            <w:r>
              <w:rPr>
                <w:rFonts w:ascii="Arial" w:cs="Arial" w:eastAsia="Arial" w:hAnsi="Arial"/>
                <w:sz w:val="17"/>
                <w:szCs w:val="17"/>
                <w:color w:val="auto"/>
                <w:w w:val="79"/>
              </w:rPr>
              <w:t>%</w:t>
            </w: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71,558</w:t>
            </w:r>
          </w:p>
        </w:tc>
        <w:tc>
          <w:tcPr>
            <w:tcW w:w="14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50.3</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79"/>
              </w:rPr>
              <w:t>%</w:t>
            </w: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75,727</w:t>
            </w:r>
          </w:p>
        </w:tc>
        <w:tc>
          <w:tcPr>
            <w:tcW w:w="12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(10,996)</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(9,604)</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(36,693)</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20"/>
                <w:szCs w:val="20"/>
                <w:color w:val="auto"/>
              </w:rPr>
            </w:pPr>
            <w:r>
              <w:rPr>
                <w:rFonts w:ascii="Arial" w:cs="Arial" w:eastAsia="Arial" w:hAnsi="Arial"/>
                <w:sz w:val="17"/>
                <w:szCs w:val="17"/>
                <w:color w:val="auto"/>
              </w:rPr>
              <w:t>Other income (expense)</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0.2 %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7"/>
                <w:szCs w:val="17"/>
                <w:color w:val="auto"/>
              </w:rPr>
              <w:t>Interest expense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(1,517)</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(274)</w:t>
            </w:r>
          </w:p>
        </w:tc>
        <w:tc>
          <w:tcPr>
            <w:tcW w:w="720" w:type="dxa"/>
            <w:vAlign w:val="bottom"/>
            <w:gridSpan w:val="2"/>
          </w:tcPr>
          <w:p>
            <w:pPr>
              <w:jc w:val="right"/>
              <w:ind w:right="15"/>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(4,003)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(624)</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1,446</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1.4 %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7"/>
                <w:szCs w:val="17"/>
                <w:color w:val="auto"/>
                <w:w w:val="99"/>
              </w:rPr>
              <w:t>Total other income (expense), net</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79"/>
              </w:rPr>
              <w:t>%</w:t>
            </w: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5"/>
              <w:spacing w:after="0"/>
              <w:rPr>
                <w:sz w:val="20"/>
                <w:szCs w:val="20"/>
                <w:color w:val="auto"/>
              </w:rPr>
            </w:pPr>
            <w:r>
              <w:rPr>
                <w:rFonts w:ascii="Arial" w:cs="Arial" w:eastAsia="Arial" w:hAnsi="Arial"/>
                <w:sz w:val="17"/>
                <w:szCs w:val="17"/>
                <w:color w:val="auto"/>
                <w:w w:val="79"/>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line="20" w:lineRule="exact"/>
              <w:rPr>
                <w:sz w:val="1"/>
                <w:szCs w:val="1"/>
                <w:color w:val="auto"/>
              </w:rPr>
            </w:pPr>
          </w:p>
        </w:tc>
      </w:tr>
      <w:tr>
        <w:trPr>
          <w:trHeight w:val="196"/>
        </w:trPr>
        <w:tc>
          <w:tcPr>
            <w:tcW w:w="2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276</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0.6</w:t>
            </w:r>
          </w:p>
        </w:tc>
        <w:tc>
          <w:tcPr>
            <w:tcW w:w="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578</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(1,532)</w:t>
            </w:r>
          </w:p>
        </w:tc>
        <w:tc>
          <w:tcPr>
            <w:tcW w:w="140" w:type="dxa"/>
            <w:vAlign w:val="bottom"/>
            <w:vMerge w:val="continue"/>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919</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0.4</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w w:val="96"/>
              </w:rPr>
              <w:t>Income (loss) before income taxes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(10,720)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(9,026)</w:t>
            </w:r>
          </w:p>
        </w:tc>
        <w:tc>
          <w:tcPr>
            <w:tcW w:w="7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(38,225)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7"/>
                <w:szCs w:val="17"/>
                <w:color w:val="auto"/>
              </w:rPr>
              <w:t>Income tax benefit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1,940</w:t>
            </w: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4.2 %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5,294</w:t>
            </w:r>
          </w:p>
        </w:tc>
        <w:tc>
          <w:tcPr>
            <w:tcW w:w="140" w:type="dxa"/>
            <w:vAlign w:val="bottom"/>
          </w:tcPr>
          <w:p>
            <w:pPr>
              <w:spacing w:after="0"/>
              <w:rPr>
                <w:sz w:val="17"/>
                <w:szCs w:val="17"/>
                <w:color w:val="auto"/>
              </w:rPr>
            </w:pPr>
          </w:p>
        </w:tc>
        <w:tc>
          <w:tcPr>
            <w:tcW w:w="720" w:type="dxa"/>
            <w:vAlign w:val="bottom"/>
            <w:gridSpan w:val="2"/>
          </w:tcPr>
          <w:p>
            <w:pPr>
              <w:jc w:val="right"/>
              <w:ind w:right="15"/>
              <w:spacing w:after="0"/>
              <w:rPr>
                <w:sz w:val="20"/>
                <w:szCs w:val="20"/>
                <w:color w:val="auto"/>
              </w:rPr>
            </w:pPr>
            <w:r>
              <w:rPr>
                <w:rFonts w:ascii="Arial" w:cs="Arial" w:eastAsia="Arial" w:hAnsi="Arial"/>
                <w:sz w:val="17"/>
                <w:szCs w:val="17"/>
                <w:color w:val="auto"/>
              </w:rPr>
              <w:t>9.4 %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7,605</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5.3 %</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3,994</w:t>
            </w: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196"/>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240" w:type="dxa"/>
            <w:vAlign w:val="bottom"/>
            <w:tcBorders>
              <w:top w:val="single" w:sz="8" w:color="CCEEFF"/>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7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(30,620)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Comparison of Financial Results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20" w:right="10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nine months ended September 30, 2019 and 2018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gridSpan w:val="15"/>
          </w:tcPr>
          <w:p>
            <w:pPr>
              <w:jc w:val="center"/>
              <w:ind w:right="320"/>
              <w:spacing w:after="0"/>
              <w:rPr>
                <w:sz w:val="20"/>
                <w:szCs w:val="20"/>
                <w:color w:val="auto"/>
              </w:rPr>
            </w:pPr>
            <w:r>
              <w:rPr>
                <w:rFonts w:ascii="Arial" w:cs="Arial" w:eastAsia="Arial" w:hAnsi="Arial"/>
                <w:sz w:val="14"/>
                <w:szCs w:val="14"/>
                <w:b w:val="1"/>
                <w:bCs w:val="1"/>
                <w:color w:val="auto"/>
                <w:w w:val="91"/>
              </w:rPr>
              <w:t>Three months ended 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5"/>
          </w:tcPr>
          <w:p>
            <w:pPr>
              <w:ind w:left="36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top w:val="single" w:sz="8" w:color="auto"/>
            </w:tcBorders>
            <w:gridSpan w:val="2"/>
            <w:vMerge w:val="restart"/>
          </w:tcPr>
          <w:p>
            <w:pPr>
              <w:spacing w:after="0"/>
              <w:rPr>
                <w:sz w:val="10"/>
                <w:szCs w:val="10"/>
                <w:color w:val="auto"/>
              </w:rPr>
            </w:pPr>
          </w:p>
        </w:tc>
        <w:tc>
          <w:tcPr>
            <w:tcW w:w="60" w:type="dxa"/>
            <w:vAlign w:val="bottom"/>
            <w:tcBorders>
              <w:top w:val="single" w:sz="8" w:color="auto"/>
            </w:tcBorders>
            <w:gridSpan w:val="2"/>
            <w:vMerge w:val="restart"/>
          </w:tcPr>
          <w:p>
            <w:pPr>
              <w:spacing w:after="0"/>
              <w:rPr>
                <w:sz w:val="10"/>
                <w:szCs w:val="10"/>
                <w:color w:val="auto"/>
              </w:rPr>
            </w:pPr>
          </w:p>
        </w:tc>
        <w:tc>
          <w:tcPr>
            <w:tcW w:w="44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gridSpan w:val="2"/>
            <w:vMerge w:val="continue"/>
          </w:tcPr>
          <w:p>
            <w:pPr>
              <w:spacing w:after="0"/>
              <w:rPr>
                <w:sz w:val="14"/>
                <w:szCs w:val="14"/>
                <w:color w:val="auto"/>
              </w:rPr>
            </w:pPr>
          </w:p>
        </w:tc>
        <w:tc>
          <w:tcPr>
            <w:tcW w:w="6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Center</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CATV</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1"/>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FTTH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1"/>
              </w:rPr>
              <w:t>(82.4)%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100.0%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(10,302)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15"/>
          </w:tcPr>
          <w:p>
            <w:pPr>
              <w:jc w:val="center"/>
              <w:ind w:right="280"/>
              <w:spacing w:after="0"/>
              <w:rPr>
                <w:sz w:val="20"/>
                <w:szCs w:val="20"/>
                <w:color w:val="auto"/>
              </w:rPr>
            </w:pPr>
            <w:r>
              <w:rPr>
                <w:rFonts w:ascii="Arial" w:cs="Arial" w:eastAsia="Arial" w:hAnsi="Arial"/>
                <w:sz w:val="14"/>
                <w:szCs w:val="14"/>
                <w:b w:val="1"/>
                <w:bCs w:val="1"/>
                <w:color w:val="auto"/>
                <w:w w:val="91"/>
              </w:rPr>
              <w:t>Nine months ended 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5"/>
          </w:tcPr>
          <w:p>
            <w:pPr>
              <w:ind w:left="38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top w:val="single" w:sz="8" w:color="auto"/>
            </w:tcBorders>
            <w:gridSpan w:val="2"/>
            <w:vMerge w:val="restart"/>
          </w:tcPr>
          <w:p>
            <w:pPr>
              <w:spacing w:after="0"/>
              <w:rPr>
                <w:sz w:val="10"/>
                <w:szCs w:val="10"/>
                <w:color w:val="auto"/>
              </w:rPr>
            </w:pPr>
          </w:p>
        </w:tc>
        <w:tc>
          <w:tcPr>
            <w:tcW w:w="40" w:type="dxa"/>
            <w:vAlign w:val="bottom"/>
            <w:tcBorders>
              <w:top w:val="single" w:sz="8" w:color="auto"/>
            </w:tcBorders>
            <w:vMerge w:val="restart"/>
          </w:tcPr>
          <w:p>
            <w:pPr>
              <w:spacing w:after="0"/>
              <w:rPr>
                <w:sz w:val="10"/>
                <w:szCs w:val="10"/>
                <w:color w:val="auto"/>
              </w:rPr>
            </w:pPr>
          </w:p>
        </w:tc>
        <w:tc>
          <w:tcPr>
            <w:tcW w:w="44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gridSpan w:val="2"/>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104,311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158,577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(54,266)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CATV</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5"/>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FTTH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5"/>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142,214</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209,447</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(67,233)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(32.1)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00" w:top="517" w:right="13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372745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decrease in revenue during the three and nine months ended September 30, 2019 was driven primarily by decreased shipments of certain of our 100 Gbps transceivers products to one of our customers during the quarter. We are not always informed by our customers of the exact reasons for changes in their forecasts and the subsequent orders; however, we believe that the recent reduction in orders by this customer is due to excess inventory previously purchased by this customer. We continue to have active engagement with this customer and are evaluating the extent to which excess inventory may impact our future deliveries to this customer. Also contributing to the decline was a decrease in sales of our CATV products, which was driven by reduced demand by CATV MSOs for new networking equipment. Revenues from customers during the three and nine months ended September 30, 2019 that were not customers during the same period in the prior year partially offset the decline in revenue from our 100 Gbps products.</w:t>
      </w:r>
    </w:p>
    <w:p>
      <w:pPr>
        <w:spacing w:after="0" w:line="18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three months ended September 30, 2019 and 2018, our top ten customers represented 88.3% and 92.9% of our revenue, respectively. For the nine months ended September 30, 2019 and 2018, our top ten customers represented 89.0% and 94.0%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11"/>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2"/>
              </w:rPr>
              <w:t>Revenue</w:t>
            </w:r>
          </w:p>
        </w:tc>
        <w:tc>
          <w:tcPr>
            <w:tcW w:w="9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89"/>
              </w:rPr>
              <w:t>Revenue</w:t>
            </w:r>
          </w:p>
        </w:tc>
        <w:tc>
          <w:tcPr>
            <w:tcW w:w="86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60" w:type="dxa"/>
            <w:vAlign w:val="bottom"/>
            <w:gridSpan w:val="10"/>
          </w:tcPr>
          <w:p>
            <w:pPr>
              <w:ind w:left="480"/>
              <w:spacing w:after="0" w:line="142" w:lineRule="exact"/>
              <w:rPr>
                <w:sz w:val="20"/>
                <w:szCs w:val="20"/>
                <w:color w:val="auto"/>
              </w:rPr>
            </w:pPr>
            <w:r>
              <w:rPr>
                <w:rFonts w:ascii="Arial" w:cs="Arial" w:eastAsia="Arial" w:hAnsi="Arial"/>
                <w:sz w:val="14"/>
                <w:szCs w:val="14"/>
                <w:b w:val="1"/>
                <w:bCs w:val="1"/>
                <w:color w:val="auto"/>
                <w:w w:val="91"/>
              </w:rPr>
              <w:t>(in thousands, except percentages)</w:t>
            </w: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  34,108</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74.0 %</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95"/>
              </w:rPr>
              <w:t>$  38,849</w:t>
            </w:r>
          </w:p>
        </w:tc>
        <w:tc>
          <w:tcPr>
            <w:tcW w:w="9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8"/>
              </w:rPr>
              <w:t>68.9 % $</w:t>
            </w:r>
          </w:p>
        </w:tc>
        <w:tc>
          <w:tcPr>
            <w:tcW w:w="86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(4,741)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(12.2)%</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Gross margin</w:t>
            </w:r>
          </w:p>
        </w:tc>
        <w:tc>
          <w:tcPr>
            <w:tcW w:w="2240" w:type="dxa"/>
            <w:vAlign w:val="bottom"/>
            <w:gridSpan w:val="3"/>
          </w:tcPr>
          <w:p>
            <w:pPr>
              <w:jc w:val="right"/>
              <w:ind w:right="88"/>
              <w:spacing w:after="0"/>
              <w:rPr>
                <w:sz w:val="20"/>
                <w:szCs w:val="20"/>
                <w:color w:val="auto"/>
              </w:rPr>
            </w:pPr>
            <w:r>
              <w:rPr>
                <w:rFonts w:ascii="Arial" w:cs="Arial" w:eastAsia="Arial" w:hAnsi="Arial"/>
                <w:sz w:val="18"/>
                <w:szCs w:val="18"/>
                <w:color w:val="auto"/>
              </w:rPr>
              <w:t>11,976</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26.0 %</w:t>
            </w:r>
          </w:p>
        </w:tc>
        <w:tc>
          <w:tcPr>
            <w:tcW w:w="2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8"/>
                <w:szCs w:val="18"/>
                <w:color w:val="auto"/>
              </w:rPr>
              <w:t>17,537</w:t>
            </w:r>
          </w:p>
        </w:tc>
        <w:tc>
          <w:tcPr>
            <w:tcW w:w="800" w:type="dxa"/>
            <w:vAlign w:val="bottom"/>
            <w:gridSpan w:val="3"/>
          </w:tcPr>
          <w:p>
            <w:pPr>
              <w:ind w:left="200"/>
              <w:spacing w:after="0"/>
              <w:rPr>
                <w:sz w:val="20"/>
                <w:szCs w:val="20"/>
                <w:color w:val="auto"/>
              </w:rPr>
            </w:pPr>
            <w:r>
              <w:rPr>
                <w:rFonts w:ascii="Arial" w:cs="Arial" w:eastAsia="Arial" w:hAnsi="Arial"/>
                <w:sz w:val="18"/>
                <w:szCs w:val="18"/>
                <w:color w:val="auto"/>
              </w:rPr>
              <w:t>31.1 %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10"/>
                <w:szCs w:val="10"/>
                <w:color w:val="auto"/>
              </w:rPr>
            </w:pPr>
          </w:p>
        </w:tc>
        <w:tc>
          <w:tcPr>
            <w:tcW w:w="120" w:type="dxa"/>
            <w:vAlign w:val="bottom"/>
            <w:gridSpan w:val="2"/>
          </w:tcPr>
          <w:p>
            <w:pPr>
              <w:spacing w:after="0"/>
              <w:rPr>
                <w:sz w:val="10"/>
                <w:szCs w:val="10"/>
                <w:color w:val="auto"/>
              </w:rPr>
            </w:pPr>
          </w:p>
        </w:tc>
        <w:tc>
          <w:tcPr>
            <w:tcW w:w="86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9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89"/>
              </w:rPr>
              <w:t>Revenue</w:t>
            </w:r>
          </w:p>
        </w:tc>
        <w:tc>
          <w:tcPr>
            <w:tcW w:w="86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60" w:type="dxa"/>
            <w:vAlign w:val="bottom"/>
            <w:gridSpan w:val="10"/>
          </w:tcPr>
          <w:p>
            <w:pPr>
              <w:ind w:left="480"/>
              <w:spacing w:after="0" w:line="142" w:lineRule="exact"/>
              <w:rPr>
                <w:sz w:val="20"/>
                <w:szCs w:val="20"/>
                <w:color w:val="auto"/>
              </w:rPr>
            </w:pPr>
            <w:r>
              <w:rPr>
                <w:rFonts w:ascii="Arial" w:cs="Arial" w:eastAsia="Arial" w:hAnsi="Arial"/>
                <w:sz w:val="14"/>
                <w:szCs w:val="14"/>
                <w:b w:val="1"/>
                <w:bCs w:val="1"/>
                <w:color w:val="auto"/>
                <w:w w:val="91"/>
              </w:rPr>
              <w:t>(in thousands, except percentages)</w:t>
            </w: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$ 107,349</w:t>
            </w:r>
          </w:p>
        </w:tc>
        <w:tc>
          <w:tcPr>
            <w:tcW w:w="1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75.5 % $ 132,211</w:t>
            </w:r>
          </w:p>
        </w:tc>
        <w:tc>
          <w:tcPr>
            <w:tcW w:w="1780" w:type="dxa"/>
            <w:vAlign w:val="bottom"/>
            <w:gridSpan w:val="6"/>
            <w:shd w:val="clear" w:color="auto" w:fill="CCEEFF"/>
          </w:tcPr>
          <w:p>
            <w:pPr>
              <w:jc w:val="right"/>
              <w:ind w:right="124"/>
              <w:spacing w:after="0"/>
              <w:rPr>
                <w:sz w:val="20"/>
                <w:szCs w:val="20"/>
                <w:color w:val="auto"/>
              </w:rPr>
            </w:pPr>
            <w:r>
              <w:rPr>
                <w:rFonts w:ascii="Arial" w:cs="Arial" w:eastAsia="Arial" w:hAnsi="Arial"/>
                <w:sz w:val="18"/>
                <w:szCs w:val="18"/>
                <w:color w:val="auto"/>
              </w:rPr>
              <w:t>63.1 % $ (24,862)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(18.8)%</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Gross margin</w:t>
            </w:r>
          </w:p>
        </w:tc>
        <w:tc>
          <w:tcPr>
            <w:tcW w:w="2240" w:type="dxa"/>
            <w:vAlign w:val="bottom"/>
            <w:gridSpan w:val="3"/>
          </w:tcPr>
          <w:p>
            <w:pPr>
              <w:jc w:val="right"/>
              <w:ind w:right="108"/>
              <w:spacing w:after="0"/>
              <w:rPr>
                <w:sz w:val="20"/>
                <w:szCs w:val="20"/>
                <w:color w:val="auto"/>
              </w:rPr>
            </w:pPr>
            <w:r>
              <w:rPr>
                <w:rFonts w:ascii="Arial" w:cs="Arial" w:eastAsia="Arial" w:hAnsi="Arial"/>
                <w:sz w:val="18"/>
                <w:szCs w:val="18"/>
                <w:color w:val="auto"/>
              </w:rPr>
              <w:t>34,865</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24.5 %</w:t>
            </w:r>
          </w:p>
        </w:tc>
        <w:tc>
          <w:tcPr>
            <w:tcW w:w="2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8"/>
                <w:szCs w:val="18"/>
                <w:color w:val="auto"/>
              </w:rPr>
              <w:t>77,236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36.9 %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Cost of goods sold decreased by $4.7 million, or 12.2%, for the three months ended September 30, 2019 as compared to the three months ended September 30, 2018, primarily due to a 18.3% decrease in sales over the prior year. Cost of goods sold decreased by $24.9 million, or 18.8%, for the nine months ended September 30, 2019 as compared to the nine months ended September 30, 2018, primarily due to a 32.1% decrease in sales over the prior year. Gross margin decreased year over year due to additional production costs for our 100 Gbps datacenter products related to the implementation of enhanced quality control testing procedures. Also contributing to the decline in gross margin was a reduction in the selling price of certain of our products, including our 100 Gbps transceiver products. This price decline was in line with our expectations, however, we were unable to reduce the production costs of these products to the extent earlier projected due to the aforementioned additional testing costs combined with relatively lower production volume of these products, which caused fixed costs to be absorbed by a smaller number of units sold.</w:t>
      </w:r>
    </w:p>
    <w:p>
      <w:pPr>
        <w:spacing w:after="0" w:line="178"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U.S. government has recently made statements and amended its trade policies, resulting in tariffs that affect imported products manufactured in China, including by our Chinese subsidiary or suppliers. In addition, the Chinese government has imposed reciprocal tariffs that affect products manufactured by our U.S. operations. The additional tariffs have increased our cost of goods sold, however we believe that the negative impact of these tariffs has not been material to our financial results. Although we cannot predict the impact of any future tariffs, we intend to continue to adjust our manufacturing processes, supplier lists, and manufacturing locations in order to minimize the impact of any tariffs on both AOI and our customers.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140" w:type="dxa"/>
            <w:vAlign w:val="bottom"/>
            <w:gridSpan w:val="9"/>
          </w:tcPr>
          <w:p>
            <w:pPr>
              <w:jc w:val="right"/>
              <w:ind w:right="510"/>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Pr>
          <w:p>
            <w:pPr>
              <w:spacing w:after="0"/>
              <w:rPr>
                <w:sz w:val="14"/>
                <w:szCs w:val="14"/>
                <w:color w:val="auto"/>
              </w:rPr>
            </w:pPr>
          </w:p>
        </w:tc>
        <w:tc>
          <w:tcPr>
            <w:tcW w:w="150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center"/>
              <w:ind w:left="476"/>
              <w:spacing w:after="0" w:line="142" w:lineRule="exact"/>
              <w:rPr>
                <w:sz w:val="20"/>
                <w:szCs w:val="20"/>
                <w:color w:val="auto"/>
              </w:rPr>
            </w:pPr>
            <w:r>
              <w:rPr>
                <w:rFonts w:ascii="Arial" w:cs="Arial" w:eastAsia="Arial" w:hAnsi="Arial"/>
                <w:sz w:val="14"/>
                <w:szCs w:val="14"/>
                <w:b w:val="1"/>
                <w:bCs w:val="1"/>
                <w:color w:val="auto"/>
                <w:w w:val="89"/>
              </w:rPr>
              <w:t>2018</w:t>
            </w: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gridSpan w:val="10"/>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(in thousands, except percentages)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$ 10,466</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22.7 % $ 14,180</w:t>
            </w:r>
          </w:p>
        </w:tc>
        <w:tc>
          <w:tcPr>
            <w:tcW w:w="14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25.1 % $ (3,714)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2,518</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2,370</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$ 22,972</w:t>
            </w: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40" w:type="dxa"/>
            <w:vAlign w:val="bottom"/>
            <w:gridSpan w:val="2"/>
          </w:tcPr>
          <w:p>
            <w:pPr>
              <w:jc w:val="right"/>
              <w:ind w:right="16"/>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$ 27,141</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(4,169)</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140" w:type="dxa"/>
            <w:vAlign w:val="bottom"/>
            <w:gridSpan w:val="9"/>
          </w:tcPr>
          <w:p>
            <w:pPr>
              <w:jc w:val="right"/>
              <w:ind w:right="550"/>
              <w:spacing w:after="0"/>
              <w:rPr>
                <w:sz w:val="20"/>
                <w:szCs w:val="20"/>
                <w:color w:val="auto"/>
              </w:rPr>
            </w:pPr>
            <w:r>
              <w:rPr>
                <w:rFonts w:ascii="Arial" w:cs="Arial" w:eastAsia="Arial" w:hAnsi="Arial"/>
                <w:sz w:val="14"/>
                <w:szCs w:val="14"/>
                <w:b w:val="1"/>
                <w:bCs w:val="1"/>
                <w:color w:val="auto"/>
              </w:rPr>
              <w:t>Nine months ended September 30,</w:t>
            </w:r>
          </w:p>
        </w:tc>
        <w:tc>
          <w:tcPr>
            <w:tcW w:w="60" w:type="dxa"/>
            <w:vAlign w:val="bottom"/>
          </w:tcPr>
          <w:p>
            <w:pPr>
              <w:spacing w:after="0"/>
              <w:rPr>
                <w:sz w:val="24"/>
                <w:szCs w:val="24"/>
                <w:color w:val="auto"/>
              </w:rPr>
            </w:pPr>
          </w:p>
        </w:tc>
        <w:tc>
          <w:tcPr>
            <w:tcW w:w="150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center"/>
              <w:ind w:left="456"/>
              <w:spacing w:after="0" w:line="142" w:lineRule="exact"/>
              <w:rPr>
                <w:sz w:val="20"/>
                <w:szCs w:val="20"/>
                <w:color w:val="auto"/>
              </w:rPr>
            </w:pPr>
            <w:r>
              <w:rPr>
                <w:rFonts w:ascii="Arial" w:cs="Arial" w:eastAsia="Arial" w:hAnsi="Arial"/>
                <w:sz w:val="14"/>
                <w:szCs w:val="14"/>
                <w:b w:val="1"/>
                <w:bCs w:val="1"/>
                <w:color w:val="auto"/>
                <w:w w:val="96"/>
              </w:rPr>
              <w:t>2018</w:t>
            </w: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gridSpan w:val="10"/>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(in thousands, except percentages)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$ 32,802</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23.1 % $ 38,561</w:t>
            </w:r>
          </w:p>
        </w:tc>
        <w:tc>
          <w:tcPr>
            <w:tcW w:w="1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18.4 % $ (5,759)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7,444</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7,221</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31,312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$ 71,558</w:t>
            </w: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$ 75,727</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(4,169)</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Research and development expense decreased by $3.7 million, or 26.2%, for the three months ended September 30, 2019 as compared to the three months ended September 30, 2018. Research and development expense decreased by $5.8 million, or 14.9%, for the nine months ended September 30, 2019 as compared to the nine months ended September 30,</w:t>
      </w:r>
    </w:p>
    <w:p>
      <w:pPr>
        <w:ind w:right="40"/>
        <w:spacing w:after="0" w:line="290" w:lineRule="auto"/>
        <w:rPr>
          <w:sz w:val="20"/>
          <w:szCs w:val="20"/>
          <w:color w:val="auto"/>
        </w:rPr>
      </w:pPr>
      <w:r>
        <w:rPr>
          <w:rFonts w:ascii="Arial" w:cs="Arial" w:eastAsia="Arial" w:hAnsi="Arial"/>
          <w:sz w:val="16"/>
          <w:szCs w:val="16"/>
          <w:color w:val="auto"/>
        </w:rPr>
        <w:t>2018. Research and development costs consist of R&amp;D work orders, R&amp;D material usage and other project related costs related to 100 Gbps, 200/400 Gbps data center products, DOCSIS 3.1 capable CATV products, including remote-PHY products, and other new product development, and depreciation expense resulting from R&amp;D equipment investments. Research and development costs decreased for the three and nine months ended September 30, 2019 as compared to the three and nine months ended September 30, 2018 due mainly to decreases in costs from R&amp;D work orders, depreciation expense related to R&amp;D equipment, materials and supplies used in R&amp;D activities and personnel related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Sales and marketing expense increased slightly for the three months ended September 30, 2019 as compared to the three months ended September 30, 2018. Sales and marketing expense increased slightly for the nine months ended September 30, 2019 as compared to the nine months ended September 30, 2018. The changes were not material and are similar to expected rates of fluctuation in these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General and administrative expense decreased by $0.6 million, or 5.7%, for the three months ended September 30, 2019 compared to the three months ended September 30, 2018. This decrease was primarily due to a decrease in personnel related costs offset by an increase in depreciation expenses. In addition, legal expenses related to the first of our shareholder class action lawsuits have exceeded the retention in our insurance contract.</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General and administrative expense increased by $1.4 million, or 4.6%, for the nine months ended September 30, 2019 compared to the nine months ended September 30, 2018. This increase was primarily due to increases in share-based compensation expenses, professional service fees, including legal expenses, and depreciation expenses. These increases were partially offset by a decrease in personnel related costs.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0" w:name="page31"/>
    <w:bookmarkEnd w:id="3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16"/>
          </w:tcPr>
          <w:p>
            <w:pPr>
              <w:jc w:val="center"/>
              <w:ind w:right="250"/>
              <w:spacing w:after="0"/>
              <w:rPr>
                <w:sz w:val="20"/>
                <w:szCs w:val="20"/>
                <w:color w:val="auto"/>
              </w:rPr>
            </w:pPr>
            <w:r>
              <w:rPr>
                <w:rFonts w:ascii="Arial" w:cs="Arial" w:eastAsia="Arial" w:hAnsi="Arial"/>
                <w:sz w:val="14"/>
                <w:szCs w:val="14"/>
                <w:b w:val="1"/>
                <w:bCs w:val="1"/>
                <w:color w:val="auto"/>
                <w:w w:val="91"/>
              </w:rPr>
              <w:t>Three months ended September 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vMerge w:val="restart"/>
          </w:tcPr>
          <w:p>
            <w:pPr>
              <w:jc w:val="right"/>
              <w:ind w:right="5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center"/>
              <w:ind w:left="274"/>
              <w:spacing w:after="0" w:line="142" w:lineRule="exact"/>
              <w:rPr>
                <w:sz w:val="20"/>
                <w:szCs w:val="20"/>
                <w:color w:val="auto"/>
              </w:rPr>
            </w:pPr>
            <w:r>
              <w:rPr>
                <w:rFonts w:ascii="Arial" w:cs="Arial" w:eastAsia="Arial" w:hAnsi="Arial"/>
                <w:sz w:val="14"/>
                <w:szCs w:val="14"/>
                <w:b w:val="1"/>
                <w:bCs w:val="1"/>
                <w:color w:val="auto"/>
                <w:w w:val="96"/>
              </w:rPr>
              <w:t>2018</w:t>
            </w: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4"/>
                <w:szCs w:val="14"/>
                <w:b w:val="1"/>
                <w:bCs w:val="1"/>
                <w:color w:val="auto"/>
                <w:w w:val="93"/>
              </w:rPr>
              <w:t>revenue</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5"/>
            <w:vMerge w:val="continue"/>
          </w:tcPr>
          <w:p>
            <w:pPr>
              <w:spacing w:after="0"/>
              <w:rPr>
                <w:sz w:val="14"/>
                <w:szCs w:val="14"/>
                <w:color w:val="auto"/>
              </w:rPr>
            </w:pPr>
          </w:p>
        </w:tc>
        <w:tc>
          <w:tcPr>
            <w:tcW w:w="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gridSpan w:val="20"/>
          </w:tcPr>
          <w:p>
            <w:pPr>
              <w:ind w:left="36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0.8 %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0.2 %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303.5 %</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(1,517)</w:t>
            </w:r>
          </w:p>
        </w:tc>
        <w:tc>
          <w:tcPr>
            <w:tcW w:w="1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(1,243)</w:t>
            </w: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453.6 %</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88.8 %</w:t>
            </w:r>
          </w:p>
        </w:tc>
        <w:tc>
          <w:tcPr>
            <w:tcW w:w="0" w:type="dxa"/>
            <w:vAlign w:val="bottom"/>
          </w:tcPr>
          <w:p>
            <w:pPr>
              <w:spacing w:after="0"/>
              <w:rPr>
                <w:sz w:val="1"/>
                <w:szCs w:val="1"/>
                <w:color w:val="auto"/>
              </w:rPr>
            </w:pPr>
          </w:p>
        </w:tc>
      </w:tr>
      <w:tr>
        <w:trPr>
          <w:trHeight w:val="210"/>
        </w:trPr>
        <w:tc>
          <w:tcPr>
            <w:tcW w:w="3500" w:type="dxa"/>
            <w:vAlign w:val="bottom"/>
          </w:tcPr>
          <w:p>
            <w:pPr>
              <w:ind w:left="220"/>
              <w:spacing w:after="0"/>
              <w:rPr>
                <w:sz w:val="20"/>
                <w:szCs w:val="20"/>
                <w:color w:val="auto"/>
              </w:rPr>
            </w:pPr>
            <w:r>
              <w:rPr>
                <w:rFonts w:ascii="Arial" w:cs="Arial" w:eastAsia="Arial" w:hAnsi="Arial"/>
                <w:sz w:val="18"/>
                <w:szCs w:val="18"/>
                <w:color w:val="auto"/>
              </w:rPr>
              <w:t>Total other income, net</w:t>
            </w:r>
          </w:p>
        </w:tc>
        <w:tc>
          <w:tcPr>
            <w:tcW w:w="8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16"/>
          </w:tcPr>
          <w:p>
            <w:pPr>
              <w:jc w:val="center"/>
              <w:ind w:right="250"/>
              <w:spacing w:after="0"/>
              <w:rPr>
                <w:sz w:val="20"/>
                <w:szCs w:val="20"/>
                <w:color w:val="auto"/>
              </w:rPr>
            </w:pPr>
            <w:r>
              <w:rPr>
                <w:rFonts w:ascii="Arial" w:cs="Arial" w:eastAsia="Arial" w:hAnsi="Arial"/>
                <w:sz w:val="14"/>
                <w:szCs w:val="14"/>
                <w:b w:val="1"/>
                <w:bCs w:val="1"/>
                <w:color w:val="auto"/>
                <w:w w:val="91"/>
              </w:rPr>
              <w:t>Nine months ended September 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6"/>
            <w:vMerge w:val="restart"/>
          </w:tcPr>
          <w:p>
            <w:pPr>
              <w:jc w:val="right"/>
              <w:ind w:right="5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center"/>
              <w:ind w:left="254"/>
              <w:spacing w:after="0" w:line="142" w:lineRule="exact"/>
              <w:rPr>
                <w:sz w:val="20"/>
                <w:szCs w:val="20"/>
                <w:color w:val="auto"/>
              </w:rPr>
            </w:pPr>
            <w:r>
              <w:rPr>
                <w:rFonts w:ascii="Arial" w:cs="Arial" w:eastAsia="Arial" w:hAnsi="Arial"/>
                <w:sz w:val="14"/>
                <w:szCs w:val="14"/>
                <w:b w:val="1"/>
                <w:bCs w:val="1"/>
                <w:color w:val="auto"/>
                <w:w w:val="89"/>
              </w:rPr>
              <w:t>2018</w:t>
            </w: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8"/>
          </w:tcPr>
          <w:p>
            <w:pPr>
              <w:jc w:val="center"/>
              <w:ind w:right="90"/>
              <w:spacing w:after="0"/>
              <w:rPr>
                <w:sz w:val="20"/>
                <w:szCs w:val="20"/>
                <w:color w:val="auto"/>
              </w:rPr>
            </w:pPr>
            <w:r>
              <w:rPr>
                <w:rFonts w:ascii="Arial" w:cs="Arial" w:eastAsia="Arial" w:hAnsi="Arial"/>
                <w:sz w:val="14"/>
                <w:szCs w:val="14"/>
                <w:b w:val="1"/>
                <w:bCs w:val="1"/>
                <w:color w:val="auto"/>
              </w:rPr>
              <w:t>Amount   revenue</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5"/>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gridSpan w:val="20"/>
          </w:tcPr>
          <w:p>
            <w:pPr>
              <w:ind w:left="38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CEEFF"/>
          </w:tcPr>
          <w:p>
            <w:pPr>
              <w:spacing w:after="0"/>
              <w:rPr>
                <w:sz w:val="18"/>
                <w:szCs w:val="18"/>
                <w:color w:val="auto"/>
              </w:rPr>
            </w:pPr>
          </w:p>
        </w:tc>
        <w:tc>
          <w:tcPr>
            <w:tcW w:w="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0.5 %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0.1 %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226.9 %</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(4,003)</w:t>
            </w:r>
          </w:p>
        </w:tc>
        <w:tc>
          <w:tcPr>
            <w:tcW w:w="1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(3,379)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541.5 %</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10"/>
        </w:trPr>
        <w:tc>
          <w:tcPr>
            <w:tcW w:w="350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90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6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(266.7)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right="460" w:firstLine="648"/>
        <w:spacing w:after="0" w:line="381" w:lineRule="auto"/>
        <w:rPr>
          <w:sz w:val="20"/>
          <w:szCs w:val="20"/>
          <w:color w:val="auto"/>
        </w:rPr>
      </w:pPr>
      <w:r>
        <w:rPr>
          <w:rFonts w:ascii="Arial" w:cs="Arial" w:eastAsia="Arial" w:hAnsi="Arial"/>
          <w:sz w:val="15"/>
          <w:szCs w:val="15"/>
          <w:color w:val="auto"/>
        </w:rPr>
        <w:t>Interest income increased 303.5% and 226.9% for the three and nine months ended September 30, 2019 as compared to the three and nine months ended September 30, 2018, due to higher interest rates and larger cash balances.</w:t>
      </w:r>
    </w:p>
    <w:p>
      <w:pPr>
        <w:spacing w:after="0" w:line="101" w:lineRule="exact"/>
        <w:rPr>
          <w:sz w:val="20"/>
          <w:szCs w:val="20"/>
          <w:color w:val="auto"/>
        </w:rPr>
      </w:pPr>
    </w:p>
    <w:p>
      <w:pPr>
        <w:ind w:left="20" w:right="140" w:firstLine="648"/>
        <w:spacing w:after="0" w:line="264" w:lineRule="auto"/>
        <w:rPr>
          <w:sz w:val="20"/>
          <w:szCs w:val="20"/>
          <w:color w:val="auto"/>
        </w:rPr>
      </w:pPr>
      <w:r>
        <w:rPr>
          <w:rFonts w:ascii="Arial" w:cs="Arial" w:eastAsia="Arial" w:hAnsi="Arial"/>
          <w:sz w:val="18"/>
          <w:szCs w:val="18"/>
          <w:color w:val="auto"/>
        </w:rPr>
        <w:t>Interest expense increased 453.6% and 541.5% for the three and nine months ended September 30, 2019 as compared to the three and nine months ended September 30, 2018. This increase was due to higher debt balances, including convertible senior notes and higher interest rates in the current period.</w:t>
      </w:r>
    </w:p>
    <w:p>
      <w:pPr>
        <w:spacing w:after="0" w:line="181" w:lineRule="exact"/>
        <w:rPr>
          <w:sz w:val="20"/>
          <w:szCs w:val="20"/>
          <w:color w:val="auto"/>
        </w:rPr>
      </w:pPr>
    </w:p>
    <w:p>
      <w:pPr>
        <w:ind w:left="20" w:right="60" w:firstLine="648"/>
        <w:spacing w:after="0" w:line="291" w:lineRule="auto"/>
        <w:rPr>
          <w:sz w:val="20"/>
          <w:szCs w:val="20"/>
          <w:color w:val="auto"/>
        </w:rPr>
      </w:pPr>
      <w:r>
        <w:rPr>
          <w:rFonts w:ascii="Arial" w:cs="Arial" w:eastAsia="Arial" w:hAnsi="Arial"/>
          <w:sz w:val="16"/>
          <w:szCs w:val="16"/>
          <w:color w:val="auto"/>
        </w:rPr>
        <w:t>Other income, net for the three months ended September 30, 2019 was income of $1.4 million, a $0.7 million increase compared to the three months ended September 30, 2018. Other income, net for the nine months ended September 30, 2019 was income of $1.7 million, a $0.4 million increase compared to the nine months ended September 30, 2018. These increases were primarily due to the receipt of government subsidies of $1.1 million in the three months ended September 30, 2019 associated with our investments in new product development and for qualifying as a high-tech enterprise in China. While Government subsidies increased by $0.9 million during the three months ended September 30, 2019 as compared to the same period in 2018, the increase was partially offset by the decrease in foreign currency transaction gains.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Benefit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September 30,</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1380" w:type="dxa"/>
            <w:vAlign w:val="bottom"/>
            <w:tcBorders>
              <w:top w:val="single" w:sz="8" w:color="auto"/>
              <w:bottom w:val="single" w:sz="8" w:color="auto"/>
            </w:tcBorders>
            <w:gridSpan w:val="2"/>
          </w:tcPr>
          <w:p>
            <w:pPr>
              <w:ind w:left="50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20" w:type="dxa"/>
            <w:vAlign w:val="bottom"/>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12"/>
                <w:szCs w:val="12"/>
                <w:color w:val="auto"/>
              </w:rPr>
            </w:pPr>
          </w:p>
        </w:tc>
      </w:tr>
      <w:tr>
        <w:trPr>
          <w:trHeight w:val="216"/>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89"/>
              </w:rPr>
              <w:t>$ 1,940</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$ 5,294</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(3,354)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r>
      <w:tr>
        <w:trPr>
          <w:trHeight w:val="378"/>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1380" w:type="dxa"/>
            <w:vAlign w:val="bottom"/>
            <w:tcBorders>
              <w:top w:val="single" w:sz="8" w:color="auto"/>
              <w:bottom w:val="single" w:sz="8" w:color="auto"/>
            </w:tcBorders>
            <w:gridSpan w:val="2"/>
          </w:tcPr>
          <w:p>
            <w:pPr>
              <w:ind w:left="50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2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3"/>
              </w:rPr>
              <w:t>$ 7,605</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$ 3,994</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3,611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r>
    </w:tbl>
    <w:p>
      <w:pPr>
        <w:spacing w:after="0" w:line="202" w:lineRule="exact"/>
        <w:rPr>
          <w:sz w:val="20"/>
          <w:szCs w:val="20"/>
          <w:color w:val="auto"/>
        </w:rPr>
      </w:pPr>
    </w:p>
    <w:p>
      <w:pPr>
        <w:ind w:left="20" w:right="180" w:firstLine="648"/>
        <w:spacing w:after="0" w:line="276" w:lineRule="auto"/>
        <w:rPr>
          <w:sz w:val="20"/>
          <w:szCs w:val="20"/>
          <w:color w:val="auto"/>
        </w:rPr>
      </w:pPr>
      <w:r>
        <w:rPr>
          <w:rFonts w:ascii="Arial" w:cs="Arial" w:eastAsia="Arial" w:hAnsi="Arial"/>
          <w:sz w:val="17"/>
          <w:szCs w:val="17"/>
          <w:color w:val="auto"/>
        </w:rPr>
        <w:t>Our tax provision or benefit from income taxes for interim periods is determined using an estimate of our annual effective tax rate, adjusted for discrete items, if any, that are taken into account in the relevant period. Our quarterly tax provision, and our quarterly estimate of our annual effective tax rate, are subject to significant variation due to several factors, including variability in accurately predicting our pre-tax income and loss and the mix of jurisdictions to which they relate, tax law developments and relative changes in permanent tax benefits or expenses.</w:t>
      </w:r>
    </w:p>
    <w:p>
      <w:pPr>
        <w:spacing w:after="0" w:line="173" w:lineRule="exact"/>
        <w:rPr>
          <w:sz w:val="20"/>
          <w:szCs w:val="20"/>
          <w:color w:val="auto"/>
        </w:rPr>
      </w:pPr>
    </w:p>
    <w:p>
      <w:pPr>
        <w:jc w:val="both"/>
        <w:ind w:left="20" w:right="60" w:firstLine="648"/>
        <w:spacing w:after="0" w:line="286" w:lineRule="auto"/>
        <w:rPr>
          <w:sz w:val="20"/>
          <w:szCs w:val="20"/>
          <w:color w:val="auto"/>
        </w:rPr>
      </w:pPr>
      <w:r>
        <w:rPr>
          <w:rFonts w:ascii="Arial" w:cs="Arial" w:eastAsia="Arial" w:hAnsi="Arial"/>
          <w:sz w:val="17"/>
          <w:szCs w:val="17"/>
          <w:color w:val="auto"/>
        </w:rPr>
        <w:t>Our effective tax rate for the three months ended September 30, 2019 and 2018 was 17.6% and 58.7%, respectively. For the three months ended September 30, 2019, the effective tax rate varied from the federal statutory rate of 21% primarily due to the level and mix of earnings among tax jurisdictions, share-based compensation, and tax</w:t>
      </w:r>
    </w:p>
    <w:p>
      <w:pPr>
        <w:sectPr>
          <w:pgSz w:w="11900" w:h="16838" w:orient="portrait"/>
          <w:cols w:equalWidth="0" w:num="1">
            <w:col w:w="9080"/>
          </w:cols>
          <w:pgMar w:left="1400" w:top="517" w:right="141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372745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00" w:top="517"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benefits related to research and development. For the three months ended September 30, 2018, the effective tax rate varied from the federal statutory rate of 21% primarily due to the level and mix of earnings among tax jurisdictions, share-based compensation, tax benefits related to research and development and recognition of the U.S. global intangible low-taxed income ("GILTI").</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effective tax rate for the nine months ended September 30, 2019 and 2018 was 19.9% and (164.5%) respectively. For the nine months ended September 30, 2019, the effective tax rate varied from the federal statutory rate of 21% primarily due to the level and mix of earnings among tax jurisdictions, share-based compensation, and tax benefits related to research and development. For the nine months ended September 30, 2018, the effective tax rate varied from the federal statutory rate of 21% primarily due to the level and mix of earnings among tax jurisdictions, share-based compensation, tax benefits related to research and development, recognition of the U.S. GILTI and an overall net tax benefit from certain tax reform measurement-period adjustments.</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As of September 30, 2019, we had accumulated undistributed earnings generated by our foreign subsidiaries of approximately $26 million. Because $26 million of such earnings have previously been subject to the one-time transition tax on foreign earnings required by the Tax Cut of Jobs Act of 2017 (the “Tax Act”), any additional taxes due with respect to such earnings or the excess of the amount for financial reporting over the tax basis of our foreign investments would generally be limited to foreign and state taxes. We intend, however, to indefinitely reinvest these earnings and expect future U.S. cash generation to be sufficient to meet future U.S. cash needs.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of September 30, 2019, we had $57.3 million of unused borrowing capacity from all of our loan agreements. As of September 30, 2019, our cash, cash equivalents and restricted cash totaled $72.4 million. Cash and cash equivalents are held for working capital purposes and are invested primarily in money market or time deposit funds. We do not enter into investments for trading or speculative purposes. On October 17, 2016, we filed a Registration Statement on Form S-3 with the Securities and Exchange Commission, which was declared effective on November 1, 2016, providing for the public offer and sale of certain securities of the Company from time to time, at our discretion, up to an aggregate amount of $250 million. Between November 22, 2016 and March 2, 2017, the Company sold 1.6 million shares of common stock at a weighted average price of $31.55 per share, providing proceeds of $48.8 million, net of expenses and underwriting discounts and commissions. No shares of common stock were sold pursuant to this Registration Statement on Form S-3 in the three months ended September 30, 2019. On October 24, 2019, we filed a new universal shelf Registration Statement on Form S-3 with the SEC. Once the new S-3 filed on October 24, 2019 is declared effective by the SEC, it will replace our Form S-3 Registration Statement which was filed with the SEC on October 17, 2016 and declared effective on November 1, 2016. Pursuant to our new S-3 registration statement, we will have the ability to sell certain securities of the Company in one or more public offerings up to an aggregate public offering price of $250 million. Our S-3 shelf registration statement provides us additional flexibility with regard to potential financings that we may undertake when market conditions permit or our financial condition may require.</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March 5, 2019, the Company issued $80.5 million of 5% convertible senior notes due 2024,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22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50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(71,025)</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17,936</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40" w:type="dxa"/>
            <w:vAlign w:val="bottom"/>
            <w:tcBorders>
              <w:bottom w:val="single" w:sz="8" w:color="CCEEFF"/>
            </w:tcBorders>
          </w:tcPr>
          <w:p>
            <w:pPr>
              <w:spacing w:after="0"/>
              <w:rPr>
                <w:sz w:val="18"/>
                <w:szCs w:val="18"/>
                <w:color w:val="auto"/>
              </w:rPr>
            </w:pPr>
          </w:p>
        </w:tc>
      </w:tr>
      <w:tr>
        <w:trPr>
          <w:trHeight w:val="210"/>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(25,873)</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For the nine months ended September 30, 2019, net cash provided by operating activities was $1.4 million. Net cash provided by operating activities consisted of our net loss of $30.6 million, adjustments for non-cash items of $26.3 million, a decrease in inventory of $3.2 million, a decrease in other current assets of $5.6 million and a decrease in accounts receivable from our customers of $0.8 million. These increases were offset by a decrease in accrued liabilities of $2.4 million and an increase in accounts payable to our vendors of $1.8 million.</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the nine months ended September 30, 2018, net cash provided by operating activities was $25.6 million. Net cash provided by operating activities consisted of our net income of $6.2 million, adjustments for non-cash items of $29.4 million as well as an increase in accounts payable to our vendors of $10.1 million and a decrease in accounts receivable from our customers of $27.8 million. These increases were offset by an increase in inventories of $41.3 million and a decrease in accrued income tax liabilities of $7.4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nine months ended September 30, 2019, net cash used in investing activities was $27.0 million, mainly from the China factory construction and the purchase of additional machinery and equipment.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nine months ended September 30, 2018, net cash used in investing activities was $71.0 million, consisting of the purchase of additional machinery and equipment and land use rights of $57.9 million, an increase in non-current assets of $7.5 million and net purchases of short-term investments of $6.0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For the nine months ended September 30, 2019, our financing activities provided $39.6 million in cash. This increase in cash was due to $76.4 million of proceeds from the issuance of convertible senior notes offset by net loan repayments of $36.1 million.</w:t>
      </w:r>
    </w:p>
    <w:p>
      <w:pPr>
        <w:spacing w:after="0" w:line="18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For the nine months ended September 30, 2018, our financing activities provided $17.9 million in cash. This increase in cash was due to net borrowings of $21.6 million offset by $3.8 million of withholding taxes paid on behalf of employees related to their share-based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lending arrangements with several financial institutions. In the US, we have a revolving line of credit with Branch Banking and Trust (BB&amp;T) Bank. This line of credit contains financial covenants that may limit the amount and types of debt that we may incur. As of September 30, 2019, we were in compliance with these covenants.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Taiwan, we have revolving credit facilities with Taishin International Bank, credit facilities with CTBC Bank Co, Ltd. and Far Eastern International Bank Co., Ltd. and an equipment finance agreement with Chailease Finance Co., Ltd. for Prime World’s Taiwan Branch. In China, we have revolving lines of credit with China Merchants Bank Co., Ltd. and Shanghai Pudong Development Bank Co., Ltd. and a credit facility China Zheshang Bank Co., Ltd. for our China Subsidiary, Global.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we had $57.3 million of unused borrowing capacity.</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On March 5, 2019, the Company issued $80.5 million of 5% convertible senior notes due 2024. The Notes will mature on March 15, 2024, unless earlier repurchased, redeemed or converted in accordance with their terms.</w:t>
      </w:r>
    </w:p>
    <w:p>
      <w:pPr>
        <w:spacing w:after="0" w:line="147"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factory construction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September 30, 2019, approximately $22.6 million of this total cost has been incurred, with the remaining portion due as the construction progresses. Construction under this contract is expected to be completed in early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construction of a new factory and other facilities at our Ningbo, China location,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September 30,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 1</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1-3 Years</w:t>
            </w:r>
          </w:p>
        </w:tc>
        <w:tc>
          <w:tcPr>
            <w:tcW w:w="140" w:type="dxa"/>
            <w:vAlign w:val="bottom"/>
          </w:tcPr>
          <w:p>
            <w:pPr>
              <w:spacing w:after="0"/>
              <w:rPr>
                <w:sz w:val="10"/>
                <w:szCs w:val="10"/>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6"/>
                <w:szCs w:val="16"/>
                <w:color w:val="auto"/>
              </w:rPr>
              <w:t>Notes payable and long-term debt</w:t>
            </w:r>
            <w:r>
              <w:rPr>
                <w:rFonts w:ascii="Arial" w:cs="Arial" w:eastAsia="Arial" w:hAnsi="Arial"/>
                <w:sz w:val="24"/>
                <w:szCs w:val="24"/>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20,151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$ 25,446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line="216" w:lineRule="exact"/>
              <w:rPr>
                <w:sz w:val="20"/>
                <w:szCs w:val="20"/>
                <w:color w:val="auto"/>
              </w:rPr>
            </w:pPr>
            <w:r>
              <w:rPr>
                <w:rFonts w:ascii="Arial" w:cs="Arial" w:eastAsia="Arial" w:hAnsi="Arial"/>
                <w:sz w:val="17"/>
                <w:szCs w:val="17"/>
                <w:color w:val="auto"/>
              </w:rPr>
              <w:t>Convertible senior notes</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94,645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82,570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Operating leases</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Total commitments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158,040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25,407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$ 35,709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91,755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20" w:hanging="327"/>
        <w:spacing w:after="0" w:line="271"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ind w:left="680" w:right="180" w:hanging="327"/>
        <w:spacing w:after="0" w:line="250"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issued convertible senior notes due 2024. The amount present in the table represents the principal portion and estimated interest expense for the obligations.</w:t>
      </w:r>
    </w:p>
    <w:p>
      <w:pPr>
        <w:ind w:left="680" w:hanging="327"/>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entered into various non-cancellable operating lease agreements for our offices in Taiwan and the U.S.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net sales and revenues or on income from continuing operations or on the prices of raw materials. To the extent we expand our operations in China and Taiwan, such actions may result in inflation having a more significant impact on our operating results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three and nine months ended September 30, 2019, we did not, and we do not currently, have any off-balance sheet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our annual report on Form 10-K for the year ended December 31, 2018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doubtful accounts,</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For quantitative and qualitative disclosures about market risk affecting the Company, see Item 7A – Quantitative and Qualitative Disclosures about Market Risk in our Annual Report on Form 10-K for the fiscal year ended December 31, 2018. We do not believe the Company’s exposure to market risk has changed materially since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2019. Based upon that evaluation, our Chief Executive Officer and Chief Financial Officer concluded that, as of the end of the period covered by this report,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We record a loss provision when we believe it is both probable that a liability has been incurred and the amount can be reasonably estimated. Unless otherwise disclosed, we are unable to estimate the possible loss or range of loss for the legal proceeding described below.</w:t>
      </w:r>
    </w:p>
    <w:p>
      <w:pPr>
        <w:spacing w:after="0" w:line="21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Except for the lawsuits described below, we believe that there are no claims or actions pending or threatened against us, the ultimate disposition of which would have a material adverse effect on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6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us and two of our officers in </w:t>
      </w:r>
      <w:r>
        <w:rPr>
          <w:rFonts w:ascii="Arial" w:cs="Arial" w:eastAsia="Arial" w:hAnsi="Arial"/>
          <w:sz w:val="16"/>
          <w:szCs w:val="16"/>
          <w:i w:val="1"/>
          <w:iCs w:val="1"/>
          <w:color w:val="auto"/>
        </w:rPr>
        <w:t>Mona Abouzied v. Applied Optoelectronics, Inc., Chih-Hsiang (Thompson) Lin, and Stefan J. Murry,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Case No. 4:17-cv-02399. The complaint in this matter seeks class action status on behalf of our shareholders, alleging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violations of Sections 10(b) and 20(a) of the Exchange Act against us,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The Company filed a motion to dismiss on April 4, 2018, which was denied on March 28, 2019. We dispute the allegations, and we intend to continue to vigorously defend against these claims.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we filed a response in opposition to the motion for class certification, and on August 26, 2019, Plaintiffs filed their reply brief. The Court has not yet ruled on the pending motion for class certification. The case is currently in the discovery phase, and fact discovery is scheduled to be completed by June 1, 2020. At this stage, we are not yet able to determine the likelihood of loss, if any, arising from this matter. On August 7, 2018, Plaintiff Lei Jin filed a purported derivative action on behalf of nominal defendant Applied Optoelectronics, Inc. in the U.S. District Court for the Southern District of Texas against our chief executive officer, chief financial officer and board of directors (Case No. 4:18-cv-02713). This case was consolidated with a later filed derivative lawsuit filed by Plaintiff Yiu Kwong Ng in the U.S. District Court for the Southern District of Texas (Case No. 4:18-cv-4751). The allegations in the consolidated derivative complaints are substantially similar to those underlying the </w:t>
      </w:r>
      <w:r>
        <w:rPr>
          <w:rFonts w:ascii="Arial" w:cs="Arial" w:eastAsia="Arial" w:hAnsi="Arial"/>
          <w:sz w:val="16"/>
          <w:szCs w:val="16"/>
          <w:i w:val="1"/>
          <w:iCs w:val="1"/>
          <w:color w:val="auto"/>
        </w:rPr>
        <w:t>Abouzied</w:t>
      </w:r>
      <w:r>
        <w:rPr>
          <w:rFonts w:ascii="Arial" w:cs="Arial" w:eastAsia="Arial" w:hAnsi="Arial"/>
          <w:sz w:val="16"/>
          <w:szCs w:val="16"/>
          <w:color w:val="auto"/>
        </w:rPr>
        <w:t xml:space="preserve"> securities class action and the </w:t>
      </w:r>
      <w:r>
        <w:rPr>
          <w:rFonts w:ascii="Arial" w:cs="Arial" w:eastAsia="Arial" w:hAnsi="Arial"/>
          <w:sz w:val="16"/>
          <w:szCs w:val="16"/>
          <w:i w:val="1"/>
          <w:iCs w:val="1"/>
          <w:color w:val="auto"/>
        </w:rPr>
        <w:t>Taneja</w:t>
      </w:r>
      <w:r>
        <w:rPr>
          <w:rFonts w:ascii="Arial" w:cs="Arial" w:eastAsia="Arial" w:hAnsi="Arial"/>
          <w:sz w:val="16"/>
          <w:szCs w:val="16"/>
          <w:color w:val="auto"/>
        </w:rPr>
        <w:t xml:space="preserve"> securities class action discussed below. The consolidated derivative action is stayed pending a ruling on defendants’ forthcoming motion to dismiss in the </w:t>
      </w:r>
      <w:r>
        <w:rPr>
          <w:rFonts w:ascii="Arial" w:cs="Arial" w:eastAsia="Arial" w:hAnsi="Arial"/>
          <w:sz w:val="16"/>
          <w:szCs w:val="16"/>
          <w:i w:val="1"/>
          <w:iCs w:val="1"/>
          <w:color w:val="auto"/>
        </w:rPr>
        <w:t>Taneja</w:t>
      </w:r>
      <w:r>
        <w:rPr>
          <w:rFonts w:ascii="Arial" w:cs="Arial" w:eastAsia="Arial" w:hAnsi="Arial"/>
          <w:sz w:val="16"/>
          <w:szCs w:val="16"/>
          <w:color w:val="auto"/>
        </w:rPr>
        <w:t xml:space="preserve"> securities class action.</w:t>
      </w:r>
    </w:p>
    <w:p>
      <w:pPr>
        <w:spacing w:after="0" w:line="200" w:lineRule="exact"/>
        <w:rPr>
          <w:sz w:val="20"/>
          <w:szCs w:val="20"/>
          <w:color w:val="auto"/>
        </w:rPr>
      </w:pPr>
    </w:p>
    <w:p>
      <w:pPr>
        <w:spacing w:after="0" w:line="21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On October 1, 2018, a lawsuit was filed in the U.S. District Court for the Southern District of Texas against us and two of our officers in </w:t>
      </w:r>
      <w:r>
        <w:rPr>
          <w:rFonts w:ascii="Arial" w:cs="Arial" w:eastAsia="Arial" w:hAnsi="Arial"/>
          <w:sz w:val="17"/>
          <w:szCs w:val="17"/>
          <w:i w:val="1"/>
          <w:iCs w:val="1"/>
          <w:color w:val="auto"/>
        </w:rPr>
        <w:t>Gaurav Taneja v. Applied Optoelectronics, Inc., Thompson Lin, and Stefan Murry</w:t>
      </w:r>
      <w:r>
        <w:rPr>
          <w:rFonts w:ascii="Arial" w:cs="Arial" w:eastAsia="Arial" w:hAnsi="Arial"/>
          <w:sz w:val="17"/>
          <w:szCs w:val="17"/>
          <w:color w:val="auto"/>
        </w:rPr>
        <w:t xml:space="preserve">, Case No. 4:18-cv-03544. The complaint in this matter seeks class action status on behalf of the Company’s shareholders, alleging violations of Sections 10(b) and 20(a) of the Exchange Act against the Company, our chief executive officer, and our chief financial officer, arising out of our announcement on September 28, 2018 that we were revising our third quarter revenue guidance due to “an issue with a small percentage of 25G lasers within a specific customer environment.” This case was consolidated with two identical cases styled </w:t>
      </w:r>
      <w:r>
        <w:rPr>
          <w:rFonts w:ascii="Arial" w:cs="Arial" w:eastAsia="Arial" w:hAnsi="Arial"/>
          <w:sz w:val="17"/>
          <w:szCs w:val="17"/>
          <w:i w:val="1"/>
          <w:iCs w:val="1"/>
          <w:color w:val="auto"/>
        </w:rPr>
        <w:t>Davin Pokoik v. Applied Optoelectronics, Inc., Chih-Hsiang Lin, and Stefan J. Murry</w:t>
      </w:r>
      <w:r>
        <w:rPr>
          <w:rFonts w:ascii="Arial" w:cs="Arial" w:eastAsia="Arial" w:hAnsi="Arial"/>
          <w:sz w:val="17"/>
          <w:szCs w:val="17"/>
          <w:color w:val="auto"/>
        </w:rPr>
        <w:t xml:space="preserve">, Case No. 4:18-cv-3722 and </w:t>
      </w:r>
      <w:r>
        <w:rPr>
          <w:rFonts w:ascii="Arial" w:cs="Arial" w:eastAsia="Arial" w:hAnsi="Arial"/>
          <w:sz w:val="17"/>
          <w:szCs w:val="17"/>
          <w:i w:val="1"/>
          <w:iCs w:val="1"/>
          <w:color w:val="auto"/>
        </w:rPr>
        <w:t>Stephen McGrath v. Applied Optoelectronics, Inc., Chih-Hsiang Lin, and Stefan J. Murry</w:t>
      </w:r>
      <w:r>
        <w:rPr>
          <w:rFonts w:ascii="Arial" w:cs="Arial" w:eastAsia="Arial" w:hAnsi="Arial"/>
          <w:sz w:val="17"/>
          <w:szCs w:val="17"/>
          <w:color w:val="auto"/>
        </w:rPr>
        <w:t>. Mark Naglich was appointed as Lead Plaintiff on the consolidated matter on January 4, 2019. Lead Plaintiff filed an amended consolidated complaint on March 5, 2019, and we filed a motion to dismiss the amended consolidated complaint on May 6, 2019. On July 5, 2019, Plaintiff filed a response in opposition to the motion</w:t>
      </w:r>
    </w:p>
    <w:p>
      <w:pPr>
        <w:sectPr>
          <w:pgSz w:w="11900" w:h="16838" w:orient="portrait"/>
          <w:cols w:equalWidth="0" w:num="1">
            <w:col w:w="9040"/>
          </w:cols>
          <w:pgMar w:left="1420" w:top="517" w:right="14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dismiss on August 5, 2019. The motion to dismiss is now fully briefted and is pending before the court. We dispute the allegations and intend to vigorously contest the matter.</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Books and Records Request</w:t>
      </w:r>
    </w:p>
    <w:p>
      <w:pPr>
        <w:spacing w:after="0" w:line="2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On April 10, 2019, stockholder David Bono filed a complaint in the Delaware Court of Chancery against us seeking to inspect certain corporate books and records pursuant to Section 220 of the Delaware General Corporation Law. The lawsuit is styled </w:t>
      </w:r>
      <w:r>
        <w:rPr>
          <w:rFonts w:ascii="Arial" w:cs="Arial" w:eastAsia="Arial" w:hAnsi="Arial"/>
          <w:sz w:val="16"/>
          <w:szCs w:val="16"/>
          <w:i w:val="1"/>
          <w:iCs w:val="1"/>
          <w:color w:val="auto"/>
        </w:rPr>
        <w:t>David Bono v. Applied Optoelectronics, Inc.</w:t>
      </w:r>
      <w:r>
        <w:rPr>
          <w:rFonts w:ascii="Arial" w:cs="Arial" w:eastAsia="Arial" w:hAnsi="Arial"/>
          <w:sz w:val="16"/>
          <w:szCs w:val="16"/>
          <w:color w:val="auto"/>
        </w:rPr>
        <w:t>, Case No. 2019-0275 (Del. Ch. 2019). The complaint does not seek damages but seeks the plaintiff’s costs and expenses, including attorneys’ fees, as well as the requested books and records. On July 5, 2019, by agreement of the parties, the Vice Chancellor issued an order staying the case to allow the parties to seek resolution of the dispute outside of litigation. Currently, the case remains stayed pursuant to this order.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generate much of our revenue from a limited number of customers. For each year ended 2018, 2017 and 2016 and the three and nine months ended September 30, 2019, our top ten customers represented 92.9%, 94.9%, 95.5%, 88.3% and 89.0% of our revenue, respectively. In 2018, Facebook represented 38.3% of our revenue, Microsoft represented 22.1% of our revenue and Amazon represented 12.1%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Changes in our customers’ demands may negatively affect our sales and revenue. For example, several of our largest customers have informed us that new architectures being implemented in their datacenters have reduced their demand for 100 Gbps optical transceivers compared to their prior forecasts. This has negatively impacted our revenue from these customers.</w:t>
      </w:r>
    </w:p>
    <w:p>
      <w:pPr>
        <w:ind w:right="300"/>
        <w:spacing w:after="0" w:line="261" w:lineRule="auto"/>
        <w:rPr>
          <w:sz w:val="20"/>
          <w:szCs w:val="20"/>
          <w:color w:val="auto"/>
        </w:rPr>
      </w:pPr>
      <w:r>
        <w:rPr>
          <w:rFonts w:ascii="Arial" w:cs="Arial" w:eastAsia="Arial" w:hAnsi="Arial"/>
          <w:sz w:val="18"/>
          <w:szCs w:val="18"/>
          <w:color w:val="auto"/>
        </w:rPr>
        <w:t>If we cannot sufficiently increase revenue from new customers and our other existing customers, then our overall revenue may continue to be adversely affected.</w:t>
      </w:r>
    </w:p>
    <w:p>
      <w:pPr>
        <w:spacing w:after="0" w:line="1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170" w:lineRule="exact"/>
        <w:rPr>
          <w:sz w:val="20"/>
          <w:szCs w:val="20"/>
          <w:color w:val="auto"/>
        </w:rPr>
      </w:pPr>
    </w:p>
    <w:p>
      <w:pPr>
        <w:jc w:val="both"/>
        <w:ind w:right="460" w:firstLine="648"/>
        <w:spacing w:after="0" w:line="342"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component procurement commitments, personnel needs and other resource requirements,</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Although the length of our product development cycle varies widely by product and customer, it may take</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18 months or longer before we receive our first order. As a result, we may incur significant expenses long before customers accept and purchase our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1000" w:hanging="32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w:t>
      </w:r>
    </w:p>
    <w:p>
      <w:pPr>
        <w:sectPr>
          <w:pgSz w:w="11900" w:h="16838" w:orient="portrait"/>
          <w:cols w:equalWidth="0" w:num="1">
            <w:col w:w="9040"/>
          </w:cols>
          <w:pgMar w:left="1420" w:top="517" w:right="14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tension in U.S.-China trade relations may adversely impact our business and operating results.</w:t>
      </w:r>
    </w:p>
    <w:p>
      <w:pPr>
        <w:spacing w:after="0" w:line="23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U.S. government has recently made statements and amended its U.S. trade policies, resulting in tariffs that affect imported products manufactured in China, by our Chinese subsidiary. In addition, the Chinese government has imposed reciprocal tariffs that affect products manufactured by our U.S. operations. The additional tariffs have increased our cost of goods sold, however we believe that the negative impact of these tariffs has not been material to our financial results. Although we cannot predict the impact of any future tariffs, we intend to continue to adjust our manufacturing processes, supplier lists, and manufacturing locations in order to minimize the impact of any tariffs on both AOI and our customers..</w:t>
      </w:r>
    </w:p>
    <w:p>
      <w:pPr>
        <w:spacing w:after="0" w:line="16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It is unknown whether and to what extent additional new tariffs (or other new laws or regulations) will be adopted that increase the cost of importing and/or exporting products to or from the United States, or from China to the United States. Furthermore, it is unknown what effect that any such new tariffs or retaliatory actions would have on us or our industry and customers. As additional new tariffs, legislation and/or regulations are implemented, or if existing trade agreements are renegotiated or if China or other affected countries take retaliatory trade actions, such changes could have a material adverse effect on our business, financial condition, results of operations or cash flows.</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 to 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that these fluctuations may have on our revenue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For example, shipments of certain of our 100 Gbps transceiver products to one of our customers decreased during the three months ended</w:t>
      </w:r>
    </w:p>
    <w:p>
      <w:pPr>
        <w:sectPr>
          <w:pgSz w:w="11900" w:h="16838" w:orient="portrait"/>
          <w:cols w:equalWidth="0" w:num="1">
            <w:col w:w="9060"/>
          </w:cols>
          <w:pgMar w:left="1420" w:top="517"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September 30, 2018 due to customer concerns about failures of similar products shipped previously. Although we conducted extensive testing of our products to demonstrate that any potentially affected units could be nearly eliminated from future shipments, and we subsequently resumed shipments with the customer’s agreement, we did incur additional testing costs and costs to enhance the ongoing monitoring of product quality which adversely affected the results of our operations. It is unclear the extent to which our reputation with this customer, or other customers, may have been affected. Manufacturing problems and any such delays would negatively affect our sales and revenue and could negatively affect our competitive position and reputation. We may also experience delays in production, typically in February, during the Lunar New Year holiday when our facilities in China and Taiwan are closed.</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2,529 of our employees as of December 31, 2018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the CATV market does not continue to develop as we expect, or if there is any downturn in this market, our business would be adversely affected.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Historically, we have generated much of our revenue from the CATV market. In 2018, 2017 and 2016, the CATV market represented 19.3%, 15.9% and 16.7%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and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telecom and FTTH markets, and our business could be harmed if these markets do not develop as we expect.</w:t>
      </w:r>
    </w:p>
    <w:p>
      <w:pPr>
        <w:spacing w:after="0" w:line="170"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For 2018 and 2017, respectively, we generated 4.9% and 3.4% of our revenue from the telecom market and 0.3%, and 0.1% of our revenue from the FTTH market. In the telecom market, we generally have sold products that were originally designed for other markets (such as internet data center or FTTH) or are variations of such products. As we gain experience in this market, we have begun to develop products specifically designed for telecom customers. Given our limited experience in this market, the products that we develop may prove to be unsuitable for customer use, or we may be unable to derive profit margins from this market that are similar to what we derive from our other markets. The products that we offer in the FTTH market are relatively new and have not yet gained widespread customer acceptance. For example, our WDM-PON products designed for the FTTH market, have not,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and results of operations will be adversely affected.</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quarter-to-quarter due to a number of factors, which may lead to volatility in our stock price.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25" w:lineRule="exact"/>
        <w:rPr>
          <w:rFonts w:ascii="Arial" w:cs="Arial" w:eastAsia="Arial" w:hAnsi="Arial"/>
          <w:sz w:val="18"/>
          <w:szCs w:val="18"/>
          <w:color w:val="auto"/>
        </w:rPr>
      </w:pPr>
    </w:p>
    <w:p>
      <w:pPr>
        <w:ind w:left="1000" w:right="500" w:hanging="32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demand for our products, including the increase, decrease, rescheduling or cancellation of significant customer orders;</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 of certain of our products and manufacturing capabilities;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25" w:lineRule="exact"/>
        <w:rPr>
          <w:rFonts w:ascii="Arial" w:cs="Arial" w:eastAsia="Arial" w:hAnsi="Arial"/>
          <w:sz w:val="18"/>
          <w:szCs w:val="18"/>
          <w:color w:val="auto"/>
        </w:rPr>
      </w:pPr>
    </w:p>
    <w:p>
      <w:pPr>
        <w:ind w:left="1000" w:right="100" w:hanging="32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ectPr>
          <w:pgSz w:w="11900" w:h="16838" w:orient="portrait"/>
          <w:cols w:equalWidth="0" w:num="1">
            <w:col w:w="9040"/>
          </w:cols>
          <w:pgMar w:left="1420" w:top="517" w:right="14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0" w:hanging="32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25" w:lineRule="exact"/>
        <w:rPr>
          <w:rFonts w:ascii="Arial" w:cs="Arial" w:eastAsia="Arial" w:hAnsi="Arial"/>
          <w:sz w:val="18"/>
          <w:szCs w:val="18"/>
          <w:color w:val="auto"/>
        </w:rPr>
      </w:pPr>
    </w:p>
    <w:p>
      <w:pPr>
        <w:ind w:left="1000" w:right="60" w:hanging="32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52" w:lineRule="exact"/>
        <w:rPr>
          <w:rFonts w:ascii="Arial" w:cs="Arial" w:eastAsia="Arial" w:hAnsi="Arial"/>
          <w:sz w:val="18"/>
          <w:szCs w:val="18"/>
          <w:color w:val="auto"/>
        </w:rPr>
      </w:pPr>
    </w:p>
    <w:p>
      <w:pPr>
        <w:ind w:left="1000" w:right="340" w:hanging="323"/>
        <w:spacing w:after="0" w:line="286"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or limitations imposed by trade protection laws or other regulatory orders or requirements in the United States or in other countries, including tariffs, sanctions, or other costs, restrictions, or requirements which may affect our ability to import or export our products to or from various countries;</w:t>
      </w:r>
    </w:p>
    <w:p>
      <w:pPr>
        <w:spacing w:after="0" w:line="192" w:lineRule="exact"/>
        <w:rPr>
          <w:rFonts w:ascii="Arial" w:cs="Arial" w:eastAsia="Arial" w:hAnsi="Arial"/>
          <w:sz w:val="17"/>
          <w:szCs w:val="17"/>
          <w:color w:val="auto"/>
        </w:rPr>
      </w:pPr>
    </w:p>
    <w:p>
      <w:pPr>
        <w:ind w:left="1000" w:right="20" w:hanging="32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trade-related government actions that impose barriers or restrictions that would impact our ability to sell or ship products to Huawei or other customers;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81"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As of September 30, 2019, we had approximately $129.1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47" w:lineRule="exact"/>
        <w:rPr>
          <w:sz w:val="20"/>
          <w:szCs w:val="20"/>
          <w:color w:val="auto"/>
        </w:rPr>
      </w:pPr>
    </w:p>
    <w:p>
      <w:pPr>
        <w:ind w:left="1000" w:hanging="32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25" w:lineRule="exact"/>
        <w:rPr>
          <w:rFonts w:ascii="Arial" w:cs="Arial" w:eastAsia="Arial" w:hAnsi="Arial"/>
          <w:sz w:val="18"/>
          <w:szCs w:val="18"/>
          <w:color w:val="auto"/>
        </w:rPr>
      </w:pPr>
    </w:p>
    <w:p>
      <w:pPr>
        <w:ind w:left="1000" w:right="180" w:hanging="32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right="540" w:hanging="32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the Notes; and</w:t>
      </w:r>
    </w:p>
    <w:p>
      <w:pPr>
        <w:spacing w:after="0" w:line="170" w:lineRule="exact"/>
        <w:rPr>
          <w:rFonts w:ascii="Arial" w:cs="Arial" w:eastAsia="Arial" w:hAnsi="Arial"/>
          <w:sz w:val="18"/>
          <w:szCs w:val="18"/>
          <w:color w:val="auto"/>
        </w:rPr>
      </w:pPr>
    </w:p>
    <w:p>
      <w:pPr>
        <w:ind w:left="1000" w:right="20" w:hanging="32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to pay amounts due under our indebtedness, including the Notes, and our cash needs may increase in the future. In addition, our existing Credit Facility with BB&amp;T,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suppliers and any supply interruption could have an adverse effect on our business.</w:t>
      </w:r>
    </w:p>
    <w:p>
      <w:pPr>
        <w:spacing w:after="0" w:line="26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upon outside contract manufacturers for a portion of the manufacturing process for some of our products.</w:t>
      </w:r>
    </w:p>
    <w:p>
      <w:pPr>
        <w:spacing w:after="0" w:line="24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more of our contract manufacturers is unable to meet our customer demand in a timely fashion, this could have a material adverse effect on the revenue from our products. If one or more contract manufacturers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could contain defects that may cause us to incur significant costs or result in a loss of customers.</w:t>
      </w:r>
    </w:p>
    <w:p>
      <w:pPr>
        <w:spacing w:after="0" w:line="24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For example, shipments of certain of our 100 Gbps transceiver products to one of our customers decreased during the three months ended September 30, 2018 due to customer concerns about failures of similar products shipped previously.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loan agreements contain restrictive covenants that may adversely affect our ability to conduct our business.</w:t>
      </w:r>
    </w:p>
    <w:p>
      <w:pPr>
        <w:spacing w:after="0" w:line="248"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We have lending arrangements with several financial institutions, including loan agreements with Branch Banking and Trust (BB&amp;T) Bank in the U.S., credit facilities with Taishin International Bank, Development Bank of Singapore and CTBC Bank, an equipment finance agreement with Chailease Finance Co., Ltd. in Taiwan and credit facilities with China Merchants Bank Co. Ltd., Shanghai Pudong Development Bank Co., Ltd. and China Zheshang Bank Co., Ltd. in China. Our loan agreements governing our long-term debt obligations in the U.S. and Asia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In addition, the Indenture governing the Notes contains covenants that limit our ability and the ability of our subsidiaries to, among other things: (i) incur or guarantee additional indebtedness or issue disqualified stock; and (ii) create or incur liens.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BB&amp;T are secured by our accounts receivable, inventory, intellectual property, and all business assets including real estate and equipment. Our credit facilities with Shanghai Pudong Development Bank Co., Ltd. and China Zheshang Bank Co., Ltd. are secured by real estate.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3" w:lineRule="exact"/>
        <w:rPr>
          <w:sz w:val="20"/>
          <w:szCs w:val="20"/>
          <w:color w:val="auto"/>
        </w:rPr>
      </w:pPr>
    </w:p>
    <w:p>
      <w:pPr>
        <w:ind w:left="1320" w:hanging="643"/>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25" w:lineRule="exact"/>
        <w:rPr>
          <w:rFonts w:ascii="Arial" w:cs="Arial" w:eastAsia="Arial" w:hAnsi="Arial"/>
          <w:sz w:val="18"/>
          <w:szCs w:val="18"/>
          <w:color w:val="auto"/>
        </w:rPr>
      </w:pPr>
    </w:p>
    <w:p>
      <w:pPr>
        <w:ind w:left="1320" w:hanging="643"/>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252" w:lineRule="exact"/>
        <w:rPr>
          <w:rFonts w:ascii="Arial" w:cs="Arial" w:eastAsia="Arial" w:hAnsi="Arial"/>
          <w:sz w:val="18"/>
          <w:szCs w:val="18"/>
          <w:color w:val="auto"/>
        </w:rPr>
      </w:pPr>
    </w:p>
    <w:p>
      <w:pPr>
        <w:ind w:left="1320" w:hanging="643"/>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225" w:lineRule="exact"/>
        <w:rPr>
          <w:rFonts w:ascii="Arial" w:cs="Arial" w:eastAsia="Arial" w:hAnsi="Arial"/>
          <w:sz w:val="18"/>
          <w:szCs w:val="18"/>
          <w:color w:val="auto"/>
        </w:rPr>
      </w:pPr>
    </w:p>
    <w:p>
      <w:pPr>
        <w:ind w:left="1320" w:hanging="643"/>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17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24"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5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have been subject to computer viruses, ransomware and other forms of cyber terrorism. Also, despite our implementation of security measures, we are not able to guarantee that we can prevent unauthorized access by hackers or breaches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Cyberattacks, such as computer viruses or other forms of cyber terrorism, have disrupted access to some of our network applications. In past incidents we have been able to recover quickly without material financial impact, however such disruptions in the future may result in delays or cancellations of customer orders or delays or additional costs to produce and ship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materially and adversely impact our business and operating results.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U.S. government has recently made statements and taken certain actions that have led and may lead to further changes to U.S. and international trade policies, including recently-imposed tariffs affecting certain products manufactured in China. Since the beginning of 2018, there has been increasing rhetoric, in some cases coupled with legislative or executive action, from several U.S. and foreign leaders regarding the possibility of instituting tariffs on the foreign imports of certain materials. Four rounds of U.S. tariffs on imports from China (respectively the “U.S. Tariffs on China Imports”) went into effect on July 2018, August 2018, September 2018 and September 2019 (with additional duties to go in effect December 15, 2019). A limited number of our products that are of Chinese origin are currently subject to the U.S. Tariffs on China Imports.</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It is unknown whether and to what extent new tariffs (or other new laws or regulations) will be adopted, or the effect that any such actions would have on us or our industry. A significant portion of our manufacturing operations are based in Ningbo, China; therefore, there could be material adverse effects on our business, financial condition, and/or cash flow if any new tariffs, legislation and/or regulations are implemented, or if existing trade agreements are renegotiated or if China or other affected countries take further retaliatory trade actions.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Furthermore, the implementation of trade tariffs both globally and between the U.S. and China specifically carries the risk of negatively impacting China’s overall economic condition, which could have negative repercussions on our business. Bilateral tariffs could cause a decrease in the sales of our products to customers located in China or other customers selling to Chinese end users, further impacting our business.</w:t>
      </w:r>
    </w:p>
    <w:p>
      <w:pPr>
        <w:spacing w:after="0" w:line="18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Significant changes to existing international trade agreements could also lead to sourcing or logistics disruption resulting from import delays or the imposition of increased tariffs on our sourcing partners. For example, the Chinese government could, among other things, require the use of local suppliers, compel companies that do business in China to partner with local companies, and otherwise provide government incentives or subsidies to government-backed local customers to buy from local suppliers. Changes in, and responses to, U.S. trade policy could reduce the competitiveness of our products and thus cause our sales and revenues to drop, which could materially and adversely impact our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2018, 2017 and 2016, 23.1%, 22.7% and 15.8% of our revenue was derived from sales that occurred outside of North America, respectively. In addition, a significant portion of our manufacturing operations is based in Ningbo, China and Taipei, Taiwan.</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Trade-related government actions, by China or other countries that impose barriers or restrictions that would impact our ability to sell or ship products to customers or potential customers may have a negative impact on our financial condition and results of operations. We cannot predict the actions government entities may take in this context and may be unable to quickly offset or 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international revenue and operations are subject to a number of material risks, including:</w:t>
      </w:r>
    </w:p>
    <w:p>
      <w:pPr>
        <w:spacing w:after="0" w:line="225" w:lineRule="exact"/>
        <w:rPr>
          <w:sz w:val="20"/>
          <w:szCs w:val="20"/>
          <w:color w:val="auto"/>
        </w:rPr>
      </w:pPr>
    </w:p>
    <w:p>
      <w:pPr>
        <w:ind w:left="1000" w:hanging="32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25" w:lineRule="exact"/>
        <w:rPr>
          <w:rFonts w:ascii="Arial" w:cs="Arial" w:eastAsia="Arial" w:hAnsi="Arial"/>
          <w:sz w:val="18"/>
          <w:szCs w:val="18"/>
          <w:color w:val="auto"/>
        </w:rPr>
      </w:pPr>
    </w:p>
    <w:p>
      <w:pPr>
        <w:ind w:left="1000" w:right="640" w:hanging="32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 including the adoption or expansion of governmental trade tariffs;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right="340" w:hanging="32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25" w:lineRule="exact"/>
        <w:rPr>
          <w:rFonts w:ascii="Arial" w:cs="Arial" w:eastAsia="Arial" w:hAnsi="Arial"/>
          <w:sz w:val="18"/>
          <w:szCs w:val="18"/>
          <w:color w:val="auto"/>
        </w:rPr>
      </w:pPr>
    </w:p>
    <w:p>
      <w:pPr>
        <w:ind w:left="1000" w:right="100" w:hanging="32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1000" w:right="120" w:hanging="32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1000" w:right="180" w:hanging="32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 the jurisdictions in which we currently operate or may operate in the future.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such as the U.S. tax reform legislation commonly referred to as the U.S. Tax Cuts and Jobs Act of 2017 (the “Tax Act”).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Tax Act significantly changes how the U.S. taxes corporations. The Tax Act requires complex computations to be performed that were not previously required in U.S. tax law, significant judgments to be made in interpretation of the provisions of the Tax Act and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that is different from our interpretation. As we interpret any additional guidance, we may make adjustments to amounts that we have recorded that may materially impact our provision for income taxes in the period in which the adjustments are made.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3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Production volumes for some of our products are increasing and we have announced plans to increase our production capacity in response to demand for certain of our current and future products, including adding personnel in some of our locations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1320" w:hanging="643"/>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25" w:lineRule="exact"/>
        <w:rPr>
          <w:rFonts w:ascii="Arial" w:cs="Arial" w:eastAsia="Arial" w:hAnsi="Arial"/>
          <w:sz w:val="18"/>
          <w:szCs w:val="18"/>
          <w:color w:val="auto"/>
        </w:rPr>
      </w:pPr>
    </w:p>
    <w:p>
      <w:pPr>
        <w:ind w:left="1320" w:right="580" w:hanging="643"/>
        <w:spacing w:after="0" w:line="277"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170" w:lineRule="exact"/>
        <w:rPr>
          <w:rFonts w:ascii="Arial" w:cs="Arial" w:eastAsia="Arial" w:hAnsi="Arial"/>
          <w:sz w:val="18"/>
          <w:szCs w:val="18"/>
          <w:color w:val="auto"/>
        </w:rPr>
      </w:pPr>
    </w:p>
    <w:p>
      <w:pPr>
        <w:ind w:left="1320" w:hanging="643"/>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225" w:lineRule="exact"/>
        <w:rPr>
          <w:rFonts w:ascii="Arial" w:cs="Arial" w:eastAsia="Arial" w:hAnsi="Arial"/>
          <w:sz w:val="18"/>
          <w:szCs w:val="18"/>
          <w:color w:val="auto"/>
        </w:rPr>
      </w:pPr>
    </w:p>
    <w:p>
      <w:pPr>
        <w:ind w:left="1320" w:right="320" w:hanging="643"/>
        <w:spacing w:after="0" w:line="277"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spacing w:after="0" w:line="170" w:lineRule="exact"/>
        <w:rPr>
          <w:rFonts w:ascii="Arial" w:cs="Arial" w:eastAsia="Arial" w:hAnsi="Arial"/>
          <w:sz w:val="18"/>
          <w:szCs w:val="18"/>
          <w:color w:val="auto"/>
        </w:rPr>
      </w:pPr>
    </w:p>
    <w:p>
      <w:pPr>
        <w:ind w:left="1320" w:hanging="643"/>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225" w:lineRule="exact"/>
        <w:rPr>
          <w:rFonts w:ascii="Arial" w:cs="Arial" w:eastAsia="Arial" w:hAnsi="Arial"/>
          <w:sz w:val="18"/>
          <w:szCs w:val="18"/>
          <w:color w:val="auto"/>
        </w:rPr>
      </w:pPr>
    </w:p>
    <w:p>
      <w:pPr>
        <w:ind w:left="1320" w:hanging="643"/>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breach of data security, loss of intellectual property and critical data and the release and misappropriation of sensitive competitive information and partner, customer, and employee personal data. We have experienced ransomware, computer viruses and other forms of cyber terrorism. In past incidents we have been able to recover quickly without material financial impact; however, any of these events could harm our competitive position, result in a loss of customer confidence, cause us to incur significant costs to remedy any damages and ultimately materially adversely affect our business and financial condition.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9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In recent years, shareholder activists have become involved in numerous public companies. Shareholder activists frequently propose to involve themselves in the governance, strategic direction, and operations of the Company.</w:t>
      </w:r>
    </w:p>
    <w:p>
      <w:pPr>
        <w:sectPr>
          <w:pgSz w:w="11900" w:h="16838" w:orient="portrait"/>
          <w:cols w:equalWidth="0" w:num="1">
            <w:col w:w="9040"/>
          </w:cols>
          <w:pgMar w:left="1420" w:top="517" w:right="14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218"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7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“Part II - Item 1. Legal Proceedings,” on August 5, 2017, we and certain of our officers are currently subject to class action litigation related to allegations that we made materially false and misleading statements or failed to disclose material facts. Such litigation includes requests for damages and other relief. As further described in that section, subsequent derivative actions and securities class actions have since been filed. This litigation and any other such litigation could result in substantial costs and divert our management’s attention from other business concerns, which could seriously harm our business.</w:t>
      </w:r>
    </w:p>
    <w:p>
      <w:pPr>
        <w:spacing w:after="0" w:line="2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6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78" w:lineRule="exact"/>
        <w:rPr>
          <w:sz w:val="20"/>
          <w:szCs w:val="20"/>
          <w:color w:val="auto"/>
        </w:rPr>
      </w:pPr>
    </w:p>
    <w:p>
      <w:pPr>
        <w:ind w:left="1000" w:right="680" w:hanging="32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the relevant technology, which may not be available on reasonable terms, or at all;</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stop manufacturing, selling, incorporating or using our products that use the challenged intellectual property;</w:t>
      </w:r>
    </w:p>
    <w:p>
      <w:pPr>
        <w:spacing w:after="0" w:line="248" w:lineRule="exact"/>
        <w:rPr>
          <w:rFonts w:ascii="Arial" w:cs="Arial" w:eastAsia="Arial" w:hAnsi="Arial"/>
          <w:sz w:val="16"/>
          <w:szCs w:val="16"/>
          <w:color w:val="auto"/>
        </w:rPr>
      </w:pPr>
    </w:p>
    <w:p>
      <w:pPr>
        <w:ind w:left="1000" w:hanging="32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225" w:lineRule="exact"/>
        <w:rPr>
          <w:rFonts w:ascii="Arial" w:cs="Arial" w:eastAsia="Arial" w:hAnsi="Arial"/>
          <w:sz w:val="18"/>
          <w:szCs w:val="18"/>
          <w:color w:val="auto"/>
        </w:rPr>
      </w:pPr>
    </w:p>
    <w:p>
      <w:pPr>
        <w:ind w:left="1000" w:right="340" w:hanging="32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24"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any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the accuracy and timing of our financial reporting may be adversely affected.</w:t>
      </w:r>
    </w:p>
    <w:p>
      <w:pPr>
        <w:spacing w:after="0" w:line="17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implemented a system of disclosure and internal controls that we believe provide reasonable assurance that we will be able to timely report our financial results and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an effective system of disclosure controls and internal control over financial reporting, our ability to accurately and timely report our financial results could be adversely impacted. This could result in late filings of our annual and quarterly reports under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of December 31, 2018, we had U.S. accumulated net operating losses, or NOLs, of approximately $47.4 million, federal and state research and development credits (“R&amp;D credits”) of $6.6 million, interest expense of $1.0 million and foreign tax credits of $4.6 million for U.S. federal income tax purposes. Under Section 382 of the Internal Revenue Code of 1986, as amended, if a corporation undergoes an “ownership change,” the corporation’s ability to use its pre-change NOLs, tax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however, we do not believe those limitations result in a material loss of tax benefits. Should we experience additional ownership changes, including upon the issuance of our common stock as a result of any conversion of the Notes into shares of our common stock or otherwise, our NOL carry forwards and tax credits may be further limited.</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and solid wastes,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natural resource damages, third-party property damages or personal injury claims, administrative, civil or criminal penalties and could result in injunctive relief requiring us to make significant investments to upgrade our facilities, redesign or change our manufacturing processes, redesign our products,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exposed to increased expenses and business risk as a result of Restriction on Hazardous Substances, or RoHS directives.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damaged reputation, diversion of resources, monetary penalties, and legal action.</w:t>
      </w:r>
    </w:p>
    <w:p>
      <w:pPr>
        <w:spacing w:after="0" w:line="18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170"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Our products are classified under Export Control Classification Numbers, or ECCNs, 5A991.b.5.a and 6A995.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Rapidly changing standards and regulations could make our products obsolete, which would cause our revenue and results of operations to suffer.</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products are not compatible, our existing products would become less desirable to our customers and our revenue and results of operations would suffer.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29, 2019. We have previously determined, as part of our compliance efforts, that certain products or components we obtain from our suppliers contain conflict minerals. Based on our Reasonable Country of Origin Inquiry on the source of our conflict minerals for the year ended December 31, 2018, we had reason to believe that certain of such conflict minerals likely originated in covered countries. If we are unable to conclude in the future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7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business operations conducted in China are critical to our success. A total of $143.1 million, $122.3 million and $81.1 million or 53.6%, 32.0% and 31.1%, of our revenue in the years ended December 31, 2018, 2017 and 2016 was attributable to our product manufactured at our plant in China, respectively. Additionally, a substantial portion of our property, plant and equipment, 36.8%, 29.9% and 23.0% as of December 31, 2018, 2017 and 2016,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89"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Since calendar year 2012, we have qualified for a preferential 15% tax rate that is available for state-encouraged new high technology enterprises. In order to retain this preferential tax rate, we must meet certain operating conditions, satisfy certain product requirements, meet certain headcount requirements and maintain certain levels of research expenditures. In November 2017, we received approval from the Chinese government to extend this preferential tax treatment for an additional three years, ending November 2020. If we fail to continue to qualify for this preferential rate in the future, we may incur higher tax rates on our income in China. Any future increase in the enterprise income tax rate applicable to us or the expiration or other limitation of preferential tax rates available to us could increase our tax liabilities and reduce our net income.</w:t>
      </w:r>
    </w:p>
    <w:p>
      <w:pPr>
        <w:spacing w:after="0" w:line="1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7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China subsidiary is subject to Chinese labor laws and regulations, and Chinese labor laws may increase our operating costs in China.</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and maintaining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7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of our stock decreased significantly. As disclosed in “Part II - Item 1. Legal Proceedings,” on August 5, 2017, a class action lawsuit was filed against us and two of our officers. The complaint in this matter alleges that we made materially false and misleading statements or failed to disclose material facts and requests damages and other relief. On August 7, 2018, a derivative class action lawsuit was filed against our chief executive officer, chief financial officer and board of directors. The allegations are substantially similar to those under the August 5, 2017 lawsuit. On October 1, 2018, another class action lawsuit was filed in the U.S. District Court for the Southern District of Texas against us and two of our officers. The complaint in this matter alleges that we made materially false and misleading statements or failed to disclose material facts and a related action was filed on October 10, 2018. These lawsuits and any other such litigation could result in substantial costs and divert our management’s attention from other business concerns, which could seriously harm our business.</w:t>
      </w:r>
    </w:p>
    <w:p>
      <w:pPr>
        <w:spacing w:after="0" w:line="16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Legal, accounting, administrative and other costs and expenses may increase in the future as we continue to incur both increased external audit fees as well as additional spending to ensure continued regulatory compliance.</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47" w:lineRule="exact"/>
        <w:rPr>
          <w:sz w:val="20"/>
          <w:szCs w:val="20"/>
          <w:color w:val="auto"/>
        </w:rPr>
      </w:pPr>
    </w:p>
    <w:p>
      <w:pPr>
        <w:ind w:left="1000" w:hanging="32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25" w:lineRule="exact"/>
        <w:rPr>
          <w:rFonts w:ascii="Arial" w:cs="Arial" w:eastAsia="Arial" w:hAnsi="Arial"/>
          <w:sz w:val="18"/>
          <w:szCs w:val="18"/>
          <w:color w:val="auto"/>
        </w:rPr>
      </w:pPr>
    </w:p>
    <w:p>
      <w:pPr>
        <w:ind w:left="1000" w:right="120" w:hanging="32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hanging="32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25" w:lineRule="exact"/>
        <w:rPr>
          <w:rFonts w:ascii="Arial" w:cs="Arial" w:eastAsia="Arial" w:hAnsi="Arial"/>
          <w:sz w:val="18"/>
          <w:szCs w:val="18"/>
          <w:color w:val="auto"/>
        </w:rPr>
      </w:pPr>
    </w:p>
    <w:p>
      <w:pPr>
        <w:ind w:left="1000" w:right="60" w:hanging="323"/>
        <w:spacing w:after="0" w:line="264"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8"/>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80" w:type="dxa"/>
            <w:vAlign w:val="bottom"/>
            <w:gridSpan w:val="23"/>
          </w:tcPr>
          <w:p>
            <w:pPr>
              <w:ind w:left="6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80" w:type="dxa"/>
            <w:vAlign w:val="bottom"/>
            <w:tcBorders>
              <w:top w:val="single" w:sz="8" w:color="auto"/>
            </w:tcBorders>
            <w:gridSpan w:val="2"/>
          </w:tcPr>
          <w:p>
            <w:pPr>
              <w:ind w:left="20"/>
              <w:spacing w:after="0" w:line="170"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180" w:type="dxa"/>
            <w:vAlign w:val="bottom"/>
            <w:tcBorders>
              <w:top w:val="single" w:sz="8" w:color="auto"/>
              <w:bottom w:val="single" w:sz="8" w:color="0000EE"/>
            </w:tcBorders>
            <w:gridSpan w:val="14"/>
          </w:tcPr>
          <w:p>
            <w:pPr>
              <w:spacing w:after="0" w:line="170"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Amended and Restated Certificate of Incorporation, as currently in effect (filed as Exhibit 3.1 to the</w:t>
              </w:r>
            </w:hyperlink>
          </w:p>
        </w:tc>
        <w:tc>
          <w:tcPr>
            <w:tcW w:w="520" w:type="dxa"/>
            <w:vAlign w:val="bottom"/>
            <w:tcBorders>
              <w:top w:val="single" w:sz="8" w:color="auto"/>
            </w:tcBorders>
            <w:gridSpan w:val="11"/>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Registrant’s Quarterly Report on Form 10-Q filed with the Securities and Exchange Commission on</w:t>
              </w:r>
            </w:hyperlink>
          </w:p>
        </w:tc>
        <w:tc>
          <w:tcPr>
            <w:tcW w:w="52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November 14, 2013).</w:t>
              </w:r>
            </w:hyperlink>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tcBorders>
              <w:bottom w:val="single" w:sz="8" w:color="0000EE"/>
            </w:tcBorders>
            <w:gridSpan w:val="18"/>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Amended and Restated Bylaws, as currently in effect (filed as Exhibit 3.2 to the Registrant’s Quarterly</w:t>
              </w:r>
            </w:hyperlink>
          </w:p>
        </w:tc>
        <w:tc>
          <w:tcPr>
            <w:tcW w:w="34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Report on Form 10-Q filed with the Securities and Exchange Commission on November 14, 2013).</w:t>
              </w:r>
            </w:hyperlink>
          </w:p>
        </w:tc>
        <w:tc>
          <w:tcPr>
            <w:tcW w:w="580" w:type="dxa"/>
            <w:vAlign w:val="bottom"/>
            <w:gridSpan w:val="14"/>
          </w:tcPr>
          <w:p>
            <w:pPr>
              <w:spacing w:after="0"/>
              <w:rPr>
                <w:sz w:val="17"/>
                <w:szCs w:val="17"/>
                <w:color w:val="auto"/>
              </w:rPr>
            </w:pPr>
          </w:p>
        </w:tc>
      </w:tr>
      <w:tr>
        <w:trPr>
          <w:trHeight w:val="331"/>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tcBorders>
              <w:bottom w:val="single" w:sz="8" w:color="0000EE"/>
            </w:tcBorders>
            <w:gridSpan w:val="20"/>
          </w:tcPr>
          <w:p>
            <w:pPr>
              <w:spacing w:after="0"/>
              <w:rPr>
                <w:rFonts w:ascii="Arial" w:cs="Arial" w:eastAsia="Arial" w:hAnsi="Arial"/>
                <w:sz w:val="18"/>
                <w:szCs w:val="18"/>
                <w:color w:val="0000EE"/>
                <w:w w:val="92"/>
              </w:rPr>
            </w:pPr>
            <w:hyperlink r:id="rId69">
              <w:r>
                <w:rPr>
                  <w:rFonts w:ascii="Arial" w:cs="Arial" w:eastAsia="Arial" w:hAnsi="Arial"/>
                  <w:sz w:val="18"/>
                  <w:szCs w:val="18"/>
                  <w:color w:val="0000EE"/>
                  <w:w w:val="92"/>
                </w:rPr>
                <w:t>Common Stock Specimen (filed as Exhibit 4.1 to the Registrant’s Current Report on Form 8-K filed with</w:t>
              </w:r>
            </w:hyperlink>
          </w:p>
        </w:tc>
        <w:tc>
          <w:tcPr>
            <w:tcW w:w="16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the Securities and Exchange Commission on July 15, 2015).</w:t>
              </w:r>
            </w:hyperlink>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Borders>
              <w:bottom w:val="single" w:sz="8" w:color="0000EE"/>
            </w:tcBorders>
            <w:gridSpan w:val="13"/>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Indenture, dated as of March 5, 2019 between Applied Optoelectronics, Inc. and Wells Fargo Bank,</w:t>
              </w:r>
            </w:hyperlink>
          </w:p>
        </w:tc>
        <w:tc>
          <w:tcPr>
            <w:tcW w:w="56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National Association, as trustee, paying agent, and conversion agent (filed as Exhibit 4.1 to the</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Registrant’s Current Report on Form 8-K filed with the Securities and Exchange Commission on March 5,</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3"/>
          </w:tcPr>
          <w:p>
            <w:pPr>
              <w:ind w:left="40"/>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2019).</w:t>
              </w:r>
            </w:hyperlink>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Form of Note representing the Company’s 5.00% Convertible Senior Notes due 2024 (included as Exhibit</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A to the Indenture filed as Exhibit 4.1 to the Registrant’s Current Report on Form 8-K filed with the</w:t>
              </w:r>
            </w:hyperlink>
          </w:p>
        </w:tc>
        <w:tc>
          <w:tcPr>
            <w:tcW w:w="420" w:type="dxa"/>
            <w:vAlign w:val="bottom"/>
            <w:tcBorders>
              <w:top w:val="single" w:sz="8" w:color="0000EE"/>
            </w:tcBorders>
            <w:gridSpan w:val="6"/>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Securities and Exchange Commission on March 5, 2019)</w:t>
              </w:r>
              <w:r>
                <w:rPr>
                  <w:rFonts w:ascii="Arial" w:cs="Arial" w:eastAsia="Arial" w:hAnsi="Arial"/>
                  <w:sz w:val="18"/>
                  <w:szCs w:val="18"/>
                  <w:color w:val="000000"/>
                </w:rPr>
                <w:t>.</w:t>
              </w:r>
            </w:hyperlink>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Fourth Amendment to Loan Agreement, dated September 30, 2019, between Applied Optoelectronics, Inc.</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top w:val="single" w:sz="8" w:color="0000EE"/>
            </w:tcBorders>
            <w:gridSpan w:val="24"/>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and Branch Banking and Trust Company (filed as Exhibit 10.1 to the Registrant’s Current Report on Form</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8-K filed with the Securities and Exchange Commission on October 4, 2019).</w:t>
              </w:r>
            </w:hyperlink>
          </w:p>
        </w:tc>
        <w:tc>
          <w:tcPr>
            <w:tcW w:w="80" w:type="dxa"/>
            <w:vAlign w:val="bottom"/>
            <w:gridSpan w:val="4"/>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26"/>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Note Modification Agreement, dated September 30, 2019, executed by Applied Optoelectronics, Inc. (filed</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w w:val="95"/>
              </w:rPr>
            </w:pPr>
            <w:hyperlink r:id="rId72">
              <w:r>
                <w:rPr>
                  <w:rFonts w:ascii="Arial" w:cs="Arial" w:eastAsia="Arial" w:hAnsi="Arial"/>
                  <w:sz w:val="18"/>
                  <w:szCs w:val="18"/>
                  <w:color w:val="0000EE"/>
                  <w:w w:val="95"/>
                </w:rPr>
                <w:t>as Exhibit 10.2 to the Registrant’s Current Report on Form 8-K filed with the Securities and Exchange</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Commission on October 4, 2019).</w:t>
              </w:r>
            </w:hyperlink>
          </w:p>
        </w:tc>
        <w:tc>
          <w:tcPr>
            <w:tcW w:w="4920" w:type="dxa"/>
            <w:vAlign w:val="bottom"/>
            <w:tcBorders>
              <w:top w:val="single" w:sz="8" w:color="0000EE"/>
            </w:tcBorders>
            <w:gridSpan w:val="14"/>
          </w:tcPr>
          <w:p>
            <w:pPr>
              <w:spacing w:after="0"/>
              <w:rPr>
                <w:sz w:val="17"/>
                <w:szCs w:val="17"/>
                <w:color w:val="auto"/>
              </w:rPr>
            </w:pPr>
          </w:p>
        </w:tc>
        <w:tc>
          <w:tcPr>
            <w:tcW w:w="360" w:type="dxa"/>
            <w:vAlign w:val="bottom"/>
            <w:gridSpan w:val="9"/>
          </w:tcPr>
          <w:p>
            <w:pPr>
              <w:spacing w:after="0"/>
              <w:rPr>
                <w:sz w:val="17"/>
                <w:szCs w:val="17"/>
                <w:color w:val="auto"/>
              </w:rPr>
            </w:pPr>
          </w:p>
        </w:tc>
      </w:tr>
      <w:tr>
        <w:trPr>
          <w:trHeight w:val="331"/>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tcBorders>
              <w:bottom w:val="single" w:sz="8" w:color="0000EE"/>
            </w:tcBorders>
            <w:gridSpan w:val="18"/>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Addendum To Promissory Note, dated September 30, 2019, executed by Applied Optoelectronics, Inc.</w:t>
              </w:r>
            </w:hyperlink>
          </w:p>
        </w:tc>
        <w:tc>
          <w:tcPr>
            <w:tcW w:w="34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(filed as Exhibit 10.3 to the Registrant’s Current Report on Form 8-K filed with the Securities and</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Exchange Commission on October 4, 2019).</w:t>
              </w:r>
            </w:hyperlink>
          </w:p>
        </w:tc>
        <w:tc>
          <w:tcPr>
            <w:tcW w:w="3840" w:type="dxa"/>
            <w:vAlign w:val="bottom"/>
            <w:tcBorders>
              <w:top w:val="single" w:sz="8" w:color="0000EE"/>
            </w:tcBorders>
            <w:gridSpan w:val="7"/>
          </w:tcPr>
          <w:p>
            <w:pPr>
              <w:spacing w:after="0"/>
              <w:rPr>
                <w:sz w:val="17"/>
                <w:szCs w:val="17"/>
                <w:color w:val="auto"/>
              </w:rPr>
            </w:pPr>
          </w:p>
        </w:tc>
        <w:tc>
          <w:tcPr>
            <w:tcW w:w="680" w:type="dxa"/>
            <w:vAlign w:val="bottom"/>
            <w:gridSpan w:val="15"/>
          </w:tcPr>
          <w:p>
            <w:pPr>
              <w:spacing w:after="0"/>
              <w:rPr>
                <w:sz w:val="17"/>
                <w:szCs w:val="17"/>
                <w:color w:val="auto"/>
              </w:rPr>
            </w:pPr>
          </w:p>
        </w:tc>
      </w:tr>
      <w:tr>
        <w:trPr>
          <w:trHeight w:val="466"/>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7"/>
              </w:rPr>
            </w:pPr>
            <w:hyperlink w:anchor="page62">
              <w:r>
                <w:rPr>
                  <w:rFonts w:ascii="Arial" w:cs="Arial" w:eastAsia="Arial" w:hAnsi="Arial"/>
                  <w:sz w:val="18"/>
                  <w:szCs w:val="18"/>
                  <w:color w:val="0000EE"/>
                  <w:w w:val="97"/>
                </w:rPr>
                <w:t>Certification of Chief Executive Officer pursuant to Exchange Act Rule, 13a-14(a) and 15d-14(a), as</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adopted pursuant to Section 302 of the Sarbanes-Oxley Act of 2002.</w:t>
              </w:r>
            </w:hyperlink>
          </w:p>
        </w:tc>
        <w:tc>
          <w:tcPr>
            <w:tcW w:w="2320" w:type="dxa"/>
            <w:vAlign w:val="bottom"/>
            <w:tcBorders>
              <w:top w:val="single" w:sz="8" w:color="0000EE"/>
            </w:tcBorders>
            <w:gridSpan w:val="8"/>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331"/>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Chief Financial Officer pursuant to Exchange Act Rule, 13a-14(a) and 15d-14(a), as</w:t>
              </w:r>
            </w:hyperlink>
          </w:p>
        </w:tc>
        <w:tc>
          <w:tcPr>
            <w:tcW w:w="52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adopted pursuant to Section 302 of the Sarbanes-Oxley Act of 2002.</w:t>
              </w:r>
            </w:hyperlink>
          </w:p>
        </w:tc>
        <w:tc>
          <w:tcPr>
            <w:tcW w:w="2800" w:type="dxa"/>
            <w:vAlign w:val="bottom"/>
            <w:gridSpan w:val="18"/>
          </w:tcPr>
          <w:p>
            <w:pPr>
              <w:spacing w:after="0"/>
              <w:rPr>
                <w:sz w:val="17"/>
                <w:szCs w:val="17"/>
                <w:color w:val="auto"/>
              </w:rPr>
            </w:pPr>
          </w:p>
        </w:tc>
      </w:tr>
      <w:tr>
        <w:trPr>
          <w:trHeight w:val="331"/>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Certification pursuant to 18 U.S.C. 1350, adopted pursuant to Section 906 of the Sarbanes-Oxley Act of</w:t>
              </w:r>
            </w:hyperlink>
          </w:p>
        </w:tc>
        <w:tc>
          <w:tcPr>
            <w:tcW w:w="24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2002, by Chief Executive Officer and Chief Financial Officer.</w:t>
              </w:r>
            </w:hyperlink>
          </w:p>
        </w:tc>
        <w:tc>
          <w:tcPr>
            <w:tcW w:w="3260" w:type="dxa"/>
            <w:vAlign w:val="bottom"/>
            <w:gridSpan w:val="19"/>
          </w:tcPr>
          <w:p>
            <w:pPr>
              <w:spacing w:after="0"/>
              <w:rPr>
                <w:sz w:val="17"/>
                <w:szCs w:val="17"/>
                <w:color w:val="auto"/>
              </w:rPr>
            </w:pPr>
          </w:p>
        </w:tc>
      </w:tr>
      <w:tr>
        <w:trPr>
          <w:trHeight w:val="357"/>
        </w:trPr>
        <w:tc>
          <w:tcPr>
            <w:tcW w:w="1300" w:type="dxa"/>
            <w:vAlign w:val="bottom"/>
            <w:gridSpan w:val="3"/>
          </w:tcPr>
          <w:p>
            <w:pPr>
              <w:ind w:left="2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sz w:val="20"/>
                <w:szCs w:val="20"/>
                <w:color w:val="auto"/>
              </w:rPr>
            </w:pPr>
            <w:r>
              <w:rPr>
                <w:rFonts w:ascii="Arial" w:cs="Arial" w:eastAsia="Arial" w:hAnsi="Arial"/>
                <w:sz w:val="18"/>
                <w:szCs w:val="18"/>
                <w:color w:val="auto"/>
                <w:w w:val="94"/>
              </w:rPr>
              <w:t>XBRL Instance – the instance document does not appear in the Interactive Data File because its XBRL</w:t>
            </w: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20" w:type="dxa"/>
            <w:vAlign w:val="bottom"/>
            <w:gridSpan w:val="26"/>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351"/>
        </w:trPr>
        <w:tc>
          <w:tcPr>
            <w:tcW w:w="1300" w:type="dxa"/>
            <w:vAlign w:val="bottom"/>
            <w:gridSpan w:val="3"/>
          </w:tcPr>
          <w:p>
            <w:pPr>
              <w:ind w:left="2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1300" w:type="dxa"/>
            <w:vAlign w:val="bottom"/>
            <w:gridSpan w:val="3"/>
          </w:tcPr>
          <w:p>
            <w:pPr>
              <w:ind w:left="2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51"/>
        </w:trPr>
        <w:tc>
          <w:tcPr>
            <w:tcW w:w="1300" w:type="dxa"/>
            <w:vAlign w:val="bottom"/>
            <w:gridSpan w:val="3"/>
          </w:tcPr>
          <w:p>
            <w:pPr>
              <w:ind w:left="2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51"/>
        </w:trPr>
        <w:tc>
          <w:tcPr>
            <w:tcW w:w="1300" w:type="dxa"/>
            <w:vAlign w:val="bottom"/>
            <w:gridSpan w:val="3"/>
          </w:tcPr>
          <w:p>
            <w:pPr>
              <w:ind w:left="2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1300" w:type="dxa"/>
            <w:vAlign w:val="bottom"/>
            <w:gridSpan w:val="3"/>
          </w:tcPr>
          <w:p>
            <w:pPr>
              <w:ind w:left="2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37"/>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sz w:val="20"/>
                <w:szCs w:val="20"/>
                <w:color w:val="auto"/>
              </w:rPr>
            </w:pPr>
            <w:r>
              <w:rPr>
                <w:rFonts w:ascii="Arial" w:cs="Arial" w:eastAsia="Arial" w:hAnsi="Arial"/>
                <w:sz w:val="18"/>
                <w:szCs w:val="18"/>
                <w:color w:val="212529"/>
                <w:w w:val="91"/>
              </w:rPr>
              <w:t>The cover page from the Company’s Quarterly Report on Form 10-Q for the quarter ended September 30,</w:t>
            </w: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20" w:type="dxa"/>
            <w:vAlign w:val="bottom"/>
            <w:gridSpan w:val="26"/>
          </w:tcPr>
          <w:p>
            <w:pPr>
              <w:spacing w:after="0"/>
              <w:rPr>
                <w:sz w:val="20"/>
                <w:szCs w:val="20"/>
                <w:color w:val="auto"/>
              </w:rPr>
            </w:pPr>
            <w:r>
              <w:rPr>
                <w:rFonts w:ascii="Arial" w:cs="Arial" w:eastAsia="Arial" w:hAnsi="Arial"/>
                <w:sz w:val="18"/>
                <w:szCs w:val="18"/>
                <w:color w:val="212529"/>
              </w:rPr>
              <w:t>2019, formatted in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68580</wp:posOffset>
            </wp:positionV>
            <wp:extent cx="14408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ind w:left="560" w:hanging="538"/>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w:t>
      </w:r>
    </w:p>
    <w:p>
      <w:pPr>
        <w:spacing w:after="0" w:line="2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ectPr>
          <w:pgSz w:w="11900" w:h="16838" w:orient="portrait"/>
          <w:cols w:equalWidth="0" w:num="1">
            <w:col w:w="9060"/>
          </w:cols>
          <w:pgMar w:left="1400" w:top="500" w:right="14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372745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00" w:top="500" w:right="14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900" w:type="dxa"/>
            <w:vAlign w:val="bottom"/>
            <w:gridSpan w:val="2"/>
          </w:tcPr>
          <w:p>
            <w:pPr>
              <w:ind w:left="1400"/>
              <w:spacing w:after="0"/>
              <w:rPr>
                <w:sz w:val="20"/>
                <w:szCs w:val="20"/>
                <w:color w:val="auto"/>
              </w:rPr>
            </w:pPr>
            <w:r>
              <w:rPr>
                <w:rFonts w:ascii="Arial" w:cs="Arial" w:eastAsia="Arial" w:hAnsi="Arial"/>
                <w:sz w:val="18"/>
                <w:szCs w:val="18"/>
                <w:b w:val="1"/>
                <w:bCs w:val="1"/>
                <w:color w:val="auto"/>
              </w:rPr>
              <w:t>APPLIED OPTOELECTRONICS,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7, 2019</w:t>
            </w:r>
          </w:p>
        </w:tc>
        <w:tc>
          <w:tcPr>
            <w:tcW w:w="5900" w:type="dxa"/>
            <w:vAlign w:val="bottom"/>
            <w:gridSpan w:val="2"/>
          </w:tcPr>
          <w:p>
            <w:pPr>
              <w:ind w:left="1400"/>
              <w:spacing w:after="0"/>
              <w:rPr>
                <w:sz w:val="20"/>
                <w:szCs w:val="20"/>
                <w:color w:val="auto"/>
              </w:rPr>
            </w:pPr>
            <w:r>
              <w:rPr>
                <w:rFonts w:ascii="Arial" w:cs="Arial" w:eastAsia="Arial" w:hAnsi="Arial"/>
                <w:sz w:val="18"/>
                <w:szCs w:val="18"/>
                <w:color w:val="auto"/>
              </w:rPr>
              <w:t>By: /s/ STEFAN J. MURRY</w:t>
            </w:r>
          </w:p>
        </w:tc>
      </w:tr>
      <w:tr>
        <w:trPr>
          <w:trHeight w:val="195"/>
        </w:trPr>
        <w:tc>
          <w:tcPr>
            <w:tcW w:w="3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16"/>
        </w:trPr>
        <w:tc>
          <w:tcPr>
            <w:tcW w:w="3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w:t>
            </w:r>
          </w:p>
        </w:tc>
      </w:tr>
      <w:tr>
        <w:trPr>
          <w:trHeight w:val="230"/>
        </w:trPr>
        <w:tc>
          <w:tcPr>
            <w:tcW w:w="3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49" w:hanging="649"/>
        <w:spacing w:after="0"/>
        <w:tabs>
          <w:tab w:leader="none" w:pos="6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649" w:right="80" w:hanging="649"/>
        <w:spacing w:after="0" w:line="264" w:lineRule="auto"/>
        <w:tabs>
          <w:tab w:leader="none" w:pos="6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9" w:right="140" w:hanging="649"/>
        <w:spacing w:after="0" w:line="264" w:lineRule="auto"/>
        <w:tabs>
          <w:tab w:leader="none" w:pos="6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ind w:left="649" w:right="260" w:hanging="649"/>
        <w:spacing w:after="0" w:line="264" w:lineRule="auto"/>
        <w:tabs>
          <w:tab w:leader="none" w:pos="6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289" w:right="40" w:hanging="316"/>
        <w:spacing w:after="0" w:line="286" w:lineRule="auto"/>
        <w:tabs>
          <w:tab w:leader="none" w:pos="1289"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289" w:right="120" w:hanging="316"/>
        <w:spacing w:after="0" w:line="264" w:lineRule="auto"/>
        <w:tabs>
          <w:tab w:leader="none" w:pos="12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9" w:right="380" w:hanging="649"/>
        <w:spacing w:after="0" w:line="264" w:lineRule="auto"/>
        <w:tabs>
          <w:tab w:leader="none" w:pos="6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289" w:right="380" w:hanging="316"/>
        <w:spacing w:after="0" w:line="264" w:lineRule="auto"/>
        <w:tabs>
          <w:tab w:leader="none" w:pos="12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9" w:right="760" w:hanging="316"/>
        <w:spacing w:after="0" w:line="277" w:lineRule="auto"/>
        <w:tabs>
          <w:tab w:leader="none" w:pos="12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November 7, 2019</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auto"/>
        </w:rPr>
        <w:t>/s/ CHIH-HSIANG (THOMPSON) LIN</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61225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49" w:hanging="649"/>
        <w:spacing w:after="0"/>
        <w:tabs>
          <w:tab w:leader="none" w:pos="6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649" w:right="80" w:hanging="649"/>
        <w:spacing w:after="0" w:line="264" w:lineRule="auto"/>
        <w:tabs>
          <w:tab w:leader="none" w:pos="6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9" w:right="140" w:hanging="649"/>
        <w:spacing w:after="0" w:line="264" w:lineRule="auto"/>
        <w:tabs>
          <w:tab w:leader="none" w:pos="6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ind w:left="649" w:right="260" w:hanging="649"/>
        <w:spacing w:after="0" w:line="264" w:lineRule="auto"/>
        <w:tabs>
          <w:tab w:leader="none" w:pos="6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289" w:right="40" w:hanging="316"/>
        <w:spacing w:after="0" w:line="286" w:lineRule="auto"/>
        <w:tabs>
          <w:tab w:leader="none" w:pos="1289"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289" w:right="120" w:hanging="316"/>
        <w:spacing w:after="0" w:line="264" w:lineRule="auto"/>
        <w:tabs>
          <w:tab w:leader="none" w:pos="1289"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9" w:right="380" w:hanging="649"/>
        <w:spacing w:after="0" w:line="264" w:lineRule="auto"/>
        <w:tabs>
          <w:tab w:leader="none" w:pos="6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289" w:right="380" w:hanging="316"/>
        <w:spacing w:after="0" w:line="264" w:lineRule="auto"/>
        <w:tabs>
          <w:tab w:leader="none" w:pos="128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9" w:right="760" w:hanging="316"/>
        <w:spacing w:after="0" w:line="277" w:lineRule="auto"/>
        <w:tabs>
          <w:tab w:leader="none" w:pos="128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November 7, 2019</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STEFAN J. MURRY</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61225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54" w:lineRule="exact"/>
        <w:rPr>
          <w:sz w:val="20"/>
          <w:szCs w:val="20"/>
          <w:color w:val="auto"/>
        </w:rPr>
      </w:pPr>
    </w:p>
    <w:p>
      <w:pPr>
        <w:jc w:val="both"/>
        <w:ind w:left="780" w:hanging="453"/>
        <w:spacing w:after="0" w:line="26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2019, to which this Certification is attached as Exhibit 32.1 (the “Quarterly Report”) fully complies with the requirements of Section 13(a) or Section 15(d) of the Exchange Act; and</w:t>
      </w:r>
    </w:p>
    <w:p>
      <w:pPr>
        <w:spacing w:after="0" w:line="181" w:lineRule="exact"/>
        <w:rPr>
          <w:rFonts w:ascii="Arial" w:cs="Arial" w:eastAsia="Arial" w:hAnsi="Arial"/>
          <w:sz w:val="18"/>
          <w:szCs w:val="18"/>
          <w:color w:val="auto"/>
        </w:rPr>
      </w:pPr>
    </w:p>
    <w:p>
      <w:pPr>
        <w:ind w:left="780" w:hanging="453"/>
        <w:spacing w:after="0" w:line="277"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7</w:t>
      </w:r>
      <w:r>
        <w:rPr>
          <w:rFonts w:ascii="Arial" w:cs="Arial" w:eastAsia="Arial" w:hAnsi="Arial"/>
          <w:sz w:val="8"/>
          <w:szCs w:val="8"/>
          <w:color w:val="auto"/>
        </w:rPr>
        <w:t>th</w:t>
      </w:r>
      <w:r>
        <w:rPr>
          <w:rFonts w:ascii="Arial" w:cs="Arial" w:eastAsia="Arial" w:hAnsi="Arial"/>
          <w:sz w:val="18"/>
          <w:szCs w:val="18"/>
          <w:color w:val="auto"/>
        </w:rPr>
        <w:t xml:space="preserve"> day of November, 2019.</w:t>
      </w:r>
    </w:p>
    <w:p>
      <w:pPr>
        <w:sectPr>
          <w:pgSz w:w="11900" w:h="16838" w:orient="portrait"/>
          <w:cols w:equalWidth="0" w:num="1">
            <w:col w:w="9060"/>
          </w:cols>
          <w:pgMar w:left="1420" w:top="121" w:right="1419" w:bottom="1440" w:gutter="0" w:footer="0" w:header="0"/>
        </w:sectPr>
      </w:pPr>
    </w:p>
    <w:p>
      <w:pPr>
        <w:spacing w:after="0" w:line="225" w:lineRule="exact"/>
        <w:rPr>
          <w:sz w:val="20"/>
          <w:szCs w:val="20"/>
          <w:color w:val="auto"/>
        </w:rPr>
      </w:pPr>
    </w:p>
    <w:p>
      <w:pPr>
        <w:ind w:right="1060"/>
        <w:spacing w:after="0" w:line="295" w:lineRule="auto"/>
        <w:rPr>
          <w:sz w:val="20"/>
          <w:szCs w:val="20"/>
          <w:color w:val="auto"/>
        </w:rPr>
      </w:pPr>
      <w:r>
        <w:rPr>
          <w:rFonts w:ascii="Arial" w:cs="Arial" w:eastAsia="Arial" w:hAnsi="Arial"/>
          <w:sz w:val="17"/>
          <w:szCs w:val="17"/>
          <w:color w:val="auto"/>
        </w:rPr>
        <w:t>/s/ CHIH-HSIANG (THOMPSON) LIN CHIH-HSIANG (THOMPSON) LIN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2795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870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65" w:lineRule="exact"/>
        <w:rPr>
          <w:sz w:val="20"/>
          <w:szCs w:val="20"/>
          <w:color w:val="auto"/>
        </w:rPr>
      </w:pPr>
    </w:p>
    <w:p>
      <w:pPr>
        <w:sectPr>
          <w:pgSz w:w="11900" w:h="16838" w:orient="portrait"/>
          <w:cols w:equalWidth="0" w:num="2">
            <w:col w:w="3960" w:space="720"/>
            <w:col w:w="4380"/>
          </w:cols>
          <w:pgMar w:left="1420" w:top="121" w:right="1419" w:bottom="1440" w:gutter="0" w:footer="0" w:header="0"/>
          <w:type w:val="continuous"/>
        </w:sectPr>
      </w:pP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281"/>
    </w:lvl>
  </w:abstractNum>
  <w:abstractNum w:abstractNumId="3">
    <w:nsid w:val="109CF92E"/>
    <w:multiLevelType w:val="hybridMultilevel"/>
    <w:lvl w:ilvl="0">
      <w:lvlJc w:val="left"/>
      <w:lvlText w:val="(%1)"/>
      <w:numFmt w:val="lowerRoman"/>
      <w:start w:val="4"/>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67" Type="http://schemas.openxmlformats.org/officeDocument/2006/relationships/hyperlink" Target="http://www.sec.gov/Archives/edgar/data/1158114/000101968713004306/aaoi_10q-ex0301.htm" TargetMode="External"/><Relationship Id="rId68" Type="http://schemas.openxmlformats.org/officeDocument/2006/relationships/hyperlink" Target="http://www.sec.gov/Archives/edgar/data/1158114/000101968713004306/aaoi_10q-ex0302.htm" TargetMode="External"/><Relationship Id="rId69" Type="http://schemas.openxmlformats.org/officeDocument/2006/relationships/hyperlink" Target="http://www.sec.gov/Archives/edgar/data/1158114/000110465915051289/a15-15715_1ex4d1.htm" TargetMode="External"/><Relationship Id="rId70" Type="http://schemas.openxmlformats.org/officeDocument/2006/relationships/hyperlink" Target="http://www.sec.gov/Archives/edgar/data/1158114/000110465919012900/a19-4821_4ex4d1.htm" TargetMode="External"/><Relationship Id="rId71" Type="http://schemas.openxmlformats.org/officeDocument/2006/relationships/hyperlink" Target="http://www.sec.gov/Archives/edgar/data/1158114/000168316819003174/appliedopto_ex1001.htm" TargetMode="External"/><Relationship Id="rId72" Type="http://schemas.openxmlformats.org/officeDocument/2006/relationships/hyperlink" Target="http://www.sec.gov/Archives/edgar/data/1158114/000168316819003174/appliedopto_ex1002.htm" TargetMode="External"/><Relationship Id="rId73" Type="http://schemas.openxmlformats.org/officeDocument/2006/relationships/hyperlink" Target="http://www.sec.gov/Archives/edgar/data/1158114/000168316819003174/appliedopto_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2019-12-28T02:14:47Z</dcterms:created>
  <dcterms:modified xsi:type="dcterms:W3CDTF">2019-12-28T02:14:47Z</dcterms:modified>
</cp:coreProperties>
</file>