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386080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4" w:lineRule="exact"/>
        <w:rPr>
          <w:sz w:val="24"/>
          <w:szCs w:val="24"/>
          <w:color w:val="auto"/>
        </w:rPr>
      </w:pPr>
    </w:p>
    <w:p>
      <w:pPr>
        <w:ind w:left="9"/>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389" w:right="1080" w:hanging="3389"/>
        <w:spacing w:after="0" w:line="412" w:lineRule="auto"/>
        <w:tabs>
          <w:tab w:leader="none" w:pos="20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2019</w:t>
      </w:r>
    </w:p>
    <w:p>
      <w:pPr>
        <w:spacing w:after="0" w:line="1"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2989" w:right="1060" w:hanging="2989"/>
        <w:spacing w:after="0" w:line="459" w:lineRule="auto"/>
        <w:tabs>
          <w:tab w:leader="none" w:pos="199"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For the transition period from __________ to </w:t>
      </w:r>
      <w:r>
        <w:rPr>
          <w:rFonts w:ascii="Times New Roman" w:cs="Times New Roman" w:eastAsia="Times New Roman" w:hAnsi="Times New Roman"/>
          <w:sz w:val="18"/>
          <w:szCs w:val="18"/>
          <w:color w:val="auto"/>
        </w:rPr>
        <w:t>__________</w:t>
      </w:r>
    </w:p>
    <w:p>
      <w:pPr>
        <w:spacing w:after="0" w:line="5" w:lineRule="exact"/>
        <w:rPr>
          <w:sz w:val="24"/>
          <w:szCs w:val="24"/>
          <w:color w:val="auto"/>
        </w:rPr>
      </w:pPr>
    </w:p>
    <w:p>
      <w:pPr>
        <w:ind w:left="3769"/>
        <w:spacing w:after="0"/>
        <w:rPr>
          <w:sz w:val="20"/>
          <w:szCs w:val="20"/>
          <w:color w:val="auto"/>
        </w:rPr>
      </w:pPr>
      <w:r>
        <w:rPr>
          <w:rFonts w:ascii="Times New Roman" w:cs="Times New Roman" w:eastAsia="Times New Roman" w:hAnsi="Times New Roman"/>
          <w:sz w:val="18"/>
          <w:szCs w:val="18"/>
          <w:b w:val="1"/>
          <w:bCs w:val="1"/>
          <w:color w:val="auto"/>
        </w:rPr>
        <w:t>Commission File Number: 001-36083</w:t>
      </w:r>
    </w:p>
    <w:p>
      <w:pPr>
        <w:spacing w:after="0" w:line="158" w:lineRule="exact"/>
        <w:rPr>
          <w:sz w:val="24"/>
          <w:szCs w:val="24"/>
          <w:color w:val="auto"/>
        </w:rPr>
      </w:pPr>
    </w:p>
    <w:p>
      <w:pPr>
        <w:ind w:left="4089"/>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31"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0429"/>
          </w:cols>
          <w:pgMar w:left="751" w:top="229" w:right="719" w:bottom="1440" w:gutter="0" w:footer="0" w:header="0"/>
        </w:sectPr>
      </w:pPr>
    </w:p>
    <w:p>
      <w:pPr>
        <w:spacing w:after="0" w:line="149" w:lineRule="exact"/>
        <w:rPr>
          <w:sz w:val="24"/>
          <w:szCs w:val="24"/>
          <w:color w:val="auto"/>
        </w:rPr>
      </w:pPr>
    </w:p>
    <w:p>
      <w:pPr>
        <w:jc w:val="center"/>
        <w:ind w:right="511"/>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511"/>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76-0533927</w:t>
      </w:r>
    </w:p>
    <w:p>
      <w:pPr>
        <w:spacing w:after="0" w:line="3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146" w:lineRule="exact"/>
        <w:rPr>
          <w:sz w:val="24"/>
          <w:szCs w:val="24"/>
          <w:color w:val="auto"/>
        </w:rPr>
      </w:pPr>
    </w:p>
    <w:p>
      <w:pPr>
        <w:sectPr>
          <w:pgSz w:w="11900" w:h="16838" w:orient="portrait"/>
          <w:cols w:equalWidth="0" w:num="2">
            <w:col w:w="5709" w:space="720"/>
            <w:col w:w="4000"/>
          </w:cols>
          <w:pgMar w:left="751" w:top="229" w:right="719" w:bottom="1440" w:gutter="0" w:footer="0" w:header="0"/>
          <w:type w:val="continuous"/>
        </w:sect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13139 Jess Pirtle Blvd.</w:t>
      </w:r>
    </w:p>
    <w:p>
      <w:pPr>
        <w:spacing w:after="0" w:line="31"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Sugar Land, TX 77478</w:t>
      </w:r>
    </w:p>
    <w:p>
      <w:pPr>
        <w:spacing w:after="0" w:line="9"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135" w:lineRule="exact"/>
        <w:rPr>
          <w:sz w:val="24"/>
          <w:szCs w:val="24"/>
          <w:color w:val="auto"/>
        </w:rPr>
      </w:pPr>
    </w:p>
    <w:p>
      <w:pPr>
        <w:ind w:left="5069" w:hanging="428"/>
        <w:spacing w:after="0"/>
        <w:tabs>
          <w:tab w:leader="none" w:pos="5069"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295-1800</w:t>
      </w:r>
    </w:p>
    <w:p>
      <w:pPr>
        <w:spacing w:after="0" w:line="31" w:lineRule="exact"/>
        <w:rPr>
          <w:rFonts w:ascii="Times New Roman" w:cs="Times New Roman" w:eastAsia="Times New Roman" w:hAnsi="Times New Roman"/>
          <w:sz w:val="18"/>
          <w:szCs w:val="18"/>
          <w:b w:val="1"/>
          <w:bCs w:val="1"/>
          <w:color w:val="auto"/>
        </w:rPr>
      </w:pPr>
    </w:p>
    <w:p>
      <w:pPr>
        <w:ind w:left="3949"/>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(Registrant’s telephone number)</w:t>
      </w:r>
    </w:p>
    <w:p>
      <w:pPr>
        <w:spacing w:after="0" w:line="139" w:lineRule="exact"/>
        <w:rPr>
          <w:sz w:val="24"/>
          <w:szCs w:val="24"/>
          <w:color w:val="auto"/>
        </w:rPr>
      </w:pPr>
    </w:p>
    <w:p>
      <w:pPr>
        <w:jc w:val="both"/>
        <w:ind w:left="9" w:right="20" w:firstLine="416"/>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w:t>
      </w:r>
    </w:p>
    <w:p>
      <w:pPr>
        <w:ind w:left="9"/>
        <w:spacing w:after="0" w:line="207" w:lineRule="exact"/>
        <w:tabs>
          <w:tab w:leader="none" w:pos="8548" w:val="left"/>
        </w:tabs>
        <w:rPr>
          <w:sz w:val="20"/>
          <w:szCs w:val="20"/>
          <w:color w:val="auto"/>
        </w:rPr>
      </w:pPr>
      <w:r>
        <w:rPr>
          <w:rFonts w:ascii="Times New Roman" w:cs="Times New Roman" w:eastAsia="Times New Roman" w:hAnsi="Times New Roman"/>
          <w:sz w:val="18"/>
          <w:szCs w:val="18"/>
          <w:color w:val="auto"/>
        </w:rPr>
        <w:t>reports), and (2) has been subject to such filing requirements for the past 90 days.</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198" w:lineRule="exact"/>
        <w:rPr>
          <w:sz w:val="24"/>
          <w:szCs w:val="24"/>
          <w:color w:val="auto"/>
        </w:rPr>
      </w:pPr>
    </w:p>
    <w:p>
      <w:pPr>
        <w:jc w:val="both"/>
        <w:ind w:left="9" w:right="40" w:firstLine="416"/>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ind w:left="896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144" w:lineRule="exact"/>
        <w:rPr>
          <w:sz w:val="24"/>
          <w:szCs w:val="24"/>
          <w:color w:val="auto"/>
        </w:rPr>
      </w:pPr>
    </w:p>
    <w:p>
      <w:pPr>
        <w:jc w:val="both"/>
        <w:ind w:left="9" w:right="20" w:firstLine="41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29"/>
          </w:cols>
          <w:pgMar w:left="751" w:top="229" w:right="719" w:bottom="1440" w:gutter="0" w:footer="0" w:header="0"/>
          <w:type w:val="continuous"/>
        </w:sectPr>
      </w:pPr>
    </w:p>
    <w:p>
      <w:pPr>
        <w:spacing w:after="0" w:line="109" w:lineRule="exact"/>
        <w:rPr>
          <w:sz w:val="24"/>
          <w:szCs w:val="24"/>
          <w:color w:val="auto"/>
        </w:rPr>
      </w:pPr>
    </w:p>
    <w:p>
      <w:pPr>
        <w:jc w:val="center"/>
        <w:ind w:left="609"/>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86" w:lineRule="exact"/>
        <w:rPr>
          <w:sz w:val="24"/>
          <w:szCs w:val="24"/>
          <w:color w:val="auto"/>
        </w:rPr>
      </w:pPr>
    </w:p>
    <w:p>
      <w:pPr>
        <w:sectPr>
          <w:pgSz w:w="11900" w:h="16838" w:orient="portrait"/>
          <w:cols w:equalWidth="0" w:num="2">
            <w:col w:w="3429" w:space="720"/>
            <w:col w:w="6280"/>
          </w:cols>
          <w:pgMar w:left="751" w:top="229" w:right="719" w:bottom="1440" w:gutter="0" w:footer="0" w:header="0"/>
          <w:type w:val="continuous"/>
        </w:sectPr>
      </w:pPr>
    </w:p>
    <w:p>
      <w:pPr>
        <w:ind w:left="1209"/>
        <w:spacing w:after="0"/>
        <w:rPr>
          <w:sz w:val="20"/>
          <w:szCs w:val="20"/>
          <w:color w:val="auto"/>
        </w:rPr>
      </w:pPr>
      <w:r>
        <w:rPr>
          <w:rFonts w:ascii="Times New Roman" w:cs="Times New Roman" w:eastAsia="Times New Roman" w:hAnsi="Times New Roman"/>
          <w:sz w:val="18"/>
          <w:szCs w:val="18"/>
          <w:color w:val="auto"/>
        </w:rPr>
        <w:t>Accelerated filer</w:t>
      </w:r>
    </w:p>
    <w:p>
      <w:pPr>
        <w:ind w:left="1209"/>
        <w:spacing w:after="0" w:line="219" w:lineRule="auto"/>
        <w:rPr>
          <w:sz w:val="20"/>
          <w:szCs w:val="20"/>
          <w:color w:val="auto"/>
        </w:rPr>
      </w:pPr>
      <w:r>
        <w:rPr>
          <w:rFonts w:ascii="Times New Roman" w:cs="Times New Roman" w:eastAsia="Times New Roman" w:hAnsi="Times New Roman"/>
          <w:sz w:val="18"/>
          <w:szCs w:val="18"/>
          <w:color w:val="auto"/>
        </w:rPr>
        <w:t>Non-accelerated filer</w:t>
      </w:r>
    </w:p>
    <w:p>
      <w:pPr>
        <w:ind w:left="1209"/>
        <w:spacing w:after="0" w:line="219" w:lineRule="auto"/>
        <w:rPr>
          <w:sz w:val="20"/>
          <w:szCs w:val="20"/>
          <w:color w:val="auto"/>
        </w:rPr>
      </w:pPr>
      <w:r>
        <w:rPr>
          <w:rFonts w:ascii="Times New Roman" w:cs="Times New Roman" w:eastAsia="Times New Roman" w:hAnsi="Times New Roman"/>
          <w:sz w:val="18"/>
          <w:szCs w:val="18"/>
          <w:color w:val="auto"/>
        </w:rPr>
        <w:t>Smaller reporting company</w:t>
      </w:r>
    </w:p>
    <w:p>
      <w:pPr>
        <w:ind w:left="1209"/>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77" w:lineRule="exact"/>
        <w:rPr>
          <w:sz w:val="24"/>
          <w:szCs w:val="24"/>
          <w:color w:val="auto"/>
        </w:rPr>
      </w:pPr>
    </w:p>
    <w:p>
      <w:pPr>
        <w:sectPr>
          <w:pgSz w:w="11900" w:h="16838" w:orient="portrait"/>
          <w:cols w:equalWidth="0" w:num="2">
            <w:col w:w="3429" w:space="720"/>
            <w:col w:w="6280"/>
          </w:cols>
          <w:pgMar w:left="751" w:top="229" w:right="719" w:bottom="1440" w:gutter="0" w:footer="0" w:header="0"/>
          <w:type w:val="continuous"/>
        </w:sectPr>
      </w:pPr>
    </w:p>
    <w:p>
      <w:pPr>
        <w:ind w:left="409"/>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w:t>
      </w:r>
    </w:p>
    <w:p>
      <w:pPr>
        <w:spacing w:after="0" w:line="22" w:lineRule="exact"/>
        <w:rPr>
          <w:sz w:val="24"/>
          <w:szCs w:val="24"/>
          <w:color w:val="auto"/>
        </w:rPr>
      </w:pPr>
    </w:p>
    <w:p>
      <w:pPr>
        <w:ind w:left="9"/>
        <w:spacing w:after="0" w:line="207" w:lineRule="exact"/>
        <w:tabs>
          <w:tab w:leader="none" w:pos="9768" w:val="left"/>
        </w:tabs>
        <w:rPr>
          <w:sz w:val="20"/>
          <w:szCs w:val="20"/>
          <w:color w:val="auto"/>
        </w:rPr>
      </w:pPr>
      <w:r>
        <w:rPr>
          <w:rFonts w:ascii="Times New Roman" w:cs="Times New Roman" w:eastAsia="Times New Roman" w:hAnsi="Times New Roman"/>
          <w:sz w:val="18"/>
          <w:szCs w:val="18"/>
          <w:color w:val="auto"/>
        </w:rPr>
        <w:t>complying with 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ind w:left="409"/>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tbl>
      <w:tblPr>
        <w:tblLayout w:type="fixed"/>
        <w:tblInd w:w="19" w:type="dxa"/>
        <w:tblCellMar>
          <w:top w:w="0" w:type="dxa"/>
          <w:left w:w="0" w:type="dxa"/>
          <w:bottom w:w="0" w:type="dxa"/>
          <w:right w:w="0" w:type="dxa"/>
        </w:tblCellMar>
      </w:tblPr>
      <w:tr>
        <w:trPr>
          <w:trHeight w:val="283"/>
        </w:trPr>
        <w:tc>
          <w:tcPr>
            <w:tcW w:w="59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460" w:type="dxa"/>
            <w:vAlign w:val="bottom"/>
          </w:tcPr>
          <w:p>
            <w:pPr>
              <w:ind w:left="300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4"/>
        </w:trPr>
        <w:tc>
          <w:tcPr>
            <w:tcW w:w="5960" w:type="dxa"/>
            <w:vAlign w:val="bottom"/>
            <w:gridSpan w:val="2"/>
            <w:vMerge w:val="continue"/>
          </w:tcPr>
          <w:p>
            <w:pPr>
              <w:spacing w:after="0"/>
              <w:rPr>
                <w:sz w:val="13"/>
                <w:szCs w:val="13"/>
                <w:color w:val="auto"/>
              </w:rPr>
            </w:pPr>
          </w:p>
        </w:tc>
        <w:tc>
          <w:tcPr>
            <w:tcW w:w="4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00" w:type="dxa"/>
            <w:vAlign w:val="bottom"/>
            <w:tcBorders>
              <w:left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rPr>
              <w:t>Title of each class</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Name of each exchange on which registered</w:t>
            </w:r>
          </w:p>
        </w:tc>
        <w:tc>
          <w:tcPr>
            <w:tcW w:w="0" w:type="dxa"/>
            <w:vAlign w:val="bottom"/>
          </w:tcPr>
          <w:p>
            <w:pPr>
              <w:spacing w:after="0"/>
              <w:rPr>
                <w:sz w:val="1"/>
                <w:szCs w:val="1"/>
                <w:color w:val="auto"/>
              </w:rPr>
            </w:pPr>
          </w:p>
        </w:tc>
      </w:tr>
      <w:tr>
        <w:trPr>
          <w:trHeight w:val="210"/>
        </w:trPr>
        <w:tc>
          <w:tcPr>
            <w:tcW w:w="3200" w:type="dxa"/>
            <w:vAlign w:val="bottom"/>
            <w:tcBorders>
              <w:left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Common Stock, Par value $0.001</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AAOI</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9" w:right="20" w:firstLine="415"/>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as of May 2, 2019 there were 19,939,626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54610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80010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440055</wp:posOffset>
            </wp:positionV>
            <wp:extent cx="66122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9"/>
          </w:cols>
          <w:pgMar w:left="751" w:top="229" w:right="7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40" w:type="dxa"/>
            <w:vAlign w:val="bottom"/>
            <w:gridSpan w:val="25"/>
          </w:tcPr>
          <w:p>
            <w:pPr>
              <w:spacing w:after="0"/>
              <w:rPr>
                <w:rFonts w:ascii="Times New Roman" w:cs="Times New Roman" w:eastAsia="Times New Roman" w:hAnsi="Times New Roman"/>
                <w:sz w:val="18"/>
                <w:szCs w:val="18"/>
                <w:color w:val="0563C1"/>
              </w:rPr>
            </w:pPr>
            <w:hyperlink w:anchor="page2">
              <w:r>
                <w:rPr>
                  <w:rFonts w:ascii="Times New Roman" w:cs="Times New Roman" w:eastAsia="Times New Roman" w:hAnsi="Times New Roman"/>
                  <w:sz w:val="18"/>
                  <w:szCs w:val="18"/>
                  <w:color w:val="0563C1"/>
                </w:rPr>
                <w:t>Table of Contents</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5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40" w:type="dxa"/>
            <w:vAlign w:val="bottom"/>
            <w:gridSpan w:val="10"/>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40" w:type="dxa"/>
            <w:vAlign w:val="bottom"/>
            <w:gridSpan w:val="10"/>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gridSpan w:val="11"/>
            <w:vMerge w:val="restart"/>
          </w:tcPr>
          <w:p>
            <w:pP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 Financial Information</w:t>
              </w:r>
            </w:hyperlink>
          </w:p>
        </w:tc>
        <w:tc>
          <w:tcPr>
            <w:tcW w:w="6380" w:type="dxa"/>
            <w:vAlign w:val="bottom"/>
            <w:gridSpan w:val="14"/>
            <w:vMerge w:val="restart"/>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11"/>
            <w:vMerge w:val="continue"/>
          </w:tcPr>
          <w:p>
            <w:pPr>
              <w:spacing w:after="0"/>
              <w:rPr>
                <w:sz w:val="13"/>
                <w:szCs w:val="13"/>
                <w:color w:val="auto"/>
              </w:rPr>
            </w:pPr>
          </w:p>
        </w:tc>
        <w:tc>
          <w:tcPr>
            <w:tcW w:w="6380" w:type="dxa"/>
            <w:vAlign w:val="bottom"/>
            <w:gridSpan w:val="14"/>
            <w:vMerge w:val="continue"/>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260" w:type="dxa"/>
            <w:vAlign w:val="bottom"/>
            <w:gridSpan w:val="2"/>
          </w:tcPr>
          <w:p>
            <w:pPr>
              <w:spacing w:after="0"/>
              <w:rPr>
                <w:sz w:val="24"/>
                <w:szCs w:val="24"/>
                <w:color w:val="auto"/>
              </w:rPr>
            </w:pPr>
          </w:p>
        </w:tc>
        <w:tc>
          <w:tcPr>
            <w:tcW w:w="42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Financial Statements (Unaudited)</w:t>
              </w:r>
            </w:hyperlink>
          </w:p>
        </w:tc>
        <w:tc>
          <w:tcPr>
            <w:tcW w:w="3600" w:type="dxa"/>
            <w:vAlign w:val="bottom"/>
            <w:gridSpan w:val="9"/>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March 31, 2019 (Unaudited) and December 31, 201</w:t>
              </w:r>
            </w:hyperlink>
            <w:r>
              <w:rPr>
                <w:rFonts w:ascii="Times New Roman" w:cs="Times New Roman" w:eastAsia="Times New Roman" w:hAnsi="Times New Roman"/>
                <w:sz w:val="18"/>
                <w:szCs w:val="18"/>
                <w:color w:val="000000"/>
              </w:rPr>
              <w:t>8</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for the Three Months ended March 31, 2019 and 2018</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w:t>
              </w:r>
            </w:hyperlink>
          </w:p>
        </w:tc>
        <w:tc>
          <w:tcPr>
            <w:tcW w:w="26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Income (Loss) for the Three Months ended March</w:t>
              </w:r>
            </w:hyperlink>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60" w:type="dxa"/>
            <w:vAlign w:val="bottom"/>
            <w:gridSpan w:val="22"/>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31, 2019 and 2018 (Unaudited)</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Stockholders’ Equity for the Three Months ended March 31, 2019</w:t>
              </w:r>
            </w:hyperlink>
          </w:p>
        </w:tc>
        <w:tc>
          <w:tcPr>
            <w:tcW w:w="220" w:type="dxa"/>
            <w:vAlign w:val="bottom"/>
            <w:gridSpan w:val="2"/>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and 2018 (Unaudited)</w:t>
              </w:r>
            </w:hyperlink>
          </w:p>
        </w:tc>
        <w:tc>
          <w:tcPr>
            <w:tcW w:w="6280" w:type="dxa"/>
            <w:vAlign w:val="bottom"/>
            <w:gridSpan w:val="13"/>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2"/>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Three Months ended March 31, 2019 and 2018</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w:t>
              </w:r>
            </w:hyperlink>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2"/>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 (Unaudited)</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2.</w:t>
              </w:r>
            </w:hyperlink>
          </w:p>
        </w:tc>
        <w:tc>
          <w:tcPr>
            <w:tcW w:w="260" w:type="dxa"/>
            <w:vAlign w:val="bottom"/>
            <w:gridSpan w:val="2"/>
          </w:tcPr>
          <w:p>
            <w:pPr>
              <w:spacing w:after="0"/>
              <w:rPr>
                <w:sz w:val="24"/>
                <w:szCs w:val="24"/>
                <w:color w:val="auto"/>
              </w:rPr>
            </w:pPr>
          </w:p>
        </w:tc>
        <w:tc>
          <w:tcPr>
            <w:tcW w:w="64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1400" w:type="dxa"/>
            <w:vAlign w:val="bottom"/>
            <w:gridSpan w:val="5"/>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Item 3.</w:t>
              </w:r>
            </w:hyperlink>
          </w:p>
        </w:tc>
        <w:tc>
          <w:tcPr>
            <w:tcW w:w="260" w:type="dxa"/>
            <w:vAlign w:val="bottom"/>
            <w:gridSpan w:val="2"/>
          </w:tcPr>
          <w:p>
            <w:pPr>
              <w:spacing w:after="0"/>
              <w:rPr>
                <w:sz w:val="24"/>
                <w:szCs w:val="24"/>
                <w:color w:val="auto"/>
              </w:rPr>
            </w:pPr>
          </w:p>
        </w:tc>
        <w:tc>
          <w:tcPr>
            <w:tcW w:w="43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Quantitative and Qualitative Disclosures About Market Risk</w:t>
              </w:r>
            </w:hyperlink>
          </w:p>
        </w:tc>
        <w:tc>
          <w:tcPr>
            <w:tcW w:w="3500" w:type="dxa"/>
            <w:vAlign w:val="bottom"/>
            <w:gridSpan w:val="7"/>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Item 4.</w:t>
              </w:r>
            </w:hyperlink>
          </w:p>
        </w:tc>
        <w:tc>
          <w:tcPr>
            <w:tcW w:w="260" w:type="dxa"/>
            <w:vAlign w:val="bottom"/>
            <w:gridSpan w:val="2"/>
          </w:tcPr>
          <w:p>
            <w:pPr>
              <w:spacing w:after="0"/>
              <w:rPr>
                <w:sz w:val="24"/>
                <w:szCs w:val="24"/>
                <w:color w:val="auto"/>
              </w:rPr>
            </w:pPr>
          </w:p>
        </w:tc>
        <w:tc>
          <w:tcPr>
            <w:tcW w:w="7860" w:type="dxa"/>
            <w:vAlign w:val="bottom"/>
            <w:gridSpan w:val="22"/>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Controls and Procedures</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40" w:type="dxa"/>
            <w:vAlign w:val="bottom"/>
            <w:gridSpan w:val="25"/>
          </w:tcPr>
          <w:p>
            <w:pPr>
              <w:spacing w:after="0"/>
              <w:rPr>
                <w:rFonts w:ascii="Times New Roman" w:cs="Times New Roman" w:eastAsia="Times New Roman" w:hAnsi="Times New Roman"/>
                <w:sz w:val="18"/>
                <w:szCs w:val="18"/>
                <w:b w:val="1"/>
                <w:bCs w:val="1"/>
                <w:color w:val="0000EE"/>
              </w:rPr>
            </w:pPr>
            <w:hyperlink w:anchor="page34">
              <w:r>
                <w:rPr>
                  <w:rFonts w:ascii="Times New Roman" w:cs="Times New Roman" w:eastAsia="Times New Roman" w:hAnsi="Times New Roman"/>
                  <w:sz w:val="18"/>
                  <w:szCs w:val="18"/>
                  <w:b w:val="1"/>
                  <w:bCs w:val="1"/>
                  <w:color w:val="0000EE"/>
                </w:rPr>
                <w:t>Part II. Other Information</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Item 1.</w:t>
              </w:r>
            </w:hyperlink>
          </w:p>
        </w:tc>
        <w:tc>
          <w:tcPr>
            <w:tcW w:w="260" w:type="dxa"/>
            <w:vAlign w:val="bottom"/>
            <w:gridSpan w:val="2"/>
          </w:tcPr>
          <w:p>
            <w:pPr>
              <w:spacing w:after="0"/>
              <w:rPr>
                <w:sz w:val="24"/>
                <w:szCs w:val="24"/>
                <w:color w:val="auto"/>
              </w:rPr>
            </w:pPr>
          </w:p>
        </w:tc>
        <w:tc>
          <w:tcPr>
            <w:tcW w:w="7860" w:type="dxa"/>
            <w:vAlign w:val="bottom"/>
            <w:gridSpan w:val="22"/>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Legal Proceedings</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1A.</w:t>
              </w:r>
            </w:hyperlink>
          </w:p>
        </w:tc>
        <w:tc>
          <w:tcPr>
            <w:tcW w:w="7860" w:type="dxa"/>
            <w:vAlign w:val="bottom"/>
            <w:gridSpan w:val="22"/>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Risk Factors</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2"/>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Unregistered Sales of Equity Securities and Use of Proceeds</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Item 3.</w:t>
              </w:r>
            </w:hyperlink>
          </w:p>
        </w:tc>
        <w:tc>
          <w:tcPr>
            <w:tcW w:w="260" w:type="dxa"/>
            <w:vAlign w:val="bottom"/>
            <w:gridSpan w:val="2"/>
          </w:tcPr>
          <w:p>
            <w:pPr>
              <w:spacing w:after="0"/>
              <w:rPr>
                <w:sz w:val="24"/>
                <w:szCs w:val="24"/>
                <w:color w:val="auto"/>
              </w:rPr>
            </w:pPr>
          </w:p>
        </w:tc>
        <w:tc>
          <w:tcPr>
            <w:tcW w:w="232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8"/>
              </w:rPr>
            </w:pPr>
            <w:hyperlink w:anchor="page56">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352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Item 4.</w:t>
              </w:r>
            </w:hyperlink>
          </w:p>
        </w:tc>
        <w:tc>
          <w:tcPr>
            <w:tcW w:w="260" w:type="dxa"/>
            <w:vAlign w:val="bottom"/>
            <w:gridSpan w:val="2"/>
          </w:tcPr>
          <w:p>
            <w:pPr>
              <w:spacing w:after="0"/>
              <w:rPr>
                <w:sz w:val="24"/>
                <w:szCs w:val="24"/>
                <w:color w:val="auto"/>
              </w:rPr>
            </w:pPr>
          </w:p>
        </w:tc>
        <w:tc>
          <w:tcPr>
            <w:tcW w:w="7860" w:type="dxa"/>
            <w:vAlign w:val="bottom"/>
            <w:gridSpan w:val="22"/>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Mine Safety Disclosures</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57">
              <w:r>
                <w:rPr>
                  <w:rFonts w:ascii="Times New Roman" w:cs="Times New Roman" w:eastAsia="Times New Roman" w:hAnsi="Times New Roman"/>
                  <w:sz w:val="18"/>
                  <w:szCs w:val="18"/>
                  <w:color w:val="0000EE"/>
                  <w:w w:val="97"/>
                </w:rPr>
                <w:t>Item 5.</w:t>
              </w:r>
            </w:hyperlink>
          </w:p>
        </w:tc>
        <w:tc>
          <w:tcPr>
            <w:tcW w:w="260" w:type="dxa"/>
            <w:vAlign w:val="bottom"/>
            <w:gridSpan w:val="2"/>
          </w:tcPr>
          <w:p>
            <w:pPr>
              <w:spacing w:after="0"/>
              <w:rPr>
                <w:sz w:val="24"/>
                <w:szCs w:val="24"/>
                <w:color w:val="auto"/>
              </w:rPr>
            </w:pPr>
          </w:p>
        </w:tc>
        <w:tc>
          <w:tcPr>
            <w:tcW w:w="176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Other Information</w:t>
              </w:r>
            </w:hyperlink>
          </w:p>
        </w:tc>
        <w:tc>
          <w:tcPr>
            <w:tcW w:w="6100" w:type="dxa"/>
            <w:vAlign w:val="bottom"/>
            <w:gridSpan w:val="12"/>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57">
              <w:r>
                <w:rPr>
                  <w:rFonts w:ascii="Times New Roman" w:cs="Times New Roman" w:eastAsia="Times New Roman" w:hAnsi="Times New Roman"/>
                  <w:sz w:val="18"/>
                  <w:szCs w:val="18"/>
                  <w:color w:val="0000EE"/>
                  <w:w w:val="97"/>
                </w:rPr>
                <w:t>Item 6.</w:t>
              </w:r>
            </w:hyperlink>
          </w:p>
        </w:tc>
        <w:tc>
          <w:tcPr>
            <w:tcW w:w="26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57">
              <w:r>
                <w:rPr>
                  <w:rFonts w:ascii="Times New Roman" w:cs="Times New Roman" w:eastAsia="Times New Roman" w:hAnsi="Times New Roman"/>
                  <w:sz w:val="18"/>
                  <w:szCs w:val="18"/>
                  <w:color w:val="0000EE"/>
                  <w:w w:val="96"/>
                </w:rPr>
                <w:t>Exhibits</w:t>
              </w:r>
            </w:hyperlink>
          </w:p>
        </w:tc>
        <w:tc>
          <w:tcPr>
            <w:tcW w:w="720" w:type="dxa"/>
            <w:vAlign w:val="bottom"/>
            <w:tcBorders>
              <w:top w:val="single" w:sz="8" w:color="0000EE"/>
            </w:tcBorders>
            <w:gridSpan w:val="5"/>
          </w:tcPr>
          <w:p>
            <w:pPr>
              <w:spacing w:after="0"/>
              <w:rPr>
                <w:sz w:val="24"/>
                <w:szCs w:val="24"/>
                <w:color w:val="auto"/>
              </w:rPr>
            </w:pPr>
          </w:p>
        </w:tc>
        <w:tc>
          <w:tcPr>
            <w:tcW w:w="6540" w:type="dxa"/>
            <w:vAlign w:val="bottom"/>
            <w:gridSpan w:val="15"/>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60">
              <w:r>
                <w:rPr>
                  <w:rFonts w:ascii="Times New Roman" w:cs="Times New Roman" w:eastAsia="Times New Roman" w:hAnsi="Times New Roman"/>
                  <w:sz w:val="18"/>
                  <w:szCs w:val="18"/>
                  <w:color w:val="0000EE"/>
                  <w:w w:val="97"/>
                </w:rPr>
                <w:t>Signatures</w:t>
              </w:r>
            </w:hyperlink>
          </w:p>
        </w:tc>
        <w:tc>
          <w:tcPr>
            <w:tcW w:w="7100" w:type="dxa"/>
            <w:vAlign w:val="bottom"/>
            <w:gridSpan w:val="19"/>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8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gridSpan w:val="13"/>
          </w:tcPr>
          <w:p>
            <w:pPr>
              <w:jc w:val="center"/>
              <w:ind w:left="315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55,646</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 trade, net of allowance of $32 and $31, respectively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30,534</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receivable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93,256</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income tax</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100" w:type="dxa"/>
            <w:vAlign w:val="bottom"/>
            <w:shd w:val="clear" w:color="auto" w:fill="CCEEFF"/>
          </w:tcPr>
          <w:p>
            <w:pPr>
              <w:spacing w:after="0"/>
              <w:rPr>
                <w:sz w:val="18"/>
                <w:szCs w:val="18"/>
                <w:color w:val="auto"/>
              </w:rPr>
            </w:pPr>
          </w:p>
        </w:tc>
      </w:tr>
      <w:tr>
        <w:trPr>
          <w:trHeight w:val="210"/>
        </w:trPr>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194,275</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234,211</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Land use rights, net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right of use asset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 net</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00" w:type="dxa"/>
            <w:vAlign w:val="bottom"/>
            <w:tcBorders>
              <w:bottom w:val="single" w:sz="8" w:color="CCEEFF"/>
            </w:tcBorders>
          </w:tcPr>
          <w:p>
            <w:pPr>
              <w:spacing w:after="0"/>
              <w:rPr>
                <w:sz w:val="18"/>
                <w:szCs w:val="18"/>
                <w:color w:val="auto"/>
              </w:rPr>
            </w:pPr>
          </w:p>
        </w:tc>
      </w:tr>
      <w:tr>
        <w:trPr>
          <w:trHeight w:val="230"/>
        </w:trPr>
        <w:tc>
          <w:tcPr>
            <w:tcW w:w="6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491,205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3"/>
        </w:trPr>
        <w:tc>
          <w:tcPr>
            <w:tcW w:w="68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notes payable and long-term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18,168</w:t>
            </w:r>
          </w:p>
        </w:tc>
        <w:tc>
          <w:tcPr>
            <w:tcW w:w="2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23,589</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29,910</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 acceptance payable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lease liability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19,291</w:t>
            </w:r>
          </w:p>
        </w:tc>
        <w:tc>
          <w:tcPr>
            <w:tcW w:w="100" w:type="dxa"/>
            <w:vAlign w:val="bottom"/>
            <w:tcBorders>
              <w:bottom w:val="single" w:sz="8" w:color="CCEEFF"/>
            </w:tcBorders>
          </w:tcPr>
          <w:p>
            <w:pPr>
              <w:spacing w:after="0"/>
              <w:rPr>
                <w:sz w:val="18"/>
                <w:szCs w:val="18"/>
                <w:color w:val="auto"/>
              </w:rPr>
            </w:pPr>
          </w:p>
        </w:tc>
      </w:tr>
      <w:tr>
        <w:trPr>
          <w:trHeight w:val="210"/>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77,418</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payable and long-term debt, less current portion</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60,328</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167,587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8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5,000 shares authorized at $0.001 par value; no shares issued and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 at March 31, 2019 and December 31, 2018, respectively</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45,000 shares authorized at $0.001 par value; 19,888 and 19,810 shares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and outstanding at March 31, 2019 and December 31, 2018, respectively</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292,480</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35,992</w:t>
            </w:r>
          </w:p>
        </w:tc>
        <w:tc>
          <w:tcPr>
            <w:tcW w:w="100" w:type="dxa"/>
            <w:vAlign w:val="bottom"/>
            <w:shd w:val="clear" w:color="auto" w:fill="CCEEFF"/>
          </w:tcPr>
          <w:p>
            <w:pPr>
              <w:spacing w:after="0"/>
              <w:rPr>
                <w:sz w:val="18"/>
                <w:szCs w:val="18"/>
                <w:color w:val="auto"/>
              </w:rPr>
            </w:pPr>
          </w:p>
        </w:tc>
      </w:tr>
      <w:tr>
        <w:trPr>
          <w:trHeight w:val="210"/>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323,618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329,094</w:t>
            </w:r>
          </w:p>
        </w:tc>
        <w:tc>
          <w:tcPr>
            <w:tcW w:w="100" w:type="dxa"/>
            <w:vAlign w:val="bottom"/>
            <w:tcBorders>
              <w:bottom w:val="single" w:sz="8" w:color="CCEEFF"/>
            </w:tcBorders>
          </w:tcPr>
          <w:p>
            <w:pPr>
              <w:spacing w:after="0"/>
              <w:rPr>
                <w:sz w:val="18"/>
                <w:szCs w:val="18"/>
                <w:color w:val="auto"/>
              </w:rPr>
            </w:pPr>
          </w:p>
        </w:tc>
      </w:tr>
      <w:tr>
        <w:trPr>
          <w:trHeight w:val="217"/>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491,205</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466,840</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Applied Optoelectronics, Inc. and Subsidiaries CONDENSED CONSOLIDATED STATEMENTS OF OPERATIONS (Unaudited,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9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65,239</w:t>
            </w:r>
          </w:p>
        </w:tc>
        <w:tc>
          <w:tcPr>
            <w:tcW w:w="280" w:type="dxa"/>
            <w:vAlign w:val="bottom"/>
            <w:shd w:val="clear" w:color="auto" w:fill="CCEEFF"/>
          </w:tcPr>
          <w:p>
            <w:pPr>
              <w:spacing w:after="0"/>
              <w:rPr>
                <w:sz w:val="18"/>
                <w:szCs w:val="18"/>
                <w:color w:val="auto"/>
              </w:rPr>
            </w:pPr>
          </w:p>
        </w:tc>
      </w:tr>
      <w:tr>
        <w:trPr>
          <w:trHeight w:val="21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39,403</w:t>
            </w:r>
          </w:p>
        </w:tc>
        <w:tc>
          <w:tcPr>
            <w:tcW w:w="280" w:type="dxa"/>
            <w:vAlign w:val="bottom"/>
            <w:tcBorders>
              <w:bottom w:val="single" w:sz="8" w:color="CCEEFF"/>
            </w:tcBorders>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25,836</w:t>
            </w:r>
          </w:p>
        </w:tc>
        <w:tc>
          <w:tcPr>
            <w:tcW w:w="280" w:type="dxa"/>
            <w:vAlign w:val="bottom"/>
            <w:shd w:val="clear" w:color="auto" w:fill="CCEEFF"/>
          </w:tcPr>
          <w:p>
            <w:pPr>
              <w:spacing w:after="0"/>
              <w:rPr>
                <w:sz w:val="18"/>
                <w:szCs w:val="18"/>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11,736</w:t>
            </w:r>
          </w:p>
        </w:tc>
        <w:tc>
          <w:tcPr>
            <w:tcW w:w="280" w:type="dxa"/>
            <w:vAlign w:val="bottom"/>
            <w:shd w:val="clear" w:color="auto" w:fill="CCEEFF"/>
          </w:tcPr>
          <w:p>
            <w:pPr>
              <w:spacing w:after="0"/>
              <w:rPr>
                <w:sz w:val="18"/>
                <w:szCs w:val="18"/>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280" w:type="dxa"/>
            <w:vAlign w:val="bottom"/>
          </w:tcPr>
          <w:p>
            <w:pPr>
              <w:spacing w:after="0"/>
              <w:rPr>
                <w:sz w:val="18"/>
                <w:szCs w:val="18"/>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280" w:type="dxa"/>
            <w:vAlign w:val="bottom"/>
            <w:shd w:val="clear" w:color="auto" w:fill="CCEEFF"/>
          </w:tcPr>
          <w:p>
            <w:pPr>
              <w:spacing w:after="0"/>
              <w:rPr>
                <w:sz w:val="18"/>
                <w:szCs w:val="18"/>
                <w:color w:val="auto"/>
              </w:rPr>
            </w:pPr>
          </w:p>
        </w:tc>
      </w:tr>
      <w:tr>
        <w:trPr>
          <w:trHeight w:val="21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23,666</w:t>
            </w:r>
          </w:p>
        </w:tc>
        <w:tc>
          <w:tcPr>
            <w:tcW w:w="280" w:type="dxa"/>
            <w:vAlign w:val="bottom"/>
            <w:tcBorders>
              <w:bottom w:val="single" w:sz="8" w:color="CCEEFF"/>
            </w:tcBorders>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80" w:type="dxa"/>
            <w:vAlign w:val="bottom"/>
            <w:shd w:val="clear" w:color="auto" w:fill="CCEEFF"/>
          </w:tcPr>
          <w:p>
            <w:pPr>
              <w:spacing w:after="0"/>
              <w:rPr>
                <w:sz w:val="18"/>
                <w:szCs w:val="18"/>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shd w:val="clear" w:color="auto" w:fill="CCEEFF"/>
          </w:tcPr>
          <w:p>
            <w:pPr>
              <w:spacing w:after="0"/>
              <w:rPr>
                <w:sz w:val="18"/>
                <w:szCs w:val="18"/>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(1,027)</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80" w:type="dxa"/>
            <w:vAlign w:val="bottom"/>
            <w:shd w:val="clear" w:color="auto" w:fill="CCEEFF"/>
          </w:tcPr>
          <w:p>
            <w:pPr>
              <w:spacing w:after="0"/>
              <w:rPr>
                <w:sz w:val="18"/>
                <w:szCs w:val="18"/>
                <w:color w:val="auto"/>
              </w:rPr>
            </w:pPr>
          </w:p>
        </w:tc>
      </w:tr>
      <w:tr>
        <w:trPr>
          <w:trHeight w:val="21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80" w:type="dxa"/>
            <w:vAlign w:val="bottom"/>
            <w:tcBorders>
              <w:bottom w:val="single" w:sz="8" w:color="CCEEFF"/>
            </w:tcBorders>
          </w:tcPr>
          <w:p>
            <w:pPr>
              <w:spacing w:after="0"/>
              <w:rPr>
                <w:sz w:val="18"/>
                <w:szCs w:val="18"/>
                <w:color w:val="auto"/>
              </w:rPr>
            </w:pPr>
          </w:p>
        </w:tc>
      </w:tr>
      <w:tr>
        <w:trPr>
          <w:trHeight w:val="23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280" w:type="dxa"/>
            <w:vAlign w:val="bottom"/>
            <w:tcBorders>
              <w:bottom w:val="single" w:sz="8" w:color="CCEEFF"/>
            </w:tcBorders>
            <w:shd w:val="clear" w:color="auto" w:fill="CCEEFF"/>
          </w:tcPr>
          <w:p>
            <w:pPr>
              <w:spacing w:after="0"/>
              <w:rPr>
                <w:sz w:val="19"/>
                <w:szCs w:val="19"/>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income (loss) per share</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(0.53)</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shd w:val="clear" w:color="auto" w:fill="CCEEFF"/>
          </w:tcPr>
          <w:p>
            <w:pPr>
              <w:spacing w:after="0"/>
              <w:rPr>
                <w:sz w:val="18"/>
                <w:szCs w:val="18"/>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(0.53)</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income (loss) per share: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19,863,080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19,492,251</w:t>
            </w:r>
          </w:p>
        </w:tc>
        <w:tc>
          <w:tcPr>
            <w:tcW w:w="280" w:type="dxa"/>
            <w:vAlign w:val="bottom"/>
            <w:shd w:val="clear" w:color="auto" w:fill="CCEEFF"/>
          </w:tcPr>
          <w:p>
            <w:pPr>
              <w:spacing w:after="0"/>
              <w:rPr>
                <w:sz w:val="18"/>
                <w:szCs w:val="18"/>
                <w:color w:val="auto"/>
              </w:rPr>
            </w:pPr>
          </w:p>
        </w:tc>
      </w:tr>
      <w:tr>
        <w:trPr>
          <w:trHeight w:val="234"/>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19,863,080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19,988,575</w:t>
            </w:r>
          </w:p>
        </w:tc>
        <w:tc>
          <w:tcPr>
            <w:tcW w:w="280" w:type="dxa"/>
            <w:vAlign w:val="bottom"/>
          </w:tcPr>
          <w:p>
            <w:pPr>
              <w:spacing w:after="0"/>
              <w:rPr>
                <w:sz w:val="20"/>
                <w:szCs w:val="20"/>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7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7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2,120</w:t>
            </w:r>
          </w:p>
        </w:tc>
        <w:tc>
          <w:tcPr>
            <w:tcW w:w="220" w:type="dxa"/>
            <w:vAlign w:val="bottom"/>
            <w:shd w:val="clear" w:color="auto" w:fill="CCEEFF"/>
          </w:tcPr>
          <w:p>
            <w:pPr>
              <w:spacing w:after="0"/>
              <w:rPr>
                <w:sz w:val="18"/>
                <w:szCs w:val="18"/>
                <w:color w:val="auto"/>
              </w:rPr>
            </w:pPr>
          </w:p>
        </w:tc>
      </w:tr>
      <w:tr>
        <w:trPr>
          <w:trHeight w:val="216"/>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 on foreign currency translation adjustment</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6,335</w:t>
            </w:r>
          </w:p>
        </w:tc>
        <w:tc>
          <w:tcPr>
            <w:tcW w:w="220" w:type="dxa"/>
            <w:vAlign w:val="bottom"/>
            <w:tcBorders>
              <w:bottom w:val="single" w:sz="8" w:color="CCEEFF"/>
            </w:tcBorders>
          </w:tcPr>
          <w:p>
            <w:pPr>
              <w:spacing w:after="0"/>
              <w:rPr>
                <w:sz w:val="18"/>
                <w:szCs w:val="18"/>
                <w:color w:val="auto"/>
              </w:rPr>
            </w:pPr>
          </w:p>
        </w:tc>
      </w:tr>
      <w:tr>
        <w:trPr>
          <w:trHeight w:val="217"/>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8,455</w:t>
            </w:r>
          </w:p>
        </w:tc>
        <w:tc>
          <w:tcPr>
            <w:tcW w:w="220" w:type="dxa"/>
            <w:vAlign w:val="bottom"/>
            <w:tcBorders>
              <w:bottom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Applied Optoelectronics, Inc. and Subsidiaries CONDENSED CONSOLIDATED STATEMENTS OF STOCKHOLDERS’ EQUITY Three months ended March 31, 2019 and 2018 (Unaudited,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5"/>
        </w:trPr>
        <w:tc>
          <w:tcPr>
            <w:tcW w:w="3320" w:type="dxa"/>
            <w:vAlign w:val="bottom"/>
          </w:tcPr>
          <w:p>
            <w:pPr>
              <w:spacing w:after="0"/>
              <w:rPr>
                <w:sz w:val="13"/>
                <w:szCs w:val="13"/>
                <w:color w:val="auto"/>
              </w:rPr>
            </w:pPr>
          </w:p>
        </w:tc>
        <w:tc>
          <w:tcPr>
            <w:tcW w:w="126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18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08"/>
        </w:trPr>
        <w:tc>
          <w:tcPr>
            <w:tcW w:w="3320" w:type="dxa"/>
            <w:vAlign w:val="bottom"/>
          </w:tcPr>
          <w:p>
            <w:pPr>
              <w:spacing w:after="0"/>
              <w:rPr>
                <w:sz w:val="9"/>
                <w:szCs w:val="9"/>
                <w:color w:val="auto"/>
              </w:rPr>
            </w:pPr>
          </w:p>
        </w:tc>
        <w:tc>
          <w:tcPr>
            <w:tcW w:w="500" w:type="dxa"/>
            <w:vAlign w:val="bottom"/>
            <w:tcBorders>
              <w:top w:val="single" w:sz="8" w:color="auto"/>
            </w:tcBorders>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top w:val="single" w:sz="8" w:color="auto"/>
            </w:tcBorders>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3"/>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860" w:type="dxa"/>
            <w:vAlign w:val="bottom"/>
            <w:gridSpan w:val="3"/>
          </w:tcPr>
          <w:p>
            <w:pPr>
              <w:jc w:val="center"/>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80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Stockholders'</w:t>
            </w:r>
          </w:p>
        </w:tc>
      </w:tr>
      <w:tr>
        <w:trPr>
          <w:trHeight w:val="155"/>
        </w:trPr>
        <w:tc>
          <w:tcPr>
            <w:tcW w:w="332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2"/>
              </w:rPr>
              <w:t>of shares</w:t>
            </w:r>
          </w:p>
        </w:tc>
        <w:tc>
          <w:tcPr>
            <w:tcW w:w="120" w:type="dxa"/>
            <w:vAlign w:val="bottom"/>
          </w:tcPr>
          <w:p>
            <w:pPr>
              <w:spacing w:after="0"/>
              <w:rPr>
                <w:sz w:val="13"/>
                <w:szCs w:val="13"/>
                <w:color w:val="auto"/>
              </w:rPr>
            </w:pP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2"/>
              </w:rPr>
              <w:t>of shares</w:t>
            </w:r>
          </w:p>
        </w:tc>
        <w:tc>
          <w:tcPr>
            <w:tcW w:w="14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gain (loss)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29"/>
        </w:trPr>
        <w:tc>
          <w:tcPr>
            <w:tcW w:w="33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January 1, 2019</w:t>
            </w:r>
          </w:p>
        </w:tc>
        <w:tc>
          <w:tcPr>
            <w:tcW w:w="500" w:type="dxa"/>
            <w:vAlign w:val="bottom"/>
            <w:tcBorders>
              <w:top w:val="single" w:sz="8" w:color="auto"/>
            </w:tcBorders>
            <w:shd w:val="clear" w:color="auto" w:fill="CCEEFF"/>
          </w:tcPr>
          <w:p>
            <w:pPr>
              <w:ind w:left="3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ind w:left="2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19,810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$ 292,480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602</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35,992</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329,094</w:t>
            </w:r>
          </w:p>
        </w:tc>
        <w:tc>
          <w:tcPr>
            <w:tcW w:w="60" w:type="dxa"/>
            <w:vAlign w:val="bottom"/>
            <w:tcBorders>
              <w:top w:val="single" w:sz="8" w:color="CCEEFF"/>
            </w:tcBorders>
            <w:shd w:val="clear" w:color="auto" w:fill="CCEEFF"/>
          </w:tcPr>
          <w:p>
            <w:pPr>
              <w:spacing w:after="0"/>
              <w:rPr>
                <w:sz w:val="11"/>
                <w:szCs w:val="11"/>
                <w:color w:val="auto"/>
              </w:rPr>
            </w:pPr>
          </w:p>
        </w:tc>
      </w:tr>
      <w:tr>
        <w:trPr>
          <w:trHeight w:val="117"/>
        </w:trPr>
        <w:tc>
          <w:tcPr>
            <w:tcW w:w="33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Stock options exercised, net of shares withheld for employee</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3"/>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tax</w:t>
            </w:r>
          </w:p>
        </w:tc>
        <w:tc>
          <w:tcPr>
            <w:tcW w:w="5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3"/>
                <w:szCs w:val="13"/>
                <w:color w:val="auto"/>
              </w:rPr>
            </w:pPr>
          </w:p>
        </w:tc>
      </w:tr>
      <w:tr>
        <w:trPr>
          <w:trHeight w:val="117"/>
        </w:trPr>
        <w:tc>
          <w:tcPr>
            <w:tcW w:w="33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restricted stock, net of shares withheld for</w:t>
            </w: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5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employee tax</w:t>
            </w: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(299)</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(299)</w:t>
            </w: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50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ind w:lef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2,942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2,942</w:t>
            </w:r>
          </w:p>
        </w:tc>
        <w:tc>
          <w:tcPr>
            <w:tcW w:w="60" w:type="dxa"/>
            <w:vAlign w:val="bottom"/>
          </w:tcPr>
          <w:p>
            <w:pPr>
              <w:spacing w:after="0"/>
              <w:rPr>
                <w:sz w:val="11"/>
                <w:szCs w:val="11"/>
                <w:color w:val="auto"/>
              </w:rPr>
            </w:pPr>
          </w:p>
        </w:tc>
      </w:tr>
      <w:tr>
        <w:trPr>
          <w:trHeight w:val="135"/>
        </w:trPr>
        <w:tc>
          <w:tcPr>
            <w:tcW w:w="3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50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2,348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2,348</w:t>
            </w:r>
          </w:p>
        </w:tc>
        <w:tc>
          <w:tcPr>
            <w:tcW w:w="60" w:type="dxa"/>
            <w:vAlign w:val="bottom"/>
            <w:shd w:val="clear" w:color="auto" w:fill="CCEEFF"/>
          </w:tcPr>
          <w:p>
            <w:pPr>
              <w:spacing w:after="0"/>
              <w:rPr>
                <w:sz w:val="11"/>
                <w:szCs w:val="1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50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ind w:lef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50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(10,474)</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(10,474)</w:t>
            </w:r>
          </w:p>
        </w:tc>
      </w:tr>
      <w:tr>
        <w:trPr>
          <w:trHeight w:val="129"/>
        </w:trPr>
        <w:tc>
          <w:tcPr>
            <w:tcW w:w="33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March 31, 2019</w:t>
            </w:r>
          </w:p>
        </w:tc>
        <w:tc>
          <w:tcPr>
            <w:tcW w:w="500" w:type="dxa"/>
            <w:vAlign w:val="bottom"/>
            <w:tcBorders>
              <w:top w:val="single" w:sz="8" w:color="auto"/>
            </w:tcBorders>
          </w:tcPr>
          <w:p>
            <w:pPr>
              <w:ind w:left="3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tcPr>
          <w:p>
            <w:pPr>
              <w:ind w:left="2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19,888</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w:t>
            </w:r>
          </w:p>
        </w:tc>
        <w:tc>
          <w:tcPr>
            <w:tcW w:w="120" w:type="dxa"/>
            <w:vAlign w:val="bottom"/>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$ 295,130</w:t>
            </w:r>
          </w:p>
        </w:tc>
        <w:tc>
          <w:tcPr>
            <w:tcW w:w="14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25,518</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323,618</w:t>
            </w:r>
          </w:p>
        </w:tc>
        <w:tc>
          <w:tcPr>
            <w:tcW w:w="60" w:type="dxa"/>
            <w:vAlign w:val="bottom"/>
          </w:tcPr>
          <w:p>
            <w:pPr>
              <w:spacing w:after="0"/>
              <w:rPr>
                <w:sz w:val="11"/>
                <w:szCs w:val="11"/>
                <w:color w:val="auto"/>
              </w:rPr>
            </w:pPr>
          </w:p>
        </w:tc>
      </w:tr>
      <w:tr>
        <w:trPr>
          <w:trHeight w:val="27"/>
        </w:trPr>
        <w:tc>
          <w:tcPr>
            <w:tcW w:w="3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44"/>
        </w:trPr>
        <w:tc>
          <w:tcPr>
            <w:tcW w:w="3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55"/>
        </w:trPr>
        <w:tc>
          <w:tcPr>
            <w:tcW w:w="3320" w:type="dxa"/>
            <w:vAlign w:val="bottom"/>
          </w:tcPr>
          <w:p>
            <w:pPr>
              <w:spacing w:after="0"/>
              <w:rPr>
                <w:sz w:val="13"/>
                <w:szCs w:val="13"/>
                <w:color w:val="auto"/>
              </w:rPr>
            </w:pPr>
          </w:p>
        </w:tc>
        <w:tc>
          <w:tcPr>
            <w:tcW w:w="126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18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08"/>
        </w:trPr>
        <w:tc>
          <w:tcPr>
            <w:tcW w:w="3320" w:type="dxa"/>
            <w:vAlign w:val="bottom"/>
          </w:tcPr>
          <w:p>
            <w:pPr>
              <w:spacing w:after="0"/>
              <w:rPr>
                <w:sz w:val="9"/>
                <w:szCs w:val="9"/>
                <w:color w:val="auto"/>
              </w:rPr>
            </w:pPr>
          </w:p>
        </w:tc>
        <w:tc>
          <w:tcPr>
            <w:tcW w:w="500" w:type="dxa"/>
            <w:vAlign w:val="bottom"/>
            <w:tcBorders>
              <w:top w:val="single" w:sz="8" w:color="auto"/>
            </w:tcBorders>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top w:val="single" w:sz="8" w:color="auto"/>
            </w:tcBorders>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3"/>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860" w:type="dxa"/>
            <w:vAlign w:val="bottom"/>
            <w:gridSpan w:val="3"/>
          </w:tcPr>
          <w:p>
            <w:pPr>
              <w:jc w:val="center"/>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80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Stockholders'</w:t>
            </w:r>
          </w:p>
        </w:tc>
      </w:tr>
      <w:tr>
        <w:trPr>
          <w:trHeight w:val="155"/>
        </w:trPr>
        <w:tc>
          <w:tcPr>
            <w:tcW w:w="332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2"/>
              </w:rPr>
              <w:t>of shares</w:t>
            </w:r>
          </w:p>
        </w:tc>
        <w:tc>
          <w:tcPr>
            <w:tcW w:w="120" w:type="dxa"/>
            <w:vAlign w:val="bottom"/>
          </w:tcPr>
          <w:p>
            <w:pPr>
              <w:spacing w:after="0"/>
              <w:rPr>
                <w:sz w:val="13"/>
                <w:szCs w:val="13"/>
                <w:color w:val="auto"/>
              </w:rPr>
            </w:pP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2"/>
              </w:rPr>
              <w:t>of shares</w:t>
            </w:r>
          </w:p>
        </w:tc>
        <w:tc>
          <w:tcPr>
            <w:tcW w:w="14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gain (loss)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29"/>
        </w:trPr>
        <w:tc>
          <w:tcPr>
            <w:tcW w:w="33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January 1, 2018</w:t>
            </w:r>
          </w:p>
        </w:tc>
        <w:tc>
          <w:tcPr>
            <w:tcW w:w="500" w:type="dxa"/>
            <w:vAlign w:val="bottom"/>
            <w:tcBorders>
              <w:top w:val="single" w:sz="8" w:color="auto"/>
            </w:tcBorders>
            <w:shd w:val="clear" w:color="auto" w:fill="CCEEFF"/>
          </w:tcPr>
          <w:p>
            <w:pPr>
              <w:ind w:left="3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ind w:left="2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19,451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$ 285,376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9,743</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38,138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333,276</w:t>
            </w:r>
          </w:p>
        </w:tc>
        <w:tc>
          <w:tcPr>
            <w:tcW w:w="60" w:type="dxa"/>
            <w:vAlign w:val="bottom"/>
            <w:tcBorders>
              <w:top w:val="single" w:sz="8" w:color="CCEEFF"/>
            </w:tcBorders>
            <w:shd w:val="clear" w:color="auto" w:fill="CCEEFF"/>
          </w:tcPr>
          <w:p>
            <w:pPr>
              <w:spacing w:after="0"/>
              <w:rPr>
                <w:sz w:val="11"/>
                <w:szCs w:val="11"/>
                <w:color w:val="auto"/>
              </w:rPr>
            </w:pPr>
          </w:p>
        </w:tc>
      </w:tr>
      <w:tr>
        <w:trPr>
          <w:trHeight w:val="117"/>
        </w:trPr>
        <w:tc>
          <w:tcPr>
            <w:tcW w:w="33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Stock options exercised, net of shares withheld for employee</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3"/>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tax</w:t>
            </w:r>
          </w:p>
        </w:tc>
        <w:tc>
          <w:tcPr>
            <w:tcW w:w="5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(609)</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(609)</w:t>
            </w:r>
          </w:p>
        </w:tc>
      </w:tr>
      <w:tr>
        <w:trPr>
          <w:trHeight w:val="117"/>
        </w:trPr>
        <w:tc>
          <w:tcPr>
            <w:tcW w:w="33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restricted stock, net of shares withheld for</w:t>
            </w: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5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employee tax</w:t>
            </w: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(398)</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(397)</w:t>
            </w: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50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ind w:lef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2,569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2,569</w:t>
            </w:r>
          </w:p>
        </w:tc>
        <w:tc>
          <w:tcPr>
            <w:tcW w:w="60" w:type="dxa"/>
            <w:vAlign w:val="bottom"/>
          </w:tcPr>
          <w:p>
            <w:pPr>
              <w:spacing w:after="0"/>
              <w:rPr>
                <w:sz w:val="11"/>
                <w:szCs w:val="11"/>
                <w:color w:val="auto"/>
              </w:rPr>
            </w:pPr>
          </w:p>
        </w:tc>
      </w:tr>
      <w:tr>
        <w:trPr>
          <w:trHeight w:val="135"/>
        </w:trPr>
        <w:tc>
          <w:tcPr>
            <w:tcW w:w="3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50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6,335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6,335</w:t>
            </w:r>
          </w:p>
        </w:tc>
        <w:tc>
          <w:tcPr>
            <w:tcW w:w="60" w:type="dxa"/>
            <w:vAlign w:val="bottom"/>
            <w:shd w:val="clear" w:color="auto" w:fill="CCEEFF"/>
          </w:tcPr>
          <w:p>
            <w:pPr>
              <w:spacing w:after="0"/>
              <w:rPr>
                <w:sz w:val="11"/>
                <w:szCs w:val="1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50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ind w:lef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2,120</w:t>
            </w:r>
          </w:p>
        </w:tc>
        <w:tc>
          <w:tcPr>
            <w:tcW w:w="60" w:type="dxa"/>
            <w:vAlign w:val="bottom"/>
          </w:tcPr>
          <w:p>
            <w:pPr>
              <w:spacing w:after="0"/>
              <w:rPr>
                <w:sz w:val="11"/>
                <w:szCs w:val="11"/>
                <w:color w:val="auto"/>
              </w:rPr>
            </w:pPr>
          </w:p>
        </w:tc>
      </w:tr>
      <w:tr>
        <w:trPr>
          <w:trHeight w:val="129"/>
        </w:trPr>
        <w:tc>
          <w:tcPr>
            <w:tcW w:w="33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March 31, 2018</w:t>
            </w:r>
          </w:p>
        </w:tc>
        <w:tc>
          <w:tcPr>
            <w:tcW w:w="500" w:type="dxa"/>
            <w:vAlign w:val="bottom"/>
            <w:tcBorders>
              <w:top w:val="single" w:sz="8" w:color="auto"/>
            </w:tcBorders>
            <w:shd w:val="clear" w:color="auto" w:fill="CCEEFF"/>
          </w:tcPr>
          <w:p>
            <w:pPr>
              <w:ind w:left="3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ind w:left="2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19,538</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$ 286,938</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16,078</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40,258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343,294</w:t>
            </w:r>
          </w:p>
        </w:tc>
        <w:tc>
          <w:tcPr>
            <w:tcW w:w="60" w:type="dxa"/>
            <w:vAlign w:val="bottom"/>
            <w:tcBorders>
              <w:top w:val="single" w:sz="8" w:color="CCEEFF"/>
            </w:tcBorders>
            <w:shd w:val="clear" w:color="auto" w:fill="CCEEFF"/>
          </w:tcPr>
          <w:p>
            <w:pPr>
              <w:spacing w:after="0"/>
              <w:rPr>
                <w:sz w:val="11"/>
                <w:szCs w:val="11"/>
                <w:color w:val="auto"/>
              </w:rPr>
            </w:pPr>
          </w:p>
        </w:tc>
      </w:tr>
      <w:tr>
        <w:trPr>
          <w:trHeight w:val="27"/>
        </w:trPr>
        <w:tc>
          <w:tcPr>
            <w:tcW w:w="33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820"/>
        <w:spacing w:after="0" w:line="268" w:lineRule="auto"/>
        <w:rPr>
          <w:sz w:val="20"/>
          <w:szCs w:val="20"/>
          <w:color w:val="auto"/>
        </w:rPr>
      </w:pPr>
      <w:r>
        <w:rPr>
          <w:rFonts w:ascii="Times New Roman" w:cs="Times New Roman" w:eastAsia="Times New Roman" w:hAnsi="Times New Roman"/>
          <w:sz w:val="18"/>
          <w:szCs w:val="18"/>
          <w:b w:val="1"/>
          <w:bCs w:val="1"/>
          <w:color w:val="auto"/>
        </w:rPr>
        <w:t>Applied Optoelectronics, Inc. and Subsidiaries CONDENSED CONSOLIDATED STATEMENTS OF CASH FLOWS (Unaudited, in thousands)</w:t>
      </w:r>
    </w:p>
    <w:p>
      <w:pPr>
        <w:spacing w:after="0" w:line="115"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5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19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(10,474)</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20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Lower of cost or market reserve adjustment to inventory</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20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6,964</w:t>
            </w:r>
          </w:p>
        </w:tc>
        <w:tc>
          <w:tcPr>
            <w:tcW w:w="200" w:type="dxa"/>
            <w:vAlign w:val="bottom"/>
            <w:shd w:val="clear" w:color="auto" w:fill="CCEEFF"/>
          </w:tcPr>
          <w:p>
            <w:pPr>
              <w:spacing w:after="0"/>
              <w:rPr>
                <w:sz w:val="17"/>
                <w:szCs w:val="17"/>
                <w:color w:val="auto"/>
              </w:rPr>
            </w:pPr>
          </w:p>
        </w:tc>
      </w:tr>
      <w:tr>
        <w:trPr>
          <w:trHeight w:val="203"/>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(1,103)</w:t>
            </w:r>
          </w:p>
        </w:tc>
      </w:tr>
      <w:tr>
        <w:trPr>
          <w:trHeight w:val="203"/>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(gain) on disposal of assets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w:t>
            </w:r>
          </w:p>
        </w:tc>
        <w:tc>
          <w:tcPr>
            <w:tcW w:w="200" w:type="dxa"/>
            <w:vAlign w:val="bottom"/>
            <w:shd w:val="clear" w:color="auto" w:fill="CCEEFF"/>
          </w:tcPr>
          <w:p>
            <w:pPr>
              <w:spacing w:after="0"/>
              <w:rPr>
                <w:sz w:val="17"/>
                <w:szCs w:val="17"/>
                <w:color w:val="auto"/>
              </w:rPr>
            </w:pPr>
          </w:p>
        </w:tc>
      </w:tr>
      <w:tr>
        <w:trPr>
          <w:trHeight w:val="203"/>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Unrealized foreign exchange gain</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(710)</w:t>
            </w:r>
          </w:p>
        </w:tc>
      </w:tr>
      <w:tr>
        <w:trPr>
          <w:trHeight w:val="203"/>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trade</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(1,589)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6,195</w:t>
            </w:r>
          </w:p>
        </w:tc>
        <w:tc>
          <w:tcPr>
            <w:tcW w:w="20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Notes receivable</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income tax</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0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(15,761)</w:t>
            </w:r>
          </w:p>
        </w:tc>
      </w:tr>
      <w:tr>
        <w:trPr>
          <w:trHeight w:val="203"/>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(1,870)</w:t>
            </w: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right of use asset</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20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(6,052)</w:t>
            </w:r>
          </w:p>
        </w:tc>
      </w:tr>
      <w:tr>
        <w:trPr>
          <w:trHeight w:val="203"/>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liability</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w:t>
            </w:r>
          </w:p>
        </w:tc>
        <w:tc>
          <w:tcPr>
            <w:tcW w:w="200" w:type="dxa"/>
            <w:vAlign w:val="bottom"/>
            <w:tcBorders>
              <w:top w:val="single" w:sz="8" w:color="CCEEFF"/>
            </w:tcBorders>
            <w:shd w:val="clear" w:color="auto" w:fill="CCEEFF"/>
          </w:tcPr>
          <w:p>
            <w:pPr>
              <w:spacing w:after="0"/>
              <w:rPr>
                <w:sz w:val="17"/>
                <w:szCs w:val="17"/>
                <w:color w:val="auto"/>
              </w:rPr>
            </w:pPr>
          </w:p>
        </w:tc>
      </w:tr>
      <w:tr>
        <w:trPr>
          <w:trHeight w:val="19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5"/>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shd w:val="clear" w:color="auto" w:fill="CCEEFF"/>
          </w:tcPr>
          <w:p>
            <w:pPr>
              <w:spacing w:after="0"/>
              <w:rPr>
                <w:sz w:val="17"/>
                <w:szCs w:val="17"/>
                <w:color w:val="auto"/>
              </w:rPr>
            </w:pPr>
          </w:p>
        </w:tc>
      </w:tr>
      <w:tr>
        <w:trPr>
          <w:trHeight w:val="203"/>
        </w:trPr>
        <w:tc>
          <w:tcPr>
            <w:tcW w:w="6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(12,812)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(9,659)</w:t>
            </w:r>
          </w:p>
        </w:tc>
      </w:tr>
      <w:tr>
        <w:trPr>
          <w:trHeight w:val="203"/>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land use rights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(5,591)</w:t>
            </w:r>
          </w:p>
        </w:tc>
      </w:tr>
      <w:tr>
        <w:trPr>
          <w:trHeight w:val="203"/>
        </w:trPr>
        <w:tc>
          <w:tcPr>
            <w:tcW w:w="6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disposal of equipment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Deposits and prepaid for equipment</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200" w:type="dxa"/>
            <w:vAlign w:val="bottom"/>
            <w:shd w:val="clear" w:color="auto" w:fill="CCEEFF"/>
          </w:tcPr>
          <w:p>
            <w:pPr>
              <w:spacing w:after="0"/>
              <w:rPr>
                <w:sz w:val="17"/>
                <w:szCs w:val="17"/>
                <w:color w:val="auto"/>
              </w:rPr>
            </w:pPr>
          </w:p>
        </w:tc>
      </w:tr>
      <w:tr>
        <w:trPr>
          <w:trHeight w:val="203"/>
        </w:trPr>
        <w:tc>
          <w:tcPr>
            <w:tcW w:w="6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(134)</w:t>
            </w:r>
          </w:p>
        </w:tc>
      </w:tr>
      <w:tr>
        <w:trPr>
          <w:trHeight w:val="196"/>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(12,220)</w:t>
            </w:r>
          </w:p>
        </w:tc>
        <w:tc>
          <w:tcPr>
            <w:tcW w:w="200" w:type="dxa"/>
            <w:vAlign w:val="bottom"/>
            <w:tcBorders>
              <w:top w:val="single" w:sz="8" w:color="CCEEFF"/>
            </w:tcBorders>
            <w:shd w:val="clear" w:color="auto" w:fill="CCEEFF"/>
          </w:tcPr>
          <w:p>
            <w:pPr>
              <w:spacing w:after="0"/>
              <w:rPr>
                <w:sz w:val="17"/>
                <w:szCs w:val="17"/>
                <w:color w:val="auto"/>
              </w:rPr>
            </w:pPr>
          </w:p>
        </w:tc>
      </w:tr>
      <w:tr>
        <w:trPr>
          <w:trHeight w:val="19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5"/>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issuance of notes payable and long-term debt, net of debt issuance costs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26,556</w:t>
            </w:r>
          </w:p>
        </w:tc>
        <w:tc>
          <w:tcPr>
            <w:tcW w:w="200" w:type="dxa"/>
            <w:vAlign w:val="bottom"/>
            <w:shd w:val="clear" w:color="auto" w:fill="CCEEFF"/>
          </w:tcPr>
          <w:p>
            <w:pPr>
              <w:spacing w:after="0"/>
              <w:rPr>
                <w:sz w:val="17"/>
                <w:szCs w:val="17"/>
                <w:color w:val="auto"/>
              </w:rPr>
            </w:pPr>
          </w:p>
        </w:tc>
      </w:tr>
      <w:tr>
        <w:trPr>
          <w:trHeight w:val="203"/>
        </w:trPr>
        <w:tc>
          <w:tcPr>
            <w:tcW w:w="6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payments of long-term debt and notes payable</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(40,132)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(341)</w:t>
            </w:r>
          </w:p>
        </w:tc>
      </w:tr>
      <w:tr>
        <w:trPr>
          <w:trHeight w:val="203"/>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line of credit borrowings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44,953</w:t>
            </w:r>
          </w:p>
        </w:tc>
        <w:tc>
          <w:tcPr>
            <w:tcW w:w="200" w:type="dxa"/>
            <w:vAlign w:val="bottom"/>
            <w:shd w:val="clear" w:color="auto" w:fill="CCEEFF"/>
          </w:tcPr>
          <w:p>
            <w:pPr>
              <w:spacing w:after="0"/>
              <w:rPr>
                <w:sz w:val="17"/>
                <w:szCs w:val="17"/>
                <w:color w:val="auto"/>
              </w:rPr>
            </w:pPr>
          </w:p>
        </w:tc>
      </w:tr>
      <w:tr>
        <w:trPr>
          <w:trHeight w:val="203"/>
        </w:trPr>
        <w:tc>
          <w:tcPr>
            <w:tcW w:w="6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Repayments of line of credit borrowings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(25,747)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(55,583)</w:t>
            </w:r>
          </w:p>
        </w:tc>
      </w:tr>
      <w:tr>
        <w:trPr>
          <w:trHeight w:val="203"/>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bank acceptance payable</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Repayments of bank acceptance payable</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convertible senior notes, net of debt issuance costs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tcPr>
          <w:p>
            <w:pPr>
              <w:spacing w:after="0"/>
              <w:rPr>
                <w:sz w:val="17"/>
                <w:szCs w:val="17"/>
                <w:color w:val="auto"/>
              </w:rPr>
            </w:pPr>
          </w:p>
        </w:tc>
      </w:tr>
      <w:tr>
        <w:trPr>
          <w:trHeight w:val="203"/>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of tax withholding on behalf of employees related to share-based compensation</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(1,061)</w:t>
            </w:r>
          </w:p>
        </w:tc>
      </w:tr>
      <w:tr>
        <w:trPr>
          <w:trHeight w:val="196"/>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4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28,019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14,576</w:t>
            </w:r>
          </w:p>
        </w:tc>
        <w:tc>
          <w:tcPr>
            <w:tcW w:w="200" w:type="dxa"/>
            <w:vAlign w:val="bottom"/>
            <w:tcBorders>
              <w:bottom w:val="single" w:sz="8" w:color="CCEEFF"/>
            </w:tcBorders>
          </w:tcPr>
          <w:p>
            <w:pPr>
              <w:spacing w:after="0"/>
              <w:rPr>
                <w:sz w:val="17"/>
                <w:szCs w:val="17"/>
                <w:color w:val="auto"/>
              </w:rPr>
            </w:pPr>
          </w:p>
        </w:tc>
      </w:tr>
      <w:tr>
        <w:trPr>
          <w:trHeight w:val="196"/>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4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200" w:type="dxa"/>
            <w:vAlign w:val="bottom"/>
            <w:shd w:val="clear" w:color="auto" w:fill="CCEEFF"/>
          </w:tcPr>
          <w:p>
            <w:pPr>
              <w:spacing w:after="0"/>
              <w:rPr>
                <w:sz w:val="17"/>
                <w:szCs w:val="17"/>
                <w:color w:val="auto"/>
              </w:rPr>
            </w:pPr>
          </w:p>
        </w:tc>
      </w:tr>
      <w:tr>
        <w:trPr>
          <w:trHeight w:val="196"/>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20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83,948</w:t>
            </w:r>
          </w:p>
        </w:tc>
        <w:tc>
          <w:tcPr>
            <w:tcW w:w="200" w:type="dxa"/>
            <w:vAlign w:val="bottom"/>
            <w:shd w:val="clear" w:color="auto" w:fill="CCEEFF"/>
          </w:tcPr>
          <w:p>
            <w:pPr>
              <w:spacing w:after="0"/>
              <w:rPr>
                <w:sz w:val="17"/>
                <w:szCs w:val="17"/>
                <w:color w:val="auto"/>
              </w:rPr>
            </w:pPr>
          </w:p>
        </w:tc>
      </w:tr>
      <w:tr>
        <w:trPr>
          <w:trHeight w:val="203"/>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77,459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83,299</w:t>
            </w:r>
          </w:p>
        </w:tc>
        <w:tc>
          <w:tcPr>
            <w:tcW w:w="200" w:type="dxa"/>
            <w:vAlign w:val="bottom"/>
            <w:tcBorders>
              <w:bottom w:val="single" w:sz="8" w:color="CCEEFF"/>
            </w:tcBorders>
          </w:tcPr>
          <w:p>
            <w:pPr>
              <w:spacing w:after="0"/>
              <w:rPr>
                <w:sz w:val="17"/>
                <w:szCs w:val="17"/>
                <w:color w:val="auto"/>
              </w:rPr>
            </w:pPr>
          </w:p>
        </w:tc>
      </w:tr>
      <w:tr>
        <w:trPr>
          <w:trHeight w:val="20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shd w:val="clear" w:color="auto" w:fill="CCEEFF"/>
          </w:tcPr>
          <w:p>
            <w:pPr>
              <w:spacing w:after="0"/>
              <w:rPr>
                <w:sz w:val="17"/>
                <w:szCs w:val="17"/>
                <w:color w:val="auto"/>
              </w:rPr>
            </w:pPr>
          </w:p>
        </w:tc>
      </w:tr>
      <w:tr>
        <w:trPr>
          <w:trHeight w:val="203"/>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0"/>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change in accounts payable related to property and equipment additions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(1,138)</w:t>
            </w:r>
          </w:p>
        </w:tc>
      </w:tr>
    </w:tbl>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60" w:right="1540"/>
        <w:spacing w:after="0" w:line="278" w:lineRule="auto"/>
        <w:rPr>
          <w:sz w:val="20"/>
          <w:szCs w:val="20"/>
          <w:color w:val="auto"/>
        </w:rPr>
      </w:pPr>
      <w:r>
        <w:rPr>
          <w:rFonts w:ascii="Times New Roman" w:cs="Times New Roman" w:eastAsia="Times New Roman" w:hAnsi="Times New Roman"/>
          <w:sz w:val="18"/>
          <w:szCs w:val="18"/>
          <w:b w:val="1"/>
          <w:bCs w:val="1"/>
          <w:color w:val="auto"/>
        </w:rPr>
        <w:t>Applied Optoelectronics, Inc. and Subsidiaries NOTES TO CONDENSED CONSOLIDATED FINANCIAL STATEMENTS (Unaudited)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Overview</w:t>
      </w:r>
    </w:p>
    <w:p>
      <w:pPr>
        <w:spacing w:after="0" w:line="227" w:lineRule="exact"/>
        <w:rPr>
          <w:sz w:val="20"/>
          <w:szCs w:val="20"/>
          <w:color w:val="auto"/>
        </w:rPr>
      </w:pPr>
    </w:p>
    <w:p>
      <w:pPr>
        <w:ind w:right="39" w:firstLine="648"/>
        <w:spacing w:after="0" w:line="258" w:lineRule="auto"/>
        <w:rPr>
          <w:sz w:val="20"/>
          <w:szCs w:val="20"/>
          <w:color w:val="auto"/>
        </w:rPr>
      </w:pPr>
      <w:r>
        <w:rPr>
          <w:rFonts w:ascii="Times New Roman" w:cs="Times New Roman" w:eastAsia="Times New Roman" w:hAnsi="Times New Roman"/>
          <w:sz w:val="18"/>
          <w:szCs w:val="18"/>
          <w:color w:val="auto"/>
        </w:rPr>
        <w:t>Applied Optoelectronics, Inc. (“AOI” or the “Company”) is a Delaware corporation. The Company is a leading, vertically integrated provider of fiber-optic networking products, primarily for four networking end-markets: internet data center, cable television, telecommunications and fiber-to-the-home. The Company designs and manufactures a wide range of optical communications products at varying levels of integration, from components, subassemblies and modules to complete turn-key equipment.</w:t>
      </w:r>
    </w:p>
    <w:p>
      <w:pPr>
        <w:spacing w:after="0" w:line="184" w:lineRule="exact"/>
        <w:rPr>
          <w:sz w:val="20"/>
          <w:szCs w:val="20"/>
          <w:color w:val="auto"/>
        </w:rPr>
      </w:pPr>
    </w:p>
    <w:p>
      <w:pPr>
        <w:ind w:right="19" w:firstLine="648"/>
        <w:spacing w:after="0" w:line="253" w:lineRule="auto"/>
        <w:rPr>
          <w:sz w:val="20"/>
          <w:szCs w:val="20"/>
          <w:color w:val="auto"/>
        </w:rPr>
      </w:pPr>
      <w:r>
        <w:rPr>
          <w:rFonts w:ascii="Times New Roman" w:cs="Times New Roman" w:eastAsia="Times New Roman" w:hAnsi="Times New Roman"/>
          <w:sz w:val="18"/>
          <w:szCs w:val="18"/>
          <w:color w:val="auto"/>
        </w:rPr>
        <w:t>The Company has manufacturing and research and development facilities located in the U.S., Taiwan and China. In the U.S., at its corporate headquarters and manufacturing facilities in Sugar Land, Texas, the Company primarily manufactures lasers and laser components and performs research and development activities for laser component and optical module products. In addition, the Company also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transceivers and performs research and development activities for the transceiver products. Prime World is also the parent of Global Technology, Inc. (“Global”, incorporated in the People’s Republic of China). Through Global, the Company primarily manufactures certain of its data center transceiver products, including subassemblies, as well as Cable TV Broadband (“CATV”) systems and equipment, and performs research and development activities for the CATV products.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Financial Statements</w:t>
      </w:r>
    </w:p>
    <w:p>
      <w:pPr>
        <w:spacing w:after="0" w:line="227" w:lineRule="exact"/>
        <w:rPr>
          <w:sz w:val="20"/>
          <w:szCs w:val="20"/>
          <w:color w:val="auto"/>
        </w:rPr>
      </w:pPr>
    </w:p>
    <w:p>
      <w:pPr>
        <w:ind w:right="39" w:firstLine="648"/>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the Company as of March 31, 2019 and December 31, 2018 and for the three months ended March 31, 2019 and March 31, 2018,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10-K (“Annual Report”) for the fiscal year ended December 31, 2018. The results of operations for the three months ended March 31, 2019 are not necessarily indicative of the results expected for the entire fiscal year. All significant intercompany accounts and transactions have been eliminated.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239"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doubtful accounts, inventory reserve, product warranty costs, share-based compensation expense, estimated useful lives of property and equipment, and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9" w:lineRule="exact"/>
        <w:rPr>
          <w:sz w:val="20"/>
          <w:szCs w:val="20"/>
          <w:color w:val="auto"/>
        </w:rPr>
      </w:pPr>
    </w:p>
    <w:p>
      <w:pPr>
        <w:ind w:right="3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significant accounting policies for the three months ended March 31, 2019, as compared to the significant accounting policies described in its 2018 Annual Report, except as described below.</w:t>
      </w: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Pronouncements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Adopted in 2019</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25, 2016, the FASB released Accounting Standards Update (ASU) No. 2016-02, Leases, to complete its project to overhaul lease accounting. The ASU codifies ASC 842, Leases, which will replace the guidance in ASC 840. The new standard establishes a right-of-use model (ROU) that requires a lessee to recognize a ROU asset and lease liability on the balance sheet for all leases with a term longer than 12 months. The Company adopted this ASU on January 1, 2019 without any impact to beginning retained earnings. Upon adoption of the new lease standard, the Company elected the package of practical expedients which allowed it to carry forward the historical lease classification on existing leases at adoption. In addition, the Company elected the short-term lease recognition exemption for all leases that qualify. The Company also elected the practical expedient to not separate lease and non-lease components for all of its leases. The Company has implemented internal controls to enable the presentation of financial information on adoption. The standard has a material impact on the Company’s consolidated balance sheet, but did not have an impact in its consolidated income statements. The most significant effects of adopting the new standard relate to the recognition of new ROU assets and lease liabilities on its balance sheet for its Taiwan branch. See Note 4, "Operating Leases" for additional information on the required disclosures related to the impact of adopting this standard.</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June 2018, the FASB issued ASU 2018-07, Compensation-Stock Compensation (Topic 718): Improvements to Nonemployee Share-Based Payment Accounting, which simplifies the accounting for nonemployee share-based payment transactions. The amendments specify that Topic 718 applies to all share-based payment transactions in which a grantor acquires goods or services to be used or consumed in a grantor’s own operations by issuing share-based payment awards. The Company adopted this ASU on January 1, 2019 with no impact on its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Yet to be Adopted</w:t>
      </w:r>
    </w:p>
    <w:p>
      <w:pPr>
        <w:spacing w:after="0" w:line="22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Measurement of Credit Losses on Financial Instruments, which changes the way entities measure credit losses for most financial assets and certain other instruments that are not measured at fair value through net earnings. The new standard is effective for annual periods beginning after December 15, 2019, including interim periods within those annual periods. Based on the composition of the Company’s investment portfolio, current market conditions, and historical credit loss activity, the adoption of ASU 2016-13 is not expected to have a material impact on its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adoption of Topic 606 represents a change in accounting principle that will provide financial statement readers with enhanced revenue recognition disclosures. In accordance with Topic 606, revenue is recognized when obligations under the terms of a contract with our customer are satisfied; generally this occurs with the transfer of control of products or services. Revenue is measured as the amount of consideration the Company expects to receive in exchange for transferring products or providing services. Certain customers may receive cash and/or non-cash incentives, which are accounted for as variable consideration. To achieve this core principle, the Company applies the following five steps: (i) identify the contract with a customer; (ii) identify the performance obligations in the contract; (iii) determine the transaction price; (iv) allocate the transaction price to performance obligations in the contract; and (v) recognize revenue when or as the Company satisfies a performance obligation. The Company generally satisfies performance obligations at a point in time. Revenue is recognized based on the transaction price at the time the related performance obligation is satisfied by transferring a promised product or service to a customer.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Revenue is classified based on the location of where the product is manufactured. For additional information on the disaggregated revenues by geographical region, see Note 17, "Geographic Information.”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is also classified by major product category and is presented below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0"/>
                <w:szCs w:val="10"/>
                <w:color w:val="auto"/>
              </w:rPr>
            </w:pPr>
          </w:p>
        </w:tc>
        <w:tc>
          <w:tcPr>
            <w:tcW w:w="740" w:type="dxa"/>
            <w:vAlign w:val="bottom"/>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0"/>
                <w:szCs w:val="10"/>
                <w:color w:val="auto"/>
              </w:rPr>
            </w:pPr>
          </w:p>
        </w:tc>
        <w:tc>
          <w:tcPr>
            <w:tcW w:w="740" w:type="dxa"/>
            <w:vAlign w:val="bottom"/>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0" w:type="dxa"/>
            <w:vAlign w:val="bottom"/>
          </w:tcPr>
          <w:p>
            <w:pPr>
              <w:spacing w:after="0"/>
              <w:rPr>
                <w:sz w:val="1"/>
                <w:szCs w:val="1"/>
                <w:color w:val="auto"/>
              </w:rPr>
            </w:pPr>
          </w:p>
        </w:tc>
      </w:tr>
      <w:tr>
        <w:trPr>
          <w:trHeight w:val="173"/>
        </w:trPr>
        <w:tc>
          <w:tcPr>
            <w:tcW w:w="34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Center</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CATV</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FTTH</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7"/>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52,719</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65,239</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Operating Leases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leases space under non-cancelable operating leases for manufacturing facilities, research and development offices and certain storage facilities and apartments. These leases do not contain contingent rent provisions. The Company also leases certain machinery, office equipment and a vehicle under operating leases. Many of its leases include both lease (e.g. fixed payments including rent, taxes, and insurance costs) and non-lease components ( e.g. common-area or other maintenance costs) which are accounted for as a single lease component as the Company has elected the practical expedient to group lease and non-lease components for all leases. Several of the leases include one or more options to renew which have been assessed and either included or excluded from the calculation of the lease liability of ROU asset based on management’s intentions and individual fact patterns. Several warehouses and apartments have a non-cancelable lease terms of less than one-year and therefore, the Company has elected the practical expedient to exclude these short-term leases from its ROU asset and lease liabilities.</w:t>
      </w:r>
    </w:p>
    <w:p>
      <w:pPr>
        <w:spacing w:after="0" w:line="18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its incremental borrowing rate, which are the rates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periods indicated (in thousands):</w:t>
      </w:r>
    </w:p>
    <w:p>
      <w:pPr>
        <w:spacing w:after="0" w:line="300" w:lineRule="exact"/>
        <w:rPr>
          <w:sz w:val="20"/>
          <w:szCs w:val="20"/>
          <w:color w:val="auto"/>
        </w:rPr>
      </w:pPr>
    </w:p>
    <w:tbl>
      <w:tblPr>
        <w:tblLayout w:type="fixed"/>
        <w:tblInd w:w="106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9"/>
        </w:trPr>
        <w:tc>
          <w:tcPr>
            <w:tcW w:w="44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 Term lease expense</w:t>
            </w:r>
          </w:p>
        </w:tc>
        <w:tc>
          <w:tcPr>
            <w:tcW w:w="1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7"/>
        </w:trPr>
        <w:tc>
          <w:tcPr>
            <w:tcW w:w="44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lease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Maturities of lease liabilities are as follows for the future one-year periods ending March 31,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346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27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90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7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11,553</w:t>
            </w: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19"/>
                <w:szCs w:val="19"/>
                <w:color w:val="auto"/>
              </w:rPr>
            </w:pPr>
          </w:p>
        </w:tc>
        <w:tc>
          <w:tcPr>
            <w:tcW w:w="2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27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900" w:type="dxa"/>
            <w:vAlign w:val="bottom"/>
          </w:tcPr>
          <w:p>
            <w:pPr>
              <w:spacing w:after="0"/>
              <w:rPr>
                <w:sz w:val="19"/>
                <w:szCs w:val="19"/>
                <w:color w:val="auto"/>
              </w:rPr>
            </w:pPr>
          </w:p>
        </w:tc>
      </w:tr>
      <w:tr>
        <w:trPr>
          <w:trHeight w:val="230"/>
        </w:trPr>
        <w:tc>
          <w:tcPr>
            <w:tcW w:w="920" w:type="dxa"/>
            <w:vAlign w:val="bottom"/>
          </w:tcPr>
          <w:p>
            <w:pPr>
              <w:spacing w:after="0"/>
              <w:rPr>
                <w:sz w:val="19"/>
                <w:szCs w:val="19"/>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w:t>
            </w:r>
          </w:p>
        </w:tc>
        <w:tc>
          <w:tcPr>
            <w:tcW w:w="27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900" w:type="dxa"/>
            <w:vAlign w:val="bottom"/>
          </w:tcPr>
          <w:p>
            <w:pPr>
              <w:spacing w:after="0"/>
              <w:rPr>
                <w:sz w:val="19"/>
                <w:szCs w:val="19"/>
                <w:color w:val="auto"/>
              </w:rPr>
            </w:pPr>
          </w:p>
        </w:tc>
      </w:tr>
      <w:tr>
        <w:trPr>
          <w:trHeight w:val="838"/>
        </w:trPr>
        <w:tc>
          <w:tcPr>
            <w:tcW w:w="9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72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and discount rate for operating leases were as follows for the periods indicated:</w:t>
      </w:r>
    </w:p>
    <w:p>
      <w:pPr>
        <w:spacing w:after="0" w:line="236"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5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9"/>
        </w:trPr>
        <w:tc>
          <w:tcPr>
            <w:tcW w:w="56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bl>
    <w:p>
      <w:pPr>
        <w:spacing w:after="0" w:line="179" w:lineRule="exact"/>
        <w:rPr>
          <w:sz w:val="20"/>
          <w:szCs w:val="20"/>
          <w:color w:val="auto"/>
        </w:rPr>
      </w:pPr>
    </w:p>
    <w:p>
      <w:pPr>
        <w:ind w:right="720" w:firstLine="648"/>
        <w:spacing w:after="0" w:line="261" w:lineRule="auto"/>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 for the periods indicated (in thousands):</w:t>
      </w:r>
    </w:p>
    <w:tbl>
      <w:tblPr>
        <w:tblLayout w:type="fixed"/>
        <w:tblInd w:w="920" w:type="dxa"/>
        <w:tblCellMar>
          <w:top w:w="0" w:type="dxa"/>
          <w:left w:w="0" w:type="dxa"/>
          <w:bottom w:w="0" w:type="dxa"/>
          <w:right w:w="0" w:type="dxa"/>
        </w:tblCellMar>
      </w:tblPr>
      <w:tr>
        <w:trPr>
          <w:trHeight w:val="138"/>
        </w:trPr>
        <w:tc>
          <w:tcPr>
            <w:tcW w:w="5920" w:type="dxa"/>
            <w:vAlign w:val="bottom"/>
          </w:tcPr>
          <w:p>
            <w:pPr>
              <w:spacing w:after="0"/>
              <w:rPr>
                <w:sz w:val="11"/>
                <w:szCs w:val="11"/>
                <w:color w:val="auto"/>
              </w:rPr>
            </w:pPr>
          </w:p>
        </w:tc>
        <w:tc>
          <w:tcPr>
            <w:tcW w:w="13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59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9"/>
        </w:trPr>
        <w:tc>
          <w:tcPr>
            <w:tcW w:w="59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320" w:type="dxa"/>
            <w:vAlign w:val="bottom"/>
            <w:shd w:val="clear" w:color="auto" w:fill="CCEEFF"/>
          </w:tcPr>
          <w:p>
            <w:pPr>
              <w:spacing w:after="0"/>
              <w:rPr>
                <w:sz w:val="18"/>
                <w:szCs w:val="18"/>
                <w:color w:val="auto"/>
              </w:rPr>
            </w:pPr>
          </w:p>
        </w:tc>
      </w:tr>
      <w:tr>
        <w:trPr>
          <w:trHeight w:val="216"/>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financing lease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financing lease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Cash, Cash Equivalents and Restricted Cash</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statement of financial position that sum to the total of the same such amounts in the statement of cash flows (in thousands):</w:t>
      </w:r>
    </w:p>
    <w:tbl>
      <w:tblPr>
        <w:tblLayout w:type="fixed"/>
        <w:tblInd w:w="92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46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55,646</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0" w:type="dxa"/>
            <w:vAlign w:val="bottom"/>
          </w:tcPr>
          <w:p>
            <w:pPr>
              <w:spacing w:after="0"/>
              <w:rPr>
                <w:sz w:val="1"/>
                <w:szCs w:val="1"/>
                <w:color w:val="auto"/>
              </w:rPr>
            </w:pPr>
          </w:p>
        </w:tc>
      </w:tr>
      <w:tr>
        <w:trPr>
          <w:trHeight w:val="178"/>
        </w:trPr>
        <w:tc>
          <w:tcPr>
            <w:tcW w:w="46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w:t>
            </w:r>
          </w:p>
        </w:tc>
        <w:tc>
          <w:tcPr>
            <w:tcW w:w="440" w:type="dxa"/>
            <w:vAlign w:val="bottom"/>
            <w:gridSpan w:val="2"/>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77,459</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58,004</w:t>
            </w:r>
          </w:p>
        </w:tc>
        <w:tc>
          <w:tcPr>
            <w:tcW w:w="0" w:type="dxa"/>
            <w:vAlign w:val="bottom"/>
          </w:tcPr>
          <w:p>
            <w:pPr>
              <w:spacing w:after="0"/>
              <w:rPr>
                <w:sz w:val="1"/>
                <w:szCs w:val="1"/>
                <w:color w:val="auto"/>
              </w:rPr>
            </w:pPr>
          </w:p>
        </w:tc>
      </w:tr>
      <w:tr>
        <w:trPr>
          <w:trHeight w:val="22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cash flows</w:t>
            </w:r>
          </w:p>
        </w:tc>
        <w:tc>
          <w:tcPr>
            <w:tcW w:w="44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Restricted cash includes guarantee deposits for customs duties and compensating balances required for certain credit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Earnings Per Share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Basic net income (loss) per share has been computed using the weighted-average number of shares of common stock outstanding during the period. Diluted net income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earnings per share are the same.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income (loss) per share for the periods indicated (in thousands, except per share amounts):</w:t>
      </w:r>
    </w:p>
    <w:p>
      <w:pPr>
        <w:spacing w:after="0" w:line="169"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(10,474)</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200" w:type="dxa"/>
            <w:vAlign w:val="bottom"/>
          </w:tcPr>
          <w:p>
            <w:pPr>
              <w:spacing w:after="0"/>
              <w:rPr>
                <w:sz w:val="18"/>
                <w:szCs w:val="18"/>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income (loss) per share</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19,492</w:t>
            </w:r>
          </w:p>
        </w:tc>
        <w:tc>
          <w:tcPr>
            <w:tcW w:w="200" w:type="dxa"/>
            <w:vAlign w:val="bottom"/>
            <w:shd w:val="clear" w:color="auto" w:fill="CCEEFF"/>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dilutive options and restricted stock units</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tcPr>
          <w:p>
            <w:pPr>
              <w:spacing w:after="0"/>
              <w:rPr>
                <w:sz w:val="18"/>
                <w:szCs w:val="18"/>
                <w:color w:val="auto"/>
              </w:rPr>
            </w:pPr>
          </w:p>
        </w:tc>
      </w:tr>
      <w:tr>
        <w:trPr>
          <w:trHeight w:val="210"/>
        </w:trPr>
        <w:tc>
          <w:tcPr>
            <w:tcW w:w="69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0" w:type="dxa"/>
            <w:vAlign w:val="bottom"/>
            <w:shd w:val="clear" w:color="auto" w:fill="CCEEFF"/>
          </w:tcPr>
          <w:p>
            <w:pPr>
              <w:spacing w:after="0"/>
              <w:rPr>
                <w:sz w:val="18"/>
                <w:szCs w:val="18"/>
                <w:color w:val="auto"/>
              </w:rPr>
            </w:pPr>
          </w:p>
        </w:tc>
      </w:tr>
      <w:tr>
        <w:trPr>
          <w:trHeight w:val="234"/>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0" w:type="dxa"/>
            <w:vAlign w:val="bottom"/>
          </w:tcPr>
          <w:p>
            <w:pPr>
              <w:spacing w:after="0"/>
              <w:rPr>
                <w:sz w:val="20"/>
                <w:szCs w:val="20"/>
                <w:color w:val="auto"/>
              </w:rPr>
            </w:pPr>
          </w:p>
        </w:tc>
      </w:tr>
    </w:tbl>
    <w:p>
      <w:pPr>
        <w:spacing w:after="0" w:line="17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diluted net income (loss) per share as their effect would have been antidilutive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7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36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bottom w:val="single" w:sz="8" w:color="CCEEFF"/>
            </w:tcBorders>
          </w:tcPr>
          <w:p>
            <w:pPr>
              <w:spacing w:after="0"/>
              <w:rPr>
                <w:sz w:val="12"/>
                <w:szCs w:val="12"/>
                <w:color w:val="auto"/>
              </w:rPr>
            </w:pPr>
          </w:p>
        </w:tc>
      </w:tr>
      <w:tr>
        <w:trPr>
          <w:trHeight w:val="210"/>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4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for convertible senior notes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 antidilutive shares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80" w:type="dxa"/>
            <w:vAlign w:val="bottom"/>
          </w:tcPr>
          <w:p>
            <w:pPr>
              <w:spacing w:after="0"/>
              <w:rPr>
                <w:sz w:val="18"/>
                <w:szCs w:val="18"/>
                <w:color w:val="auto"/>
              </w:rPr>
            </w:pPr>
          </w:p>
        </w:tc>
        <w:tc>
          <w:tcPr>
            <w:tcW w:w="106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Inventories, net of inventory write-downs, consist of the following for the periods indicated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2260" w:type="dxa"/>
            <w:vAlign w:val="bottom"/>
            <w:gridSpan w:val="4"/>
          </w:tcPr>
          <w:p>
            <w:pPr>
              <w:ind w:left="11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 and sub-assemblies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49,192</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100" w:type="dxa"/>
            <w:vAlign w:val="bottom"/>
            <w:shd w:val="clear" w:color="auto" w:fill="CCEEFF"/>
          </w:tcPr>
          <w:p>
            <w:pPr>
              <w:spacing w:after="0"/>
              <w:rPr>
                <w:sz w:val="18"/>
                <w:szCs w:val="18"/>
                <w:color w:val="auto"/>
              </w:rPr>
            </w:pPr>
          </w:p>
        </w:tc>
      </w:tr>
      <w:tr>
        <w:trPr>
          <w:trHeight w:val="21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1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84,464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93,256</w:t>
            </w:r>
          </w:p>
        </w:tc>
        <w:tc>
          <w:tcPr>
            <w:tcW w:w="100" w:type="dxa"/>
            <w:vAlign w:val="bottom"/>
          </w:tcPr>
          <w:p>
            <w:pPr>
              <w:spacing w:after="0"/>
              <w:rPr>
                <w:sz w:val="18"/>
                <w:szCs w:val="18"/>
                <w:color w:val="auto"/>
              </w:rPr>
            </w:pPr>
          </w:p>
        </w:tc>
      </w:tr>
    </w:tbl>
    <w:p>
      <w:pPr>
        <w:spacing w:after="0" w:line="193" w:lineRule="exact"/>
        <w:rPr>
          <w:sz w:val="20"/>
          <w:szCs w:val="20"/>
          <w:color w:val="auto"/>
        </w:rPr>
      </w:pPr>
    </w:p>
    <w:p>
      <w:pPr>
        <w:ind w:right="380" w:firstLine="648"/>
        <w:spacing w:after="0" w:line="269" w:lineRule="auto"/>
        <w:rPr>
          <w:sz w:val="20"/>
          <w:szCs w:val="20"/>
          <w:color w:val="auto"/>
        </w:rPr>
      </w:pPr>
      <w:r>
        <w:rPr>
          <w:rFonts w:ascii="Times New Roman" w:cs="Times New Roman" w:eastAsia="Times New Roman" w:hAnsi="Times New Roman"/>
          <w:sz w:val="20"/>
          <w:szCs w:val="20"/>
          <w:color w:val="auto"/>
        </w:rPr>
        <w:t>The lower of cost or market adjustment expensed for inventory for the three months ended March 31, 2019 and 2018 was $2.3 million and $0.9 million, respectively.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Plant &amp;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for the periods indicated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78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82,945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80,960</w:t>
            </w:r>
          </w:p>
        </w:tc>
        <w:tc>
          <w:tcPr>
            <w:tcW w:w="1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214,718</w:t>
            </w:r>
          </w:p>
        </w:tc>
        <w:tc>
          <w:tcPr>
            <w:tcW w:w="14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140" w:type="dxa"/>
            <w:vAlign w:val="bottom"/>
            <w:shd w:val="clear" w:color="auto" w:fill="CCEEFF"/>
          </w:tcPr>
          <w:p>
            <w:pPr>
              <w:spacing w:after="0"/>
              <w:rPr>
                <w:sz w:val="18"/>
                <w:szCs w:val="18"/>
                <w:color w:val="auto"/>
              </w:rPr>
            </w:pPr>
          </w:p>
        </w:tc>
      </w:tr>
      <w:tr>
        <w:trPr>
          <w:trHeight w:val="216"/>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40" w:type="dxa"/>
            <w:vAlign w:val="bottom"/>
            <w:tcBorders>
              <w:bottom w:val="single" w:sz="8" w:color="CCEEFF"/>
            </w:tcBorders>
          </w:tcPr>
          <w:p>
            <w:pPr>
              <w:spacing w:after="0"/>
              <w:rPr>
                <w:sz w:val="18"/>
                <w:szCs w:val="18"/>
                <w:color w:val="auto"/>
              </w:rPr>
            </w:pPr>
          </w:p>
        </w:tc>
      </w:tr>
      <w:tr>
        <w:trPr>
          <w:trHeight w:val="210"/>
        </w:trPr>
        <w:tc>
          <w:tcPr>
            <w:tcW w:w="4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311,894</w:t>
            </w:r>
          </w:p>
        </w:tc>
        <w:tc>
          <w:tcPr>
            <w:tcW w:w="140" w:type="dxa"/>
            <w:vAlign w:val="bottom"/>
            <w:shd w:val="clear" w:color="auto" w:fill="CCEEFF"/>
          </w:tcPr>
          <w:p>
            <w:pPr>
              <w:spacing w:after="0"/>
              <w:rPr>
                <w:sz w:val="18"/>
                <w:szCs w:val="18"/>
                <w:color w:val="auto"/>
              </w:rPr>
            </w:pPr>
          </w:p>
        </w:tc>
      </w:tr>
      <w:tr>
        <w:trPr>
          <w:trHeight w:val="216"/>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(101,049)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(95,233)</w:t>
            </w:r>
          </w:p>
        </w:tc>
        <w:tc>
          <w:tcPr>
            <w:tcW w:w="140" w:type="dxa"/>
            <w:vAlign w:val="bottom"/>
            <w:tcBorders>
              <w:bottom w:val="single" w:sz="8" w:color="CCEEFF"/>
            </w:tcBorders>
          </w:tcPr>
          <w:p>
            <w:pPr>
              <w:spacing w:after="0"/>
              <w:rPr>
                <w:sz w:val="18"/>
                <w:szCs w:val="18"/>
                <w:color w:val="auto"/>
              </w:rPr>
            </w:pPr>
          </w:p>
        </w:tc>
      </w:tr>
      <w:tr>
        <w:trPr>
          <w:trHeight w:val="210"/>
        </w:trPr>
        <w:tc>
          <w:tcPr>
            <w:tcW w:w="4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216,661</w:t>
            </w:r>
          </w:p>
        </w:tc>
        <w:tc>
          <w:tcPr>
            <w:tcW w:w="14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16,449</w:t>
            </w:r>
          </w:p>
        </w:tc>
        <w:tc>
          <w:tcPr>
            <w:tcW w:w="1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40" w:type="dxa"/>
            <w:vAlign w:val="bottom"/>
            <w:shd w:val="clear" w:color="auto" w:fill="CCEEFF"/>
          </w:tcPr>
          <w:p>
            <w:pPr>
              <w:spacing w:after="0"/>
              <w:rPr>
                <w:sz w:val="18"/>
                <w:szCs w:val="18"/>
                <w:color w:val="auto"/>
              </w:rPr>
            </w:pPr>
          </w:p>
        </w:tc>
      </w:tr>
      <w:tr>
        <w:trPr>
          <w:trHeight w:val="217"/>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6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242,623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234,211</w:t>
            </w:r>
          </w:p>
        </w:tc>
        <w:tc>
          <w:tcPr>
            <w:tcW w:w="140" w:type="dxa"/>
            <w:vAlign w:val="bottom"/>
          </w:tcPr>
          <w:p>
            <w:pPr>
              <w:spacing w:after="0"/>
              <w:rPr>
                <w:sz w:val="18"/>
                <w:szCs w:val="18"/>
                <w:color w:val="auto"/>
              </w:rPr>
            </w:pPr>
          </w:p>
        </w:tc>
      </w:tr>
    </w:tbl>
    <w:p>
      <w:pPr>
        <w:spacing w:after="0" w:line="198" w:lineRule="exact"/>
        <w:rPr>
          <w:sz w:val="20"/>
          <w:szCs w:val="20"/>
          <w:color w:val="auto"/>
        </w:rPr>
      </w:pPr>
    </w:p>
    <w:p>
      <w:pPr>
        <w:ind w:right="199"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and 2018, depreciation expense of property, plant and equipment was $5.8 million and $6.8 million, respectively.</w:t>
      </w:r>
    </w:p>
    <w:p>
      <w:pPr>
        <w:spacing w:after="0" w:line="162" w:lineRule="exact"/>
        <w:rPr>
          <w:sz w:val="20"/>
          <w:szCs w:val="20"/>
          <w:color w:val="auto"/>
        </w:rPr>
      </w:pPr>
    </w:p>
    <w:p>
      <w:pPr>
        <w:ind w:right="239" w:firstLine="648"/>
        <w:spacing w:after="0" w:line="282" w:lineRule="auto"/>
        <w:rPr>
          <w:sz w:val="20"/>
          <w:szCs w:val="20"/>
          <w:color w:val="auto"/>
        </w:rPr>
      </w:pPr>
      <w:r>
        <w:rPr>
          <w:rFonts w:ascii="Times New Roman" w:cs="Times New Roman" w:eastAsia="Times New Roman" w:hAnsi="Times New Roman"/>
          <w:sz w:val="18"/>
          <w:szCs w:val="18"/>
          <w:color w:val="auto"/>
        </w:rPr>
        <w:t>Included in depreciation expense was $2.5 million and $3.8 million recorded as cost of sales for the three months ended March 31, 2019 and 2018,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for the periods indicated (in thousands):</w:t>
      </w:r>
    </w:p>
    <w:p>
      <w:pPr>
        <w:spacing w:after="0" w:line="232" w:lineRule="exact"/>
        <w:rPr>
          <w:sz w:val="20"/>
          <w:szCs w:val="20"/>
          <w:color w:val="auto"/>
        </w:rPr>
      </w:pPr>
    </w:p>
    <w:tbl>
      <w:tblPr>
        <w:tblLayout w:type="fixed"/>
        <w:tblInd w:w="90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17"/>
        </w:trPr>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7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r>
      <w:tr>
        <w:trPr>
          <w:trHeight w:val="173"/>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assets, net</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r>
      <w:tr>
        <w:trPr>
          <w:trHeight w:val="378"/>
        </w:trPr>
        <w:tc>
          <w:tcPr>
            <w:tcW w:w="4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560" w:type="dxa"/>
            <w:vAlign w:val="bottom"/>
            <w:tcBorders>
              <w:bottom w:val="single" w:sz="8" w:color="auto"/>
            </w:tcBorders>
          </w:tcPr>
          <w:p>
            <w:pPr>
              <w:spacing w:after="0"/>
              <w:rPr>
                <w:sz w:val="24"/>
                <w:szCs w:val="24"/>
                <w:color w:val="auto"/>
              </w:rPr>
            </w:pPr>
          </w:p>
        </w:tc>
      </w:tr>
      <w:tr>
        <w:trPr>
          <w:trHeight w:val="117"/>
        </w:trPr>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7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r>
      <w:tr>
        <w:trPr>
          <w:trHeight w:val="173"/>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assets, net</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r>
    </w:tbl>
    <w:p>
      <w:pPr>
        <w:spacing w:after="0" w:line="193" w:lineRule="exact"/>
        <w:rPr>
          <w:sz w:val="20"/>
          <w:szCs w:val="20"/>
          <w:color w:val="auto"/>
        </w:rPr>
      </w:pPr>
    </w:p>
    <w:p>
      <w:pPr>
        <w:ind w:right="659" w:firstLine="648"/>
        <w:spacing w:after="0" w:line="269" w:lineRule="auto"/>
        <w:rPr>
          <w:sz w:val="20"/>
          <w:szCs w:val="20"/>
          <w:color w:val="auto"/>
        </w:rPr>
      </w:pPr>
      <w:r>
        <w:rPr>
          <w:rFonts w:ascii="Times New Roman" w:cs="Times New Roman" w:eastAsia="Times New Roman" w:hAnsi="Times New Roman"/>
          <w:sz w:val="20"/>
          <w:szCs w:val="20"/>
          <w:color w:val="auto"/>
        </w:rPr>
        <w:t>For the three months ended March 31, 2019 and 2018, amortization expense for intangible assets, included in general and administrative expenses on the income statement, was each $0.1 million.</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remaining weighted average amortization period for intangible assets is approximately 8 years.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of Financial Instruments</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a summary of the Company’s financial instruments measured at fair value on a recurring basis for the periods indicated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2019</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5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(Level 2)</w:t>
            </w:r>
          </w:p>
        </w:tc>
        <w:tc>
          <w:tcPr>
            <w:tcW w:w="160" w:type="dxa"/>
            <w:vAlign w:val="bottom"/>
          </w:tcPr>
          <w:p>
            <w:pPr>
              <w:spacing w:after="0"/>
              <w:rPr>
                <w:sz w:val="12"/>
                <w:szCs w:val="12"/>
                <w:color w:val="auto"/>
              </w:rPr>
            </w:pPr>
          </w:p>
        </w:tc>
        <w:tc>
          <w:tcPr>
            <w:tcW w:w="6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r>
      <w:tr>
        <w:trPr>
          <w:trHeight w:val="210"/>
        </w:trPr>
        <w:tc>
          <w:tcPr>
            <w:tcW w:w="2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74,930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74,930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55,646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55,646</w:t>
            </w:r>
          </w:p>
        </w:tc>
        <w:tc>
          <w:tcPr>
            <w:tcW w:w="60" w:type="dxa"/>
            <w:vAlign w:val="bottom"/>
          </w:tcPr>
          <w:p>
            <w:pPr>
              <w:spacing w:after="0"/>
              <w:rPr>
                <w:sz w:val="18"/>
                <w:szCs w:val="18"/>
                <w:color w:val="auto"/>
              </w:rPr>
            </w:pPr>
          </w:p>
        </w:tc>
      </w:tr>
      <w:tr>
        <w:trPr>
          <w:trHeight w:val="216"/>
        </w:trPr>
        <w:tc>
          <w:tcPr>
            <w:tcW w:w="2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60" w:type="dxa"/>
            <w:vAlign w:val="bottom"/>
            <w:shd w:val="clear" w:color="auto" w:fill="CCEEFF"/>
          </w:tcPr>
          <w:p>
            <w:pPr>
              <w:spacing w:after="0"/>
              <w:rPr>
                <w:sz w:val="18"/>
                <w:szCs w:val="18"/>
                <w:color w:val="auto"/>
              </w:rPr>
            </w:pPr>
          </w:p>
        </w:tc>
      </w:tr>
      <w:tr>
        <w:trPr>
          <w:trHeight w:val="217"/>
        </w:trPr>
        <w:tc>
          <w:tcPr>
            <w:tcW w:w="2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77,459</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77,459</w:t>
            </w: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58,004</w:t>
            </w: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58,004</w:t>
            </w:r>
          </w:p>
        </w:tc>
        <w:tc>
          <w:tcPr>
            <w:tcW w:w="60" w:type="dxa"/>
            <w:vAlign w:val="bottom"/>
            <w:tcBorders>
              <w:bottom w:val="single" w:sz="8" w:color="CCEEFF"/>
            </w:tcBorders>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 acceptance payable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4,628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60" w:type="dxa"/>
            <w:vAlign w:val="bottom"/>
          </w:tcPr>
          <w:p>
            <w:pPr>
              <w:spacing w:after="0"/>
              <w:rPr>
                <w:sz w:val="18"/>
                <w:szCs w:val="18"/>
                <w:color w:val="auto"/>
              </w:rPr>
            </w:pPr>
          </w:p>
        </w:tc>
      </w:tr>
      <w:tr>
        <w:trPr>
          <w:trHeight w:val="216"/>
        </w:trPr>
        <w:tc>
          <w:tcPr>
            <w:tcW w:w="2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80,100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80,100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85,298</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85,298</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4,628</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60" w:type="dxa"/>
            <w:vAlign w:val="bottom"/>
          </w:tcPr>
          <w:p>
            <w:pPr>
              <w:spacing w:after="0"/>
              <w:rPr>
                <w:sz w:val="18"/>
                <w:szCs w:val="18"/>
                <w:color w:val="auto"/>
              </w:rPr>
            </w:pPr>
          </w:p>
        </w:tc>
      </w:tr>
    </w:tbl>
    <w:p>
      <w:pPr>
        <w:spacing w:after="0" w:line="198" w:lineRule="exact"/>
        <w:rPr>
          <w:sz w:val="20"/>
          <w:szCs w:val="20"/>
          <w:color w:val="auto"/>
        </w:rPr>
      </w:pPr>
    </w:p>
    <w:p>
      <w:pPr>
        <w:jc w:val="both"/>
        <w:ind w:right="140" w:firstLine="648"/>
        <w:spacing w:after="0" w:line="313" w:lineRule="auto"/>
        <w:rPr>
          <w:sz w:val="20"/>
          <w:szCs w:val="20"/>
          <w:color w:val="auto"/>
        </w:rPr>
      </w:pPr>
      <w:r>
        <w:rPr>
          <w:rFonts w:ascii="Times New Roman" w:cs="Times New Roman" w:eastAsia="Times New Roman" w:hAnsi="Times New Roman"/>
          <w:sz w:val="17"/>
          <w:szCs w:val="17"/>
          <w:color w:val="auto"/>
        </w:rPr>
        <w:t>The carrying value amounts of accounts receivable, prepaid expenses and other current assets, accounts payable, accrued expenses and other current liabilities approximate fair value because of the short-term maturity of these instruments.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Notes Payable and 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payable and long-term debt consisted of the following for the periods indicated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78"/>
        </w:trPr>
        <w:tc>
          <w:tcPr>
            <w:tcW w:w="626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Revolving line of credit with a U.S. bank up to $25,000 with interest at LIBOR plus</w:t>
            </w: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34"/>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 maturing September 28, 2020</w:t>
            </w:r>
          </w:p>
        </w:tc>
        <w:tc>
          <w:tcPr>
            <w:tcW w:w="4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23,104</w:t>
            </w:r>
          </w:p>
        </w:tc>
        <w:tc>
          <w:tcPr>
            <w:tcW w:w="220" w:type="dxa"/>
            <w:vAlign w:val="bottom"/>
            <w:shd w:val="clear" w:color="auto" w:fill="CCEEFF"/>
          </w:tcPr>
          <w:p>
            <w:pPr>
              <w:spacing w:after="0"/>
              <w:rPr>
                <w:sz w:val="20"/>
                <w:szCs w:val="20"/>
                <w:color w:val="auto"/>
              </w:rPr>
            </w:pPr>
          </w:p>
        </w:tc>
      </w:tr>
      <w:tr>
        <w:trPr>
          <w:trHeight w:val="198"/>
        </w:trPr>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with a U.S. bank with monthly payments of principal and interest at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LIBOR plus 1.15%, maturing April 1, 2024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20,067</w:t>
            </w:r>
          </w:p>
        </w:tc>
        <w:tc>
          <w:tcPr>
            <w:tcW w:w="220" w:type="dxa"/>
            <w:vAlign w:val="bottom"/>
          </w:tcPr>
          <w:p>
            <w:pPr>
              <w:spacing w:after="0"/>
              <w:rPr>
                <w:sz w:val="20"/>
                <w:szCs w:val="20"/>
                <w:color w:val="auto"/>
              </w:rPr>
            </w:pPr>
          </w:p>
        </w:tc>
      </w:tr>
      <w:tr>
        <w:trPr>
          <w:trHeight w:val="198"/>
        </w:trPr>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Term loan with a U.S. bank with monthly payments of principal and interest at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LIBOR plus 1.3%, maturing between April 1, 2023 and December 18, 2023</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19,164</w:t>
            </w:r>
          </w:p>
        </w:tc>
        <w:tc>
          <w:tcPr>
            <w:tcW w:w="220" w:type="dxa"/>
            <w:vAlign w:val="bottom"/>
            <w:shd w:val="clear" w:color="auto" w:fill="CCEEFF"/>
          </w:tcPr>
          <w:p>
            <w:pPr>
              <w:spacing w:after="0"/>
              <w:rPr>
                <w:sz w:val="20"/>
                <w:szCs w:val="20"/>
                <w:color w:val="auto"/>
              </w:rPr>
            </w:pPr>
          </w:p>
        </w:tc>
      </w:tr>
      <w:tr>
        <w:trPr>
          <w:trHeight w:val="198"/>
        </w:trPr>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Taiwan bank up to $9,737 with interest at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 maturing May 31, 2019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220" w:type="dxa"/>
            <w:vAlign w:val="bottom"/>
          </w:tcPr>
          <w:p>
            <w:pPr>
              <w:spacing w:after="0"/>
              <w:rPr>
                <w:sz w:val="20"/>
                <w:szCs w:val="20"/>
                <w:color w:val="auto"/>
              </w:rPr>
            </w:pPr>
          </w:p>
        </w:tc>
      </w:tr>
      <w:tr>
        <w:trPr>
          <w:trHeight w:val="198"/>
        </w:trPr>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Taiwan bank up to $7,000 with interest ranging</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1.5% to 3.5%, maturing July 26, 2019</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220" w:type="dxa"/>
            <w:vAlign w:val="bottom"/>
            <w:shd w:val="clear" w:color="auto" w:fill="CCEEFF"/>
          </w:tcPr>
          <w:p>
            <w:pPr>
              <w:spacing w:after="0"/>
              <w:rPr>
                <w:sz w:val="20"/>
                <w:szCs w:val="20"/>
                <w:color w:val="auto"/>
              </w:rPr>
            </w:pPr>
          </w:p>
        </w:tc>
      </w:tr>
      <w:tr>
        <w:trPr>
          <w:trHeight w:val="198"/>
        </w:trPr>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Notes payable to a finance company due in monthly installments with 3.4% interest,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maturing November 30, 2021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220" w:type="dxa"/>
            <w:vAlign w:val="bottom"/>
          </w:tcPr>
          <w:p>
            <w:pPr>
              <w:spacing w:after="0"/>
              <w:rPr>
                <w:sz w:val="20"/>
                <w:szCs w:val="20"/>
                <w:color w:val="auto"/>
              </w:rPr>
            </w:pPr>
          </w:p>
        </w:tc>
      </w:tr>
      <w:tr>
        <w:trPr>
          <w:trHeight w:val="198"/>
        </w:trPr>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Notes payable to a finance company due in monthly installments with 3.1% interest,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January 21, 2022</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China bank up to $19,158 with interest ranging from</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4.1% to 4.6%</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220" w:type="dxa"/>
            <w:vAlign w:val="bottom"/>
            <w:tcBorders>
              <w:bottom w:val="single" w:sz="8" w:color="CCEEFF"/>
            </w:tcBorders>
          </w:tcPr>
          <w:p>
            <w:pPr>
              <w:spacing w:after="0"/>
              <w:rPr>
                <w:sz w:val="20"/>
                <w:szCs w:val="20"/>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84,124</w:t>
            </w:r>
          </w:p>
        </w:tc>
        <w:tc>
          <w:tcPr>
            <w:tcW w:w="220" w:type="dxa"/>
            <w:vAlign w:val="bottom"/>
            <w:shd w:val="clear" w:color="auto" w:fill="CCEEFF"/>
          </w:tcPr>
          <w:p>
            <w:pPr>
              <w:spacing w:after="0"/>
              <w:rPr>
                <w:sz w:val="18"/>
                <w:szCs w:val="18"/>
                <w:color w:val="auto"/>
              </w:rPr>
            </w:pPr>
          </w:p>
        </w:tc>
      </w:tr>
      <w:tr>
        <w:trPr>
          <w:trHeight w:val="216"/>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Borders>
              <w:bottom w:val="single" w:sz="8" w:color="CCEEFF"/>
            </w:tcBorders>
          </w:tcPr>
          <w:p>
            <w:pPr>
              <w:spacing w:after="0"/>
              <w:rPr>
                <w:sz w:val="18"/>
                <w:szCs w:val="18"/>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Grand total</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83,917</w:t>
            </w:r>
          </w:p>
        </w:tc>
        <w:tc>
          <w:tcPr>
            <w:tcW w:w="220" w:type="dxa"/>
            <w:vAlign w:val="bottom"/>
            <w:shd w:val="clear" w:color="auto" w:fill="CCEEFF"/>
          </w:tcPr>
          <w:p>
            <w:pPr>
              <w:spacing w:after="0"/>
              <w:rPr>
                <w:sz w:val="18"/>
                <w:szCs w:val="18"/>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(23,589)</w:t>
            </w:r>
          </w:p>
        </w:tc>
        <w:tc>
          <w:tcPr>
            <w:tcW w:w="220" w:type="dxa"/>
            <w:vAlign w:val="bottom"/>
          </w:tcPr>
          <w:p>
            <w:pPr>
              <w:spacing w:after="0"/>
              <w:rPr>
                <w:sz w:val="19"/>
                <w:szCs w:val="19"/>
                <w:color w:val="auto"/>
              </w:rPr>
            </w:pPr>
          </w:p>
        </w:tc>
      </w:tr>
      <w:tr>
        <w:trPr>
          <w:trHeight w:val="217"/>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Bank Acceptance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575437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11" w:lineRule="exact"/>
        <w:rPr>
          <w:sz w:val="20"/>
          <w:szCs w:val="20"/>
          <w:color w:val="auto"/>
        </w:rPr>
      </w:pPr>
    </w:p>
    <w:p>
      <w:pPr>
        <w:spacing w:after="0"/>
        <w:tabs>
          <w:tab w:leader="none" w:pos="6420" w:val="left"/>
          <w:tab w:leader="none" w:pos="7020" w:val="left"/>
          <w:tab w:leader="none" w:pos="7680" w:val="left"/>
          <w:tab w:leader="none" w:pos="8360" w:val="left"/>
        </w:tabs>
        <w:rPr>
          <w:sz w:val="20"/>
          <w:szCs w:val="20"/>
          <w:color w:val="auto"/>
        </w:rPr>
      </w:pPr>
      <w:r>
        <w:rPr>
          <w:rFonts w:ascii="Times New Roman" w:cs="Times New Roman" w:eastAsia="Times New Roman" w:hAnsi="Times New Roman"/>
          <w:sz w:val="18"/>
          <w:szCs w:val="18"/>
          <w:color w:val="auto"/>
        </w:rPr>
        <w:t>Bank acceptance notes issued to vendors with a zero percent interest rate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5,198</w:t>
        <w:tab/>
        <w:t>$</w:t>
      </w:r>
      <w:r>
        <w:rPr>
          <w:sz w:val="20"/>
          <w:szCs w:val="20"/>
          <w:color w:val="auto"/>
        </w:rPr>
        <w:tab/>
      </w:r>
      <w:r>
        <w:rPr>
          <w:rFonts w:ascii="Times New Roman" w:cs="Times New Roman" w:eastAsia="Times New Roman" w:hAnsi="Times New Roman"/>
          <w:sz w:val="18"/>
          <w:szCs w:val="18"/>
          <w:color w:val="auto"/>
        </w:rPr>
        <w:t>4,628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9535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 portion of long-term debt is the amount payable within one year of the balance sheet date of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1" w:right="135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Maturities of long-term debt are as follows for the future one-year periods ending March 31, (in thousands):</w:t>
      </w:r>
    </w:p>
    <w:p>
      <w:pPr>
        <w:spacing w:after="0" w:line="257"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18,168</w:t>
            </w:r>
          </w:p>
        </w:tc>
        <w:tc>
          <w:tcPr>
            <w:tcW w:w="100" w:type="dxa"/>
            <w:vAlign w:val="bottom"/>
            <w:shd w:val="clear" w:color="auto" w:fill="CCEEFF"/>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100" w:type="dxa"/>
            <w:vAlign w:val="bottom"/>
          </w:tcPr>
          <w:p>
            <w:pPr>
              <w:spacing w:after="0"/>
              <w:rPr>
                <w:sz w:val="19"/>
                <w:szCs w:val="19"/>
                <w:color w:val="auto"/>
              </w:rPr>
            </w:pPr>
          </w:p>
        </w:tc>
      </w:tr>
      <w:tr>
        <w:trPr>
          <w:trHeight w:val="23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shd w:val="clear" w:color="auto" w:fill="CCEEFF"/>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w:t>
            </w:r>
          </w:p>
        </w:tc>
        <w:tc>
          <w:tcPr>
            <w:tcW w:w="25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8"/>
          <w:szCs w:val="18"/>
          <w:color w:val="auto"/>
        </w:rPr>
        <w:t>On September 28, 2017, the Company entered into a Loan Agreement, a Promissory Note, an Addendum to the Promissory Note, a BB&amp;T Security Agreement, a Trademark Security Agreement, and a Patent Security Agreement (together the “Credit Facility”) with Branch Banking and Trust Company (“BB&amp;T”). The Credit Facility provides the Company with a three year, $50 million, revolving line of credit. Borrowings under the Credit Facility will be used for general corporate purposes. The Company makes monthly payments of accrued interest with the final monthly payment being for all principal and all accrued interest not yet paid. The Company’s obligations under the Credit Facility are secured by the Company’s accounts receivable, inventory, intellectual property, and all business assets with the exception of real estate and equipment. Borrowings under the Credit Facility bear interest at a rate equal to the one-month LIBOR plus 1.50%. The Credit Facility requires the Company to maintain certain financial covenants and also contains representations and warranties, and events of default applicable to the Company that are customary for agreements of this type.</w:t>
      </w:r>
    </w:p>
    <w:p>
      <w:pPr>
        <w:spacing w:after="0" w:line="18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March 30, 2018, the Company executed a First Amendment to Loan Agreement, a Note Modification Agreement and Addendum to Promissory Note for $60 million, a Promissory Note and Addendum to Promissory Note for $26 million, a Promissory Note and Addendum to Promissory Note for $21.5 million, a Texas Deed of Trust and Security Agreement, an Assignment of Lease and Rent, and an Environmental Certification and Indemnity Agreement, (collectively, the “Amended Credit Facility”), with BB&amp;T. The Amended Credit Facility amends the Company’s three-year $50 million line of credit with BB&amp;T, originally executed on September 28, 2017 (the “Existing Loan”). The Amended Credit Facility (1) increases the principal amount of the three-year line of credit from $50 million to $60 million (the “Line of Credit”); (2) allows the Company to borrow an additional $26 million from BB&amp;T in the form of a five-year capital expenditure loan (the “CapEx Loan”) and (3) allows the Company to borrow an additional $21.5 million in the form of a seventy-month real estate term loan (the “Term Loan”) to refinance the Company’s plant and facilities in Sugar Land, Texas. Borrowings under the Line of Credit bear interest at a rate equal to the one-month LIBOR plus a Line of Credit margin ranging between 1.40% and 2.0%. Borrowings under the CapEx Loan bear interest at a rate equal to the one-month LIBOR plus a CapEx Loan margin ranging between 1.30% and 2.0%. Borrowings under the Term Loan bear interest at a rate equal to the one-month LIBOR plus a Term Loan margin ranging between 1.15% and 2.0%. The Company is required to make monthly payments of principal and accrued interest with the final monthly payments being for all principal and accrued interest not yet paid. The Company’s obligations under the Amended Credit Facility are secured by the Company’s accounts receivable, inventory, equipment, intellectual property, real property, and virtually all business assets.</w:t>
      </w:r>
    </w:p>
    <w:p>
      <w:pPr>
        <w:spacing w:after="0" w:line="19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February 1, 2019, the Company executed a Second Amendment to Loan Agreement with BB&amp;T. The original loan agreement with BB&amp;T, executed on September 28, 2017, and a first amendment to the original loan agreement, executed on March 30, 2018, provided the Company with a three-year $60 million line of credit; a $26 million five-year CapEx Loan and a $21.5 million seventy-month real estate term loan for the Company’s plant and facilities in Sugar Land, Texas. The Second Amendment to Loan Agreement extends the CapEx Loan draw-down date from March 30, 2019 to September 30, 2019, requires the Company to provide BB&amp;T monthly financial statements and allows additional unfinanced capital expenditures.</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March 5, 2019, the Company executed a Third Amendment (the “Third Amendment”) to the Loan Agreement (the “Loan Agreement”), dated September 28, 2017, as amended, with BB&amp;T pursuant to which the Company has established a revolving credit line used for working capital purposes. The Third Amendment to the Loan Agreement, among other things: (i) contemplates the issuance of the Notes (as defined in Note 12 below) and the subsequent conversion of the Notes into common stock in accordance with the terms of the Indenture, including the payment of cash for any fractional shares; (ii) adjusts pricing of the unused line fee to 0.20% per annum; (iii) reduces the maximum commitment under the line of credit from $60,000,000 to $25,000,000; and (iv) provides that, so long as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Company’s utilization of the revolving credit line is not greater than 60% of the available commitment, the Company will not be required to comply with its financial covenants, including its fixed charge coverage ratio or funded debt to EBITDA covenant, and provided that, such restriction on utilization will not apply during the period of time commencing seven business days prior to the end of any fiscal quarter through seven business days after the subsequent fiscal quarter.</w:t>
      </w:r>
    </w:p>
    <w:p>
      <w:pPr>
        <w:spacing w:after="0" w:line="18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On March 5, 2019, the Company used approximately $37.8 million of the net proceeds from the offering of the Notes to fully repay the CapEx Loan and Term Loan with BB&amp;T.</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2019, the Company was in compliance with all covenants under the Loan Agreement. As of March 31, 2019, $10.0 million was outstanding under the Line of Credit.</w:t>
      </w:r>
    </w:p>
    <w:p>
      <w:pPr>
        <w:spacing w:after="0" w:line="189"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On June 19, 2018, Prime World entered into a one year revolving credit facility totaling 300 million New Taiwan dollars, or approximately $9.8 million, (the “Taiwan Credit Facility”) with Taishin International Bank in Taiwan. Borrowing under the Taiwan Credit Facility will be used for short-term working capital. Prime World may draw upon the Taiwan Credit Facility from June 19, 2018 until May 31, 2019. The term of each draw shall be either 90 or 120 days. Borrowings under the Taiwan Credit Facility bear interest at a rate of 2.00% for 90 day draws and 1.95% for 120 day draws. At the end of the draw term, Prime World is required to make payments for all principal and accrued interest. The agreements for the Taiwan Credit Facility contain representations and warranties and events of default applicable to Prime World that are customary for agreements of this type. As of March 31, 2019, $3.2 million was outstanding under the Taiwan Credit Facility.</w:t>
      </w:r>
    </w:p>
    <w:p>
      <w:pPr>
        <w:spacing w:after="0" w:line="172"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On October 3, 2018, Prime World entered into a revolving credit facility for up to $7 million, (the “Revolving Credit Facility”) with the Development Bank of Singapore (Taiwan) Ltd. (“DBS”). Borrowing under the Revolving Credit Facility will be used for short-term working capital. Prime World may draw upon the Revolving Credit Facility from October 3, 2018 until July 26, 2019. The term of each draw shall be either 60 or 90 days depending on the purpose of the draw. Borrowings under the Revolving Credit Facility bear interest at a rate equal to DBS’s cost of funds rate plus 1.25% for draws in U.S. Dollars and 1.35% plus the Bank’s cost of funds rate for draws in New Taiwan Dollars. DBS’s cost of fund’s rate is adjusted daily. Prime World is required to make monthly payments of accrued interest with the final monthly payment being for all principal and all accrued interest not yet paid. Prime World’s obligations under the Revolving Credit Facility is secured by promissory notes executed between Prime World and DBS at the time of each draw. The agreements for the Revolving Credit Facility contain representations and warranties and events of default applicable to the Prime World that are customary for agreements of this type. As of March 31, 2019, $4.1 million was outstanding under the Revolving Credit Facility.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November 29, 2018, Prime World entered into a Purchase and Sale Contract (the “Sale Contract”) and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Finance Agreement with Chailease Finance Co., Ltd. (“Chailease”) in connection with certain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Sale Contract, Prime World sold certain equipment to Chailease for a purchase price of NT$267,340,468,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$8.7 million. Simultaneously, Prime World leased the equipment back from Chailease for a term of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pursuant to the Equipment Finance Agreement. Prime World is obligated to pay an initial payment of NT$67,340,468,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approximately $2.2 million, thereafter the monthly lease payments range from NT$5,571,229, or $0.2 million,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NT$6,139,188, or approximately $0.2 million. Based on the lease payments made under the Equipment Finance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interest rate is calculated to be 3.5%. Upon an event of default under the Equipment Finance Agreement, Prime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World’s payment obligation will be secured by a promissory note to Chailease in the amount of NT$210,601,605,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$6.8 million, subject to certain terms and conditions. The title of the equipment will be transferred to Prime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 upon expiration of the Equipment Finance Agreement. As of March 31, 2019, $5.8 million was outstanding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Finance Agreement.</w:t>
      </w:r>
    </w:p>
    <w:p>
      <w:pPr>
        <w:spacing w:after="0" w:line="20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January 21, 2019, Prime World entered into a second Purchase and Sale Contract (the “Second Sales Contract”), Promissory Note, and a second Equipment Finance Agreement, (collectively, the “Second Financing Agreements”) with Chailease in connection with certain equipment. Pursuant to the Second Sales Contract, Prime World sold certain equipment to Chailease for a purchase price of NT$267,333,186, or approximately $8.7 million. Simultaneously, Prime World leased the equipment back from Chailease for a term of three-years, pursuant to the Second Equipment Finance Agreement. Prime World is obligated to pay an initial monthly payment of NT$67,333,186, or approximately $2.2 million, thereafter the monthly lease payments range from NT$5,570,167, or approximately $0.2 million to NT$6,082,131, or approximately $0.2 million. Based on the lease payments made under the Second Equipment Finance Agreement, the annual interest rate is calculated to be 3.1%. Upon an event of default under the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Second Equipment Finance Agreement, Prime World’s payment obligation will be secured by a promissory note to Chailease at the amount of NT$209,555,736 or approximately $6.8 million, subject to certain terms and conditions. The title of the equipment will be transferred to Prime World upon expiration of the Second Equipment Finance Agreement. As of March 31, 2019, $6.1 million was outstanding under the Second Equipment Finance Agreement.</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December 11, 2018, Prime World entered into a one-year credit facility totaling New Taiwan Dollars 150 million, or approximately $4.9 million, (the “Credit Facility”) with CTBC Bank Co., Ltd. (“CTBC”). Borrowing under the Credit Facility will be used for short-term working capital. Prime World may draw upon the Credit Facility from December 11, 2018 until October 31, 2019. The term of each draw shall be up to 120 days. Under the Credit Facility borrowing in New Taiwan Dollars will bear interest at a rate equal to CTBC’s Enterprise Swap Index Rate plus 1.2%; for all foreign currency borrowing interest bear at a rate equal to CTBC’s Cost of Fund lending rate plus 1.2%. As of the execution of the Credit Facility, CTBC’s Enterprise Swap Index Rate and Cost of Funds lending rate is 0.69% and 3.40% respectively. At the end of the draw term, Prime World is required to make payments for all principal and accrued interest. The agreements for the Credit Facility contain representations and warranties, and events of default applicable to Prime World that are customary for agreements of this type. As of March 31, 2019, there was no outstanding balance under the Credit Facility.</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September 21, 2018, the Company’s China subsidiary, Global, entered into a five-year revolving credit line agreement, totaling 129,000,000 Chinese Renminbi, or RMB, or approximately $18.6 million, (the “Credit Line”) and a Security Agreement with China Construction Bank Co., Ltd., in Ningbo, China (“CCB”). Borrowing under the Credit Line will be used for general corporate and capital investment purposes, including the issuance of bank acceptance notes to Global’s vendors. Global may draw upon the Credit Line between September 21, 2018 and September 17, 2023; however, the amount of available credit under the Credit Line may be reduced by CCB without notice to Global and may be decreased subject to changes of Chinese government regulations. Each draw bears interest equal to CCB’s commercial banking interest rate effective on the day of the applicable draw. Global’s obligations under the Credit Line is secured by real property owned by Global in China and mortgaged to CCB under the terms of the Security Agreement. As of March 31, 2019, $6.5 million was outstanding under the Credit Line and the outstanding balance of bank acceptance notes issued to vendors was $5.2 million.</w:t>
      </w:r>
    </w:p>
    <w:p>
      <w:pPr>
        <w:spacing w:after="0" w:line="193"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2019 and December 31, 2018, the Company had $36.7 million and $63.6 million of unused borrowing capacity,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One-month LIBOR rates were 2.49% and 2.50% at March 31, 2019 and December 31, 2018, respectively.</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2019 December 31, 2018, there was $2.5 million and $2.4 million of restricted cash, investments or security deposit associated mainly with the loan facilities, respectively.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Convertible Senior Notes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March 5, 2019, the Company issued $80.5 million of 5% convertible senior notes due 2024 (the “Notes”). The Notes were issued pursuant to an indenture, dated as of March 5, 2019 (the “Indenture”), between the Company and Wells Fargo Bank, National Association, as trustee, paying agent, and conversion agent (the “Trustee”). The Notes bear interest at a rate of 5.00% per year, payable in cash semiannually in arrears on March 15 and September 15 of each year, beginning on September 15, 2019. The Notes will mature on March 15, 2024, unless earlier repurchased, redeemed or converted in accordance with their terms.</w:t>
      </w:r>
    </w:p>
    <w:p>
      <w:pPr>
        <w:spacing w:after="0" w:line="21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sale of the Notes generated net proceeds of $76.4 million, after deducting the Initial Purchasers’ discounts and offering expenses payable by the Company. The Company used approximately $37.8 million of the net proceeds from the offering to fully repay the CapEx Loan and Term Loan with BB&amp;T and the remainder will be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following table presents the carrying value of the Notes for the periods indicated (in thousands):</w:t>
      </w:r>
    </w:p>
    <w:p>
      <w:pPr>
        <w:spacing w:after="0" w:line="394"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3"/>
        </w:trPr>
        <w:tc>
          <w:tcPr>
            <w:tcW w:w="5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76,439</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Notes are convertible at the option of holders of the Notes at any time until the close of business on the scheduled trading day immediately preceding the maturity date. Upon conversion, holders of the Notes will receive shares of the Company’s common stock, together, if applicable, with cash in lieu of any fractional share, at the then-applicable conversion rate. The initial conversion rate is 56.9801 shares of the Company’s common stock per $1,000 principal amount of Notes (representing an initial conversion price of approximately $17.55 per share of common stock, which represents an initial conversion premium of approximately 30% above the closing price of $13.50 per share of the Company’s common stock on February 28, 2019), subject to customary adjustments. If a make-whole fundamental change (as defined in the Indenture) occurs, and in connection with certain other conversions before March 15, 2022, the Company will in certain circumstances increase the conversion rate for a specified period of time.</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Initially there are no guarantors of the Notes, but the Notes will be fully and unconditionally guaranteed, on a senior, unsecured basis by certain of the Company’s future domestic subsidiaries. The Notes are the Company’s senior, unsecured obligations and are equal in right of payment with existing and future senior, unsecured indebtedness, senior in right of payment to the Company’s existing and future indebtedness that is expressly subordinated to the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are equal in right of payment with existing and future senior, unsecured indebtedness, senior in right of payment to such future guarantor’s existing and future indebtedness that is expressly subordinated to the Notes and effectively subordinated to such future guarantor’s existing and future secured indebtedness, to the extent of the value of the collateral securing that indebtedness.</w:t>
      </w:r>
    </w:p>
    <w:p>
      <w:pPr>
        <w:spacing w:after="0" w:line="18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Holders may require the Company to repurchase their Notes upon the occurrence of a fundamental change (as defined in the Indenture) at a cash purchase price equal to the principal amount thereof plus accrued and unpaid interest, if any.</w:t>
      </w:r>
    </w:p>
    <w:p>
      <w:pPr>
        <w:spacing w:after="0" w:line="17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Company may not redeem the Notes prior to March 15, 2022. On or after March 15, 2022, the Company may redeem for cash all or part of the Notes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redemption notice. The redemption price is equal to 100% of the principal amount of the notes to be redeemed, plus accrued and unpaid interest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covenants that limit the Company’s ability and the ability of our subsidiaries to, among other things: (i) incur or guarantee additional indebtedness or issue disqualified stock; and (ii) create or incur liens.</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incurred approximately $4.1 million in transaction costs in connection with the issuance of the Notes. These costs were recognized as a reduction of the carrying amount of the Notes utilizing the effective interest method and are being amortized over the term of the notes.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interest expense information related to the Notes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34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cost</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2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interest rate</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9"/>
                <w:szCs w:val="19"/>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Accrued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consisted of the following for the periods indicated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2420" w:type="dxa"/>
            <w:vAlign w:val="bottom"/>
            <w:gridSpan w:val="4"/>
          </w:tcPr>
          <w:p>
            <w:pPr>
              <w:ind w:left="13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40" w:type="dxa"/>
            <w:vAlign w:val="bottom"/>
          </w:tcPr>
          <w:p>
            <w:pPr>
              <w:spacing w:after="0"/>
              <w:rPr>
                <w:sz w:val="18"/>
                <w:szCs w:val="18"/>
                <w:color w:val="auto"/>
              </w:rPr>
            </w:pPr>
          </w:p>
        </w:tc>
        <w:tc>
          <w:tcPr>
            <w:tcW w:w="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rent</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state and local taxes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warranty</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commission expenses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19,291</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Other Income and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and (expense) consisted of the following for the periods indicated (in thousands):</w:t>
      </w:r>
    </w:p>
    <w:p>
      <w:pPr>
        <w:spacing w:after="0" w:line="313"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16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transaction loss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4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Government subsidy income</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(loss) gain</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r>
      <w:tr>
        <w:trPr>
          <w:trHeight w:val="216"/>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17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8"/>
                <w:szCs w:val="18"/>
                <w:color w:val="auto"/>
              </w:rPr>
            </w:pPr>
          </w:p>
        </w:tc>
      </w:tr>
      <w:tr>
        <w:trPr>
          <w:trHeight w:val="217"/>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Share-Based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board of directors and stockholders approved the following equity plans:</w:t>
      </w:r>
    </w:p>
    <w:p>
      <w:pPr>
        <w:spacing w:after="0" w:line="225" w:lineRule="exact"/>
        <w:rPr>
          <w:sz w:val="20"/>
          <w:szCs w:val="20"/>
          <w:color w:val="auto"/>
        </w:rPr>
      </w:pP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1998 Share Incentive Plan</w:t>
      </w:r>
    </w:p>
    <w:p>
      <w:pPr>
        <w:spacing w:after="0" w:line="27"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2000 Share Incentive Plan</w:t>
      </w:r>
    </w:p>
    <w:p>
      <w:pPr>
        <w:spacing w:after="0" w:line="9"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2004 Share Incentive Plan</w:t>
      </w:r>
    </w:p>
    <w:p>
      <w:pPr>
        <w:spacing w:after="0" w:line="9"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2006 Share Incentive Plan</w:t>
      </w:r>
    </w:p>
    <w:p>
      <w:pPr>
        <w:spacing w:after="0" w:line="9"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2013 Equity Incentive Plan (“2013 Plan”)</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issued stock options, restricted stock awards (“RSAs”) and restricted stock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stock had been historically determined by the board of directors and from time to time with the assistance of third party valuation specialists.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Options have been granted to the Company’s employees under the five incentive plans and generally become exercisable as to 25% of the shares on the first anniversary date following the date of grant and 12.5% on a semi-annual basis thereafter. All options expire ten years after the date of grant.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option activity (in thousands, except per share data):</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8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40" w:type="dxa"/>
            <w:vAlign w:val="bottom"/>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0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Date of</w:t>
            </w:r>
          </w:p>
        </w:tc>
        <w:tc>
          <w:tcPr>
            <w:tcW w:w="800" w:type="dxa"/>
            <w:vAlign w:val="bottom"/>
            <w:gridSpan w:val="2"/>
          </w:tcPr>
          <w:p>
            <w:pPr>
              <w:jc w:val="right"/>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15"/>
                <w:szCs w:val="15"/>
                <w:color w:val="auto"/>
              </w:rPr>
            </w:pPr>
          </w:p>
        </w:tc>
        <w:tc>
          <w:tcPr>
            <w:tcW w:w="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20" w:type="dxa"/>
            <w:vAlign w:val="bottom"/>
            <w:tcBorders>
              <w:top w:val="single" w:sz="8" w:color="auto"/>
            </w:tcBorders>
            <w:gridSpan w:val="5"/>
          </w:tcPr>
          <w:p>
            <w:pPr>
              <w:jc w:val="right"/>
              <w:ind w:right="56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price data)</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2019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$ 10.19</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5.31</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6.77</w:t>
            </w:r>
          </w:p>
        </w:tc>
        <w:tc>
          <w:tcPr>
            <w:tcW w:w="800" w:type="dxa"/>
            <w:vAlign w:val="bottom"/>
          </w:tcPr>
          <w:p>
            <w:pPr>
              <w:jc w:val="right"/>
              <w:ind w:right="45"/>
              <w:spacing w:after="0"/>
              <w:rPr>
                <w:sz w:val="20"/>
                <w:szCs w:val="20"/>
                <w:color w:val="auto"/>
              </w:rPr>
            </w:pPr>
            <w:r>
              <w:rPr>
                <w:rFonts w:ascii="Times New Roman" w:cs="Times New Roman" w:eastAsia="Times New Roman" w:hAnsi="Times New Roman"/>
                <w:sz w:val="18"/>
                <w:szCs w:val="18"/>
                <w:color w:val="auto"/>
              </w:rPr>
              <w:t>$ 13.67</w:t>
            </w:r>
          </w:p>
        </w:tc>
        <w:tc>
          <w:tcPr>
            <w:tcW w:w="26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4.96</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March 31, 2019</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ind w:right="58"/>
              <w:spacing w:after="0"/>
              <w:rPr>
                <w:sz w:val="20"/>
                <w:szCs w:val="20"/>
                <w:color w:val="auto"/>
              </w:rPr>
            </w:pPr>
            <w:r>
              <w:rPr>
                <w:rFonts w:ascii="Times New Roman" w:cs="Times New Roman" w:eastAsia="Times New Roman" w:hAnsi="Times New Roman"/>
                <w:sz w:val="18"/>
                <w:szCs w:val="18"/>
                <w:color w:val="auto"/>
              </w:rPr>
              <w:t>$ 10.21</w:t>
            </w:r>
          </w:p>
        </w:tc>
        <w:tc>
          <w:tcPr>
            <w:tcW w:w="8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5.31</w:t>
            </w:r>
          </w:p>
        </w:tc>
        <w:tc>
          <w:tcPr>
            <w:tcW w:w="8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March 31, 2019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$ 10.21</w:t>
            </w:r>
          </w:p>
        </w:tc>
        <w:tc>
          <w:tcPr>
            <w:tcW w:w="8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Vested and expected to vest</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8"/>
                <w:szCs w:val="18"/>
                <w:color w:val="auto"/>
              </w:rPr>
            </w:pPr>
          </w:p>
        </w:tc>
        <w:tc>
          <w:tcPr>
            <w:tcW w:w="740" w:type="dxa"/>
            <w:vAlign w:val="bottom"/>
          </w:tcPr>
          <w:p>
            <w:pPr>
              <w:jc w:val="right"/>
              <w:ind w:right="58"/>
              <w:spacing w:after="0" w:line="203" w:lineRule="exact"/>
              <w:rPr>
                <w:sz w:val="20"/>
                <w:szCs w:val="20"/>
                <w:color w:val="auto"/>
              </w:rPr>
            </w:pPr>
            <w:r>
              <w:rPr>
                <w:rFonts w:ascii="Times New Roman" w:cs="Times New Roman" w:eastAsia="Times New Roman" w:hAnsi="Times New Roman"/>
                <w:sz w:val="18"/>
                <w:szCs w:val="18"/>
                <w:color w:val="auto"/>
              </w:rPr>
              <w:t>$ 10.21</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ind w:right="41"/>
              <w:spacing w:after="0" w:line="203" w:lineRule="exact"/>
              <w:rPr>
                <w:sz w:val="20"/>
                <w:szCs w:val="20"/>
                <w:color w:val="auto"/>
              </w:rPr>
            </w:pPr>
            <w:r>
              <w:rPr>
                <w:rFonts w:ascii="Times New Roman" w:cs="Times New Roman" w:eastAsia="Times New Roman" w:hAnsi="Times New Roman"/>
                <w:sz w:val="18"/>
                <w:szCs w:val="18"/>
                <w:color w:val="auto"/>
              </w:rPr>
              <w:t>4.36</w:t>
            </w:r>
          </w:p>
        </w:tc>
        <w:tc>
          <w:tcPr>
            <w:tcW w:w="200" w:type="dxa"/>
            <w:vAlign w:val="bottom"/>
          </w:tcPr>
          <w:p>
            <w:pPr>
              <w:ind w:lef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2019, there was no unrecognized stock option expense.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Units/Awards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RSU/RSA activity (in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8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Average Share</w:t>
            </w: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80" w:type="dxa"/>
            <w:vAlign w:val="bottom"/>
            <w:gridSpan w:val="2"/>
          </w:tcPr>
          <w:p>
            <w:pPr>
              <w:jc w:val="center"/>
              <w:ind w:left="4"/>
              <w:spacing w:after="0" w:line="149" w:lineRule="exact"/>
              <w:rPr>
                <w:sz w:val="20"/>
                <w:szCs w:val="20"/>
                <w:color w:val="auto"/>
              </w:rPr>
            </w:pPr>
            <w:r>
              <w:rPr>
                <w:rFonts w:ascii="Times New Roman" w:cs="Times New Roman" w:eastAsia="Times New Roman" w:hAnsi="Times New Roman"/>
                <w:sz w:val="14"/>
                <w:szCs w:val="14"/>
                <w:b w:val="1"/>
                <w:bCs w:val="1"/>
                <w:color w:val="auto"/>
              </w:rPr>
              <w:t>Price on Date</w:t>
            </w:r>
          </w:p>
        </w:tc>
        <w:tc>
          <w:tcPr>
            <w:tcW w:w="10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560" w:type="dxa"/>
            <w:vAlign w:val="bottom"/>
          </w:tcPr>
          <w:p>
            <w:pPr>
              <w:spacing w:after="0"/>
              <w:rPr>
                <w:sz w:val="15"/>
                <w:szCs w:val="15"/>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Release</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price data)</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32.07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$ 12,744</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14.66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16.81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28.93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30.16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0"/>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March 31, 2019</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26.77</w:t>
            </w:r>
          </w:p>
        </w:tc>
        <w:tc>
          <w:tcPr>
            <w:tcW w:w="7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0" w:type="dxa"/>
            <w:vAlign w:val="bottom"/>
          </w:tcPr>
          <w:p>
            <w:pPr>
              <w:spacing w:after="0"/>
              <w:rPr>
                <w:sz w:val="1"/>
                <w:szCs w:val="1"/>
                <w:color w:val="auto"/>
              </w:rPr>
            </w:pPr>
          </w:p>
        </w:tc>
      </w:tr>
      <w:tr>
        <w:trPr>
          <w:trHeight w:val="210"/>
        </w:trPr>
        <w:tc>
          <w:tcPr>
            <w:tcW w:w="55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Vested and expected to vest</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ind w:left="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94"/>
              <w:spacing w:after="0" w:line="203" w:lineRule="exact"/>
              <w:rPr>
                <w:sz w:val="20"/>
                <w:szCs w:val="20"/>
                <w:color w:val="auto"/>
              </w:rPr>
            </w:pPr>
            <w:r>
              <w:rPr>
                <w:rFonts w:ascii="Times New Roman" w:cs="Times New Roman" w:eastAsia="Times New Roman" w:hAnsi="Times New Roman"/>
                <w:sz w:val="18"/>
                <w:szCs w:val="18"/>
                <w:color w:val="auto"/>
              </w:rPr>
              <w:t>26.77</w:t>
            </w: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$ 12,675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2019, there was $25.6 million of unrecognized compensation expense related to these RSUs and RSAs. This expense is expected to be recognized over 2.6 years.</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1" w:right="139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Employee share-based compensation expenses recognized for the periods indicated (in thousands):</w:t>
      </w:r>
    </w:p>
    <w:p>
      <w:pPr>
        <w:spacing w:after="0" w:line="23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7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26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 by expense type</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2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20" w:type="dxa"/>
            <w:vAlign w:val="bottom"/>
            <w:shd w:val="clear" w:color="auto" w:fill="CCEEFF"/>
          </w:tcPr>
          <w:p>
            <w:pPr>
              <w:spacing w:after="0"/>
              <w:rPr>
                <w:sz w:val="18"/>
                <w:szCs w:val="18"/>
                <w:color w:val="auto"/>
              </w:rPr>
            </w:pPr>
          </w:p>
        </w:tc>
      </w:tr>
      <w:tr>
        <w:trPr>
          <w:trHeight w:val="217"/>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0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220" w:type="dxa"/>
            <w:vAlign w:val="bottom"/>
          </w:tcPr>
          <w:p>
            <w:pPr>
              <w:spacing w:after="0"/>
              <w:rPr>
                <w:sz w:val="18"/>
                <w:szCs w:val="18"/>
                <w:color w:val="auto"/>
              </w:rPr>
            </w:pPr>
          </w:p>
        </w:tc>
      </w:tr>
    </w:tbl>
    <w:p>
      <w:pPr>
        <w:spacing w:after="0" w:line="205"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9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32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 by award type</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17"/>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Company’s tax provision or benefit from income taxes for interim periods is determined using an estimate of its annual effective tax rate, adjusted for discrete items, if any, that are taken into account in the relevant period. The Company’s quarterly tax provision, and its quarterly estimate of its annual effective tax rate, are subject to significant variation due to several factors, including variability in accurately predicting its pre-tax income and loss and the mix of jurisdictions to which they relate, tax law developments and relative changes in permanent tax benefits or expenses.</w:t>
      </w:r>
    </w:p>
    <w:p>
      <w:pPr>
        <w:spacing w:after="0" w:line="18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March 31, 2019 and 2018 was (19%) and (88.63%), respectively. For the three months ended March 31, 2019, the effective tax rate varied from the federal statutory rate of 21% primarily due to the level and mix of earnings among tax jurisdictions, share-based compensation, and tax benefits related to research and development. For the three months ended March 31, 2018, the effective tax rate varied from the federal statutory rate of 21% primarily due to the level and mix of earnings among tax jurisdictions, share-based compensation, tax benefits related to research and development and recognition of the U.S. global intangible low-taxed income ("GILTI") which was partially offset by foreign tax credits.</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of March 31, 2019, the Company has accumulated undistributed earnings generated by its foreign subsidiaries of approximately $16 million. Because $16 million of such earnings have previously been subject to the one-time transition tax on foreign earnings required by the Tax Cut of Jobs Act of 2017 (the “Tax Act”), any additional taxes due with respect to such earnings or the excess of the amount for financial reporting over the tax basis of its foreign investments would generally be limited to foreign and state taxes. The Company intends, however, to indefinitely reinvest these earnings and expects future U.S. cash generation to be sufficient to meet future U.S. cash needs.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Geographic Information</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1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8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8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9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30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2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1,998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Taiwan</w:t>
            </w:r>
          </w:p>
        </w:tc>
        <w:tc>
          <w:tcPr>
            <w:tcW w:w="2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2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26,701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300" w:type="dxa"/>
            <w:vAlign w:val="bottom"/>
            <w:tcBorders>
              <w:top w:val="single" w:sz="8" w:color="CCEEFF"/>
              <w:bottom w:val="single" w:sz="8" w:color="CCEEFF"/>
            </w:tcBorders>
            <w:shd w:val="clear" w:color="auto" w:fill="CCEEFF"/>
          </w:tcPr>
          <w:p>
            <w:pPr>
              <w:spacing w:after="0"/>
              <w:rPr>
                <w:sz w:val="18"/>
                <w:szCs w:val="18"/>
                <w:color w:val="auto"/>
              </w:rPr>
            </w:pPr>
          </w:p>
        </w:tc>
        <w:tc>
          <w:tcPr>
            <w:tcW w:w="20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$ 52,719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$ 65,239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378"/>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As of the period ended</w:t>
            </w: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60" w:type="dxa"/>
            <w:vAlign w:val="bottom"/>
            <w:tcBorders>
              <w:top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top w:val="single" w:sz="8" w:color="auto"/>
            </w:tcBorders>
            <w:gridSpan w:val="5"/>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330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r>
      <w:tr>
        <w:trPr>
          <w:trHeight w:val="210"/>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$ 92,719</w:t>
            </w:r>
          </w:p>
        </w:tc>
        <w:tc>
          <w:tcPr>
            <w:tcW w:w="12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Taiwan</w:t>
            </w:r>
          </w:p>
        </w:tc>
        <w:tc>
          <w:tcPr>
            <w:tcW w:w="2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93,895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300" w:type="dxa"/>
            <w:vAlign w:val="bottom"/>
            <w:tcBorders>
              <w:top w:val="single" w:sz="8" w:color="CCEEFF"/>
              <w:bottom w:val="single" w:sz="8" w:color="CCEEFF"/>
            </w:tcBorders>
            <w:shd w:val="clear" w:color="auto" w:fill="CCEEFF"/>
          </w:tcPr>
          <w:p>
            <w:pPr>
              <w:spacing w:after="0"/>
              <w:rPr>
                <w:sz w:val="18"/>
                <w:szCs w:val="18"/>
                <w:color w:val="auto"/>
              </w:rPr>
            </w:pPr>
          </w:p>
        </w:tc>
        <w:tc>
          <w:tcPr>
            <w:tcW w:w="20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252,518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244,002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06" w:lineRule="exact"/>
        <w:rPr>
          <w:sz w:val="20"/>
          <w:szCs w:val="20"/>
          <w:color w:val="auto"/>
        </w:rPr>
      </w:pPr>
    </w:p>
    <w:p>
      <w:pPr>
        <w:ind w:right="59"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49" w:lineRule="exact"/>
        <w:rPr>
          <w:sz w:val="20"/>
          <w:szCs w:val="20"/>
          <w:color w:val="auto"/>
        </w:rPr>
      </w:pPr>
    </w:p>
    <w:p>
      <w:pPr>
        <w:ind w:right="539" w:firstLine="648"/>
        <w:spacing w:after="0" w:line="282" w:lineRule="auto"/>
        <w:rPr>
          <w:sz w:val="20"/>
          <w:szCs w:val="20"/>
          <w:color w:val="auto"/>
        </w:rPr>
      </w:pPr>
      <w:r>
        <w:rPr>
          <w:rFonts w:ascii="Times New Roman" w:cs="Times New Roman" w:eastAsia="Times New Roman" w:hAnsi="Times New Roman"/>
          <w:sz w:val="18"/>
          <w:szCs w:val="18"/>
          <w:color w:val="auto"/>
        </w:rPr>
        <w:t>Except for the lawsuits described below, the Company believes that there are no claims or actions pending or threatened against it, the ultimate disposition of which would have a material adverse effect on it.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Action and Shareholder Derivative Litigation</w:t>
      </w:r>
    </w:p>
    <w:p>
      <w:pPr>
        <w:spacing w:after="0" w:line="227" w:lineRule="exact"/>
        <w:rPr>
          <w:sz w:val="20"/>
          <w:szCs w:val="20"/>
          <w:color w:val="auto"/>
        </w:rPr>
      </w:pPr>
    </w:p>
    <w:p>
      <w:pPr>
        <w:ind w:right="39"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August 5, 2017, a lawsuit was filed in the U.S. District Court for the Southern District of Texas against the Company and two of its officers in </w:t>
      </w:r>
      <w:r>
        <w:rPr>
          <w:rFonts w:ascii="Times New Roman" w:cs="Times New Roman" w:eastAsia="Times New Roman" w:hAnsi="Times New Roman"/>
          <w:sz w:val="18"/>
          <w:szCs w:val="18"/>
          <w:i w:val="1"/>
          <w:iCs w:val="1"/>
          <w:color w:val="auto"/>
        </w:rPr>
        <w:t>Mona Abouzied v. Applied Optoelectronics, Inc., Chih-Hsiang (Thompson) Lin,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Stefan J. Murry, et al.</w:t>
      </w:r>
      <w:r>
        <w:rPr>
          <w:rFonts w:ascii="Times New Roman" w:cs="Times New Roman" w:eastAsia="Times New Roman" w:hAnsi="Times New Roman"/>
          <w:sz w:val="18"/>
          <w:szCs w:val="18"/>
          <w:color w:val="auto"/>
        </w:rPr>
        <w:t>, Case No. 4:17-cv-02399. The complaint in this matter seeks class action status on behalf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shareholders, alleging violations of Sections 10(b) and 20(a) of the Exchange Act against the Company, its chief executive officer, and its chief financial officer, arising out of its announcement on August 3, 2017 that “we see softer than expected demand for our 40G solutions with one of our large customers that will offset the sequential growth and increased demand we expect in 100G.” A second, related action was filed by Plaintiff Chad Ludwig on August 16, 2017 (Case No. 4:17-cv-02512) in the Southern District of Texas. The two cases were consolidated before Judge Vanessa D. Gilmore. On January 22, 2018, the court appointed Lawrence Rougier as Lead Plaintiff and Levi &amp; Korinsky LLP as Lead Counsel. Lead Plaintiff filed an amended consolidated class action complaint on March 6, 2018. The amended complaint requests unspecified damages and other relief. The Company filed a motion to dismiss on April 4, 2018, which was denied on March 28, 2019. The Company disputes the allegations, and intends to continue to vigorously defend against these claims. The case is now entering the early stages of discovery. At this early stage, we are not yet able to determine the likelihood of loss, if any, arising from this matter.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August 7, 2018, Plaintiff Lei Jin filed a purported derivative action on behalf of nominal defendant Applied Optoelectronics, Inc. in the U.S. District Court for the Southern District of Texas against the Company’s chief executive officer, chief financial officer and board of directors (Case No. 4:18-cv-02713). This case was consolidated with a later filed derivative lawsuit filed by Plaintiff Yiu Kwong Ng in the U.S. District Court for the Southern District of Texas (Case No. 4:18-cv-4751). The allegations in the consolidated derivative complaints are substantially similar to those underlying the </w:t>
      </w:r>
      <w:r>
        <w:rPr>
          <w:rFonts w:ascii="Times New Roman" w:cs="Times New Roman" w:eastAsia="Times New Roman" w:hAnsi="Times New Roman"/>
          <w:sz w:val="18"/>
          <w:szCs w:val="18"/>
          <w:i w:val="1"/>
          <w:iCs w:val="1"/>
          <w:color w:val="auto"/>
        </w:rPr>
        <w:t xml:space="preserve">Abouzied </w:t>
      </w:r>
      <w:r>
        <w:rPr>
          <w:rFonts w:ascii="Times New Roman" w:cs="Times New Roman" w:eastAsia="Times New Roman" w:hAnsi="Times New Roman"/>
          <w:sz w:val="18"/>
          <w:szCs w:val="18"/>
          <w:color w:val="auto"/>
        </w:rPr>
        <w:t>securities class action and the</w:t>
      </w:r>
      <w:r>
        <w:rPr>
          <w:rFonts w:ascii="Times New Roman" w:cs="Times New Roman" w:eastAsia="Times New Roman" w:hAnsi="Times New Roman"/>
          <w:sz w:val="18"/>
          <w:szCs w:val="18"/>
          <w:i w:val="1"/>
          <w:iCs w:val="1"/>
          <w:color w:val="auto"/>
        </w:rPr>
        <w:t xml:space="preserve"> Taneja </w:t>
      </w:r>
      <w:r>
        <w:rPr>
          <w:rFonts w:ascii="Times New Roman" w:cs="Times New Roman" w:eastAsia="Times New Roman" w:hAnsi="Times New Roman"/>
          <w:sz w:val="18"/>
          <w:szCs w:val="18"/>
          <w:color w:val="auto"/>
        </w:rPr>
        <w:t>securities class action discussed below. The consolidated derivative action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stayed pending a ruling on Defendants’ forthcoming motion to dismiss in the </w:t>
      </w:r>
      <w:r>
        <w:rPr>
          <w:rFonts w:ascii="Times New Roman" w:cs="Times New Roman" w:eastAsia="Times New Roman" w:hAnsi="Times New Roman"/>
          <w:sz w:val="18"/>
          <w:szCs w:val="18"/>
          <w:i w:val="1"/>
          <w:iCs w:val="1"/>
          <w:color w:val="auto"/>
        </w:rPr>
        <w:t>Taneja</w:t>
      </w:r>
      <w:r>
        <w:rPr>
          <w:rFonts w:ascii="Times New Roman" w:cs="Times New Roman" w:eastAsia="Times New Roman" w:hAnsi="Times New Roman"/>
          <w:sz w:val="18"/>
          <w:szCs w:val="18"/>
          <w:color w:val="auto"/>
        </w:rPr>
        <w:t xml:space="preserve"> securities class action.</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October 1, 2018, a lawsuit was filed in the U.S. District Court for the Southern District of Texas against the Company and two of its officers in </w:t>
      </w:r>
      <w:r>
        <w:rPr>
          <w:rFonts w:ascii="Times New Roman" w:cs="Times New Roman" w:eastAsia="Times New Roman" w:hAnsi="Times New Roman"/>
          <w:sz w:val="18"/>
          <w:szCs w:val="18"/>
          <w:i w:val="1"/>
          <w:iCs w:val="1"/>
          <w:color w:val="auto"/>
        </w:rPr>
        <w:t>Gaurav Taneja v. Applied Optoelectronics, Inc., Thompson Lin, and Stefan Murry</w:t>
      </w:r>
      <w:r>
        <w:rPr>
          <w:rFonts w:ascii="Times New Roman" w:cs="Times New Roman" w:eastAsia="Times New Roman" w:hAnsi="Times New Roman"/>
          <w:sz w:val="18"/>
          <w:szCs w:val="18"/>
          <w:color w:val="auto"/>
        </w:rPr>
        <w:t xml:space="preserve">, Case No. 4:18-cv-03544. The complaint in this matter seeks class action status on behalf of the Company’s shareholders, alleging violations of Sections 10(b) and 20(a) of the Exchange Act against the Company, its chief executive officer, and its chief financial officer, arising out of its announcement on September 28, 2018 that it was revising its third quarter revenue guidance due to “an issue with a small percentage of 25G lasers within a specific customer environment.” This case was consolidated with two identical cases styled </w:t>
      </w:r>
      <w:r>
        <w:rPr>
          <w:rFonts w:ascii="Times New Roman" w:cs="Times New Roman" w:eastAsia="Times New Roman" w:hAnsi="Times New Roman"/>
          <w:sz w:val="18"/>
          <w:szCs w:val="18"/>
          <w:i w:val="1"/>
          <w:iCs w:val="1"/>
          <w:color w:val="auto"/>
        </w:rPr>
        <w:t>Davin Pokoik v. Applied Optoelectronics, Inc., Chih-Hsiang Lin, and Stefan 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Murry</w:t>
      </w:r>
      <w:r>
        <w:rPr>
          <w:rFonts w:ascii="Times New Roman" w:cs="Times New Roman" w:eastAsia="Times New Roman" w:hAnsi="Times New Roman"/>
          <w:sz w:val="18"/>
          <w:szCs w:val="18"/>
          <w:color w:val="auto"/>
        </w:rPr>
        <w:t>, Case No. 4:18-cv-3722 and</w:t>
      </w:r>
      <w:r>
        <w:rPr>
          <w:rFonts w:ascii="Times New Roman" w:cs="Times New Roman" w:eastAsia="Times New Roman" w:hAnsi="Times New Roman"/>
          <w:sz w:val="18"/>
          <w:szCs w:val="18"/>
          <w:i w:val="1"/>
          <w:iCs w:val="1"/>
          <w:color w:val="auto"/>
        </w:rPr>
        <w:t xml:space="preserve"> Stephen McGrath v. Applied Optoelectronics, Inc., Chih-Hsiang Lin, and Stefan J. Murry</w:t>
      </w:r>
      <w:r>
        <w:rPr>
          <w:rFonts w:ascii="Times New Roman" w:cs="Times New Roman" w:eastAsia="Times New Roman" w:hAnsi="Times New Roman"/>
          <w:sz w:val="18"/>
          <w:szCs w:val="18"/>
          <w:color w:val="auto"/>
        </w:rPr>
        <w:t>. Mark Naglich was appointed as Lead Plaintiff on the consolidated matter on January 4, 2019. Lead Plaintiff filed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consolidated complaint on March 5, 2019, and the deadline for the Company’s motion to dismiss is May 6, 2019. The Company disputes the allegations and intends to vigorously contest the matter.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Books and Records Request</w:t>
      </w:r>
    </w:p>
    <w:p>
      <w:pPr>
        <w:spacing w:after="0" w:line="22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April 10, 2019, stockholder David Bono filed a complaint in the Delaware Court of Chancery against the Company seeking to inspect certain corporate books and records pursuant to Section 220 of the Delaware General Corporation Law. The lawsuit is styled </w:t>
      </w:r>
      <w:r>
        <w:rPr>
          <w:rFonts w:ascii="Times New Roman" w:cs="Times New Roman" w:eastAsia="Times New Roman" w:hAnsi="Times New Roman"/>
          <w:sz w:val="18"/>
          <w:szCs w:val="18"/>
          <w:i w:val="1"/>
          <w:iCs w:val="1"/>
          <w:color w:val="auto"/>
        </w:rPr>
        <w:t>David Bono v. Applied Optoelectronics, Inc.</w:t>
      </w:r>
      <w:r>
        <w:rPr>
          <w:rFonts w:ascii="Times New Roman" w:cs="Times New Roman" w:eastAsia="Times New Roman" w:hAnsi="Times New Roman"/>
          <w:sz w:val="18"/>
          <w:szCs w:val="18"/>
          <w:color w:val="auto"/>
        </w:rPr>
        <w:t>, Case No. 2019-0275 (Del. Ch. 2019). The complaint does not seek damages but seeks the plaintiff’s costs and expenses, including attorneys’ fees, as well as the requested books and records. A schedule for the case has not yet been entered. The Company intends to vigorously dispute the case as the plaintiff has not stated a proper purpose for inspecting the requested books and records.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 has evaluated subsequent events through the date the financial statements were available to be issued.</w:t>
      </w:r>
    </w:p>
    <w:p>
      <w:pPr>
        <w:spacing w:after="0" w:line="237" w:lineRule="exact"/>
        <w:rPr>
          <w:sz w:val="20"/>
          <w:szCs w:val="20"/>
          <w:color w:val="auto"/>
        </w:rPr>
      </w:pPr>
    </w:p>
    <w:p>
      <w:pPr>
        <w:ind w:right="40" w:firstLine="495"/>
        <w:spacing w:after="0" w:line="254" w:lineRule="auto"/>
        <w:rPr>
          <w:sz w:val="20"/>
          <w:szCs w:val="20"/>
          <w:color w:val="auto"/>
        </w:rPr>
      </w:pPr>
      <w:r>
        <w:rPr>
          <w:rFonts w:ascii="Times New Roman" w:cs="Times New Roman" w:eastAsia="Times New Roman" w:hAnsi="Times New Roman"/>
          <w:sz w:val="18"/>
          <w:szCs w:val="18"/>
          <w:color w:val="auto"/>
        </w:rPr>
        <w:t>On April 11, 2019, Prime World entered into a one-year credit facility totaling NT$80 million, or approximately $2.6 million, (the “Far Eastern Credit Facility”) with Far Eastern International Bank Co., Ltd. (“Far Eastern”). Prime World may draw upon the Far Eastern Credit Facility from April 11, 2019 until April 11, 2020. The term of each draw shall be up to 180 days. Under the Far Eastern Credit Facility borrowing in New Taiwan Dollars will bear interest at a rate equal to the Far Eastern’s published one-year fixed term time deposits rate, plus 0.655%; for all foreign currency borrowing, interest shall be the TAIFX3 rate for the length of time equal to the term of the loan or the next longer tenor for which rates are quoted, plus 0.7%. As of the execution of the Far Eastern Credit Facility, Far Eastern’s published one-year fixed term time deposits rate and TAIFX3 rate are 1.045 % and 2.75%, respectively. Prime World’s obligations under the Far Eastern Credit Facility will be secured by Promissory Note executed between Prime World and Far Eastern.</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April 19, 2019, the Company’s China subsidiary, Global, entered into a twelve (12) month revolving line of credit agreement, totaling 60,000,000 RMB, or approximately $8.9 million, (the “China Merchants Credit Line”), with China Merchants Bank Co., Ltd., in Ningbo, China (“China Merchants”). The China Merchants Credit Line will be used by Global for general corporate purposes. Global may draw upon the China Merchants Credit Line from April 19, 2019 until April 18, 2020 (the “Credit Period”). During the Credit Period, Global may request to draw upon the China Merchants Credit Line on an as-needed basis; however, the amount of available credit under the China Merchants Credit Line and the approval of each draw may be reduced or declined by China Merchants due to changes in Chinese government regulations and/or changes in Global’s financial and operational condition at the time of each requested draw. Each draw will bear interest equal to China Merchants’ commercial banking interest rate effective on the day of the applicable draw. Global’s obligations under the China Merchants Credit Line are unsecured.</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59" w:firstLine="648"/>
        <w:spacing w:after="0" w:line="255" w:lineRule="auto"/>
        <w:rPr>
          <w:sz w:val="20"/>
          <w:szCs w:val="20"/>
          <w:color w:val="auto"/>
        </w:rPr>
      </w:pPr>
      <w:r>
        <w:rPr>
          <w:rFonts w:ascii="Times New Roman" w:cs="Times New Roman" w:eastAsia="Times New Roman" w:hAnsi="Times New Roman"/>
          <w:sz w:val="18"/>
          <w:szCs w:val="18"/>
          <w:color w:val="auto"/>
        </w:rPr>
        <w:t>On April 30, 2019, the Company’s China subsidiary, Global, entered into a one-year credit facility totaling 9,900,000 RMB, or approximately $1.5 million, (the “SPD Credit Facility”), with Shanghai Pudong Development Bank Co., Ltd., in Beilun District, Ningbo City, China (“SPD”). Borrowing under the SPD Credit Facility will be used for short-term working capital. Global may draw upon the SPD Credit Facility from April 30, 2019 until May 9, 2019. Borrowing under the SPD Credit Facility will mature on April 30, 2020 and will bear interest equal to SPD’s published twelve (12) month prime loan rate in effect on the date of the draw, plus 0.2475%. As of the execution of the SPD Credit Facility agreement, SPD’s published 12 month prime loan rate is 4.32%. Under the SPD Credit Facility, Global will make monthly payments of accrued interest; principal shall be repaid upon maturity. Global’s obligations under the SPD Credit Facility are unsecured.</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accompanying notes appearing elsewhere in this Quarterly Report on Form 10-Q for the period ended March 31, 2019 and the audited consolidated financial statements and notes thereto and management’s discussion and analysis of financial condition and results of operations for the fiscal year ended December 31, 2018 included in our Annual Report on Form 10-K. References to “Applied Optoelectronics,” “we,” “our” and “us” are to Applied Optoelectronics, Inc. and its subsidiaries unless otherwise specified or the context otherwise requires.</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including our Report on Form 10-K for the year ended December 31, 2018 and subsequent Quarterly Reports on Form 10-Q.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 leading, vertically integrated provider of fiber-optic networking products. We target four networking end-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internet data centers, CATV, telecom and FTTH. We design and manufacture a range of optical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at varying levels of integration, from components, subassemblies and modules to complete turn-key equipment.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designing products for our customers, we begin with the fundamental building blocks of lasers and laser components.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foundational products, we design and manufacture a wide range of products to meet our customers’ needs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specifications, and such products differ from each other by their end market, intended use and level of integration. We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focused on the higher-performance segments within the internet data center, CATV, telecom and FTTH markets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increasingly demand faster connectivity and innovation. Our vertically integrated manufacturing model provides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advantages, including rapid product development, fast response times to customer requests and control over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quality and manufacturing costs.</w:t>
      </w:r>
    </w:p>
    <w:p>
      <w:pPr>
        <w:spacing w:after="0" w:line="20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copper cables, particularly as speeds reach 10 Gbps and above, as well as the movement to open internet data center architectures and the increasing use of in-house equipment design among leading internet companies. Within the CATV market, we benefit from a number of ongoing trends including the global build-out of CATV infrastructure, the move to higher bandwidth networks among CATV service providers and the outsourcing of system design among CATV networking equipment companies. In the FTTH market, we benefit from continuing PON deployments and system upgrades among telecommunication service providers. In the telecom market, we benefit from deployment of new high-speed fiber-optic networks by telecom network operators.</w:t>
      </w:r>
    </w:p>
    <w:p>
      <w:pPr>
        <w:spacing w:after="0" w:line="186" w:lineRule="exact"/>
        <w:rPr>
          <w:sz w:val="20"/>
          <w:szCs w:val="20"/>
          <w:color w:val="auto"/>
        </w:rPr>
      </w:pPr>
    </w:p>
    <w:p>
      <w:pPr>
        <w:ind w:right="640" w:firstLine="648"/>
        <w:spacing w:after="0" w:line="313" w:lineRule="auto"/>
        <w:rPr>
          <w:sz w:val="20"/>
          <w:szCs w:val="20"/>
          <w:color w:val="auto"/>
        </w:rPr>
      </w:pPr>
      <w:r>
        <w:rPr>
          <w:rFonts w:ascii="Times New Roman" w:cs="Times New Roman" w:eastAsia="Times New Roman" w:hAnsi="Times New Roman"/>
          <w:sz w:val="17"/>
          <w:szCs w:val="17"/>
          <w:color w:val="auto"/>
        </w:rPr>
        <w:t>Our vertically integrated manufacturing model provides us several advantages, including rapid product development, fast response times to customer requests and control over product quality and manufacturing costs. We</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9"/>
        <w:spacing w:after="0" w:line="258" w:lineRule="auto"/>
        <w:rPr>
          <w:sz w:val="20"/>
          <w:szCs w:val="20"/>
          <w:color w:val="auto"/>
        </w:rPr>
      </w:pPr>
      <w:r>
        <w:rPr>
          <w:rFonts w:ascii="Times New Roman" w:cs="Times New Roman" w:eastAsia="Times New Roman" w:hAnsi="Times New Roman"/>
          <w:sz w:val="18"/>
          <w:szCs w:val="18"/>
          <w:color w:val="auto"/>
        </w:rPr>
        <w:t>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 we manufacture are proven to be reliable over time and highly tolerant of changes in temperature and humidity, making them well-suited to the CATV and FTTH markets where networking equipment is often installed outdoors.</w:t>
      </w:r>
    </w:p>
    <w:p>
      <w:pPr>
        <w:spacing w:after="0" w:line="184" w:lineRule="exact"/>
        <w:rPr>
          <w:sz w:val="20"/>
          <w:szCs w:val="20"/>
          <w:color w:val="auto"/>
        </w:rPr>
      </w:pPr>
    </w:p>
    <w:p>
      <w:pPr>
        <w:ind w:right="19" w:firstLine="648"/>
        <w:spacing w:after="0" w:line="253" w:lineRule="auto"/>
        <w:rPr>
          <w:sz w:val="20"/>
          <w:szCs w:val="20"/>
          <w:color w:val="auto"/>
        </w:rPr>
      </w:pPr>
      <w:r>
        <w:rPr>
          <w:rFonts w:ascii="Times New Roman" w:cs="Times New Roman" w:eastAsia="Times New Roman" w:hAnsi="Times New Roman"/>
          <w:sz w:val="18"/>
          <w:szCs w:val="18"/>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In addition,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internet data center market, CATV transmitters (at the headend) and CATV outdoor equipment (at the node). Each manufacturing facility conducts testing on the components, modules or subsystems it manufactures and each facility is certified to ISO 9001:2015. Our facilities in Ningbo, China, Taipei, Taiwan, and Sugar Land, Texas are all certified to ISO 14001:2015.</w:t>
      </w:r>
    </w:p>
    <w:p>
      <w:pPr>
        <w:spacing w:after="0" w:line="189" w:lineRule="exact"/>
        <w:rPr>
          <w:sz w:val="20"/>
          <w:szCs w:val="20"/>
          <w:color w:val="auto"/>
        </w:rPr>
      </w:pPr>
    </w:p>
    <w:p>
      <w:pPr>
        <w:ind w:right="19" w:firstLine="648"/>
        <w:spacing w:after="0" w:line="255" w:lineRule="auto"/>
        <w:rPr>
          <w:sz w:val="20"/>
          <w:szCs w:val="20"/>
          <w:color w:val="auto"/>
        </w:rPr>
      </w:pPr>
      <w:r>
        <w:rPr>
          <w:rFonts w:ascii="Times New Roman" w:cs="Times New Roman" w:eastAsia="Times New Roman" w:hAnsi="Times New Roman"/>
          <w:sz w:val="18"/>
          <w:szCs w:val="18"/>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spacing w:after="0" w:line="185" w:lineRule="exact"/>
        <w:rPr>
          <w:sz w:val="20"/>
          <w:szCs w:val="20"/>
          <w:color w:val="auto"/>
        </w:rPr>
      </w:pPr>
    </w:p>
    <w:p>
      <w:pPr>
        <w:ind w:right="319" w:firstLine="648"/>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13139 Jess Pirtle Blvd., Sugar Land, TX 77478, and our telephone number is (281) 295-1800.</w:t>
      </w: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 forth our consolidated results of operations for the periods presented and as a percentage of our revenue for those periods (in thousands, except percentages):</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20" w:type="dxa"/>
            <w:vAlign w:val="bottom"/>
            <w:gridSpan w:val="6"/>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7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5"/>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jc w:val="center"/>
              <w:ind w:right="5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left="31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52,719</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65,239</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40,368</w:t>
            </w:r>
          </w:p>
        </w:tc>
        <w:tc>
          <w:tcPr>
            <w:tcW w:w="120" w:type="dxa"/>
            <w:vAlign w:val="bottom"/>
          </w:tcPr>
          <w:p>
            <w:pPr>
              <w:spacing w:after="0"/>
              <w:rPr>
                <w:sz w:val="18"/>
                <w:szCs w:val="18"/>
                <w:color w:val="auto"/>
              </w:rPr>
            </w:pPr>
          </w:p>
        </w:tc>
        <w:tc>
          <w:tcPr>
            <w:tcW w:w="7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76.6 %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39,403</w:t>
            </w:r>
          </w:p>
        </w:tc>
        <w:tc>
          <w:tcPr>
            <w:tcW w:w="140" w:type="dxa"/>
            <w:vAlign w:val="bottom"/>
          </w:tcPr>
          <w:p>
            <w:pPr>
              <w:spacing w:after="0"/>
              <w:rPr>
                <w:sz w:val="18"/>
                <w:szCs w:val="18"/>
                <w:color w:val="auto"/>
              </w:rPr>
            </w:pPr>
          </w:p>
        </w:tc>
        <w:tc>
          <w:tcPr>
            <w:tcW w:w="9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60.4 %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25,836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480" w:type="dxa"/>
            <w:vAlign w:val="bottom"/>
            <w:tcBorders>
              <w:top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11,185</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11,736</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tcPr>
          <w:p>
            <w:pPr>
              <w:spacing w:after="0"/>
              <w:rPr>
                <w:sz w:val="18"/>
                <w:szCs w:val="18"/>
                <w:color w:val="auto"/>
              </w:rPr>
            </w:pPr>
          </w:p>
        </w:tc>
        <w:tc>
          <w:tcPr>
            <w:tcW w:w="7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4.9 %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40" w:type="dxa"/>
            <w:vAlign w:val="bottom"/>
          </w:tcPr>
          <w:p>
            <w:pPr>
              <w:spacing w:after="0"/>
              <w:rPr>
                <w:sz w:val="18"/>
                <w:szCs w:val="18"/>
                <w:color w:val="auto"/>
              </w:rPr>
            </w:pPr>
          </w:p>
        </w:tc>
        <w:tc>
          <w:tcPr>
            <w:tcW w:w="9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24,220</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23,666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480" w:type="dxa"/>
            <w:vAlign w:val="bottom"/>
            <w:tcBorders>
              <w:bottom w:val="single" w:sz="8" w:color="CCEEFF"/>
            </w:tcBorders>
          </w:tcPr>
          <w:p>
            <w:pPr>
              <w:jc w:val="right"/>
              <w:ind w:right="25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(11,869)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(22.5)</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Pr>
          <w:p>
            <w:pPr>
              <w:spacing w:after="0"/>
              <w:rPr>
                <w:sz w:val="18"/>
                <w:szCs w:val="18"/>
                <w:color w:val="auto"/>
              </w:rPr>
            </w:pPr>
          </w:p>
        </w:tc>
        <w:tc>
          <w:tcPr>
            <w:tcW w:w="7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8"/>
                <w:szCs w:val="18"/>
                <w:color w:val="auto"/>
              </w:rPr>
            </w:pPr>
          </w:p>
        </w:tc>
        <w:tc>
          <w:tcPr>
            <w:tcW w:w="9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4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9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(12,948)</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20" w:type="dxa"/>
            <w:vAlign w:val="bottom"/>
          </w:tcPr>
          <w:p>
            <w:pPr>
              <w:spacing w:after="0"/>
              <w:rPr>
                <w:sz w:val="18"/>
                <w:szCs w:val="18"/>
                <w:color w:val="auto"/>
              </w:rPr>
            </w:pPr>
          </w:p>
        </w:tc>
        <w:tc>
          <w:tcPr>
            <w:tcW w:w="7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4.7 %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tcPr>
          <w:p>
            <w:pPr>
              <w:spacing w:after="0"/>
              <w:rPr>
                <w:sz w:val="18"/>
                <w:szCs w:val="18"/>
                <w:color w:val="auto"/>
              </w:rPr>
            </w:pPr>
          </w:p>
        </w:tc>
        <w:tc>
          <w:tcPr>
            <w:tcW w:w="9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(10,474)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(19.9)</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80" w:type="dxa"/>
            <w:vAlign w:val="bottom"/>
            <w:tcBorders>
              <w:top w:val="single" w:sz="8" w:color="CCEEFF"/>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Financial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generate revenue through the sale of our products to equipment providers and network operators for the internet data center, CATV, telecom and FTTH markets. We derive a significant portion of our revenue from our top ten customers, and we anticipate that we will continue to do so for the foreseeable future. The following chart provides the revenue contribution from each of the markets we served for the three months ended March 31, 2019 and 2018 (in thousands, except percentages):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940" w:type="dxa"/>
            <w:vAlign w:val="bottom"/>
            <w:tcBorders>
              <w:bottom w:val="single" w:sz="8" w:color="auto"/>
            </w:tcBorders>
            <w:gridSpan w:val="7"/>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5"/>
                <w:szCs w:val="15"/>
                <w:color w:val="auto"/>
              </w:rPr>
            </w:pPr>
          </w:p>
        </w:tc>
        <w:tc>
          <w:tcPr>
            <w:tcW w:w="130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60" w:type="dxa"/>
            <w:vAlign w:val="bottom"/>
          </w:tcPr>
          <w:p>
            <w:pPr>
              <w:spacing w:after="0"/>
              <w:rPr>
                <w:sz w:val="10"/>
                <w:szCs w:val="10"/>
                <w:color w:val="auto"/>
              </w:rPr>
            </w:pPr>
          </w:p>
        </w:tc>
        <w:tc>
          <w:tcPr>
            <w:tcW w:w="1600" w:type="dxa"/>
            <w:vAlign w:val="bottom"/>
            <w:vMerge w:val="restart"/>
          </w:tcPr>
          <w:p>
            <w:pPr>
              <w:spacing w:after="0"/>
              <w:rPr>
                <w:sz w:val="10"/>
                <w:szCs w:val="10"/>
                <w:color w:val="auto"/>
              </w:rPr>
            </w:pPr>
          </w:p>
        </w:tc>
        <w:tc>
          <w:tcPr>
            <w:tcW w:w="64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0"/>
                <w:szCs w:val="10"/>
                <w:color w:val="auto"/>
              </w:rPr>
            </w:pPr>
          </w:p>
        </w:tc>
        <w:tc>
          <w:tcPr>
            <w:tcW w:w="620" w:type="dxa"/>
            <w:vAlign w:val="bottom"/>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40" w:type="dxa"/>
            <w:vAlign w:val="bottom"/>
            <w:vMerge w:val="restart"/>
          </w:tcPr>
          <w:p>
            <w:pPr>
              <w:spacing w:after="0"/>
              <w:rPr>
                <w:sz w:val="10"/>
                <w:szCs w:val="10"/>
                <w:color w:val="auto"/>
              </w:rPr>
            </w:pPr>
          </w:p>
        </w:tc>
        <w:tc>
          <w:tcPr>
            <w:tcW w:w="66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0"/>
                <w:szCs w:val="10"/>
                <w:color w:val="auto"/>
              </w:rPr>
            </w:pPr>
          </w:p>
        </w:tc>
        <w:tc>
          <w:tcPr>
            <w:tcW w:w="620" w:type="dxa"/>
            <w:vAlign w:val="bottom"/>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72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vMerge w:val="restart"/>
          </w:tcPr>
          <w:p>
            <w:pPr>
              <w:spacing w:after="0"/>
              <w:rPr>
                <w:sz w:val="10"/>
                <w:szCs w:val="10"/>
                <w:color w:val="auto"/>
              </w:rPr>
            </w:pPr>
          </w:p>
        </w:tc>
        <w:tc>
          <w:tcPr>
            <w:tcW w:w="4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bottom w:val="single" w:sz="8" w:color="CCEEFF"/>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Center</w:t>
            </w:r>
          </w:p>
        </w:tc>
        <w:tc>
          <w:tcPr>
            <w:tcW w:w="16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$38,499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$50,583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$(12,084)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(23.9)%</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CATV</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40" w:type="dxa"/>
            <w:vAlign w:val="bottom"/>
          </w:tcPr>
          <w:p>
            <w:pPr>
              <w:spacing w:after="0"/>
              <w:rPr>
                <w:sz w:val="18"/>
                <w:szCs w:val="18"/>
                <w:color w:val="auto"/>
              </w:rPr>
            </w:pP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(51.5)%</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FTTH</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9"/>
              </w:rPr>
              <w:t>(15.3)%</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17"/>
        </w:trPr>
        <w:tc>
          <w:tcPr>
            <w:tcW w:w="2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6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52,719</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65,239</w:t>
            </w: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(12,520)</w:t>
            </w:r>
          </w:p>
        </w:tc>
        <w:tc>
          <w:tcPr>
            <w:tcW w:w="1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decrease in revenue during the three months ended March 31, 2019 was driven primarily by decreased shipments of certain of our 100 Gbps transceivers products to one of our customers during the quarter. We are not always informed by our customers of the exact reasons for changes in their forecasts and the subsequent orders, however we believe that the recent reduction in orders by this customer is due to excess inventory previously purchased by this customer. We continue to have active engagement with this customer and are evaluating the extent to which excess inventory may impact our future deliveries to this customer. Revenues from customers during the three-months ended March 31, 2019 that were not customers during the same period in the prior year partially offset the decline in revenue from our 100G products.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1" w:right="137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2019 and 2018, our top ten customers represented 92.1% and 94.3%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and gross margin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7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5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   Revenue</w:t>
            </w:r>
          </w:p>
        </w:tc>
        <w:tc>
          <w:tcPr>
            <w:tcW w:w="2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Revenue    Amount</w:t>
            </w:r>
          </w:p>
        </w:tc>
        <w:tc>
          <w:tcPr>
            <w:tcW w:w="3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920" w:type="dxa"/>
            <w:vAlign w:val="bottom"/>
            <w:gridSpan w:val="6"/>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9"/>
              </w:rPr>
              <w:t>$40,368</w:t>
            </w:r>
          </w:p>
        </w:tc>
        <w:tc>
          <w:tcPr>
            <w:tcW w:w="1600" w:type="dxa"/>
            <w:vAlign w:val="bottom"/>
            <w:gridSpan w:val="3"/>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76.6 % $39,403</w:t>
            </w:r>
          </w:p>
        </w:tc>
        <w:tc>
          <w:tcPr>
            <w:tcW w:w="1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60.4 % $ 965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60" w:type="dxa"/>
            <w:vAlign w:val="bottom"/>
          </w:tcPr>
          <w:p>
            <w:pPr>
              <w:jc w:val="right"/>
              <w:ind w:right="181"/>
              <w:spacing w:after="0"/>
              <w:rPr>
                <w:sz w:val="20"/>
                <w:szCs w:val="20"/>
                <w:color w:val="auto"/>
              </w:rPr>
            </w:pPr>
            <w:r>
              <w:rPr>
                <w:rFonts w:ascii="Times New Roman" w:cs="Times New Roman" w:eastAsia="Times New Roman" w:hAnsi="Times New Roman"/>
                <w:sz w:val="18"/>
                <w:szCs w:val="18"/>
                <w:color w:val="auto"/>
              </w:rPr>
              <w:t>12,351</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23.4 %</w:t>
            </w:r>
          </w:p>
        </w:tc>
        <w:tc>
          <w:tcPr>
            <w:tcW w:w="880" w:type="dxa"/>
            <w:vAlign w:val="bottom"/>
          </w:tcPr>
          <w:p>
            <w:pPr>
              <w:jc w:val="right"/>
              <w:ind w:right="202"/>
              <w:spacing w:after="0"/>
              <w:rPr>
                <w:sz w:val="20"/>
                <w:szCs w:val="20"/>
                <w:color w:val="auto"/>
              </w:rPr>
            </w:pPr>
            <w:r>
              <w:rPr>
                <w:rFonts w:ascii="Times New Roman" w:cs="Times New Roman" w:eastAsia="Times New Roman" w:hAnsi="Times New Roman"/>
                <w:sz w:val="18"/>
                <w:szCs w:val="18"/>
                <w:color w:val="auto"/>
              </w:rPr>
              <w:t>25,836</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39.6 %</w:t>
            </w: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Cost of goods sold increased by $1.0 million, or 2.4%, for the three months ended March 31, 2019 as compared to the three months ended March 31, 2018. This increase was due to increased production costs for our 100G datacenter products, which resulted from previously implemented enhanced quality control testing procedures.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500" w:type="dxa"/>
            <w:vAlign w:val="bottom"/>
            <w:tcBorders>
              <w:bottom w:val="single" w:sz="8" w:color="auto"/>
            </w:tcBorders>
            <w:gridSpan w:val="9"/>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4"/>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gridSpan w:val="3"/>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top w:val="single" w:sz="8" w:color="auto"/>
            </w:tcBorders>
          </w:tcPr>
          <w:p>
            <w:pPr>
              <w:jc w:val="right"/>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860" w:type="dxa"/>
            <w:vAlign w:val="bottom"/>
            <w:tcBorders>
              <w:top w:val="single" w:sz="8" w:color="auto"/>
            </w:tcBorders>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tcBorders>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64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top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Borders>
              <w:bottom w:val="single" w:sz="8" w:color="auto"/>
            </w:tcBorders>
            <w:gridSpan w:val="3"/>
            <w:vMerge w:val="continue"/>
          </w:tcPr>
          <w:p>
            <w:pPr>
              <w:spacing w:after="0"/>
              <w:rPr>
                <w:sz w:val="15"/>
                <w:szCs w:val="15"/>
                <w:color w:val="auto"/>
              </w:rPr>
            </w:pPr>
          </w:p>
        </w:tc>
        <w:tc>
          <w:tcPr>
            <w:tcW w:w="7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860" w:type="dxa"/>
            <w:vAlign w:val="bottom"/>
            <w:tcBorders>
              <w:bottom w:val="single" w:sz="8" w:color="auto"/>
            </w:tcBorders>
            <w:gridSpan w:val="4"/>
            <w:vMerge w:val="continue"/>
          </w:tcPr>
          <w:p>
            <w:pPr>
              <w:spacing w:after="0"/>
              <w:rPr>
                <w:sz w:val="15"/>
                <w:szCs w:val="15"/>
                <w:color w:val="auto"/>
              </w:rPr>
            </w:pPr>
          </w:p>
        </w:tc>
        <w:tc>
          <w:tcPr>
            <w:tcW w:w="8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40" w:type="dxa"/>
            <w:vAlign w:val="bottom"/>
            <w:tcBorders>
              <w:bottom w:val="single" w:sz="8" w:color="auto"/>
            </w:tcBorders>
            <w:gridSpan w:val="3"/>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40" w:type="dxa"/>
            <w:vAlign w:val="bottom"/>
            <w:gridSpan w:val="8"/>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 $11,736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(551)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7"/>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24,220</w:t>
            </w:r>
          </w:p>
        </w:tc>
        <w:tc>
          <w:tcPr>
            <w:tcW w:w="1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23,666</w:t>
            </w: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decreased by 0.6 million, or 4.7%, for the three months ended March 31, 2019 as compared to the three months ended March 31, 2018. Research and development costs consist of R&amp;D work orders, R&amp;D material usage and other project related costs related to 40 Gbps, 100 Gbps, and 200/400 Gbps data center products, DOCSIS 3.1 capable CATV products, including remote-PHY products, and other new product development, and depreciation expense resulting from R&amp;D equipment investments. Research and development costs decreased for the three months ended March 31, 2019 as compared to the three months ended March 31, 2018 due mainly to a decrease in costs from R&amp;D work orders, a decrease in depreciation expense related to R&amp;D equipment and a decrease in travel expenses. These decreases were offset by increases in personnel-related costs and materials and supplies used in R&amp;D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by $0.1 million, or 4.9%, for the three months ended March 31, 2019 as compared to the three months ended March 31, 2018. This increase was due to increases in trade show expenses and personnel-related costs offset by decreases in shipping costs and travel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by $1.0 million, or 10.4%, for the three months ended March 31, 2019 compared to the three months ended March 31, 2018. These increases were primarily due to an increase in share-based compensation expenses and depreciation expenses. These increases were partially offset by a decrease in professional service fees.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10"/>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4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6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40" w:type="dxa"/>
            <w:vAlign w:val="bottom"/>
            <w:tcBorders>
              <w:bottom w:val="single" w:sz="8" w:color="auto"/>
            </w:tcBorders>
            <w:gridSpan w:val="4"/>
            <w:vMerge w:val="continue"/>
          </w:tcPr>
          <w:p>
            <w:pPr>
              <w:spacing w:after="0"/>
              <w:rPr>
                <w:sz w:val="15"/>
                <w:szCs w:val="15"/>
                <w:color w:val="auto"/>
              </w:rPr>
            </w:pPr>
          </w:p>
        </w:tc>
        <w:tc>
          <w:tcPr>
            <w:tcW w:w="74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4"/>
            <w:vMerge w:val="continue"/>
          </w:tcPr>
          <w:p>
            <w:pPr>
              <w:spacing w:after="0"/>
              <w:rPr>
                <w:sz w:val="15"/>
                <w:szCs w:val="15"/>
                <w:color w:val="auto"/>
              </w:rPr>
            </w:pPr>
          </w:p>
        </w:tc>
        <w:tc>
          <w:tcPr>
            <w:tcW w:w="74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680" w:type="dxa"/>
            <w:vAlign w:val="bottom"/>
            <w:tcBorders>
              <w:bottom w:val="single" w:sz="8" w:color="auto"/>
            </w:tcBorders>
            <w:gridSpan w:val="4"/>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11"/>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(925)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1,302.8 %</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(1,027)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17"/>
        </w:trPr>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(1,079)</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(1,046)</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Interest income increased 38.5% for the three months ended March 31, 2019 as compared to the three months ended March 31, 2018, due to higher interest rates and larger cash balances.</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Interest expense increased 1302.8% for the three months ended March 31, 2019 as compared to the three months ended March 31, 2018. This increase was due to higher debt balances, including convertible senior notes and higher interest rates in the current period.</w:t>
      </w:r>
    </w:p>
    <w:p>
      <w:pPr>
        <w:spacing w:after="0" w:line="176"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for the three months ended March 31, 2019 was expense of $0.2 million, a $0.9 million decrease compared to the three months ended March 31, 2018. This decrease was due to the decrease of foreign exchange losses resulting from the favorable fluctuation of certain Asian currencies against the U.S. dollar.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(provision) for income taxes</w:t>
      </w:r>
    </w:p>
    <w:p>
      <w:pPr>
        <w:spacing w:after="0" w:line="23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7620</wp:posOffset>
            </wp:positionV>
            <wp:extent cx="17926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ind w:left="6120"/>
        <w:spacing w:after="0"/>
        <w:tabs>
          <w:tab w:leader="none" w:pos="6880" w:val="left"/>
          <w:tab w:leader="none" w:pos="790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-3175</wp:posOffset>
            </wp:positionV>
            <wp:extent cx="17926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ind w:left="6340"/>
        <w:spacing w:after="0" w:line="233" w:lineRule="auto"/>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2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$ 2,474</w:t>
            </w: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996   1,478</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148.4 %</w:t>
            </w:r>
          </w:p>
        </w:tc>
      </w:tr>
    </w:tbl>
    <w:p>
      <w:pPr>
        <w:spacing w:after="0" w:line="19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tax provision or benefit from income taxes for interim periods is determined using an estimate of our annual effective tax rate, adjusted for discrete items, if any, that are taken into account in the relevant period. Our quarterly tax provision, and our quarterly estimate of our annual effective tax rate, are subject to significant variation due to several factors, including variability in accurately predicting our pre-tax income and loss and the mix of jurisdictions to which they relate, tax law developments and relative changes in permanent tax benefits or expenses.</w:t>
      </w:r>
    </w:p>
    <w:p>
      <w:pPr>
        <w:spacing w:after="0" w:line="18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2019 and 2018 was (19.00%) and (88.63%), respectively. For the three months ended March 31, 2019, the effective tax rate varied from the federal statutory rate of 21% primarily due to the level and mix of earnings among tax jurisdictions, share-based compensation, and tax benefits related to research and development. For the three months ended March 31, 2018, the effective tax rate varied from the federal statutory rate of 21% primarily due to the level and mix of earnings among tax jurisdictions, share-based compensation, tax benefits related to research and development, recognition of the U.S. global intangible low-taxed income ("GILTI") which was partially offset by foreign tax credits.</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As of March 31, 2019, we had accumulated undistributed earnings generated by our foreign subsidiaries of approximately $16 million. Because $16 million of such earnings have previously been subject to the one-time transition tax on foreign earnings required by the Tax Cut of Jobs Act of 2017 (the “Tax Act”), any additional taxes due with respect to such earnings or the excess of the amount for financial reporting over the tax basis of our foreign investments would generally be limited to foreign and state taxes. We intend, however, to indefinitely reinvest these earnings and expects future U.S. cash generation to be sufficient to meet future U.S. cash needs.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March 31, 2019, we had $36.7 million of unused borrowing capacity from all of our loan agreements. As of March 31, 2019, our cash, cash equivalents and restricted cash totaled $77.5 million. Cash and cash equivalents are held for working capital purposes and are invested primarily in money market or time deposit funds. We do not enter into investments for trading or speculative purposes. On October 17, 2016, we filed a Registration Statement on Form S-3 with the Securities and Exchange Commission, which was declared effective on November 1, 2016, providing for the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public offer and sale of certain securities of the Company from time to time, at our discretion, up to an aggregate amount of $250 million. Between November 22, 2016 and March 2, 2017, the Company sold 1.6 million shares of common stock at a weighted average price of $31.55 per share, providing proceeds of $48.8 million, net of expenses and underwriting discounts and commissions. No shares of common stock were sold pursuant to this Registration Statement on Form S-3 in the three months ended March 31, 2019. On March 5, 2019, the Company issued $80.5 million of 5% convertible senior notes due 2024, bearing interest at a rate of 5% per year maturing on March 15, 2024, unless earlier repurchased, redeemed or converted in accordance with their terms. The sale of the Notes generated net proceeds of $76.4 million, after expenses. Also refer to Note 12 “Convertible Senior Notes” to the consolidated financial statements for further discussion of the Notes.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selected cash flow data for the periods presented (in thousands):</w:t>
      </w:r>
    </w:p>
    <w:p>
      <w:pPr>
        <w:spacing w:after="0" w:line="2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8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920" w:type="dxa"/>
        <w:tblCellMar>
          <w:top w:w="0" w:type="dxa"/>
          <w:left w:w="0" w:type="dxa"/>
          <w:bottom w:w="0" w:type="dxa"/>
          <w:right w:w="0" w:type="dxa"/>
        </w:tblCellMar>
      </w:tblPr>
      <w:tr>
        <w:trPr>
          <w:trHeight w:val="142"/>
        </w:trPr>
        <w:tc>
          <w:tcPr>
            <w:tcW w:w="5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6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w:t>
            </w:r>
          </w:p>
        </w:tc>
        <w:tc>
          <w:tcPr>
            <w:tcW w:w="16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28,019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14,576</w:t>
            </w:r>
          </w:p>
        </w:tc>
        <w:tc>
          <w:tcPr>
            <w:tcW w:w="160" w:type="dxa"/>
            <w:vAlign w:val="bottom"/>
            <w:shd w:val="clear" w:color="auto" w:fill="CCEEFF"/>
          </w:tcPr>
          <w:p>
            <w:pPr>
              <w:spacing w:after="0"/>
              <w:rPr>
                <w:sz w:val="18"/>
                <w:szCs w:val="18"/>
                <w:color w:val="auto"/>
              </w:rPr>
            </w:pPr>
          </w:p>
        </w:tc>
      </w:tr>
      <w:tr>
        <w:trPr>
          <w:trHeight w:val="216"/>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60" w:type="dxa"/>
            <w:vAlign w:val="bottom"/>
            <w:tcBorders>
              <w:bottom w:val="single" w:sz="8" w:color="CCEEFF"/>
            </w:tcBorders>
          </w:tcPr>
          <w:p>
            <w:pPr>
              <w:spacing w:after="0"/>
              <w:rPr>
                <w:sz w:val="18"/>
                <w:szCs w:val="18"/>
                <w:color w:val="auto"/>
              </w:rPr>
            </w:pPr>
          </w:p>
        </w:tc>
      </w:tr>
      <w:tr>
        <w:trPr>
          <w:trHeight w:val="217"/>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19,455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60" w:type="dxa"/>
            <w:vAlign w:val="bottom"/>
            <w:tcBorders>
              <w:bottom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2019, net cash provided by operating activities was $40,000. Net cash provided by operating activities consisted of our net loss of $10.4 million, after the exclusion of non-cash items of $8.7 million. Cash increased due to a decrease in other receivables of $2.8 million and a decrease in inventory of $7.3 million. Cash decreased due to an increase in accounts receivable from our customers of $1.6 million, a decrease in accounts payable to our vendors of $1.6 million and a decrease in accrued liabilities of $5.7 million.</w:t>
      </w:r>
    </w:p>
    <w:p>
      <w:pPr>
        <w:spacing w:after="0" w:line="18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2018, net cash used in operating activities was $4.1 million. Net cash provided by operating activities consisted of our net income of $2.1 million, after the exclusion of non-cash items of $8.6 million, as well as an increase in accounts payable to our vendors of $2.6 million and a decrease in accounts receivable from our customers of $6.2 million. Cash decreased due to a decrease in accrued liabilities of $6.1 million and an increase in inventory of $15.8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net cash used in investing activities was $9.0 million, consisting of the purchase of additional machinery and equipment of $12.8 million, offset by a decrease in non-current assets of $3.9 million.</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2018, net cash used in investing activities was $12.2 million, mainly for the purchase of additional machinery and equipment and land use rights in China.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our financing activities provided $28.0 million in cash. This increase in cash was due to $76.4 million of proceeds from the issuance of convertible senior notes offset by net loan repayments of $48.1 million.</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2018, our financing activities provided $14.6 million in cash. This increase in cash was due to net borrowings of $15.6 million offset by $1.1 million of withholding taxes paid on behalf of employees related to their share-based compensation.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commitments</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have lending arrangements with several financial institutions. In the US, we have a revolving line of credit with Branch Banking and Trust (BB&amp;T) Bank in the U.S. This line of credit contains financial covenants that may limit the amount and types of debt that we may incur. As of March 31, 2019, we were in compliance with these covenants.</w:t>
      </w:r>
    </w:p>
    <w:p>
      <w:pPr>
        <w:spacing w:after="0" w:line="176"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In Taiwan, we have a revolving credit facility with Taishin International Bank, a revolving credit facility with Development Bank of Singapore (Taiwan) Ltd, a credit facility with CTBC Bank Co, Ltd. and an equipment finance agreement with Chailease Finance Co., Ltd. for Prime World’s Taiwan Branch. And in China, we have a revolving line of credit with China Construction Bank with Global. As of March 31, 2019, we had $36.7 million of unused borrowing capacity.</w:t>
      </w:r>
    </w:p>
    <w:p>
      <w:pPr>
        <w:spacing w:after="0" w:line="184"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On March 5, 2019, the Company issued $80.5 million of 5% convertible senior notes due 2024. The Notes will mature on March 15, 2024, unless earlier repurchased, redeemed or converted in accordance with their terms.</w:t>
      </w:r>
    </w:p>
    <w:p>
      <w:pPr>
        <w:spacing w:after="0" w:line="162" w:lineRule="exact"/>
        <w:rPr>
          <w:sz w:val="20"/>
          <w:szCs w:val="20"/>
          <w:color w:val="auto"/>
        </w:rPr>
      </w:pPr>
    </w:p>
    <w:p>
      <w:pPr>
        <w:ind w:right="300" w:firstLine="648"/>
        <w:spacing w:after="0" w:line="313" w:lineRule="auto"/>
        <w:rPr>
          <w:sz w:val="20"/>
          <w:szCs w:val="20"/>
          <w:color w:val="auto"/>
        </w:rPr>
      </w:pPr>
      <w:r>
        <w:rPr>
          <w:rFonts w:ascii="Times New Roman" w:cs="Times New Roman" w:eastAsia="Times New Roman" w:hAnsi="Times New Roman"/>
          <w:sz w:val="17"/>
          <w:szCs w:val="17"/>
          <w:color w:val="auto"/>
        </w:rPr>
        <w:t>See Note 11 “Notes Payable and Long-term Debt” and Note 12 “Convertible Senior Notes” of our Condensed Consolidated Financial Statements for a description of our notes payable and long-term debt and convertible senior notes.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 factory construction</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February 8, 2018, we entered into a construction contract with Zhejiang Xinyu Construction Group Co., Ltd. for the construction of a new factory and other facilities at our Ningbo, China location. Construction costs for these facilities under this contract are estimated to total approximately $27.5 million. As of March 31, 2019, approximately $12.0 million of this total cost has been incurred, with the remaining portion due as the construction progress. Construction under this contract is expected to be completed in early 2020.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liquidity needs</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and cash equivalents, cash flows from our operating activities, and available credit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changes in our manufacturing capacity and the continuing market acceptance of our products. 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our contractual obligations as of March 31, 2019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0"/>
                <w:szCs w:val="10"/>
                <w:color w:val="auto"/>
              </w:rPr>
            </w:pPr>
          </w:p>
        </w:tc>
        <w:tc>
          <w:tcPr>
            <w:tcW w:w="8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Less than 1</w:t>
            </w: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820" w:type="dxa"/>
            <w:vAlign w:val="bottom"/>
            <w:gridSpan w:val="3"/>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82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and long-term debt</w:t>
            </w:r>
            <w:r>
              <w:rPr>
                <w:rFonts w:ascii="Times New Roman" w:cs="Times New Roman" w:eastAsia="Times New Roman" w:hAnsi="Times New Roman"/>
                <w:sz w:val="8"/>
                <w:szCs w:val="8"/>
                <w:color w:val="auto"/>
              </w:rPr>
              <w:t>(1)</w:t>
            </w: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41,453</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$ 23,691</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$ 17,762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senior notes</w:t>
            </w:r>
            <w:r>
              <w:rPr>
                <w:rFonts w:ascii="Times New Roman" w:cs="Times New Roman" w:eastAsia="Times New Roman" w:hAnsi="Times New Roman"/>
                <w:sz w:val="8"/>
                <w:szCs w:val="8"/>
                <w:color w:val="auto"/>
              </w:rPr>
              <w:t>(2)</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84,187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8"/>
                <w:szCs w:val="8"/>
                <w:color w:val="auto"/>
              </w:rPr>
              <w:t>(3)</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commitments</w:t>
            </w:r>
          </w:p>
        </w:tc>
        <w:tc>
          <w:tcPr>
            <w:tcW w:w="1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149,268</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$ 29,094</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28,097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86,312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1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2"/>
        </w:trPr>
        <w:tc>
          <w:tcPr>
            <w:tcW w:w="2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2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140" w:hanging="333"/>
        <w:spacing w:after="0" w:line="25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several loan and security agreements in China, Taiwan and the U.S. that provide various credit facilities, including lines of credit, bank acceptance payable and term loans. The amount presented in the table represents the principal portion and estimated interest expense for the obligations.</w:t>
      </w:r>
    </w:p>
    <w:p>
      <w:pPr>
        <w:spacing w:after="0" w:line="1" w:lineRule="exact"/>
        <w:rPr>
          <w:rFonts w:ascii="Times New Roman" w:cs="Times New Roman" w:eastAsia="Times New Roman" w:hAnsi="Times New Roman"/>
          <w:sz w:val="18"/>
          <w:szCs w:val="18"/>
          <w:color w:val="auto"/>
        </w:rPr>
      </w:pPr>
    </w:p>
    <w:p>
      <w:pPr>
        <w:ind w:left="660" w:right="200" w:hanging="333"/>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convertible senior notes due 2024. The amount present in the table represents the principal portion and estimated interest expense for the obligations.</w:t>
      </w:r>
    </w:p>
    <w:p>
      <w:pPr>
        <w:ind w:left="660" w:hanging="333"/>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various non-cancellable operating lease agreements for our offices in Taiwan and the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relatively low rate of inflation in the U.S. over the past few years has not had a significant impact on our net sales and revenues or on income from continuing operations or on the prices of raw materials. To the extent we expand our operations in China and Taiwan, such actions may result in inflation having a more significant impact on our operating results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we did not, and we do not currently, have any off-balance sheet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our annual report on Form 10-K for the year ended December 31, 2018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doubtful accounts,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the Company, see Item 7A – Quantitative and Qualitative Disclosures about Market Risk in our Annual Report on Form 10-K for the fiscal year ended December 31, 2018. We do not believe the Company’s exposure to market risk has changed materially since December 31,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7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March 31, 2019. Based upon that evaluation, our Chief Executive Officer and Chief Financial Officer concluded that, as of the end of the period covered by this report, our disclosure controls and procedures were effective.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litigation arising in the ordinary course of business, including, but not limited to, inquiries, investigations, audits and other regulatory proceedings, such as described below. We record a loss provision when we believe it is both probable that a liability has been incurred and the amount can be reasonably estimated. Unless otherwise disclosed, we are unable to estimate the possible loss or range of loss for the legal proceeding described below.</w:t>
      </w:r>
    </w:p>
    <w:p>
      <w:pPr>
        <w:spacing w:after="0" w:line="4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for the lawsuits described below, we believe that there are no claims or actions pending or threatened against us, the ultimate disposition of which would have a material adverse effect on us.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Action and Shareholder Derivative Litigation</w:t>
      </w:r>
    </w:p>
    <w:p>
      <w:pPr>
        <w:spacing w:after="0" w:line="10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August 5, 2017, a lawsuit was filed in the U.S. District Court for the Southern District of Texas against us and two of our officers in </w:t>
      </w:r>
      <w:r>
        <w:rPr>
          <w:rFonts w:ascii="Times New Roman" w:cs="Times New Roman" w:eastAsia="Times New Roman" w:hAnsi="Times New Roman"/>
          <w:sz w:val="18"/>
          <w:szCs w:val="18"/>
          <w:i w:val="1"/>
          <w:iCs w:val="1"/>
          <w:color w:val="auto"/>
        </w:rPr>
        <w:t>Mona Abouzied v. Applied Optoelectronics, Inc., Chih-Hsiang (Thompson) Lin, and Stefan J. Murry,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Case No. 4:17-cv-02399. The complaint in this matter seeks class action status on behalf of our shareholders, alleging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violations of Sections 10(b) and 20(a) of the Exchange Act against us, our chief executive officer, and our chief financial officer, arising out of our announcement on August 3, 2017 that “we see softer than expected demand for our 40G solutions with one of our large customers that will offset the sequential growth and increased demand we expect in 100G.” A second, related action was filed by Plaintiff Chad Ludwig on August 16, 2017 (Case No. 4:17-cv-02512) in the Southern District of Texas. The two cases were consolidated before Judge Vanessa D. Gilmore. On January 22, 2018, the court appointed Lawrence Rougier as Lead Plaintiff and Levi &amp; Korinsky LLP as Lead Counsel. Lead Plaintiff filed an amended consolidated class action complaint on March 6, 2018. The amended complaint requests unspecified damages and other relief. The Company filed a motion to dismiss on April 4, 2018, which was denied on March 28, 2019. We dispute the allegations, and we intend to continue to vigorously defend against these claims. The case is now entering the early stages of discovery. At this early stage, we are not yet able to determine the likelihood of loss, if any, arising from this matter. On August 7, 2018, Plaintiff Lei Jin filed a purported derivative action on behalf of nominal defendant Applied Optoelectronics, Inc. in the U.S. District Court for the Southern District of Texas against our chief executive officer, chief financial officer and board of directors (Case No. 4:18-cv-02713). This case was consolidated with a later filed derivative lawsuit filed by Plaintiff Yiu Kwong Ng in the U.S. District Court for the Southern District of Texas (Case No. 4:18-cv-4751). The allegations in the consolidated derivative complaints are substantially similar to those underlying the </w:t>
      </w:r>
      <w:r>
        <w:rPr>
          <w:rFonts w:ascii="Times New Roman" w:cs="Times New Roman" w:eastAsia="Times New Roman" w:hAnsi="Times New Roman"/>
          <w:sz w:val="18"/>
          <w:szCs w:val="18"/>
          <w:i w:val="1"/>
          <w:iCs w:val="1"/>
          <w:color w:val="auto"/>
        </w:rPr>
        <w:t>Abouzied</w:t>
      </w:r>
      <w:r>
        <w:rPr>
          <w:rFonts w:ascii="Times New Roman" w:cs="Times New Roman" w:eastAsia="Times New Roman" w:hAnsi="Times New Roman"/>
          <w:sz w:val="18"/>
          <w:szCs w:val="18"/>
          <w:color w:val="auto"/>
        </w:rPr>
        <w:t xml:space="preserve"> securities class action and the </w:t>
      </w:r>
      <w:r>
        <w:rPr>
          <w:rFonts w:ascii="Times New Roman" w:cs="Times New Roman" w:eastAsia="Times New Roman" w:hAnsi="Times New Roman"/>
          <w:sz w:val="18"/>
          <w:szCs w:val="18"/>
          <w:i w:val="1"/>
          <w:iCs w:val="1"/>
          <w:color w:val="auto"/>
        </w:rPr>
        <w:t>Taneja</w:t>
      </w:r>
      <w:r>
        <w:rPr>
          <w:rFonts w:ascii="Times New Roman" w:cs="Times New Roman" w:eastAsia="Times New Roman" w:hAnsi="Times New Roman"/>
          <w:sz w:val="18"/>
          <w:szCs w:val="18"/>
          <w:color w:val="auto"/>
        </w:rPr>
        <w:t xml:space="preserve"> securities class action discussed below. The consolidated derivative action is stayed pending a ruling on Defendants’ forthcoming motion to dismiss in the </w:t>
      </w:r>
      <w:r>
        <w:rPr>
          <w:rFonts w:ascii="Times New Roman" w:cs="Times New Roman" w:eastAsia="Times New Roman" w:hAnsi="Times New Roman"/>
          <w:sz w:val="18"/>
          <w:szCs w:val="18"/>
          <w:i w:val="1"/>
          <w:iCs w:val="1"/>
          <w:color w:val="auto"/>
        </w:rPr>
        <w:t>Taneja</w:t>
      </w:r>
      <w:r>
        <w:rPr>
          <w:rFonts w:ascii="Times New Roman" w:cs="Times New Roman" w:eastAsia="Times New Roman" w:hAnsi="Times New Roman"/>
          <w:sz w:val="18"/>
          <w:szCs w:val="18"/>
          <w:color w:val="auto"/>
        </w:rPr>
        <w:t xml:space="preserve"> securities class action.</w:t>
      </w:r>
    </w:p>
    <w:p>
      <w:pPr>
        <w:spacing w:after="0" w:line="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October 1, 2018, a lawsuit was filed in the U.S. District Court for the Southern District of Texas against us and two of our officers in </w:t>
      </w:r>
      <w:r>
        <w:rPr>
          <w:rFonts w:ascii="Times New Roman" w:cs="Times New Roman" w:eastAsia="Times New Roman" w:hAnsi="Times New Roman"/>
          <w:sz w:val="18"/>
          <w:szCs w:val="18"/>
          <w:i w:val="1"/>
          <w:iCs w:val="1"/>
          <w:color w:val="auto"/>
        </w:rPr>
        <w:t>Gaurav Taneja v. Applied Optoelectronics, Inc., Thompson Lin, and Stefan Murry</w:t>
      </w:r>
      <w:r>
        <w:rPr>
          <w:rFonts w:ascii="Times New Roman" w:cs="Times New Roman" w:eastAsia="Times New Roman" w:hAnsi="Times New Roman"/>
          <w:sz w:val="18"/>
          <w:szCs w:val="18"/>
          <w:color w:val="auto"/>
        </w:rPr>
        <w:t xml:space="preserve">, Case No. 4:18-cv-03544. The complaint in this matter seeks class action status on behalf of the Company’s shareholders, alleging violations of Sections 10(b) and 20(a) of the Exchange Act against the Company, our chief executive officer, and our chief financial officer, arising out of our announcement on September 28, 2018 that we were revising our third quarter revenue guidance due to “an issue with a small percentage of 25G lasers within a specific customer environment.” This case was consolidated with two identical cases styled </w:t>
      </w:r>
      <w:r>
        <w:rPr>
          <w:rFonts w:ascii="Times New Roman" w:cs="Times New Roman" w:eastAsia="Times New Roman" w:hAnsi="Times New Roman"/>
          <w:sz w:val="18"/>
          <w:szCs w:val="18"/>
          <w:i w:val="1"/>
          <w:iCs w:val="1"/>
          <w:color w:val="auto"/>
        </w:rPr>
        <w:t>Davin Pokoik v. Applied Optoelectronics, Inc., Chih-Hsiang Lin, and Stefan J. Murry</w:t>
      </w:r>
      <w:r>
        <w:rPr>
          <w:rFonts w:ascii="Times New Roman" w:cs="Times New Roman" w:eastAsia="Times New Roman" w:hAnsi="Times New Roman"/>
          <w:sz w:val="18"/>
          <w:szCs w:val="18"/>
          <w:color w:val="auto"/>
        </w:rPr>
        <w:t xml:space="preserve">, Case No. 4:18-cv-3722 and </w:t>
      </w:r>
      <w:r>
        <w:rPr>
          <w:rFonts w:ascii="Times New Roman" w:cs="Times New Roman" w:eastAsia="Times New Roman" w:hAnsi="Times New Roman"/>
          <w:sz w:val="18"/>
          <w:szCs w:val="18"/>
          <w:i w:val="1"/>
          <w:iCs w:val="1"/>
          <w:color w:val="auto"/>
        </w:rPr>
        <w:t>Stephen McGrath v. Applied Optoelectronics, Inc., Chih-Hsiang Lin, and Stefan J. Murry</w:t>
      </w:r>
      <w:r>
        <w:rPr>
          <w:rFonts w:ascii="Times New Roman" w:cs="Times New Roman" w:eastAsia="Times New Roman" w:hAnsi="Times New Roman"/>
          <w:sz w:val="18"/>
          <w:szCs w:val="18"/>
          <w:color w:val="auto"/>
        </w:rPr>
        <w:t>. Mark Naglich was appointed as Lead Plaintiff on the consolidated matter on January 4, 2019. Lead Plaintiff filed an amended consolidated complaint on March 5, 2019, and the deadline for our motion to dismiss is May 6, 2019. We dispute the allegations and intends to vigorously contest the matter.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Books and Records Request</w:t>
      </w:r>
    </w:p>
    <w:p>
      <w:pPr>
        <w:spacing w:after="0" w:line="10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April 10, 2019, stockholder David Bono filed a complaint in the Delaware Court of Chancery against us seeking to inspect certain corporate books and records pursuant to Section 220 of the Delaware General Corporation Law. The lawsuit is styled </w:t>
      </w:r>
      <w:r>
        <w:rPr>
          <w:rFonts w:ascii="Times New Roman" w:cs="Times New Roman" w:eastAsia="Times New Roman" w:hAnsi="Times New Roman"/>
          <w:sz w:val="18"/>
          <w:szCs w:val="18"/>
          <w:i w:val="1"/>
          <w:iCs w:val="1"/>
          <w:color w:val="auto"/>
        </w:rPr>
        <w:t>David Bono v. Applied Optoelectronics, Inc.</w:t>
      </w:r>
      <w:r>
        <w:rPr>
          <w:rFonts w:ascii="Times New Roman" w:cs="Times New Roman" w:eastAsia="Times New Roman" w:hAnsi="Times New Roman"/>
          <w:sz w:val="18"/>
          <w:szCs w:val="18"/>
          <w:color w:val="auto"/>
        </w:rPr>
        <w:t>, Case No. 2019-0275 (Del. Ch. 2019). The complaint does not seek damages but seeks the plaintiff’s costs and expenses, including attorneys’ fees, as well as the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requested books and records. A schedule for the case has not yet been entered. We intend to vigorously dispute the case as the plaintiff has not stated a proper purpose for inspecting the requested books and records.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 factors and all other information contained in our Quarterly Report on Form 10-Q,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Our Business</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generate much of our revenue from a limited number of customers. For each year ended 2018, 2017 and 2016 and the three months ended March 31, 2019, our top ten customers represented 92.9%, 94.9%, 95.5% and 92.1% of our revenue, respectively. In 2018, Facebook represented 38.3% of our revenue, Microsoft represented 22.1% of our revenue and Amazon represented 12.1%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However, many of our current revenue expectations and forecasts reflect significant anticipated orders from a limited number of key customers. If our key customers do not continue to purchase our existing products or fail to purchase additional products from us, our revenue would decline and our results of operations would be adversely affected.</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Changes in our customers’ demands may negatively affect our sales and revenue. For example, several of our largest customers have informed us that new architectures being implemented in their datacenters may reduce their demand for 100 Gbps optical transceivers compared to their prior forecasts. This would negatively impact our anticipated revenue from these customers. If we cannot sufficiently increase revenue from these new customers and our other existing customers, then our overall revenue may be adversely affected.</w:t>
      </w:r>
    </w:p>
    <w:p>
      <w:pPr>
        <w:spacing w:after="0" w:line="18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Customer demand is difficult to forecast accurately and, as a result, we may be unable to match production with customer demand.</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or delay purchasing our products for any reason, we will likely have excess manufacturing capacity or inventory and our business and results of operations would be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customers do not qualify our products for use on a timely basis, our results of operations may suffer.</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8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8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which could negatively impact our results of operations and market share.</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9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operations.</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Although the length of our product development cycle varies widely by product and customer, it may take</w:t>
      </w:r>
    </w:p>
    <w:p>
      <w:pPr>
        <w:spacing w:after="0" w:line="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18 months or longer before we receive our first order. As a result, we may incur significant expenses long before customers accept and purchase our products.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 development delays may result from numerous factors, including:</w:t>
      </w:r>
    </w:p>
    <w:p>
      <w:pPr>
        <w:spacing w:after="0" w:line="225" w:lineRule="exact"/>
        <w:rPr>
          <w:sz w:val="20"/>
          <w:szCs w:val="20"/>
          <w:color w:val="auto"/>
        </w:rPr>
      </w:pPr>
    </w:p>
    <w:p>
      <w:pPr>
        <w:ind w:left="980" w:hanging="329"/>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of product specifications and customer requirements;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engineering complexities;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reallocating engineering resources and overcoming resource limitations;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changing technology or competitive product requirements.</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introduction of new products by us or our competitors and other changes in our customer’s demands could result in a slowdown in demand for our existing products and could result in a write-down in the value of our inventory. We have in the past experienced periodic fluctuations in demand for existing products and delays in new product development, and such fluctuations will likely occur in the future. To the extent we fail to qualify our products and obtain their approval for use, which we refer to as a design win, or experience product development delays for any reason, our competitive position would be adversely affected and our ability to grow our revenue would be impaired.</w:t>
      </w:r>
    </w:p>
    <w:p>
      <w:pPr>
        <w:spacing w:after="0" w:line="18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growth rates and operating results are likely to fluctuate significantly as a result of factors that are outside our control, which could adversely impact our operating results.</w:t>
      </w:r>
    </w:p>
    <w:p>
      <w:pPr>
        <w:spacing w:after="0" w:line="15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Our revenues, growth rates and operating results are likely to fluctuate significantly in the future as a result of factors that are outside our control. We may not achieve similar revenues, growth rates or operating results in future periods. Our revenues, growth rates and operating results for any prior quarterly or annual period should not be relied upon as any indication of our future revenues, growth rates or operating results. The timing of order placement, size of orders and satisfaction of contractual customer acceptance criteria, changes in the pricing of our products due to competitive pressures as well as order or shipment delays or deferrals, with respect to our products, may cause material fluctuations in revenues. Our lengthy sales cycle, which may extend to more than one year, may cause our revenues and operating results to vary from period to period and it may be difficult to predict the timing and amount of any variation. Delays or deferrals in purchasing decisions by our customers may increase as we develop new or enhanced products for existing and new markets, including automotive and biotechnology markets. Our current and anticipated future dependence on a small number of customers increases the revenue impact of each such customer’s decision to delay or defer purchases from us, or decision not to purchase products from us. Our expense levels in the future will be based, in large part, on our expectations regarding future revenue sources and, as a result, operating results for any quarterly period in which anticipated material orders fail to occur, or are delayed or deferred, could be significantly harmed.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markets in which we compete and any future downturn will likely reduce demand for our products and revenue.</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 to 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that these fluctuations may have on our revenue and operating results.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manufacturing problems, we may lose sales and damage our customer relationships.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may experience delays, disruptions or quality control problems in our manufacturing operations. These and other factors may cause less than acceptable yields at our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Molecular Beam Epitaxy, or MBE, fabrication process to make our lasers, in addition to Metal Organic Chemical Vapor Deposition, or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For example, shipments of certain of our 100 Gbps transceiver products to one of our customers decreased during the three months ended September 30, 2018 due to customer concerns about failures of similar products shipped previously. During the quarter, we conducted extensive testing of our products to demonstrate that any potentially affected units could be nearly eliminated from future shipments, and we subsequently resumed shipments with the customer’s agreement. However, additional testing costs and costs to enhance the ongoing monitoring of product quality may adversely affect the results of our operations. Manufacturing problems and any such delays would negatively affect our sales and revenue and could negatively affect our competitive position and reputation. We may also experience delays in production, typically in February, during the Lunar New Year holiday when our facilities in China and Taiwan are closed.</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have a high fixed cost base due to our vertically integrated business model, including the fact that 2,529 of our employees as of December 31, 2018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costs and shifts in product mix may adversely impact our gross margins.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CATV market does not continue to develop as we expect, or if there is any downturn in this market, our business would be adversely affected.</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Historically, we have generated much of our revenue from the CATV market. In 2018, 2017 and 2016, the CATV market represented 19.3%, 15.9% and 16.7%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and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in the telecom and FTTH markets, and our business could be harmed if these markets do not develop as we expect.</w:t>
      </w:r>
    </w:p>
    <w:p>
      <w:pPr>
        <w:spacing w:after="0" w:line="15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For 2018 and 2017, respectively, we generated 4.9% and 3.4% of our revenue from the telecom market and 0.3%, and 0.1% of our revenue from the FTTH market. In the telecom market, we generally have sold products that were originally designed for other markets (such as internet data center or FTTH) or are variations of such products. As we gain experience in this market, we have begun to develop products specifically designed for telecom customers. Given our limited experience in this market, the products that we develop may prove to be unsuitable for customer use, or we may be unable to derive profit margins from this market that are similar to what we derive from our other markets. The products that we offer in the FTTH market are relatively new and have not yet gained widespread customer acceptance. For example, our WDM-PON products designed for the FTTH market, have not, and may never, gain widespread acceptance by large internet service providers. Our business in this market is dependent on the deployment of our optical components, modules and subassemblies. We are relying on increasing demand for bandwidth-intensive services and telecommunications service providers’ acceptance and deployment of WDM-PON as a technology supporting 1 Gbps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and results of operations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quarter-to-quarter due to a number of factors, which may lead to volatility in our stock price.</w:t>
      </w:r>
    </w:p>
    <w:p>
      <w:pPr>
        <w:spacing w:after="0" w:line="159" w:lineRule="exact"/>
        <w:rPr>
          <w:sz w:val="20"/>
          <w:szCs w:val="20"/>
          <w:color w:val="auto"/>
        </w:rPr>
      </w:pPr>
    </w:p>
    <w:p>
      <w:pPr>
        <w:ind w:right="39" w:firstLine="648"/>
        <w:spacing w:after="0" w:line="266" w:lineRule="auto"/>
        <w:rPr>
          <w:sz w:val="20"/>
          <w:szCs w:val="20"/>
          <w:color w:val="auto"/>
        </w:rPr>
      </w:pPr>
      <w:r>
        <w:rPr>
          <w:rFonts w:ascii="Times New Roman" w:cs="Times New Roman" w:eastAsia="Times New Roman" w:hAnsi="Times New Roman"/>
          <w:sz w:val="18"/>
          <w:szCs w:val="18"/>
          <w:color w:val="auto"/>
        </w:rPr>
        <w:t>Our quarterly revenue and operating results have varied in the past and will likely continue to vary significantly from quarter-to-quarter. This variability may lead to volatility in our stock price as research analysts and investors respond to these quarterly fluctuations. These fluctuations are due to numerous factors, including:</w:t>
      </w:r>
    </w:p>
    <w:p>
      <w:pPr>
        <w:spacing w:after="0" w:line="176" w:lineRule="exact"/>
        <w:rPr>
          <w:sz w:val="20"/>
          <w:szCs w:val="20"/>
          <w:color w:val="auto"/>
        </w:rPr>
      </w:pP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size and mix of sales of our products;</w:t>
      </w:r>
    </w:p>
    <w:p>
      <w:pPr>
        <w:spacing w:after="0" w:line="225" w:lineRule="exact"/>
        <w:rPr>
          <w:rFonts w:ascii="Times New Roman" w:cs="Times New Roman" w:eastAsia="Times New Roman" w:hAnsi="Times New Roman"/>
          <w:sz w:val="18"/>
          <w:szCs w:val="18"/>
          <w:color w:val="auto"/>
        </w:rPr>
      </w:pPr>
    </w:p>
    <w:p>
      <w:pPr>
        <w:ind w:left="980" w:right="519" w:hanging="329"/>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products, including the increase, decrease, rescheduling or cancellation of significant customer orders;</w:t>
      </w:r>
    </w:p>
    <w:p>
      <w:pPr>
        <w:spacing w:after="0" w:line="161" w:lineRule="exact"/>
        <w:rPr>
          <w:rFonts w:ascii="Times New Roman" w:cs="Times New Roman" w:eastAsia="Times New Roman" w:hAnsi="Times New Roman"/>
          <w:sz w:val="18"/>
          <w:szCs w:val="18"/>
          <w:color w:val="auto"/>
        </w:rPr>
      </w:pPr>
    </w:p>
    <w:p>
      <w:pPr>
        <w:ind w:left="980" w:right="39" w:hanging="329"/>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manufacture and deliver products which meet customer requirements in a timely and cost-effective manner;</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enhancements by us or our competitors;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key customers;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our present and potential customers and end users adopt our technologies;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and sales policies or the pricing and sales policies of our competitors;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certain of our products and manufacturing capabilities;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or yield problems in our manufacturing operations;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disruption for certain raw materials and components used in our products;</w:t>
      </w:r>
    </w:p>
    <w:p>
      <w:pPr>
        <w:spacing w:after="0" w:line="225" w:lineRule="exact"/>
        <w:rPr>
          <w:rFonts w:ascii="Times New Roman" w:cs="Times New Roman" w:eastAsia="Times New Roman" w:hAnsi="Times New Roman"/>
          <w:sz w:val="18"/>
          <w:szCs w:val="18"/>
          <w:color w:val="auto"/>
        </w:rPr>
      </w:pPr>
    </w:p>
    <w:p>
      <w:pPr>
        <w:ind w:left="980" w:right="139" w:hanging="329"/>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of our outside contract manufacturers for a portion of the manufacturing process for some of our products;</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 and variability of the sales cycles of our products;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increases in costs or expenses;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w:t>
      </w:r>
    </w:p>
    <w:p>
      <w:pPr>
        <w:spacing w:after="0" w:line="225" w:lineRule="exact"/>
        <w:rPr>
          <w:rFonts w:ascii="Times New Roman" w:cs="Times New Roman" w:eastAsia="Times New Roman" w:hAnsi="Times New Roman"/>
          <w:sz w:val="18"/>
          <w:szCs w:val="18"/>
          <w:color w:val="auto"/>
        </w:rPr>
      </w:pPr>
    </w:p>
    <w:p>
      <w:pPr>
        <w:ind w:left="980" w:right="59" w:hanging="329"/>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capital expenditure and budget cycles for our customers, affecting the timing of their spending for our products;</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stability in the areas of the world in which we operate;</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w:t>
      </w:r>
    </w:p>
    <w:p>
      <w:pPr>
        <w:spacing w:after="0" w:line="252" w:lineRule="exact"/>
        <w:rPr>
          <w:rFonts w:ascii="Times New Roman" w:cs="Times New Roman" w:eastAsia="Times New Roman" w:hAnsi="Times New Roman"/>
          <w:sz w:val="18"/>
          <w:szCs w:val="18"/>
          <w:color w:val="auto"/>
        </w:rPr>
      </w:pPr>
    </w:p>
    <w:p>
      <w:pPr>
        <w:ind w:left="980" w:right="59" w:hanging="329"/>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limitations imposed by trade protection laws or other regulatory orders or requirements in the United States or in other countries, including tariffs, sanctions, or other costs or requirements which may affect our ability to import or export our products to or from various countries;</w:t>
      </w:r>
    </w:p>
    <w:p>
      <w:pPr>
        <w:spacing w:after="0" w:line="176"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and unpredictable nature of the markets for products incorporating our solutions; and</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changes in such conditions specific to our target markets.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8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our indebtedness.</w:t>
      </w:r>
    </w:p>
    <w:p>
      <w:pPr>
        <w:spacing w:after="0" w:line="17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As of March 31, 2019, we had approximately $117.3 million of consolidated indebtedness.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76" w:lineRule="exact"/>
        <w:rPr>
          <w:sz w:val="20"/>
          <w:szCs w:val="20"/>
          <w:color w:val="auto"/>
        </w:rPr>
      </w:pPr>
    </w:p>
    <w:p>
      <w:pPr>
        <w:ind w:left="940" w:hanging="289"/>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225" w:lineRule="exact"/>
        <w:rPr>
          <w:rFonts w:ascii="Times New Roman" w:cs="Times New Roman" w:eastAsia="Times New Roman" w:hAnsi="Times New Roman"/>
          <w:sz w:val="18"/>
          <w:szCs w:val="18"/>
          <w:color w:val="auto"/>
        </w:rPr>
      </w:pPr>
    </w:p>
    <w:p>
      <w:pPr>
        <w:ind w:left="940" w:hanging="289"/>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225" w:lineRule="exact"/>
        <w:rPr>
          <w:rFonts w:ascii="Times New Roman" w:cs="Times New Roman" w:eastAsia="Times New Roman" w:hAnsi="Times New Roman"/>
          <w:sz w:val="18"/>
          <w:szCs w:val="18"/>
          <w:color w:val="auto"/>
        </w:rPr>
      </w:pPr>
    </w:p>
    <w:p>
      <w:pPr>
        <w:ind w:left="980" w:right="260" w:hanging="329"/>
        <w:spacing w:after="0" w:line="282" w:lineRule="auto"/>
        <w:tabs>
          <w:tab w:leader="none" w:pos="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161" w:lineRule="exact"/>
        <w:rPr>
          <w:rFonts w:ascii="Times New Roman" w:cs="Times New Roman" w:eastAsia="Times New Roman" w:hAnsi="Times New Roman"/>
          <w:sz w:val="18"/>
          <w:szCs w:val="18"/>
          <w:color w:val="auto"/>
        </w:rPr>
      </w:pPr>
    </w:p>
    <w:p>
      <w:pPr>
        <w:ind w:left="940" w:hanging="289"/>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225" w:lineRule="exact"/>
        <w:rPr>
          <w:rFonts w:ascii="Times New Roman" w:cs="Times New Roman" w:eastAsia="Times New Roman" w:hAnsi="Times New Roman"/>
          <w:sz w:val="18"/>
          <w:szCs w:val="18"/>
          <w:color w:val="auto"/>
        </w:rPr>
      </w:pPr>
    </w:p>
    <w:p>
      <w:pPr>
        <w:ind w:left="980" w:right="620" w:hanging="329"/>
        <w:spacing w:after="0" w:line="282" w:lineRule="auto"/>
        <w:tabs>
          <w:tab w:leader="none" w:pos="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stockholders as a result of issuing shares of our common stock upon conversion of the Notes; and</w:t>
      </w:r>
    </w:p>
    <w:p>
      <w:pPr>
        <w:spacing w:after="0" w:line="161" w:lineRule="exact"/>
        <w:rPr>
          <w:rFonts w:ascii="Times New Roman" w:cs="Times New Roman" w:eastAsia="Times New Roman" w:hAnsi="Times New Roman"/>
          <w:sz w:val="18"/>
          <w:szCs w:val="18"/>
          <w:color w:val="auto"/>
        </w:rPr>
      </w:pPr>
    </w:p>
    <w:p>
      <w:pPr>
        <w:ind w:left="980" w:right="80" w:hanging="329"/>
        <w:spacing w:after="0" w:line="282" w:lineRule="auto"/>
        <w:tabs>
          <w:tab w:leader="none" w:pos="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our indebtedness, including the Notes, and our cash needs may increase in the future. In addition, our existing Credit Facility with BB&amp;T,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personnel to develop and maintain our technology and manage our business in a rapidly changing market.</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and North America General Manager and Senior Vice President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suppliers and any supply interruption could have an adverse effect on our business.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operations.</w:t>
      </w:r>
    </w:p>
    <w:p>
      <w:pPr>
        <w:spacing w:after="0" w:line="18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upon outside contract manufacturers for a portion of the manufacturing process for some of our products.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or more of our contract manufacturers is unable to meet our customer demand in a timely fashion, this could have a material adverse effect on the revenue from our products. If one or more contract manufacturers for one of our products was unable or unwilling to manufacture such product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could contain defects that may cause us to incur significant costs or result in a loss of customers.</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Any such failures could delay product shipments to our customers or result in a loss of customers. For example, shipments of certain of our 100 Gbps transceiver products to one of our customers decreased during the three months ended September 30, 2018 due to customer concerns about failures of similar products shipped previously.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We face this risk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agreements contain restrictive covenants that may adversely affect our ability to conduct our business.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have lending arrangements with several financial institutions, including loan agreements with Branch Banking and Trust (BB&amp;T) Bank in the U.S., credit facilities with Taishin International Bank, Development Bank of Singapore and CTBC Bank, an equipment finance agreement with Chailease Finance Co., Ltd. in Taiwan and a credit facility with China Construction Bank Co. in China. Our loan agreements governing our long-term debt obligations in the U.S. and Asia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sell or otherwise dispose of assets and merge or consolidate with other entities. In addition, the Indenture governing the Notes contains covenants that limit our ability and the ability of our subsidiaries to, among other things: (i) incur or guarantee additional indebtedness or issue disqualified stock; and (ii) create or incur liens.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loan agreements with BB&amp;T are secured by our accounts receivable, inventory, intellectual property, and all business assets including real estate and equipment. Our credit facilities with China Construction Bank Co. are secured by real estate.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additional capital when desired, on favorable terms or at all.</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84" w:lineRule="exact"/>
        <w:rPr>
          <w:sz w:val="20"/>
          <w:szCs w:val="20"/>
          <w:color w:val="auto"/>
        </w:rPr>
      </w:pPr>
    </w:p>
    <w:p>
      <w:pPr>
        <w:ind w:left="1300" w:hanging="649"/>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research and development;</w:t>
      </w:r>
    </w:p>
    <w:p>
      <w:pPr>
        <w:spacing w:after="0" w:line="225" w:lineRule="exact"/>
        <w:rPr>
          <w:rFonts w:ascii="Times New Roman" w:cs="Times New Roman" w:eastAsia="Times New Roman" w:hAnsi="Times New Roman"/>
          <w:sz w:val="18"/>
          <w:szCs w:val="18"/>
          <w:color w:val="auto"/>
        </w:rPr>
      </w:pPr>
    </w:p>
    <w:p>
      <w:pPr>
        <w:ind w:left="1300" w:hanging="649"/>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manufacturing capabilities;</w:t>
      </w:r>
    </w:p>
    <w:p>
      <w:pPr>
        <w:spacing w:after="0" w:line="252" w:lineRule="exact"/>
        <w:rPr>
          <w:rFonts w:ascii="Times New Roman" w:cs="Times New Roman" w:eastAsia="Times New Roman" w:hAnsi="Times New Roman"/>
          <w:sz w:val="18"/>
          <w:szCs w:val="18"/>
          <w:color w:val="auto"/>
        </w:rPr>
      </w:pPr>
    </w:p>
    <w:p>
      <w:pPr>
        <w:ind w:left="1300" w:hanging="649"/>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additional technical, sales and other personnel; and</w:t>
      </w:r>
    </w:p>
    <w:p>
      <w:pPr>
        <w:spacing w:after="0" w:line="225" w:lineRule="exact"/>
        <w:rPr>
          <w:rFonts w:ascii="Times New Roman" w:cs="Times New Roman" w:eastAsia="Times New Roman" w:hAnsi="Times New Roman"/>
          <w:sz w:val="18"/>
          <w:szCs w:val="18"/>
          <w:color w:val="auto"/>
        </w:rPr>
      </w:pPr>
    </w:p>
    <w:p>
      <w:pPr>
        <w:ind w:left="1300" w:hanging="649"/>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complementary businesses.</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including under our Registration Statement filed with the SEC in October 2016, we may be unable to meet the demands of existing and prospective customers, adversely affecting our sales and market opportunities and consequently our business, financial condition and results of operations.</w:t>
      </w:r>
    </w:p>
    <w:p>
      <w:pPr>
        <w:spacing w:after="0" w:line="18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breaches and cyberattacks could compromise our operations, our customers’ operations, or the operations of our contract manufacturers upon whom we rely, and cause significant damage to our business and reputation.</w:t>
      </w:r>
    </w:p>
    <w:p>
      <w:pPr>
        <w:spacing w:after="0" w:line="15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Cyberattacks have become more prevalent and much harder to detect and defend against. Companies, including companies in our industry, have been increasingly subject to a wide variety of security incidents, cyberattacks and other attempts to gain unauthorized access to their systems or to deny access and disrupt their systems and operations. These threats can come from a variety of sources, ranging in sophistication from an individual hacker to a state-sponsored attack. Cyber threats may be generic, or they may be custom-crafted against our information systems.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and our data center customers maintain sensitive data on our respective networks, including intellectual property, employee personal information and proprietary or confidential business information relating to our business and that of our customers and business partners. The secure maintenance of this information is critical to our business and reputation. Despite our implementation of network security measures, our network and storage applications may be subject to computer viruses, denial of service attacks, ransomware and other forms of cyber terrorism, unauthorized access by hackers or may be breached due to operator error, malfeasance or other system disruptions. Our customers’ network and storage applications may be subject to similar disruptions. It is often difficult to anticipate or immediately detect such incidents and the damage caused by such incidents. Data breaches and any unauthorized access or disclosure of our information, employee information or intellectual property could compromise our business, trade secrets and other sensitive business information, any of which could result in legal action against us, exposure of our intellectual property to our competitors, damages, fines and other adverse effects. A data security breach could also lead to public exposure of personal information of our employees, customers and others. Any such theft, loss or misuse of personal data collected, used, stored or transferred by us to run our business could result in significantly increased security costs or costs related to defending legal claims. Cyberattacks, such as computer viruses or other forms of cyber terrorism, may disrupt access to our network or storage applications. Such disruptions could result in delays or cancellations of customer orders or the production or shipment of our products. Data security breaches involving our data center customers could affect their financial condition and ability to continue to purchase our products. Further, cyberattacks may cause us to incur significant remediation costs, result in product development delays, disrupt key business operations and divert attention of management and key information technology resources. These incidents could also subject us to liability, expose us to significant expense and cause significant harm to our reputation and business.</w:t>
      </w:r>
    </w:p>
    <w:p>
      <w:pPr>
        <w:spacing w:after="0" w:line="1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particularly with regard to China, may materially and adversely impact our business and operating results.</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U.S. government has recently made statements and taken certain actions that have led and may lead to further changes to U.S. and international trade policies, including recently-imposed tariffs affecting certain products manufactured in China. Since the beginning of 2018, there has been increasing rhetoric, in some cases coupled with legislative or executive action, from several U.S. and foreign leaders regarding the possibility of instituting tariffs on the foreign imports of certain materials. Three rounds of U.S. tariffs on imports from China have become effective in July 2018, August 2018 and September 2018 (respectively the “U.S. Tariffs on China Imports”). A limited number of our products that have a China country of origin are currently subject to the U.S. Tariffs on China Imports.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It is unknown whether and to what extent new tariffs (or other new laws or regulations) will be adopted, or the effect that any such actions would have on us or our industry. A significant portion of our manufacturing operations is based in Ningbo, China; therefore, if any new tariffs, legislation and/or regulations are implemented, or if existing trade agreements are renegotiated or if China or other affected countries take further retaliatory trade actions, such changes could have a material adverse effect on our business, financial condition, results of operations or cash flows.</w:t>
      </w:r>
    </w:p>
    <w:p>
      <w:pPr>
        <w:spacing w:after="0" w:line="18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Furthermore, the implementation of trade tariffs both globally and between the U.S. and China specifically carries the risk of negatively impacting China’s overall economic condition, which could have negative repercussions on us. Imposition of tariffs could cause a decrease in the sales of our products to customers located in China or other customers selling to Chinese end users, which would directly impact our business.</w:t>
      </w:r>
    </w:p>
    <w:p>
      <w:pPr>
        <w:spacing w:after="0" w:line="18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Significant changes to existing international trade agreements could also lead to sourcing or logistics disruption resulting from import delays or the imposition of increased tariffs on our sourcing partners. For example, the Chinese government could, among other things, require the use of local suppliers, compel companies that do business in China to partner with local companies to conduct business and provide incentives to government-backed local customers to buy from local suppliers. Changes in, and responses to, U.S. trade policy could reduce the competitiveness of our products and cause our sales and revenues to drop, which could materially and adversely impact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variety of risks associated with our international sales and operations.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currently derive, and expect to continue to derive, a significant portion of our revenue from sales to international customers. In 2018, 2017 and 2016, 23.1%, 22.7% and 15.8% of our revenue was derived from sales that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76" w:lineRule="exact"/>
        <w:rPr>
          <w:sz w:val="20"/>
          <w:szCs w:val="20"/>
          <w:color w:val="auto"/>
        </w:rPr>
      </w:pPr>
    </w:p>
    <w:p>
      <w:pPr>
        <w:ind w:left="980" w:hanging="329"/>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managing and supporting operations in more than one country;</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agreements and collecting receivables through foreign legal systems;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fewer legal protections for intellectual property in foreign jurisdictions;</w:t>
      </w:r>
    </w:p>
    <w:p>
      <w:pPr>
        <w:spacing w:after="0" w:line="225" w:lineRule="exact"/>
        <w:rPr>
          <w:rFonts w:ascii="Times New Roman" w:cs="Times New Roman" w:eastAsia="Times New Roman" w:hAnsi="Times New Roman"/>
          <w:sz w:val="18"/>
          <w:szCs w:val="18"/>
          <w:color w:val="auto"/>
        </w:rPr>
      </w:pPr>
    </w:p>
    <w:p>
      <w:pPr>
        <w:ind w:left="980" w:right="660" w:hanging="329"/>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U.S. taxation issues and international trade barriers, including the adoption or expansion of governmental trade tariffs;</w:t>
      </w:r>
    </w:p>
    <w:p>
      <w:pPr>
        <w:spacing w:after="0" w:line="161" w:lineRule="exact"/>
        <w:rPr>
          <w:rFonts w:ascii="Times New Roman" w:cs="Times New Roman" w:eastAsia="Times New Roman" w:hAnsi="Times New Roman"/>
          <w:sz w:val="18"/>
          <w:szCs w:val="18"/>
          <w:color w:val="auto"/>
        </w:rPr>
      </w:pPr>
    </w:p>
    <w:p>
      <w:pPr>
        <w:ind w:left="980" w:right="360" w:hanging="329"/>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any necessary governmental authorizations for the export of our products to certain foreign jurisdictions;</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economies;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currencies and interest rates;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travel restrictions;</w:t>
      </w:r>
    </w:p>
    <w:p>
      <w:pPr>
        <w:spacing w:after="0" w:line="225" w:lineRule="exact"/>
        <w:rPr>
          <w:rFonts w:ascii="Times New Roman" w:cs="Times New Roman" w:eastAsia="Times New Roman" w:hAnsi="Times New Roman"/>
          <w:sz w:val="18"/>
          <w:szCs w:val="18"/>
          <w:color w:val="auto"/>
        </w:rPr>
      </w:pPr>
    </w:p>
    <w:p>
      <w:pPr>
        <w:ind w:left="980" w:right="120" w:hanging="329"/>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or political changes, hostilities and other disruptions in regions where we currently operate or may operate in the future;</w:t>
      </w:r>
    </w:p>
    <w:p>
      <w:pPr>
        <w:spacing w:after="0" w:line="161" w:lineRule="exact"/>
        <w:rPr>
          <w:rFonts w:ascii="Times New Roman" w:cs="Times New Roman" w:eastAsia="Times New Roman" w:hAnsi="Times New Roman"/>
          <w:sz w:val="18"/>
          <w:szCs w:val="18"/>
          <w:color w:val="auto"/>
        </w:rPr>
      </w:pPr>
    </w:p>
    <w:p>
      <w:pPr>
        <w:ind w:left="980" w:right="140" w:hanging="329"/>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increased expenses in complying with a variety of U.S. and foreign laws, regulations and trade standards, including the Foreign Corrupt Practices Act; and</w:t>
      </w:r>
    </w:p>
    <w:p>
      <w:pPr>
        <w:spacing w:after="0" w:line="161" w:lineRule="exact"/>
        <w:rPr>
          <w:rFonts w:ascii="Times New Roman" w:cs="Times New Roman" w:eastAsia="Times New Roman" w:hAnsi="Times New Roman"/>
          <w:sz w:val="18"/>
          <w:szCs w:val="18"/>
          <w:color w:val="auto"/>
        </w:rPr>
      </w:pPr>
    </w:p>
    <w:p>
      <w:pPr>
        <w:ind w:left="980" w:right="220" w:hanging="329"/>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and changing legal and regulatory requirements in the jurisdictions in which we currently operate or may operate in the future.</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5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may adversely affect our results of operation and our business.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are subject to income taxes in the U.S. and other foreign jurisdictions, including China and Taiwan. In addition, we are subject to various state taxes in states where we have nexus. We base our tax position on the anticipated nature and conduct of our business and our understanding of the tax laws of the countries and states in which we have assets or conduct activities. Our tax position may be reviewed or challenged by tax authorities. Moreover, the tax laws currently in effect may change, and such changes may have retroactive effect, such as the U.S. tax reform legislation commonly referred to as the U.S. Tax Cuts and Jobs Act of 2017 (the “Tax Act”).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8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Tax Act significantly changes how the U.S. taxes corporations. The Tax Act requires complex computations to be performed that were not previously required in U.S. tax law, significant judgments to be made in interpretation of the provisions of the Tax Act and significant estimates in calculations, and the preparation and analysis of information not previously relevant or regularly produced. The U.S. Treasury Department, the IRS, and other standard-setting bodies could interpret or issue guidance on how provisions of the Tax Act will be applied or otherwise administered that is different from our interpretation. As we interpret any additional guidance, we may make adjustments to amounts that we have recorded that may materially impact our provision for income taxes in the period in which the adjustments are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our growth effectively may adversely affect our financial condition and results of operations.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Successful implementation of our business plan in our target markets requires effective planning and management. Production volumes for some of our products are increasing and we have announced plans to increase our production capacity in response to demand for certain of our current and future products, including adding personnel in some of our locations as well as expanding our physical manufacturing facilities. We currently operate facilities in Sugar Land, Texas, Ningbo, China, Taipei, Taiwan, and Duluth, Georgia.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may adversely affect our financial condition and results of operations.</w:t>
      </w:r>
    </w:p>
    <w:p>
      <w:pPr>
        <w:spacing w:after="0" w:line="22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76" w:lineRule="exact"/>
        <w:rPr>
          <w:sz w:val="20"/>
          <w:szCs w:val="20"/>
          <w:color w:val="auto"/>
        </w:rPr>
      </w:pPr>
    </w:p>
    <w:p>
      <w:pPr>
        <w:ind w:left="1300" w:hanging="649"/>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the acquired business;</w:t>
      </w:r>
    </w:p>
    <w:p>
      <w:pPr>
        <w:spacing w:after="0" w:line="225" w:lineRule="exact"/>
        <w:rPr>
          <w:rFonts w:ascii="Times New Roman" w:cs="Times New Roman" w:eastAsia="Times New Roman" w:hAnsi="Times New Roman"/>
          <w:sz w:val="18"/>
          <w:szCs w:val="18"/>
          <w:color w:val="auto"/>
        </w:rPr>
      </w:pPr>
    </w:p>
    <w:p>
      <w:pPr>
        <w:ind w:left="1300" w:right="20" w:hanging="649"/>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capital expenditures or liabilities or changes related to research in progress and product development;</w:t>
      </w:r>
    </w:p>
    <w:p>
      <w:pPr>
        <w:spacing w:after="0" w:line="161" w:lineRule="exact"/>
        <w:rPr>
          <w:rFonts w:ascii="Times New Roman" w:cs="Times New Roman" w:eastAsia="Times New Roman" w:hAnsi="Times New Roman"/>
          <w:sz w:val="18"/>
          <w:szCs w:val="18"/>
          <w:color w:val="auto"/>
        </w:rPr>
      </w:pPr>
    </w:p>
    <w:p>
      <w:pPr>
        <w:ind w:left="1300" w:hanging="649"/>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management resources from our existing business;</w:t>
      </w:r>
    </w:p>
    <w:p>
      <w:pPr>
        <w:spacing w:after="0" w:line="225" w:lineRule="exact"/>
        <w:rPr>
          <w:rFonts w:ascii="Times New Roman" w:cs="Times New Roman" w:eastAsia="Times New Roman" w:hAnsi="Times New Roman"/>
          <w:sz w:val="18"/>
          <w:szCs w:val="18"/>
          <w:color w:val="auto"/>
        </w:rPr>
      </w:pPr>
    </w:p>
    <w:p>
      <w:pPr>
        <w:ind w:left="1300" w:right="360" w:hanging="649"/>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the business relationships with suppliers and customers of the acquired business with our existing business relationships;</w:t>
      </w:r>
    </w:p>
    <w:p>
      <w:pPr>
        <w:spacing w:after="0" w:line="161" w:lineRule="exact"/>
        <w:rPr>
          <w:rFonts w:ascii="Times New Roman" w:cs="Times New Roman" w:eastAsia="Times New Roman" w:hAnsi="Times New Roman"/>
          <w:sz w:val="18"/>
          <w:szCs w:val="18"/>
          <w:color w:val="auto"/>
        </w:rPr>
      </w:pPr>
    </w:p>
    <w:p>
      <w:pPr>
        <w:ind w:left="1300" w:hanging="649"/>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in which we have little or no prior experience; and</w:t>
      </w:r>
    </w:p>
    <w:p>
      <w:pPr>
        <w:spacing w:after="0" w:line="225" w:lineRule="exact"/>
        <w:rPr>
          <w:rFonts w:ascii="Times New Roman" w:cs="Times New Roman" w:eastAsia="Times New Roman" w:hAnsi="Times New Roman"/>
          <w:sz w:val="18"/>
          <w:szCs w:val="18"/>
          <w:color w:val="auto"/>
        </w:rPr>
      </w:pPr>
    </w:p>
    <w:p>
      <w:pPr>
        <w:ind w:left="1300" w:hanging="649"/>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particularly those of the acquired organizations.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5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18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results of operations may be subject to volatility as a result of exposure to fluctuations in currency exchange rates.</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8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8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or other catastrophic events could harm our operations.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as a result of shareholder activism.</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recent years, shareholder activists have become involved in numerous public companies. Shareholder activists frequently propose to involve themselves in the governance, strategic direction, and operations of the Company. We may in the future become subject to such shareholder activity and demands. Such demands may disrupt our business and divert the attention of our management and employees, and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all of which could adversely affect our business. In addition, actions of activist shareholders may cause significant fluctuations in our stock price based on temporary or speculative market perceptions or other factors that do not necessarily reflect the underlying fundamentals and prospects of our business.</w:t>
      </w:r>
    </w:p>
    <w:p>
      <w:pPr>
        <w:spacing w:after="0" w:line="64"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unfavorable outcome of any pending or future litigation or administrative action and expenses incurred in connection with litigation could result in financial losses or harm to our business.</w:t>
      </w:r>
    </w:p>
    <w:p>
      <w:pPr>
        <w:spacing w:after="0" w:line="2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and in the future may be, subject to legal actions in the ordinary course of our operations, both domestically and internationally. There can be no assurances as to the favorable outcome of any litigation. In addition, it can be costly to defend litigation and these costs could negatively impact our financial results. As disclosed in “Part II - Item 1. Legal Proceedings,” on August 5, 2017, we and certain of our officers are currently subject to class action litigation related to allegations that we made materially false and misleading statements or failed to disclose material facts. Such litigation includes requests for damages and other relief. As further described in that section, subsequent derivative actions and securities class actions have since been filed. This litigation and any other such litigation could result in substantial costs and divert our management’s attention from other business concerns, which could seriously harm our business.</w:t>
      </w:r>
    </w:p>
    <w:p>
      <w:pPr>
        <w:spacing w:after="0" w:line="6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patents and trademark registrations in the U.S. or other foreign countries may limit our ability to protect the intellectual property rights that these patent and trademark registrations intended to cover.</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misappropriated or duplicated, our business, results of operations or financial condition could be materially harmed.</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89" w:lineRule="exact"/>
        <w:rPr>
          <w:sz w:val="20"/>
          <w:szCs w:val="20"/>
          <w:color w:val="auto"/>
        </w:rPr>
      </w:pPr>
    </w:p>
    <w:p>
      <w:pPr>
        <w:ind w:left="980" w:right="20" w:hanging="329"/>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a third party claiming infringement a license to the relevant technology, which may not be available on reasonable terms, or at all;</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manufacturing, selling, incorporating or using our products that use the challenged intellectual property;</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monetary damages; or</w:t>
      </w:r>
    </w:p>
    <w:p>
      <w:pPr>
        <w:spacing w:after="0" w:line="225" w:lineRule="exact"/>
        <w:rPr>
          <w:rFonts w:ascii="Times New Roman" w:cs="Times New Roman" w:eastAsia="Times New Roman" w:hAnsi="Times New Roman"/>
          <w:sz w:val="18"/>
          <w:szCs w:val="18"/>
          <w:color w:val="auto"/>
        </w:rPr>
      </w:pPr>
    </w:p>
    <w:p>
      <w:pPr>
        <w:ind w:left="980" w:right="360" w:hanging="329"/>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redesign the products that use the technology and to develop non-infringing technology.</w:t>
      </w:r>
    </w:p>
    <w:p>
      <w:pPr>
        <w:spacing w:after="0" w:line="162"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Any of these actions could result in a substantial reduction in our revenue and could result in losses over an extended period of time.</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5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performance standards, or of greater cost, any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the accuracy and timing of our financial reporting may be adversely affected.</w:t>
      </w:r>
    </w:p>
    <w:p>
      <w:pPr>
        <w:spacing w:after="0" w:line="15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The Sarbanes-Oxley Act requires, among other things, that as a publicly-traded company we disclose whether our internal control over financial reporting and disclosure controls and procedures are effective.</w:t>
      </w:r>
    </w:p>
    <w:p>
      <w:pPr>
        <w:spacing w:after="0" w:line="18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have implemented a system of disclosure and internal controls that we believe provide reasonable assurance that we will be able to timely report our financial results and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an effective system of disclosure controls and internal control over financial reporting, our ability to accurately and timely report our financial results could be adversely impacted. This could result in late filings of our annual and quarterly reports under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tax attributes may be limited.</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2018, we had U.S. accumulated net operating losses, or NOLs, of approximately $47.4 million, federal and state research and development credits (“R&amp;D credits”) of $6.6 million, interest expense of $1.0 million and foreign tax credits of $4.6 million for U.S. federal income tax purposes. Under Section 382 of the Internal Revenue Code of 1986, as amended, if a corporation undergoes an “ownership change,” the corporation’s ability to use its pre-change NOLs, tax credits and other pre-change tax attributes to offset its post-change income may be limited. An ownership change is generally defined as a greater than 50% change in equity ownership by value over a 3-year period. Based upon an analysis of our equity ownership, we believe that we have experienced ownership changes; however, we do not believe those limitations result in a material loss of tax benefits. Should we experience additional ownership changes, including upon the issuance of our common stock as a result of any conversion of the Notes into shares of our common stock or otherwise, our NOL carry forwards and tax credits may be further limited.</w:t>
      </w:r>
    </w:p>
    <w:p>
      <w:pPr>
        <w:spacing w:after="0" w:line="18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and solid wastes,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natural resource damages, third-party property damages or personal injury claims, administrative, civil or criminal penalties and could result in injunctive relief requiring us to make significant investments to upgrade our facilities, redesign or change our manufacturing processes, redesign our products,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previously operated, as well as at properties we will own or operate in the future, and properties to which we have sent hazardous substances, whether or not we caused the contamination. Identification of presently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increased expenses and business risk as a result of Restriction on Hazardous Substances, or RoHS directives.</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damaged reputation, diversion of resources, monetary penalties, and legal action.</w:t>
      </w:r>
    </w:p>
    <w:p>
      <w:pPr>
        <w:spacing w:after="0" w:line="185"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could subject us to penalties and other adverse consequences.</w:t>
      </w:r>
    </w:p>
    <w:p>
      <w:pPr>
        <w:spacing w:after="0" w:line="159" w:lineRule="exact"/>
        <w:rPr>
          <w:sz w:val="20"/>
          <w:szCs w:val="20"/>
          <w:color w:val="auto"/>
        </w:rPr>
      </w:pPr>
    </w:p>
    <w:p>
      <w:pPr>
        <w:jc w:val="both"/>
        <w:ind w:right="80"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8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15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Our products are classified under Export Control Classification Numbers, or ECCNs, 5A991 and 6A995. Export Control Classification requirements are dependent upon an item’s technical characteristics, the destination, the end-use,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 For example, in April 2018, Zhongxing Telecommunications Equipment Corporation and ZTE Kangxun Communications Ltd. (collectively “ZTE”) were added to the U.S. Department of Commerce’s Bureau of Industry and Security’s List of Denied Persons, which imposed a seven year denial of export privileges against ZTE. However, in July 2018, the denial of export privileged was suspended and ZTE was removed from the list of Denied Persons. Although ZTE is not currently one of our significant customers, such actions against customers or potential customers could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Rapidly changing standards and regulations could make our products obsolete, which would cause our revenue and results of operations to suffer.</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regulations related to conflict minerals could increase costs and affect the manufacturing and sale of our products.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filed our latest conflict minerals report on Form SD on May 30, 2018. We have previously determined, as part of our compliance efforts, that certain products or components we obtain from our suppliers contain conflict minerals. Based on our Reasonable Country of Origin Inquiry on the source of our conflict minerals for the year ended December 31, 2017, we had reason to believe that certain of such conflict minerals likely originated in covered countries. If we are unable to conclude in the future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9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in China</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business operations conducted in China are critical to our success. A total of $143.1 million, $122.3 million and $81.1 million or 53.6%, 32.0% and 31.1%, of our revenue in the years ended December 31, 2018, 2017 and 2016 was attributable to our product manufactured at our plant in China, respectively. Additionally, a substantial portion of our property, plant and equipment, 36.8%, 29.9% and 23.0% as of December 31, 2018, 2017 and 2016,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7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termination and expiration or unavailability of our preferential tax treatments in China may have a material adverse effect on our operating results.</w:t>
      </w:r>
    </w:p>
    <w:p>
      <w:pPr>
        <w:spacing w:after="0" w:line="159"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Since calendar year 2012, we have qualified for a preferential 15% tax rate that is available for state-encouraged new high technology enterprises. In order to retain this preferential tax rate, we must meet certain operating conditions, satisfy certain product requirements, meet certain headcount requirements and maintain certain levels of research expenditures. In November 2017, we received approval from the Chinese government to extend this preferential tax treatment for an additional three years, ending November 2020. If we fail to continue to qualify for this preferential rate in the future, we may incur higher tax rates on our income in China. Any future increase in the enterprise income tax rate applicable to us or the expiration or other limitation of preferential tax rates available to us could increase our tax liabilities and reduce our net income.</w:t>
      </w:r>
    </w:p>
    <w:p>
      <w:pPr>
        <w:spacing w:after="0" w:line="19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Employee turnover of direct labor in the manufacturing sector in China is extremely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Chinese regulation of loans to and direct investment by offshore holding companies in China entities may delay or prevent us from making loans or additional capital contributions to our China subsidiary.</w:t>
      </w:r>
    </w:p>
    <w:p>
      <w:pPr>
        <w:spacing w:after="0" w:line="15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Any loans that we wish to make to our China subsidiary are subject to Chinese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8"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7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China subsidiary is subject to Chinese labor laws and regulations, and Chinese labor laws may increase our operating costs in China.</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Chinese labor laws and regulations provide certain protections for our employees located in China, and changes to those labor laws and regulations may increase our costs and reduce our flexibility. The China Labor Contract Law, which went into effect in 2008, together with its implementing rules, provides increased rights to Chinese employees compared to prior employment laws in China. Under the rules under the China Labor Contract Law,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Any further changes to these laws may increase our costs and reduce our flexibility.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our labor costs in China may adversely affect our business and our profitability.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7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establishing and maintaining adequate management and financial controls over our China operations.</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and maintaining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is likely to be volatile.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be subject to wide fluctuations in response to, among other things, the risk factors described in this section of this Quarterly Report on Form 10-Q,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p>
    <w:p>
      <w:pPr>
        <w:spacing w:after="0" w:line="184"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have been and may become the target of this type of litigation in the future. For example, on August 3, 2017 we provided guidance for the third quarter of 2017, and on August 4, 2017 the market price of our stock decreased significantly. As disclosed in “Part II - Item 1. Legal Proceedings,” on August 5, 2017, a class action lawsuit was filed against us and two of our officers. The complaint in this matter alleges that we made materially false and misleading statements or failed to disclose material facts and requests damages and other relief. On August 7, 2018, a derivative class action lawsuit was filed against our chief executive officer, chief financial officer and board of directors. The allegations are substantially similar to those under the August 5, 2017 lawsuit. On October 1, 2018, another class action lawsuit was filed in the U.S. District Court for the Southern District of Texas against us and two of our officers. The complaint in this matter alleges that we made materially false and misleading statements or failed to disclose material facts and a related action was filed on October 10, 2018. These lawsuits and any other such litigation could result in substantial costs and divert our management’s attention from other business concerns, which could seriously harm our business.</w:t>
      </w:r>
    </w:p>
    <w:p>
      <w:pPr>
        <w:spacing w:after="0" w:line="18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board committees and adopted internal controls and disclosure controls and procedures. In addition, we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 Legal, accounting, administrative and other costs and expenses may increase in the future as we continue to incur both increased external audit fees as well as additional spending to ensure continued regulatory compliance.</w:t>
      </w:r>
    </w:p>
    <w:p>
      <w:pPr>
        <w:spacing w:after="0" w:line="19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59" w:lineRule="exact"/>
        <w:rPr>
          <w:sz w:val="20"/>
          <w:szCs w:val="20"/>
          <w:color w:val="auto"/>
        </w:rPr>
      </w:pPr>
    </w:p>
    <w:p>
      <w:pPr>
        <w:ind w:right="320" w:firstLine="648"/>
        <w:spacing w:after="0" w:line="313" w:lineRule="auto"/>
        <w:rPr>
          <w:sz w:val="20"/>
          <w:szCs w:val="20"/>
          <w:color w:val="auto"/>
        </w:rPr>
      </w:pPr>
      <w:r>
        <w:rPr>
          <w:rFonts w:ascii="Times New Roman" w:cs="Times New Roman" w:eastAsia="Times New Roman" w:hAnsi="Times New Roman"/>
          <w:sz w:val="17"/>
          <w:szCs w:val="17"/>
          <w:color w:val="auto"/>
        </w:rPr>
        <w:t>We currently do not plan to declare or pay dividends on shares of our common stock in the foreseeable future. Consequently, your only opportunity to achieve a return on any shares of our common stock that you may acquire will be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the market price of our common stock appreciates and you sell your shares at a profit. There is no guarantee that the price of our common stock in the market will ever exceed the price that you pay.</w:t>
      </w:r>
    </w:p>
    <w:p>
      <w:pPr>
        <w:spacing w:after="0" w:line="15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5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76" w:lineRule="exact"/>
        <w:rPr>
          <w:sz w:val="20"/>
          <w:szCs w:val="20"/>
          <w:color w:val="auto"/>
        </w:rPr>
      </w:pPr>
    </w:p>
    <w:p>
      <w:pPr>
        <w:ind w:left="980" w:hanging="329"/>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classified board of directors with staggered, three-year terms;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providing for cumulative voting in the election of directors;</w:t>
      </w:r>
    </w:p>
    <w:p>
      <w:pPr>
        <w:spacing w:after="0" w:line="225" w:lineRule="exact"/>
        <w:rPr>
          <w:rFonts w:ascii="Times New Roman" w:cs="Times New Roman" w:eastAsia="Times New Roman" w:hAnsi="Times New Roman"/>
          <w:sz w:val="18"/>
          <w:szCs w:val="18"/>
          <w:color w:val="auto"/>
        </w:rPr>
      </w:pPr>
    </w:p>
    <w:p>
      <w:pPr>
        <w:ind w:left="980" w:right="140" w:hanging="329"/>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without stockholder approval, preferred stock rights senior to those of common stock;</w:t>
      </w:r>
    </w:p>
    <w:p>
      <w:pPr>
        <w:spacing w:after="0" w:line="161"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persons who may call special meetings of stockholders;</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notification of stockholder nominations and proposals; and</w:t>
      </w:r>
    </w:p>
    <w:p>
      <w:pPr>
        <w:spacing w:after="0" w:line="225" w:lineRule="exact"/>
        <w:rPr>
          <w:rFonts w:ascii="Times New Roman" w:cs="Times New Roman" w:eastAsia="Times New Roman" w:hAnsi="Times New Roman"/>
          <w:sz w:val="18"/>
          <w:szCs w:val="18"/>
          <w:color w:val="auto"/>
        </w:rPr>
      </w:pPr>
    </w:p>
    <w:p>
      <w:pPr>
        <w:ind w:left="980" w:right="80" w:hanging="329"/>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provisions in our stock incentive plans, and the individual stock option agreements, which provide that a change of control may accelerate the vesting of the stock options and equity awards issued under such plans.</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5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480" w:type="dxa"/>
            <w:vAlign w:val="bottom"/>
            <w:gridSpan w:val="4"/>
          </w:tcPr>
          <w:p>
            <w:pPr>
              <w:spacing w:after="0"/>
              <w:rPr>
                <w:rFonts w:ascii="Times New Roman" w:cs="Times New Roman" w:eastAsia="Times New Roman" w:hAnsi="Times New Roman"/>
                <w:sz w:val="18"/>
                <w:szCs w:val="18"/>
                <w:color w:val="0563C1"/>
              </w:rPr>
            </w:pPr>
            <w:hyperlink w:anchor="page2">
              <w:r>
                <w:rPr>
                  <w:rFonts w:ascii="Times New Roman" w:cs="Times New Roman" w:eastAsia="Times New Roman" w:hAnsi="Times New Roman"/>
                  <w:sz w:val="18"/>
                  <w:szCs w:val="18"/>
                  <w:color w:val="0563C1"/>
                </w:rPr>
                <w:t>Table of Contents</w:t>
              </w:r>
            </w:hyperlink>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77"/>
        </w:trPr>
        <w:tc>
          <w:tcPr>
            <w:tcW w:w="20" w:type="dxa"/>
            <w:vAlign w:val="bottom"/>
            <w:tcBorders>
              <w:top w:val="single" w:sz="8" w:color="0563C1"/>
            </w:tcBorders>
          </w:tcPr>
          <w:p>
            <w:pPr>
              <w:spacing w:after="0"/>
              <w:rPr>
                <w:sz w:val="24"/>
                <w:szCs w:val="24"/>
                <w:color w:val="auto"/>
              </w:rPr>
            </w:pPr>
          </w:p>
        </w:tc>
        <w:tc>
          <w:tcPr>
            <w:tcW w:w="102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20" w:type="dxa"/>
            <w:vAlign w:val="bottom"/>
            <w:gridSpan w:val="27"/>
          </w:tcPr>
          <w:p>
            <w:pPr>
              <w:ind w:left="8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56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102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560" w:type="dxa"/>
            <w:vAlign w:val="bottom"/>
            <w:tcBorders>
              <w:top w:val="single" w:sz="8" w:color="auto"/>
            </w:tcBorders>
            <w:gridSpan w:val="30"/>
          </w:tcPr>
          <w:p>
            <w:pPr>
              <w:spacing w:after="0" w:line="15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Amended and Restated Certificate of Incorporation, as currently in effect (filed as Exhibit 3.1 to the</w:t>
              </w:r>
            </w:hyperlink>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180" w:type="dxa"/>
            <w:vAlign w:val="bottom"/>
            <w:tcBorders>
              <w:top w:val="single" w:sz="8" w:color="0000EE"/>
              <w:bottom w:val="single" w:sz="8" w:color="0000EE"/>
            </w:tcBorders>
            <w:gridSpan w:val="17"/>
          </w:tcPr>
          <w:p>
            <w:pPr>
              <w:spacing w:after="0" w:line="170"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Registrant’s Quarterly Report on Form 10-Q filed with the Securities and Exchange Commission on</w:t>
              </w:r>
            </w:hyperlink>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Borders>
              <w:bottom w:val="single" w:sz="8" w:color="0000EE"/>
            </w:tcBorders>
            <w:gridSpan w:val="3"/>
          </w:tcPr>
          <w:p>
            <w:pPr>
              <w:spacing w:after="0" w:line="170" w:lineRule="exact"/>
              <w:rPr>
                <w:rFonts w:ascii="Times New Roman" w:cs="Times New Roman" w:eastAsia="Times New Roman" w:hAnsi="Times New Roman"/>
                <w:sz w:val="18"/>
                <w:szCs w:val="18"/>
                <w:color w:val="0000EE"/>
                <w:w w:val="98"/>
              </w:rPr>
            </w:pPr>
            <w:hyperlink r:id="rId70">
              <w:r>
                <w:rPr>
                  <w:rFonts w:ascii="Times New Roman" w:cs="Times New Roman" w:eastAsia="Times New Roman" w:hAnsi="Times New Roman"/>
                  <w:sz w:val="18"/>
                  <w:szCs w:val="18"/>
                  <w:color w:val="0000EE"/>
                  <w:w w:val="98"/>
                </w:rPr>
                <w:t>November 14, 2013).</w:t>
              </w:r>
            </w:hyperlink>
          </w:p>
        </w:tc>
        <w:tc>
          <w:tcPr>
            <w:tcW w:w="5680" w:type="dxa"/>
            <w:vAlign w:val="bottom"/>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60" w:type="dxa"/>
            <w:vAlign w:val="bottom"/>
            <w:gridSpan w:val="30"/>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Amended and Restated Bylaws, as currently in effect (filed as Exhibit 3.2 to the Registrant’s Quarterly</w:t>
              </w:r>
            </w:hyperlink>
          </w:p>
        </w:tc>
        <w:tc>
          <w:tcPr>
            <w:tcW w:w="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380" w:type="dxa"/>
            <w:vAlign w:val="bottom"/>
            <w:tcBorders>
              <w:top w:val="single" w:sz="8" w:color="0000EE"/>
            </w:tcBorders>
            <w:gridSpan w:val="25"/>
          </w:tcPr>
          <w:p>
            <w:pPr>
              <w:spacing w:after="0" w:line="170"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Report on Form 10-Q filed with the Securities and Exchange Commission on November 14, 2013).</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60" w:type="dxa"/>
            <w:vAlign w:val="bottom"/>
            <w:gridSpan w:val="30"/>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Common Stock Specimen (filed as Exhibit 4.1 to the Registrant’s Current Report on Form 8-K filed</w:t>
              </w:r>
            </w:hyperlink>
          </w:p>
        </w:tc>
        <w:tc>
          <w:tcPr>
            <w:tcW w:w="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00" w:type="dxa"/>
            <w:vAlign w:val="bottom"/>
            <w:tcBorders>
              <w:top w:val="single" w:sz="8" w:color="0000EE"/>
              <w:bottom w:val="single" w:sz="8" w:color="0000EE"/>
            </w:tcBorders>
            <w:gridSpan w:val="6"/>
          </w:tcPr>
          <w:p>
            <w:pPr>
              <w:spacing w:after="0" w:line="170"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with the Securities and Exchange Commission on July 15, 2015).</w:t>
              </w:r>
            </w:hyperlink>
          </w:p>
        </w:tc>
        <w:tc>
          <w:tcPr>
            <w:tcW w:w="2500" w:type="dxa"/>
            <w:vAlign w:val="bottom"/>
            <w:tcBorders>
              <w:top w:val="single" w:sz="8" w:color="0000EE"/>
            </w:tcBorders>
            <w:gridSpan w:val="1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60" w:type="dxa"/>
            <w:vAlign w:val="bottom"/>
            <w:gridSpan w:val="30"/>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Indenture, dated as of March 5, 2019 between Applied Optoelectronics, Inc. and Wells Fargo Bank,</w:t>
              </w:r>
            </w:hyperlink>
          </w:p>
        </w:tc>
        <w:tc>
          <w:tcPr>
            <w:tcW w:w="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160" w:type="dxa"/>
            <w:vAlign w:val="bottom"/>
            <w:tcBorders>
              <w:top w:val="single" w:sz="8" w:color="0000EE"/>
            </w:tcBorders>
            <w:gridSpan w:val="16"/>
          </w:tcPr>
          <w:p>
            <w:pPr>
              <w:spacing w:after="0" w:line="170"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National Association, as trustee, paying agent, and conversion agent (filed as Exhibit 4.1 to the</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40" w:type="dxa"/>
            <w:vAlign w:val="bottom"/>
            <w:tcBorders>
              <w:top w:val="single" w:sz="8" w:color="0000EE"/>
            </w:tcBorders>
            <w:gridSpan w:val="10"/>
          </w:tcPr>
          <w:p>
            <w:pPr>
              <w:spacing w:after="0" w:line="170"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Registrant’s Current Report on Form 8-K filed with the Securities and Exchange Commission</w:t>
              </w:r>
            </w:hyperlink>
          </w:p>
        </w:tc>
        <w:tc>
          <w:tcPr>
            <w:tcW w:w="720" w:type="dxa"/>
            <w:vAlign w:val="bottom"/>
            <w:gridSpan w:val="20"/>
          </w:tcPr>
          <w:p>
            <w:pPr>
              <w:spacing w:after="0" w:line="170"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on March</w:t>
              </w:r>
            </w:hyperlink>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top w:val="single" w:sz="8" w:color="0000EE"/>
              <w:bottom w:val="single" w:sz="8" w:color="0000EE"/>
            </w:tcBorders>
          </w:tcPr>
          <w:p>
            <w:pPr>
              <w:spacing w:after="0" w:line="170" w:lineRule="exact"/>
              <w:rPr>
                <w:rFonts w:ascii="Times New Roman" w:cs="Times New Roman" w:eastAsia="Times New Roman" w:hAnsi="Times New Roman"/>
                <w:sz w:val="18"/>
                <w:szCs w:val="18"/>
                <w:color w:val="0000EE"/>
                <w:w w:val="96"/>
              </w:rPr>
            </w:pPr>
            <w:hyperlink r:id="rId73">
              <w:r>
                <w:rPr>
                  <w:rFonts w:ascii="Times New Roman" w:cs="Times New Roman" w:eastAsia="Times New Roman" w:hAnsi="Times New Roman"/>
                  <w:sz w:val="18"/>
                  <w:szCs w:val="18"/>
                  <w:color w:val="0000EE"/>
                  <w:w w:val="96"/>
                </w:rPr>
                <w:t>5, 2019).</w:t>
              </w:r>
            </w:hyperlink>
          </w:p>
        </w:tc>
        <w:tc>
          <w:tcPr>
            <w:tcW w:w="6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8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Form of Note representing the Company’s 5.00% Convertible Senior Notes due 2024 (included as</w:t>
              </w:r>
            </w:hyperlink>
          </w:p>
        </w:tc>
        <w:tc>
          <w:tcPr>
            <w:tcW w:w="50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560" w:type="dxa"/>
            <w:vAlign w:val="bottom"/>
            <w:gridSpan w:val="30"/>
          </w:tcPr>
          <w:p>
            <w:pPr>
              <w:spacing w:after="0" w:line="170"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Exhibit A to the Indenture filed as Exhibit 4.1 to the Registrant’s Current Report on Form 8-K filed with</w:t>
              </w:r>
            </w:hyperlink>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500" w:type="dxa"/>
            <w:vAlign w:val="bottom"/>
            <w:tcBorders>
              <w:top w:val="single" w:sz="8" w:color="0000EE"/>
            </w:tcBorders>
            <w:gridSpan w:val="27"/>
          </w:tcPr>
          <w:p>
            <w:pPr>
              <w:spacing w:after="0" w:line="170"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the Securities and Exchange Commission on March 5, 2019)</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Translation of Purchase and Sale Contract, Finance Lease Agreement and Promissory Note between,</w:t>
              </w:r>
            </w:hyperlink>
          </w:p>
        </w:tc>
        <w:tc>
          <w:tcPr>
            <w:tcW w:w="28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560" w:type="dxa"/>
            <w:vAlign w:val="bottom"/>
            <w:gridSpan w:val="30"/>
          </w:tcPr>
          <w:p>
            <w:pPr>
              <w:spacing w:after="0" w:line="170"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Prime World International Holdings, Ltd. and Chailease Finance Co., Ltd. (filed as Exhibit 10.1 to the</w:t>
              </w:r>
            </w:hyperlink>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340" w:type="dxa"/>
            <w:vAlign w:val="bottom"/>
            <w:tcBorders>
              <w:top w:val="single" w:sz="8" w:color="0000EE"/>
            </w:tcBorders>
            <w:gridSpan w:val="23"/>
          </w:tcPr>
          <w:p>
            <w:pPr>
              <w:spacing w:after="0" w:line="170"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Registrant’s Current Report on Form 8-K filed with the Securities and Exchange Commission on</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960" w:type="dxa"/>
            <w:vAlign w:val="bottom"/>
            <w:tcBorders>
              <w:top w:val="single" w:sz="8" w:color="0000EE"/>
            </w:tcBorders>
            <w:gridSpan w:val="12"/>
          </w:tcPr>
          <w:p>
            <w:pPr>
              <w:spacing w:after="0" w:line="170"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January 25, 2019)</w:t>
              </w:r>
              <w:r>
                <w:rPr>
                  <w:rFonts w:ascii="Times New Roman" w:cs="Times New Roman" w:eastAsia="Times New Roman" w:hAnsi="Times New Roman"/>
                  <w:sz w:val="18"/>
                  <w:szCs w:val="18"/>
                  <w:color w:val="000000"/>
                </w:rPr>
                <w:t>.</w:t>
              </w:r>
            </w:hyperlink>
          </w:p>
        </w:tc>
        <w:tc>
          <w:tcPr>
            <w:tcW w:w="60" w:type="dxa"/>
            <w:vAlign w:val="bottom"/>
          </w:tcPr>
          <w:p>
            <w:pPr>
              <w:spacing w:after="0"/>
              <w:rPr>
                <w:sz w:val="14"/>
                <w:szCs w:val="14"/>
                <w:color w:val="auto"/>
              </w:rPr>
            </w:pPr>
          </w:p>
        </w:tc>
        <w:tc>
          <w:tcPr>
            <w:tcW w:w="22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60" w:type="dxa"/>
            <w:vAlign w:val="bottom"/>
            <w:gridSpan w:val="30"/>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Second Amendment to Loan Agreement, dated February 1, 2019, between Applied Optoelectronics, Inc.</w:t>
              </w:r>
            </w:hyperlink>
          </w:p>
        </w:tc>
        <w:tc>
          <w:tcPr>
            <w:tcW w:w="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540" w:type="dxa"/>
            <w:vAlign w:val="bottom"/>
            <w:tcBorders>
              <w:top w:val="single" w:sz="8" w:color="0000EE"/>
            </w:tcBorders>
            <w:gridSpan w:val="29"/>
          </w:tcPr>
          <w:p>
            <w:pPr>
              <w:spacing w:after="0" w:line="170"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and Branch Banking and Trust Company (filed as Exhibit 10.1 to the Registrant’s Current Report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60" w:type="dxa"/>
            <w:vAlign w:val="bottom"/>
            <w:tcBorders>
              <w:top w:val="single" w:sz="8" w:color="0000EE"/>
            </w:tcBorders>
            <w:gridSpan w:val="21"/>
          </w:tcPr>
          <w:p>
            <w:pPr>
              <w:spacing w:after="0" w:line="170"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8-K filed with the Securities and Exchange Commission on February 7, 2019)</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60" w:type="dxa"/>
            <w:vAlign w:val="bottom"/>
            <w:gridSpan w:val="30"/>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Purchase Agreement, dated as of February 28, 2019 by and among Applied Optoelectronics, Inc.,</w:t>
              </w:r>
            </w:hyperlink>
          </w:p>
        </w:tc>
        <w:tc>
          <w:tcPr>
            <w:tcW w:w="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20" w:type="dxa"/>
            <w:vAlign w:val="bottom"/>
            <w:tcBorders>
              <w:top w:val="single" w:sz="8" w:color="0000EE"/>
            </w:tcBorders>
            <w:gridSpan w:val="13"/>
          </w:tcPr>
          <w:p>
            <w:pPr>
              <w:spacing w:after="0" w:line="170"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Raymond James &amp; Associates, Inc. and Cowen and Company, LLC (filed as Exhibit 10.1 to the</w:t>
              </w:r>
            </w:hyperlink>
          </w:p>
        </w:tc>
        <w:tc>
          <w:tcPr>
            <w:tcW w:w="22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560" w:type="dxa"/>
            <w:vAlign w:val="bottom"/>
            <w:gridSpan w:val="30"/>
          </w:tcPr>
          <w:p>
            <w:pPr>
              <w:spacing w:after="0" w:line="170"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Registrant’s Current Report on Form 8-K filed with the Securities and Exchange Commission on March</w:t>
              </w:r>
            </w:hyperlink>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top w:val="single" w:sz="8" w:color="0000EE"/>
              <w:bottom w:val="single" w:sz="8" w:color="0000EE"/>
            </w:tcBorders>
          </w:tcPr>
          <w:p>
            <w:pPr>
              <w:spacing w:after="0" w:line="170" w:lineRule="exact"/>
              <w:rPr>
                <w:rFonts w:ascii="Times New Roman" w:cs="Times New Roman" w:eastAsia="Times New Roman" w:hAnsi="Times New Roman"/>
                <w:sz w:val="18"/>
                <w:szCs w:val="18"/>
                <w:color w:val="0000EE"/>
                <w:w w:val="96"/>
              </w:rPr>
            </w:pPr>
            <w:hyperlink r:id="rId76">
              <w:r>
                <w:rPr>
                  <w:rFonts w:ascii="Times New Roman" w:cs="Times New Roman" w:eastAsia="Times New Roman" w:hAnsi="Times New Roman"/>
                  <w:sz w:val="18"/>
                  <w:szCs w:val="18"/>
                  <w:color w:val="0000EE"/>
                  <w:w w:val="96"/>
                </w:rPr>
                <w:t>5, 2019).</w:t>
              </w:r>
            </w:hyperlink>
          </w:p>
        </w:tc>
        <w:tc>
          <w:tcPr>
            <w:tcW w:w="6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8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60" w:type="dxa"/>
            <w:vAlign w:val="bottom"/>
            <w:gridSpan w:val="30"/>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Third Amendment to Loan Agreement, dated March 5, 2019, between Applied Optoelectronics, Inc. and</w:t>
              </w:r>
            </w:hyperlink>
          </w:p>
        </w:tc>
        <w:tc>
          <w:tcPr>
            <w:tcW w:w="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520" w:type="dxa"/>
            <w:vAlign w:val="bottom"/>
            <w:tcBorders>
              <w:top w:val="single" w:sz="8" w:color="0000EE"/>
            </w:tcBorders>
            <w:gridSpan w:val="28"/>
          </w:tcPr>
          <w:p>
            <w:pPr>
              <w:spacing w:after="0" w:line="170"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Branch Banking and Trust Company (filed as Exhibit 10.2 to the Registrant’s Current Report on Form</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80" w:type="dxa"/>
            <w:vAlign w:val="bottom"/>
            <w:tcBorders>
              <w:top w:val="single" w:sz="8" w:color="0000EE"/>
              <w:bottom w:val="single" w:sz="8" w:color="0000EE"/>
            </w:tcBorders>
            <w:gridSpan w:val="8"/>
          </w:tcPr>
          <w:p>
            <w:pPr>
              <w:spacing w:after="0" w:line="170"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8-K filed with the Securities and Exchange Commission on March 5, 2019).</w:t>
              </w:r>
            </w:hyperlink>
          </w:p>
        </w:tc>
        <w:tc>
          <w:tcPr>
            <w:tcW w:w="1880" w:type="dxa"/>
            <w:vAlign w:val="bottom"/>
            <w:tcBorders>
              <w:top w:val="single" w:sz="8" w:color="0000EE"/>
            </w:tcBorders>
            <w:gridSpan w:val="16"/>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60" w:type="dxa"/>
            <w:vAlign w:val="bottom"/>
            <w:gridSpan w:val="30"/>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Certification of Chief Executive Officer pursuant to Exchange Act Rule, 13a-14(a) and 15d-14(a), as</w:t>
              </w:r>
            </w:hyperlink>
          </w:p>
        </w:tc>
        <w:tc>
          <w:tcPr>
            <w:tcW w:w="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20" w:type="dxa"/>
            <w:vAlign w:val="bottom"/>
            <w:tcBorders>
              <w:top w:val="single" w:sz="8" w:color="0000EE"/>
              <w:bottom w:val="single" w:sz="8" w:color="0000EE"/>
            </w:tcBorders>
            <w:gridSpan w:val="7"/>
          </w:tcPr>
          <w:p>
            <w:pPr>
              <w:spacing w:after="0" w:line="170" w:lineRule="exact"/>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adopted pursuant to Section 302 of the Sarbanes-Oxley Act of 2002.</w:t>
              </w:r>
            </w:hyperlink>
          </w:p>
        </w:tc>
        <w:tc>
          <w:tcPr>
            <w:tcW w:w="2360" w:type="dxa"/>
            <w:vAlign w:val="bottom"/>
            <w:tcBorders>
              <w:top w:val="single" w:sz="8" w:color="0000EE"/>
            </w:tcBorders>
            <w:gridSpan w:val="15"/>
          </w:tcPr>
          <w:p>
            <w:pPr>
              <w:spacing w:after="0"/>
              <w:rPr>
                <w:sz w:val="14"/>
                <w:szCs w:val="14"/>
                <w:color w:val="auto"/>
              </w:rPr>
            </w:pPr>
          </w:p>
        </w:tc>
        <w:tc>
          <w:tcPr>
            <w:tcW w:w="20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60" w:type="dxa"/>
            <w:vAlign w:val="bottom"/>
            <w:gridSpan w:val="30"/>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Certification of Chief Financial Officer pursuant to Exchange Act Rule, 13a-14(a) and 15d-14(a), as</w:t>
              </w:r>
            </w:hyperlink>
          </w:p>
        </w:tc>
        <w:tc>
          <w:tcPr>
            <w:tcW w:w="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20" w:type="dxa"/>
            <w:vAlign w:val="bottom"/>
            <w:tcBorders>
              <w:top w:val="single" w:sz="8" w:color="0000EE"/>
              <w:bottom w:val="single" w:sz="8" w:color="0000EE"/>
            </w:tcBorders>
            <w:gridSpan w:val="7"/>
          </w:tcPr>
          <w:p>
            <w:pPr>
              <w:spacing w:after="0" w:line="170" w:lineRule="exact"/>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adopted pursuant to Section 302 of the Sarbanes-Oxley Act of 2002.</w:t>
              </w:r>
            </w:hyperlink>
          </w:p>
        </w:tc>
        <w:tc>
          <w:tcPr>
            <w:tcW w:w="2320" w:type="dxa"/>
            <w:vAlign w:val="bottom"/>
            <w:tcBorders>
              <w:top w:val="single" w:sz="8" w:color="0000EE"/>
            </w:tcBorders>
            <w:gridSpan w:val="13"/>
          </w:tcPr>
          <w:p>
            <w:pPr>
              <w:spacing w:after="0"/>
              <w:rPr>
                <w:sz w:val="14"/>
                <w:szCs w:val="14"/>
                <w:color w:val="auto"/>
              </w:rPr>
            </w:pPr>
          </w:p>
        </w:tc>
        <w:tc>
          <w:tcPr>
            <w:tcW w:w="240" w:type="dxa"/>
            <w:vAlign w:val="bottom"/>
            <w:gridSpan w:val="6"/>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60" w:type="dxa"/>
            <w:vAlign w:val="bottom"/>
            <w:gridSpan w:val="30"/>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Certification pursuant to 18 U.S.C. 1350, adopted pursuant to Section 906 of the Sarbanes-Oxley Act of</w:t>
              </w:r>
            </w:hyperlink>
          </w:p>
        </w:tc>
        <w:tc>
          <w:tcPr>
            <w:tcW w:w="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60" w:type="dxa"/>
            <w:vAlign w:val="bottom"/>
            <w:tcBorders>
              <w:top w:val="single" w:sz="8" w:color="0000EE"/>
              <w:bottom w:val="single" w:sz="8" w:color="0000EE"/>
            </w:tcBorders>
            <w:gridSpan w:val="5"/>
          </w:tcPr>
          <w:p>
            <w:pPr>
              <w:spacing w:after="0" w:line="170"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2002, by Chief Executive Officer and Chief Financial Officer.</w:t>
              </w:r>
            </w:hyperlink>
          </w:p>
        </w:tc>
        <w:tc>
          <w:tcPr>
            <w:tcW w:w="3020" w:type="dxa"/>
            <w:vAlign w:val="bottom"/>
            <w:tcBorders>
              <w:top w:val="single" w:sz="8" w:color="0000EE"/>
            </w:tcBorders>
            <w:gridSpan w:val="21"/>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399"/>
        </w:trPr>
        <w:tc>
          <w:tcPr>
            <w:tcW w:w="2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75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75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0" w:type="dxa"/>
            <w:vAlign w:val="bottom"/>
          </w:tcPr>
          <w:p>
            <w:pPr>
              <w:spacing w:after="0"/>
              <w:rPr>
                <w:sz w:val="24"/>
                <w:szCs w:val="24"/>
                <w:color w:val="auto"/>
              </w:rPr>
            </w:pPr>
          </w:p>
        </w:tc>
      </w:tr>
      <w:tr>
        <w:trPr>
          <w:trHeight w:val="63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60" w:type="dxa"/>
            <w:vAlign w:val="bottom"/>
            <w:gridSpan w:val="4"/>
          </w:tcPr>
          <w:p>
            <w:pPr>
              <w:ind w:left="296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08" w:right="141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Times New Roman" w:cs="Times New Roman" w:eastAsia="Times New Roman" w:hAnsi="Times New Roman"/>
                <w:sz w:val="18"/>
                <w:szCs w:val="18"/>
                <w:color w:val="0563C1"/>
                <w:w w:val="97"/>
              </w:rPr>
            </w:pPr>
            <w:hyperlink w:anchor="page2">
              <w:r>
                <w:rPr>
                  <w:rFonts w:ascii="Times New Roman" w:cs="Times New Roman" w:eastAsia="Times New Roman" w:hAnsi="Times New Roman"/>
                  <w:sz w:val="18"/>
                  <w:szCs w:val="18"/>
                  <w:color w:val="0563C1"/>
                  <w:w w:val="97"/>
                </w:rPr>
                <w:t>Table of Contents</w:t>
              </w:r>
            </w:hyperlink>
          </w:p>
        </w:tc>
        <w:tc>
          <w:tcPr>
            <w:tcW w:w="4660" w:type="dxa"/>
            <w:vAlign w:val="bottom"/>
          </w:tcPr>
          <w:p>
            <w:pPr>
              <w:spacing w:after="0"/>
              <w:rPr>
                <w:sz w:val="17"/>
                <w:szCs w:val="17"/>
                <w:color w:val="auto"/>
              </w:rPr>
            </w:pPr>
          </w:p>
        </w:tc>
      </w:tr>
      <w:tr>
        <w:trPr>
          <w:trHeight w:val="95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7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7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7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5721985</wp:posOffset>
            </wp:positionH>
            <wp:positionV relativeFrom="paragraph">
              <wp:posOffset>471805</wp:posOffset>
            </wp:positionV>
            <wp:extent cx="342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685800</wp:posOffset>
            </wp:positionV>
            <wp:extent cx="14408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40" w:hanging="537"/>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indicated filing.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175"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Date: May 9, 2019</w:t>
      </w:r>
      <w:r>
        <w:rPr>
          <w:sz w:val="20"/>
          <w:szCs w:val="20"/>
          <w:color w:val="auto"/>
        </w:rPr>
        <w:tab/>
      </w:r>
      <w:r>
        <w:rPr>
          <w:rFonts w:ascii="Times New Roman" w:cs="Times New Roman" w:eastAsia="Times New Roman" w:hAnsi="Times New Roman"/>
          <w:sz w:val="18"/>
          <w:szCs w:val="18"/>
          <w:color w:val="auto"/>
        </w:rPr>
        <w:t>By: /s/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8890</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line="237" w:lineRule="auto"/>
        <w:rPr>
          <w:sz w:val="20"/>
          <w:szCs w:val="20"/>
          <w:color w:val="auto"/>
        </w:rPr>
      </w:pPr>
      <w:r>
        <w:rPr>
          <w:rFonts w:ascii="Times New Roman" w:cs="Times New Roman" w:eastAsia="Times New Roman" w:hAnsi="Times New Roman"/>
          <w:sz w:val="18"/>
          <w:szCs w:val="18"/>
          <w:color w:val="auto"/>
        </w:rPr>
        <w:t>Stefan J. Murry</w:t>
      </w:r>
    </w:p>
    <w:p>
      <w:pPr>
        <w:ind w:left="4880"/>
        <w:spacing w:after="0" w:line="219" w:lineRule="auto"/>
        <w:rPr>
          <w:sz w:val="20"/>
          <w:szCs w:val="20"/>
          <w:color w:val="auto"/>
        </w:rPr>
      </w:pPr>
      <w:r>
        <w:rPr>
          <w:rFonts w:ascii="Times New Roman" w:cs="Times New Roman" w:eastAsia="Times New Roman" w:hAnsi="Times New Roman"/>
          <w:sz w:val="18"/>
          <w:szCs w:val="18"/>
          <w:color w:val="auto"/>
        </w:rPr>
        <w:t>Chief Financial Officer</w:t>
      </w:r>
    </w:p>
    <w:p>
      <w:pPr>
        <w:ind w:left="4880"/>
        <w:spacing w:after="0" w:line="219" w:lineRule="auto"/>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I, Chih-Hsiang (Thompson) Lin, certify that:</w:t>
      </w:r>
    </w:p>
    <w:p>
      <w:pPr>
        <w:spacing w:after="0" w:line="225" w:lineRule="exact"/>
        <w:rPr>
          <w:sz w:val="20"/>
          <w:szCs w:val="20"/>
          <w:color w:val="auto"/>
        </w:rPr>
      </w:pPr>
    </w:p>
    <w:p>
      <w:pPr>
        <w:ind w:left="649" w:hanging="649"/>
        <w:spacing w:after="0"/>
        <w:tabs>
          <w:tab w:leader="none" w:pos="6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Applied Optoelectronics, Inc.;</w:t>
      </w:r>
    </w:p>
    <w:p>
      <w:pPr>
        <w:spacing w:after="0" w:line="225" w:lineRule="exact"/>
        <w:rPr>
          <w:rFonts w:ascii="Times New Roman" w:cs="Times New Roman" w:eastAsia="Times New Roman" w:hAnsi="Times New Roman"/>
          <w:sz w:val="18"/>
          <w:szCs w:val="18"/>
          <w:color w:val="auto"/>
        </w:rPr>
      </w:pPr>
    </w:p>
    <w:p>
      <w:pPr>
        <w:ind w:left="649" w:right="80" w:hanging="649"/>
        <w:spacing w:after="0" w:line="266" w:lineRule="auto"/>
        <w:tabs>
          <w:tab w:leader="none" w:pos="6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49" w:right="140" w:hanging="649"/>
        <w:spacing w:after="0" w:line="266" w:lineRule="auto"/>
        <w:tabs>
          <w:tab w:leader="none" w:pos="6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76" w:lineRule="exact"/>
        <w:rPr>
          <w:rFonts w:ascii="Times New Roman" w:cs="Times New Roman" w:eastAsia="Times New Roman" w:hAnsi="Times New Roman"/>
          <w:sz w:val="18"/>
          <w:szCs w:val="18"/>
          <w:color w:val="auto"/>
        </w:rPr>
      </w:pPr>
    </w:p>
    <w:p>
      <w:pPr>
        <w:ind w:left="649" w:right="260" w:hanging="649"/>
        <w:spacing w:after="0" w:line="266" w:lineRule="auto"/>
        <w:tabs>
          <w:tab w:leader="none" w:pos="6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289" w:right="160" w:hanging="316"/>
        <w:spacing w:after="0" w:line="266" w:lineRule="auto"/>
        <w:tabs>
          <w:tab w:leader="none" w:pos="128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289" w:right="40" w:hanging="316"/>
        <w:spacing w:after="0" w:line="266" w:lineRule="auto"/>
        <w:tabs>
          <w:tab w:leader="none" w:pos="128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289" w:right="120" w:hanging="316"/>
        <w:spacing w:after="0" w:line="266" w:lineRule="auto"/>
        <w:tabs>
          <w:tab w:leader="none" w:pos="128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1289" w:right="160" w:hanging="316"/>
        <w:spacing w:after="0" w:line="266" w:lineRule="auto"/>
        <w:tabs>
          <w:tab w:leader="none" w:pos="128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49" w:right="380" w:hanging="649"/>
        <w:spacing w:after="0" w:line="266" w:lineRule="auto"/>
        <w:tabs>
          <w:tab w:leader="none" w:pos="6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1289" w:right="380" w:hanging="316"/>
        <w:spacing w:after="0" w:line="266" w:lineRule="auto"/>
        <w:tabs>
          <w:tab w:leader="none" w:pos="128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1289" w:right="760" w:hanging="316"/>
        <w:spacing w:after="0" w:line="282" w:lineRule="auto"/>
        <w:tabs>
          <w:tab w:leader="none" w:pos="128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Date: May 9, 2019</w:t>
      </w:r>
    </w:p>
    <w:p>
      <w:pPr>
        <w:spacing w:after="0" w:line="2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/s/ CHIH-HSIANG (THOMPSON) LIN</w:t>
      </w:r>
    </w:p>
    <w:p>
      <w:pPr>
        <w:spacing w:after="0" w:line="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3020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61225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7" w:right="7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I, Stefan J. Murry, certify that:</w:t>
      </w:r>
    </w:p>
    <w:p>
      <w:pPr>
        <w:spacing w:after="0" w:line="225" w:lineRule="exact"/>
        <w:rPr>
          <w:sz w:val="20"/>
          <w:szCs w:val="20"/>
          <w:color w:val="auto"/>
        </w:rPr>
      </w:pPr>
    </w:p>
    <w:p>
      <w:pPr>
        <w:ind w:left="649" w:hanging="649"/>
        <w:spacing w:after="0"/>
        <w:tabs>
          <w:tab w:leader="none" w:pos="6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Applied Optoelectronics, Inc.;</w:t>
      </w:r>
    </w:p>
    <w:p>
      <w:pPr>
        <w:spacing w:after="0" w:line="225" w:lineRule="exact"/>
        <w:rPr>
          <w:rFonts w:ascii="Times New Roman" w:cs="Times New Roman" w:eastAsia="Times New Roman" w:hAnsi="Times New Roman"/>
          <w:sz w:val="18"/>
          <w:szCs w:val="18"/>
          <w:color w:val="auto"/>
        </w:rPr>
      </w:pPr>
    </w:p>
    <w:p>
      <w:pPr>
        <w:ind w:left="649" w:right="80" w:hanging="649"/>
        <w:spacing w:after="0" w:line="266" w:lineRule="auto"/>
        <w:tabs>
          <w:tab w:leader="none" w:pos="6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49" w:right="140" w:hanging="649"/>
        <w:spacing w:after="0" w:line="266" w:lineRule="auto"/>
        <w:tabs>
          <w:tab w:leader="none" w:pos="6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76" w:lineRule="exact"/>
        <w:rPr>
          <w:rFonts w:ascii="Times New Roman" w:cs="Times New Roman" w:eastAsia="Times New Roman" w:hAnsi="Times New Roman"/>
          <w:sz w:val="18"/>
          <w:szCs w:val="18"/>
          <w:color w:val="auto"/>
        </w:rPr>
      </w:pPr>
    </w:p>
    <w:p>
      <w:pPr>
        <w:ind w:left="649" w:right="260" w:hanging="649"/>
        <w:spacing w:after="0" w:line="266" w:lineRule="auto"/>
        <w:tabs>
          <w:tab w:leader="none" w:pos="6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289" w:right="160" w:hanging="316"/>
        <w:spacing w:after="0" w:line="266" w:lineRule="auto"/>
        <w:tabs>
          <w:tab w:leader="none" w:pos="128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289" w:right="40" w:hanging="316"/>
        <w:spacing w:after="0" w:line="266" w:lineRule="auto"/>
        <w:tabs>
          <w:tab w:leader="none" w:pos="128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289" w:right="120" w:hanging="316"/>
        <w:spacing w:after="0" w:line="266" w:lineRule="auto"/>
        <w:tabs>
          <w:tab w:leader="none" w:pos="128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1289" w:right="160" w:hanging="316"/>
        <w:spacing w:after="0" w:line="266" w:lineRule="auto"/>
        <w:tabs>
          <w:tab w:leader="none" w:pos="128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49" w:right="380" w:hanging="649"/>
        <w:spacing w:after="0" w:line="266" w:lineRule="auto"/>
        <w:tabs>
          <w:tab w:leader="none" w:pos="6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1289" w:right="380" w:hanging="316"/>
        <w:spacing w:after="0" w:line="266" w:lineRule="auto"/>
        <w:tabs>
          <w:tab w:leader="none" w:pos="128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1289" w:right="760" w:hanging="316"/>
        <w:spacing w:after="0" w:line="282" w:lineRule="auto"/>
        <w:tabs>
          <w:tab w:leader="none" w:pos="128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Date: May 9, 2019</w:t>
      </w:r>
    </w:p>
    <w:p>
      <w:pPr>
        <w:spacing w:after="0" w:line="200" w:lineRule="exact"/>
        <w:rPr>
          <w:sz w:val="20"/>
          <w:szCs w:val="20"/>
          <w:color w:val="auto"/>
        </w:rPr>
      </w:pPr>
    </w:p>
    <w:p>
      <w:pPr>
        <w:spacing w:after="0" w:line="24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/s/ STEFAN J. MURRY</w:t>
      </w:r>
    </w:p>
    <w:p>
      <w:pPr>
        <w:spacing w:after="0" w:line="2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3020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61225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7" w:right="7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65" w:lineRule="exact"/>
        <w:rPr>
          <w:sz w:val="20"/>
          <w:szCs w:val="20"/>
          <w:color w:val="auto"/>
        </w:rPr>
      </w:pPr>
    </w:p>
    <w:p>
      <w:pPr>
        <w:jc w:val="both"/>
        <w:ind w:left="780" w:hanging="453"/>
        <w:spacing w:after="0" w:line="266"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2019, to which this Certification is attached as Exhibit 32.1 (the “Quarterly Report”) fully complies with the requirements of Section 13(a) or Section 15(d) of the Exchange Act; and</w:t>
      </w:r>
    </w:p>
    <w:p>
      <w:pPr>
        <w:spacing w:after="0" w:line="176" w:lineRule="exact"/>
        <w:rPr>
          <w:rFonts w:ascii="Times New Roman" w:cs="Times New Roman" w:eastAsia="Times New Roman" w:hAnsi="Times New Roman"/>
          <w:sz w:val="18"/>
          <w:szCs w:val="18"/>
          <w:color w:val="auto"/>
        </w:rPr>
      </w:pPr>
    </w:p>
    <w:p>
      <w:pPr>
        <w:ind w:left="780" w:hanging="453"/>
        <w:spacing w:after="0" w:line="282"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set their hands hereto as of the 9</w:t>
      </w:r>
      <w:r>
        <w:rPr>
          <w:rFonts w:ascii="Times New Roman" w:cs="Times New Roman" w:eastAsia="Times New Roman" w:hAnsi="Times New Roman"/>
          <w:sz w:val="8"/>
          <w:szCs w:val="8"/>
          <w:color w:val="auto"/>
        </w:rPr>
        <w:t>th</w:t>
      </w:r>
      <w:r>
        <w:rPr>
          <w:rFonts w:ascii="Times New Roman" w:cs="Times New Roman" w:eastAsia="Times New Roman" w:hAnsi="Times New Roman"/>
          <w:sz w:val="18"/>
          <w:szCs w:val="18"/>
          <w:color w:val="auto"/>
        </w:rPr>
        <w:t xml:space="preserve"> day of May, 2019.</w:t>
      </w:r>
    </w:p>
    <w:p>
      <w:pPr>
        <w:sectPr>
          <w:pgSz w:w="11900" w:h="16838" w:orient="portrait"/>
          <w:cols w:equalWidth="0" w:num="1">
            <w:col w:w="9060"/>
          </w:cols>
          <w:pgMar w:left="1420" w:top="117" w:right="1419" w:bottom="1440" w:gutter="0" w:footer="0" w:header="0"/>
        </w:sectPr>
      </w:pPr>
    </w:p>
    <w:p>
      <w:pPr>
        <w:spacing w:after="0" w:line="225" w:lineRule="exact"/>
        <w:rPr>
          <w:sz w:val="20"/>
          <w:szCs w:val="20"/>
          <w:color w:val="auto"/>
        </w:rPr>
      </w:pPr>
    </w:p>
    <w:p>
      <w:pPr>
        <w:ind w:right="1060"/>
        <w:spacing w:after="0" w:line="274" w:lineRule="auto"/>
        <w:rPr>
          <w:sz w:val="20"/>
          <w:szCs w:val="20"/>
          <w:color w:val="auto"/>
        </w:rPr>
      </w:pPr>
      <w:r>
        <w:rPr>
          <w:rFonts w:ascii="Times New Roman" w:cs="Times New Roman" w:eastAsia="Times New Roman" w:hAnsi="Times New Roman"/>
          <w:sz w:val="18"/>
          <w:szCs w:val="18"/>
          <w:color w:val="auto"/>
        </w:rPr>
        <w:t>/s/ CHIH-HSIANG (THOMPSON) LIN CHIH-HSIANG (THOMPSON) LIN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-300355</wp:posOffset>
            </wp:positionV>
            <wp:extent cx="27959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STEFAN J. MURRY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7870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7" w:lineRule="exact"/>
        <w:rPr>
          <w:sz w:val="20"/>
          <w:szCs w:val="20"/>
          <w:color w:val="auto"/>
        </w:rPr>
      </w:pPr>
    </w:p>
    <w:p>
      <w:pPr>
        <w:sectPr>
          <w:pgSz w:w="11900" w:h="16838" w:orient="portrait"/>
          <w:cols w:equalWidth="0" w:num="2">
            <w:col w:w="3960" w:space="720"/>
            <w:col w:w="4380"/>
          </w:cols>
          <w:pgMar w:left="1420" w:top="117" w:right="1419" w:bottom="1440" w:gutter="0" w:footer="0" w:header="0"/>
          <w:type w:val="continuous"/>
        </w:sectPr>
      </w:pP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17" w:right="1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8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70" Type="http://schemas.openxmlformats.org/officeDocument/2006/relationships/hyperlink" Target="http://www.sec.gov/Archives/edgar/data/1158114/000101968713004306/aaoi_10q-ex0301.htm" TargetMode="External"/><Relationship Id="rId71" Type="http://schemas.openxmlformats.org/officeDocument/2006/relationships/hyperlink" Target="http://www.sec.gov/Archives/edgar/data/1158114/000101968713004306/aaoi_10q-ex0302.htm" TargetMode="External"/><Relationship Id="rId72" Type="http://schemas.openxmlformats.org/officeDocument/2006/relationships/hyperlink" Target="http://www.sec.gov/Archives/edgar/data/1158114/000110465915051289/a15-15715_1ex4d1.htm" TargetMode="External"/><Relationship Id="rId73" Type="http://schemas.openxmlformats.org/officeDocument/2006/relationships/hyperlink" Target="http://www.sec.gov/Archives/edgar/data/1158114/000110465919012900/a19-4821_4ex4d1.htm" TargetMode="External"/><Relationship Id="rId74" Type="http://schemas.openxmlformats.org/officeDocument/2006/relationships/hyperlink" Target="http://www.sec.gov/Archives/edgar/data/1158114/000168316819000203/applied_ex1001.htm" TargetMode="External"/><Relationship Id="rId75" Type="http://schemas.openxmlformats.org/officeDocument/2006/relationships/hyperlink" Target="http://www.sec.gov/Archives/edgar/data/1158114/000168316819000287/applied_ex1001.htm" TargetMode="External"/><Relationship Id="rId76" Type="http://schemas.openxmlformats.org/officeDocument/2006/relationships/hyperlink" Target="http://www.sec.gov/Archives/edgar/data/1158114/000110465919012900/a19-4821_4ex10d1.htm" TargetMode="External"/><Relationship Id="rId77" Type="http://schemas.openxmlformats.org/officeDocument/2006/relationships/hyperlink" Target="http://www.sec.gov/Archives/edgar/data/1158114/000110465919012900/a19-4821_4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2019-12-28T12:47:06Z</dcterms:created>
  <dcterms:modified xsi:type="dcterms:W3CDTF">2019-12-28T12:47:06Z</dcterms:modified>
</cp:coreProperties>
</file>