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UNITED STATES</w:t>
      </w:r>
    </w:p>
    <w:p>
      <w:pPr>
        <w:spacing w:after="0" w:line="26"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Washington, D.C. 20549</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pacing w:after="0" w:line="2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 w:lineRule="exact"/>
        <w:rPr>
          <w:sz w:val="24"/>
          <w:szCs w:val="24"/>
          <w:color w:val="auto"/>
        </w:rPr>
      </w:pPr>
    </w:p>
    <w:p>
      <w:pPr>
        <w:ind w:left="4100" w:right="2980" w:hanging="4092"/>
        <w:spacing w:after="0" w:line="523" w:lineRule="auto"/>
        <w:tabs>
          <w:tab w:leader="none" w:pos="35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13" w:lineRule="exact"/>
        <w:rPr>
          <w:sz w:val="24"/>
          <w:szCs w:val="24"/>
          <w:color w:val="auto"/>
        </w:rPr>
      </w:pPr>
    </w:p>
    <w:tbl>
      <w:tblPr>
        <w:tblLayout w:type="fixed"/>
        <w:tblInd w:w="720" w:type="dxa"/>
        <w:tblCellMar>
          <w:top w:w="0" w:type="dxa"/>
          <w:left w:w="0" w:type="dxa"/>
          <w:bottom w:w="0" w:type="dxa"/>
          <w:right w:w="0" w:type="dxa"/>
        </w:tblCellMar>
      </w:tblPr>
      <w:tr>
        <w:trPr>
          <w:trHeight w:val="184"/>
        </w:trPr>
        <w:tc>
          <w:tcPr>
            <w:tcW w:w="5080" w:type="dxa"/>
            <w:vAlign w:val="bottom"/>
          </w:tcPr>
          <w:p>
            <w:pPr>
              <w:ind w:left="294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ind w:left="20"/>
              <w:spacing w:after="0"/>
              <w:rPr>
                <w:sz w:val="20"/>
                <w:szCs w:val="20"/>
                <w:color w:val="auto"/>
              </w:rPr>
            </w:pPr>
            <w:r>
              <w:rPr>
                <w:rFonts w:ascii="Arial" w:cs="Arial" w:eastAsia="Arial" w:hAnsi="Arial"/>
                <w:sz w:val="16"/>
                <w:szCs w:val="16"/>
                <w:b w:val="1"/>
                <w:bCs w:val="1"/>
                <w:color w:val="auto"/>
              </w:rPr>
              <w:t>to</w:t>
            </w:r>
          </w:p>
        </w:tc>
        <w:tc>
          <w:tcPr>
            <w:tcW w:w="760" w:type="dxa"/>
            <w:vAlign w:val="bottom"/>
            <w:tcBorders>
              <w:bottom w:val="single" w:sz="8" w:color="auto"/>
            </w:tcBorders>
          </w:tcPr>
          <w:p>
            <w:pPr>
              <w:spacing w:after="0"/>
              <w:rPr>
                <w:sz w:val="16"/>
                <w:szCs w:val="16"/>
                <w:color w:val="auto"/>
              </w:rPr>
            </w:pPr>
          </w:p>
        </w:tc>
        <w:tc>
          <w:tcPr>
            <w:tcW w:w="2100" w:type="dxa"/>
            <w:vAlign w:val="bottom"/>
          </w:tcPr>
          <w:p>
            <w:pPr>
              <w:spacing w:after="0"/>
              <w:rPr>
                <w:sz w:val="16"/>
                <w:szCs w:val="16"/>
                <w:color w:val="auto"/>
              </w:rPr>
            </w:pPr>
          </w:p>
        </w:tc>
      </w:tr>
      <w:tr>
        <w:trPr>
          <w:trHeight w:val="420"/>
        </w:trPr>
        <w:tc>
          <w:tcPr>
            <w:tcW w:w="8960" w:type="dxa"/>
            <w:vAlign w:val="bottom"/>
            <w:gridSpan w:val="6"/>
          </w:tcPr>
          <w:p>
            <w:pPr>
              <w:jc w:val="center"/>
              <w:ind w:left="719"/>
              <w:spacing w:after="0"/>
              <w:rPr>
                <w:sz w:val="20"/>
                <w:szCs w:val="20"/>
                <w:color w:val="auto"/>
              </w:rPr>
            </w:pPr>
            <w:r>
              <w:rPr>
                <w:rFonts w:ascii="Arial" w:cs="Arial" w:eastAsia="Arial" w:hAnsi="Arial"/>
                <w:sz w:val="16"/>
                <w:szCs w:val="16"/>
                <w:b w:val="1"/>
                <w:bCs w:val="1"/>
                <w:color w:val="auto"/>
                <w:w w:val="91"/>
              </w:rPr>
              <w:t>Commission File Number: 001-36083</w:t>
            </w:r>
          </w:p>
        </w:tc>
      </w:tr>
      <w:tr>
        <w:trPr>
          <w:trHeight w:val="397"/>
        </w:trPr>
        <w:tc>
          <w:tcPr>
            <w:tcW w:w="5900" w:type="dxa"/>
            <w:vAlign w:val="bottom"/>
            <w:gridSpan w:val="3"/>
          </w:tcPr>
          <w:p>
            <w:pPr>
              <w:jc w:val="center"/>
              <w:ind w:left="3799"/>
              <w:spacing w:after="0"/>
              <w:rPr>
                <w:sz w:val="20"/>
                <w:szCs w:val="20"/>
                <w:color w:val="auto"/>
              </w:rPr>
            </w:pPr>
            <w:r>
              <w:rPr>
                <w:rFonts w:ascii="Arial" w:cs="Arial" w:eastAsia="Arial" w:hAnsi="Arial"/>
                <w:sz w:val="16"/>
                <w:szCs w:val="16"/>
                <w:b w:val="1"/>
                <w:bCs w:val="1"/>
                <w:color w:val="auto"/>
                <w:w w:val="91"/>
              </w:rPr>
              <w:t>Applied Optoelectronics, Inc.</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03"/>
        </w:trPr>
        <w:tc>
          <w:tcPr>
            <w:tcW w:w="8960" w:type="dxa"/>
            <w:vAlign w:val="bottom"/>
            <w:gridSpan w:val="6"/>
          </w:tcPr>
          <w:p>
            <w:pPr>
              <w:ind w:left="3060"/>
              <w:spacing w:after="0"/>
              <w:rPr>
                <w:sz w:val="20"/>
                <w:szCs w:val="20"/>
                <w:color w:val="auto"/>
              </w:rPr>
            </w:pPr>
            <w:r>
              <w:rPr>
                <w:rFonts w:ascii="Arial" w:cs="Arial" w:eastAsia="Arial" w:hAnsi="Arial"/>
                <w:sz w:val="16"/>
                <w:szCs w:val="16"/>
                <w:b w:val="1"/>
                <w:bCs w:val="1"/>
                <w:color w:val="auto"/>
              </w:rPr>
              <w:t>(Exact name of registrant as specified in its charter)</w:t>
            </w:r>
          </w:p>
        </w:tc>
      </w:tr>
      <w:tr>
        <w:trPr>
          <w:trHeight w:val="203"/>
        </w:trPr>
        <w:tc>
          <w:tcPr>
            <w:tcW w:w="590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3"/>
              </w:rPr>
              <w:t>Delaware</w:t>
            </w:r>
          </w:p>
        </w:tc>
        <w:tc>
          <w:tcPr>
            <w:tcW w:w="3060" w:type="dxa"/>
            <w:vAlign w:val="bottom"/>
            <w:gridSpan w:val="3"/>
          </w:tcPr>
          <w:p>
            <w:pPr>
              <w:jc w:val="right"/>
              <w:ind w:right="860"/>
              <w:spacing w:after="0"/>
              <w:rPr>
                <w:sz w:val="20"/>
                <w:szCs w:val="20"/>
                <w:color w:val="auto"/>
              </w:rPr>
            </w:pPr>
            <w:r>
              <w:rPr>
                <w:rFonts w:ascii="Arial" w:cs="Arial" w:eastAsia="Arial" w:hAnsi="Arial"/>
                <w:sz w:val="16"/>
                <w:szCs w:val="16"/>
                <w:b w:val="1"/>
                <w:bCs w:val="1"/>
                <w:color w:val="auto"/>
              </w:rPr>
              <w:t>76-0533927</w:t>
            </w:r>
          </w:p>
        </w:tc>
      </w:tr>
      <w:tr>
        <w:trPr>
          <w:trHeight w:val="203"/>
        </w:trPr>
        <w:tc>
          <w:tcPr>
            <w:tcW w:w="5900" w:type="dxa"/>
            <w:vAlign w:val="bottom"/>
            <w:gridSpan w:val="3"/>
          </w:tcPr>
          <w:p>
            <w:pPr>
              <w:jc w:val="center"/>
              <w:ind w:right="1720"/>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200" w:type="dxa"/>
            <w:vAlign w:val="bottom"/>
          </w:tcPr>
          <w:p>
            <w:pPr>
              <w:spacing w:after="0"/>
              <w:rPr>
                <w:sz w:val="17"/>
                <w:szCs w:val="17"/>
                <w:color w:val="auto"/>
              </w:rPr>
            </w:pPr>
          </w:p>
        </w:tc>
        <w:tc>
          <w:tcPr>
            <w:tcW w:w="28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03"/>
        </w:trPr>
        <w:tc>
          <w:tcPr>
            <w:tcW w:w="5900" w:type="dxa"/>
            <w:vAlign w:val="bottom"/>
            <w:gridSpan w:val="3"/>
          </w:tcPr>
          <w:p>
            <w:pPr>
              <w:jc w:val="center"/>
              <w:ind w:left="3779"/>
              <w:spacing w:after="0"/>
              <w:rPr>
                <w:sz w:val="20"/>
                <w:szCs w:val="20"/>
                <w:color w:val="auto"/>
              </w:rPr>
            </w:pPr>
            <w:r>
              <w:rPr>
                <w:rFonts w:ascii="Arial" w:cs="Arial" w:eastAsia="Arial" w:hAnsi="Arial"/>
                <w:sz w:val="16"/>
                <w:szCs w:val="16"/>
                <w:b w:val="1"/>
                <w:bCs w:val="1"/>
                <w:color w:val="auto"/>
                <w:w w:val="90"/>
              </w:rPr>
              <w:t>13139 Jess Pirtle Blvd.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100" w:type="dxa"/>
            <w:vAlign w:val="bottom"/>
          </w:tcPr>
          <w:p>
            <w:pPr>
              <w:spacing w:after="0"/>
              <w:rPr>
                <w:sz w:val="17"/>
                <w:szCs w:val="17"/>
                <w:color w:val="auto"/>
              </w:rPr>
            </w:pPr>
          </w:p>
        </w:tc>
      </w:tr>
      <w:tr>
        <w:trPr>
          <w:trHeight w:val="210"/>
        </w:trPr>
        <w:tc>
          <w:tcPr>
            <w:tcW w:w="5900" w:type="dxa"/>
            <w:vAlign w:val="bottom"/>
            <w:gridSpan w:val="3"/>
          </w:tcPr>
          <w:p>
            <w:pPr>
              <w:jc w:val="center"/>
              <w:ind w:left="3839"/>
              <w:spacing w:after="0"/>
              <w:rPr>
                <w:sz w:val="20"/>
                <w:szCs w:val="20"/>
                <w:color w:val="auto"/>
              </w:rPr>
            </w:pPr>
            <w:r>
              <w:rPr>
                <w:rFonts w:ascii="Arial" w:cs="Arial" w:eastAsia="Arial" w:hAnsi="Arial"/>
                <w:sz w:val="16"/>
                <w:szCs w:val="16"/>
                <w:b w:val="1"/>
                <w:bCs w:val="1"/>
                <w:color w:val="auto"/>
                <w:w w:val="94"/>
              </w:rPr>
              <w:t>Sugar Land, TX 77478</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100" w:type="dxa"/>
            <w:vAlign w:val="bottom"/>
          </w:tcPr>
          <w:p>
            <w:pPr>
              <w:spacing w:after="0"/>
              <w:rPr>
                <w:sz w:val="18"/>
                <w:szCs w:val="18"/>
                <w:color w:val="auto"/>
              </w:rPr>
            </w:pPr>
          </w:p>
        </w:tc>
      </w:tr>
    </w:tbl>
    <w:p>
      <w:pPr>
        <w:jc w:val="center"/>
        <w:ind w:right="4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13" w:lineRule="exact"/>
        <w:rPr>
          <w:sz w:val="24"/>
          <w:szCs w:val="24"/>
          <w:color w:val="auto"/>
        </w:rPr>
      </w:pPr>
    </w:p>
    <w:p>
      <w:pPr>
        <w:ind w:left="5500" w:hanging="382"/>
        <w:spacing w:after="0"/>
        <w:tabs>
          <w:tab w:leader="none" w:pos="55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295-1800</w:t>
      </w:r>
    </w:p>
    <w:p>
      <w:pPr>
        <w:spacing w:after="0" w:line="26" w:lineRule="exact"/>
        <w:rPr>
          <w:rFonts w:ascii="Arial" w:cs="Arial" w:eastAsia="Arial" w:hAnsi="Arial"/>
          <w:sz w:val="16"/>
          <w:szCs w:val="16"/>
          <w:b w:val="1"/>
          <w:bCs w:val="1"/>
          <w:color w:val="auto"/>
        </w:rPr>
      </w:pPr>
    </w:p>
    <w:p>
      <w:pPr>
        <w:ind w:left="446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(Registrant’s telephone number)</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4240" w:type="dxa"/>
            <w:vAlign w:val="bottom"/>
          </w:tcPr>
          <w:p>
            <w:pPr>
              <w:ind w:left="400"/>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1900" w:type="dxa"/>
            <w:vAlign w:val="bottom"/>
          </w:tcPr>
          <w:p>
            <w:pPr>
              <w:spacing w:after="0"/>
              <w:rPr>
                <w:sz w:val="17"/>
                <w:szCs w:val="17"/>
                <w:color w:val="auto"/>
              </w:rPr>
            </w:pPr>
          </w:p>
        </w:tc>
        <w:tc>
          <w:tcPr>
            <w:tcW w:w="5100" w:type="dxa"/>
            <w:vAlign w:val="bottom"/>
          </w:tcPr>
          <w:p>
            <w:pPr>
              <w:spacing w:after="0"/>
              <w:rPr>
                <w:sz w:val="17"/>
                <w:szCs w:val="17"/>
                <w:color w:val="auto"/>
              </w:rPr>
            </w:pPr>
          </w:p>
        </w:tc>
      </w:tr>
      <w:tr>
        <w:trPr>
          <w:trHeight w:val="219"/>
        </w:trPr>
        <w:tc>
          <w:tcPr>
            <w:tcW w:w="4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w w:val="90"/>
              </w:rPr>
              <w:t>Title of each class</w:t>
            </w:r>
          </w:p>
        </w:tc>
        <w:tc>
          <w:tcPr>
            <w:tcW w:w="1900" w:type="dxa"/>
            <w:vAlign w:val="bottom"/>
            <w:tcBorders>
              <w:bottom w:val="single" w:sz="8" w:color="auto"/>
            </w:tcBorders>
          </w:tcPr>
          <w:p>
            <w:pPr>
              <w:jc w:val="center"/>
              <w:ind w:right="519"/>
              <w:spacing w:after="0"/>
              <w:rPr>
                <w:sz w:val="20"/>
                <w:szCs w:val="20"/>
                <w:color w:val="auto"/>
              </w:rPr>
            </w:pPr>
            <w:r>
              <w:rPr>
                <w:rFonts w:ascii="Arial" w:cs="Arial" w:eastAsia="Arial" w:hAnsi="Arial"/>
                <w:sz w:val="16"/>
                <w:szCs w:val="16"/>
                <w:color w:val="auto"/>
                <w:w w:val="93"/>
              </w:rPr>
              <w:t>Trading Symbol(s)</w:t>
            </w:r>
          </w:p>
        </w:tc>
        <w:tc>
          <w:tcPr>
            <w:tcW w:w="5100" w:type="dxa"/>
            <w:vAlign w:val="bottom"/>
            <w:tcBorders>
              <w:bottom w:val="single" w:sz="8" w:color="auto"/>
            </w:tcBorders>
          </w:tcPr>
          <w:p>
            <w:pPr>
              <w:jc w:val="center"/>
              <w:ind w:right="319"/>
              <w:spacing w:after="0"/>
              <w:rPr>
                <w:sz w:val="20"/>
                <w:szCs w:val="20"/>
                <w:color w:val="auto"/>
              </w:rPr>
            </w:pPr>
            <w:r>
              <w:rPr>
                <w:rFonts w:ascii="Arial" w:cs="Arial" w:eastAsia="Arial" w:hAnsi="Arial"/>
                <w:sz w:val="16"/>
                <w:szCs w:val="16"/>
                <w:color w:val="auto"/>
                <w:w w:val="91"/>
              </w:rPr>
              <w:t>Trading Name of each exchange on which registered</w:t>
            </w:r>
          </w:p>
        </w:tc>
      </w:tr>
      <w:tr>
        <w:trPr>
          <w:trHeight w:val="206"/>
        </w:trPr>
        <w:tc>
          <w:tcPr>
            <w:tcW w:w="4240" w:type="dxa"/>
            <w:vAlign w:val="bottom"/>
          </w:tcPr>
          <w:p>
            <w:pPr>
              <w:jc w:val="center"/>
              <w:ind w:right="119"/>
              <w:spacing w:after="0"/>
              <w:rPr>
                <w:sz w:val="20"/>
                <w:szCs w:val="20"/>
                <w:color w:val="auto"/>
              </w:rPr>
            </w:pPr>
            <w:r>
              <w:rPr>
                <w:rFonts w:ascii="Arial" w:cs="Arial" w:eastAsia="Arial" w:hAnsi="Arial"/>
                <w:sz w:val="16"/>
                <w:szCs w:val="16"/>
                <w:color w:val="auto"/>
                <w:w w:val="91"/>
              </w:rPr>
              <w:t>Common Stock, Par value $0.001</w:t>
            </w:r>
          </w:p>
        </w:tc>
        <w:tc>
          <w:tcPr>
            <w:tcW w:w="1900" w:type="dxa"/>
            <w:vAlign w:val="bottom"/>
          </w:tcPr>
          <w:p>
            <w:pPr>
              <w:jc w:val="center"/>
              <w:ind w:right="519"/>
              <w:spacing w:after="0"/>
              <w:rPr>
                <w:sz w:val="20"/>
                <w:szCs w:val="20"/>
                <w:color w:val="auto"/>
              </w:rPr>
            </w:pPr>
            <w:r>
              <w:rPr>
                <w:rFonts w:ascii="Arial" w:cs="Arial" w:eastAsia="Arial" w:hAnsi="Arial"/>
                <w:sz w:val="16"/>
                <w:szCs w:val="16"/>
                <w:color w:val="auto"/>
              </w:rPr>
              <w:t>AAOI</w:t>
            </w:r>
          </w:p>
        </w:tc>
        <w:tc>
          <w:tcPr>
            <w:tcW w:w="5100" w:type="dxa"/>
            <w:vAlign w:val="bottom"/>
          </w:tcPr>
          <w:p>
            <w:pPr>
              <w:jc w:val="center"/>
              <w:ind w:right="319"/>
              <w:spacing w:after="0"/>
              <w:rPr>
                <w:sz w:val="20"/>
                <w:szCs w:val="20"/>
                <w:color w:val="auto"/>
              </w:rPr>
            </w:pPr>
            <w:r>
              <w:rPr>
                <w:rFonts w:ascii="Arial" w:cs="Arial" w:eastAsia="Arial" w:hAnsi="Arial"/>
                <w:sz w:val="16"/>
                <w:szCs w:val="16"/>
                <w:color w:val="auto"/>
                <w:w w:val="96"/>
              </w:rPr>
              <w:t>NASDAQ Global Market</w:t>
            </w:r>
          </w:p>
        </w:tc>
      </w:tr>
      <w:tr>
        <w:trPr>
          <w:trHeight w:val="395"/>
        </w:trPr>
        <w:tc>
          <w:tcPr>
            <w:tcW w:w="4240" w:type="dxa"/>
            <w:vAlign w:val="bottom"/>
          </w:tcPr>
          <w:p>
            <w:pPr>
              <w:ind w:left="8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1900" w:type="dxa"/>
            <w:vAlign w:val="bottom"/>
          </w:tcPr>
          <w:p>
            <w:pPr>
              <w:spacing w:after="0"/>
              <w:rPr>
                <w:sz w:val="24"/>
                <w:szCs w:val="24"/>
                <w:color w:val="auto"/>
              </w:rPr>
            </w:pPr>
          </w:p>
        </w:tc>
        <w:tc>
          <w:tcPr>
            <w:tcW w:w="5100" w:type="dxa"/>
            <w:vAlign w:val="bottom"/>
          </w:tcPr>
          <w:p>
            <w:pPr>
              <w:spacing w:after="0"/>
              <w:rPr>
                <w:sz w:val="24"/>
                <w:szCs w:val="24"/>
                <w:color w:val="auto"/>
              </w:rPr>
            </w:pPr>
          </w:p>
        </w:tc>
      </w:tr>
    </w:tbl>
    <w:p>
      <w:pPr>
        <w:spacing w:after="0" w:line="169" w:lineRule="exact"/>
        <w:rPr>
          <w:sz w:val="24"/>
          <w:szCs w:val="24"/>
          <w:color w:val="auto"/>
        </w:rPr>
      </w:pPr>
    </w:p>
    <w:p>
      <w:pPr>
        <w:ind w:left="400" w:right="1680"/>
        <w:spacing w:after="0" w:line="330"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of 1933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2" w:lineRule="exact"/>
        <w:rPr>
          <w:sz w:val="24"/>
          <w:szCs w:val="24"/>
          <w:color w:val="auto"/>
        </w:rPr>
      </w:pPr>
    </w:p>
    <w:p>
      <w:pPr>
        <w:jc w:val="both"/>
        <w:ind w:firstLine="389"/>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ind w:right="20" w:firstLine="38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387" w:lineRule="exact"/>
        <w:rPr>
          <w:sz w:val="24"/>
          <w:szCs w:val="24"/>
          <w:color w:val="auto"/>
        </w:rPr>
      </w:pPr>
    </w:p>
    <w:p>
      <w:pPr>
        <w:jc w:val="both"/>
        <w:ind w:firstLine="40"/>
        <w:spacing w:after="0" w:line="26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 (Check one):</w:t>
      </w:r>
    </w:p>
    <w:tbl>
      <w:tblPr>
        <w:tblLayout w:type="fixed"/>
        <w:tblInd w:w="660" w:type="dxa"/>
        <w:tblCellMar>
          <w:top w:w="0" w:type="dxa"/>
          <w:left w:w="0" w:type="dxa"/>
          <w:bottom w:w="0" w:type="dxa"/>
          <w:right w:w="0" w:type="dxa"/>
        </w:tblCellMar>
      </w:tblPr>
      <w:tr>
        <w:trPr>
          <w:trHeight w:val="171"/>
        </w:trPr>
        <w:tc>
          <w:tcPr>
            <w:tcW w:w="2020" w:type="dxa"/>
            <w:vAlign w:val="bottom"/>
          </w:tcPr>
          <w:p>
            <w:pPr>
              <w:spacing w:after="0" w:line="171" w:lineRule="exact"/>
              <w:rPr>
                <w:sz w:val="20"/>
                <w:szCs w:val="20"/>
                <w:color w:val="auto"/>
              </w:rPr>
            </w:pPr>
            <w:r>
              <w:rPr>
                <w:rFonts w:ascii="Arial" w:cs="Arial" w:eastAsia="Arial" w:hAnsi="Arial"/>
                <w:sz w:val="16"/>
                <w:szCs w:val="16"/>
                <w:color w:val="auto"/>
              </w:rPr>
              <w:t>Large accelerated filer</w:t>
            </w:r>
          </w:p>
        </w:tc>
        <w:tc>
          <w:tcPr>
            <w:tcW w:w="16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line="171" w:lineRule="exact"/>
              <w:rPr>
                <w:sz w:val="20"/>
                <w:szCs w:val="20"/>
                <w:color w:val="auto"/>
              </w:rPr>
            </w:pPr>
            <w:r>
              <w:rPr>
                <w:rFonts w:ascii="Arial" w:cs="Arial" w:eastAsia="Arial" w:hAnsi="Arial"/>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160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00" w:type="dxa"/>
            <w:vAlign w:val="bottom"/>
          </w:tcPr>
          <w:p>
            <w:pPr>
              <w:ind w:left="880"/>
              <w:spacing w:after="0"/>
              <w:rPr>
                <w:sz w:val="20"/>
                <w:szCs w:val="20"/>
                <w:color w:val="auto"/>
              </w:rPr>
            </w:pPr>
            <w:r>
              <w:rPr>
                <w:rFonts w:ascii="Arial" w:cs="Arial" w:eastAsia="Arial" w:hAnsi="Arial"/>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3400" w:type="dxa"/>
            <w:vAlign w:val="bottom"/>
          </w:tcPr>
          <w:p>
            <w:pPr>
              <w:ind w:left="880"/>
              <w:spacing w:after="0"/>
              <w:rPr>
                <w:sz w:val="20"/>
                <w:szCs w:val="20"/>
                <w:color w:val="auto"/>
              </w:rPr>
            </w:pPr>
            <w:r>
              <w:rPr>
                <w:rFonts w:ascii="Arial" w:cs="Arial" w:eastAsia="Arial" w:hAnsi="Arial"/>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94" w:lineRule="exact"/>
        <w:rPr>
          <w:sz w:val="24"/>
          <w:szCs w:val="24"/>
          <w:color w:val="auto"/>
        </w:rPr>
      </w:pPr>
    </w:p>
    <w:p>
      <w:pPr>
        <w:jc w:val="both"/>
        <w:ind w:firstLine="396"/>
        <w:spacing w:after="0" w:line="214" w:lineRule="exact"/>
        <w:rPr>
          <w:sz w:val="20"/>
          <w:szCs w:val="20"/>
          <w:color w:val="auto"/>
        </w:rPr>
      </w:pPr>
      <w:r>
        <w:rPr>
          <w:rFonts w:ascii="Arial" w:cs="Arial" w:eastAsia="Arial" w:hAnsi="Arial"/>
          <w:sz w:val="16"/>
          <w:szCs w:val="16"/>
          <w:color w:val="auto"/>
        </w:rPr>
        <w:t xml:space="preserve">If an emerging growth company, indicate by check mark whether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1" w:lineRule="exact"/>
        <w:rPr>
          <w:sz w:val="24"/>
          <w:szCs w:val="24"/>
          <w:color w:val="auto"/>
        </w:rPr>
      </w:pPr>
    </w:p>
    <w:p>
      <w:pPr>
        <w:jc w:val="both"/>
        <w:ind w:firstLine="396"/>
        <w:spacing w:after="0" w:line="213"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66" w:lineRule="exact"/>
        <w:rPr>
          <w:sz w:val="24"/>
          <w:szCs w:val="24"/>
          <w:color w:val="auto"/>
        </w:rPr>
      </w:pPr>
    </w:p>
    <w:p>
      <w:pPr>
        <w:ind w:left="400"/>
        <w:spacing w:after="0" w:line="173" w:lineRule="exact"/>
        <w:tabs>
          <w:tab w:leader="none" w:pos="7740" w:val="left"/>
        </w:tabs>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63" w:lineRule="exact"/>
        <w:rPr>
          <w:sz w:val="24"/>
          <w:szCs w:val="24"/>
          <w:color w:val="auto"/>
        </w:rPr>
      </w:pPr>
    </w:p>
    <w:p>
      <w:pPr>
        <w:jc w:val="both"/>
        <w:ind w:firstLine="389"/>
        <w:spacing w:after="0" w:line="273" w:lineRule="auto"/>
        <w:rPr>
          <w:sz w:val="20"/>
          <w:szCs w:val="20"/>
          <w:color w:val="auto"/>
        </w:rPr>
      </w:pPr>
      <w:r>
        <w:rPr>
          <w:rFonts w:ascii="Arial" w:cs="Arial" w:eastAsia="Arial" w:hAnsi="Arial"/>
          <w:sz w:val="16"/>
          <w:szCs w:val="16"/>
          <w:color w:val="auto"/>
        </w:rPr>
        <w:t>As of June 30, 2021, the aggregate market value of the common stock held by non-affiliates of the Registrant was $180,051,906 based upon the closing sales price of the Registrant’s common stock as reported on the NASDAQ Global Markets on June 30, 2021 of $8.47 per share. Shares of common stock held by officers, directors and holders of more than ten percent of the outstanding common stock have been excluded from this calculation because such persons may be deemed to be affiliates. This determination of affiliate status is not necessarily a conclusive determination for other purposes.</w:t>
      </w:r>
    </w:p>
    <w:p>
      <w:pPr>
        <w:spacing w:after="0" w:line="175" w:lineRule="exact"/>
        <w:rPr>
          <w:sz w:val="24"/>
          <w:szCs w:val="24"/>
          <w:color w:val="auto"/>
        </w:rPr>
      </w:pPr>
    </w:p>
    <w:p>
      <w:pPr>
        <w:ind w:left="400"/>
        <w:spacing w:after="0"/>
        <w:rPr>
          <w:sz w:val="20"/>
          <w:szCs w:val="20"/>
          <w:color w:val="auto"/>
        </w:rPr>
      </w:pPr>
      <w:r>
        <w:rPr>
          <w:rFonts w:ascii="Arial" w:cs="Arial" w:eastAsia="Arial" w:hAnsi="Arial"/>
          <w:sz w:val="16"/>
          <w:szCs w:val="16"/>
          <w:color w:val="auto"/>
        </w:rPr>
        <w:t>As of February 21, 2022, the Registrant had 27,508,200 outstanding shares of Common Stock.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DOCUMENTS INCORPORATED BY REFERENCE</w:t>
      </w:r>
    </w:p>
    <w:p>
      <w:pPr>
        <w:spacing w:after="0" w:line="221" w:lineRule="exact"/>
        <w:rPr>
          <w:sz w:val="24"/>
          <w:szCs w:val="24"/>
          <w:color w:val="auto"/>
        </w:rPr>
      </w:pPr>
    </w:p>
    <w:p>
      <w:pPr>
        <w:jc w:val="both"/>
        <w:ind w:firstLine="389"/>
        <w:spacing w:after="0" w:line="278" w:lineRule="auto"/>
        <w:rPr>
          <w:sz w:val="20"/>
          <w:szCs w:val="20"/>
          <w:color w:val="auto"/>
        </w:rPr>
      </w:pPr>
      <w:r>
        <w:rPr>
          <w:rFonts w:ascii="Arial" w:cs="Arial" w:eastAsia="Arial" w:hAnsi="Arial"/>
          <w:sz w:val="16"/>
          <w:szCs w:val="16"/>
          <w:color w:val="auto"/>
        </w:rPr>
        <w:t>Portions of the Registrant’s definitive Proxy Statement for the Registrant’s 2022 Annual Meeting of Stockholders are incorporated by reference in Part III of this Annual Report on Form 10-K to the extent stated herein. The Proxy Statement will be filed with the Securities and Exchange Commission pursuant to Regulation 14A not later than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40" w:type="dxa"/>
            <w:vAlign w:val="bottom"/>
            <w:gridSpan w:val="2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893"/>
        </w:trPr>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89"/>
              </w:rPr>
              <w:t>Applied Optoelectronics, Inc.</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60" w:type="dxa"/>
            <w:vAlign w:val="bottom"/>
            <w:gridSpan w:val="9"/>
          </w:tcPr>
          <w:p>
            <w:pPr>
              <w:jc w:val="center"/>
              <w:ind w:right="3120"/>
              <w:spacing w:after="0"/>
              <w:rPr>
                <w:sz w:val="20"/>
                <w:szCs w:val="20"/>
                <w:color w:val="auto"/>
              </w:rPr>
            </w:pPr>
            <w:r>
              <w:rPr>
                <w:rFonts w:ascii="Arial" w:cs="Arial" w:eastAsia="Arial" w:hAnsi="Arial"/>
                <w:sz w:val="18"/>
                <w:szCs w:val="18"/>
                <w:b w:val="1"/>
                <w:bCs w:val="1"/>
                <w:color w:val="auto"/>
                <w:w w:val="89"/>
              </w:rPr>
              <w:t>Table of Contents</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675"/>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ind w:left="780"/>
              <w:spacing w:after="0"/>
              <w:rPr>
                <w:sz w:val="20"/>
                <w:szCs w:val="20"/>
                <w:color w:val="auto"/>
              </w:rPr>
            </w:pPr>
            <w:r>
              <w:rPr>
                <w:rFonts w:ascii="Arial" w:cs="Arial" w:eastAsia="Arial" w:hAnsi="Arial"/>
                <w:sz w:val="18"/>
                <w:szCs w:val="18"/>
                <w:color w:val="auto"/>
                <w:w w:val="80"/>
              </w:rPr>
              <w:t>Page</w:t>
            </w:r>
          </w:p>
        </w:tc>
      </w:tr>
      <w:tr>
        <w:trPr>
          <w:trHeight w:val="392"/>
        </w:trPr>
        <w:tc>
          <w:tcPr>
            <w:tcW w:w="106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gridSpan w:val="2"/>
          </w:tcPr>
          <w:p>
            <w:pPr>
              <w:jc w:val="center"/>
              <w:ind w:left="8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4">
              <w:r>
                <w:rPr>
                  <w:rFonts w:ascii="Arial" w:cs="Arial" w:eastAsia="Arial" w:hAnsi="Arial"/>
                  <w:sz w:val="18"/>
                  <w:szCs w:val="18"/>
                  <w:color w:val="0000EE"/>
                  <w:w w:val="76"/>
                </w:rPr>
                <w:t>Item 1.</w:t>
              </w:r>
            </w:hyperlink>
          </w:p>
        </w:tc>
        <w:tc>
          <w:tcPr>
            <w:tcW w:w="600" w:type="dxa"/>
            <w:vAlign w:val="bottom"/>
            <w:gridSpan w:val="4"/>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000" w:type="dxa"/>
            <w:vAlign w:val="bottom"/>
            <w:gridSpan w:val="2"/>
          </w:tcPr>
          <w:p>
            <w:pPr>
              <w:jc w:val="center"/>
              <w:ind w:left="830"/>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140" w:type="dxa"/>
            <w:vAlign w:val="bottom"/>
          </w:tcPr>
          <w:p>
            <w:pPr>
              <w:spacing w:after="0"/>
              <w:rPr>
                <w:sz w:val="24"/>
                <w:szCs w:val="24"/>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6"/>
              </w:rPr>
            </w:pPr>
            <w:hyperlink w:anchor="page16">
              <w:r>
                <w:rPr>
                  <w:rFonts w:ascii="Arial" w:cs="Arial" w:eastAsia="Arial" w:hAnsi="Arial"/>
                  <w:sz w:val="18"/>
                  <w:szCs w:val="18"/>
                  <w:color w:val="0000EE"/>
                  <w:w w:val="86"/>
                </w:rPr>
                <w:t>Item 1A.</w:t>
              </w:r>
            </w:hyperlink>
          </w:p>
        </w:tc>
        <w:tc>
          <w:tcPr>
            <w:tcW w:w="440" w:type="dxa"/>
            <w:vAlign w:val="bottom"/>
            <w:gridSpan w:val="2"/>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14</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6"/>
              </w:rPr>
            </w:pPr>
            <w:hyperlink w:anchor="page31">
              <w:r>
                <w:rPr>
                  <w:rFonts w:ascii="Arial" w:cs="Arial" w:eastAsia="Arial" w:hAnsi="Arial"/>
                  <w:sz w:val="18"/>
                  <w:szCs w:val="18"/>
                  <w:color w:val="0000EE"/>
                  <w:w w:val="86"/>
                </w:rPr>
                <w:t>Item 1B.</w:t>
              </w:r>
            </w:hyperlink>
          </w:p>
        </w:tc>
        <w:tc>
          <w:tcPr>
            <w:tcW w:w="440" w:type="dxa"/>
            <w:vAlign w:val="bottom"/>
            <w:gridSpan w:val="2"/>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Unresolved Staff Comments</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1">
              <w:r>
                <w:rPr>
                  <w:rFonts w:ascii="Arial" w:cs="Arial" w:eastAsia="Arial" w:hAnsi="Arial"/>
                  <w:sz w:val="18"/>
                  <w:szCs w:val="18"/>
                  <w:color w:val="0000EE"/>
                  <w:w w:val="76"/>
                </w:rPr>
                <w:t>Item 2.</w:t>
              </w:r>
            </w:hyperlink>
          </w:p>
        </w:tc>
        <w:tc>
          <w:tcPr>
            <w:tcW w:w="1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740" w:type="dxa"/>
            <w:vAlign w:val="bottom"/>
            <w:gridSpan w:val="3"/>
          </w:tcPr>
          <w:p>
            <w:pPr>
              <w:spacing w:after="0"/>
              <w:rPr>
                <w:rFonts w:ascii="Arial" w:cs="Arial" w:eastAsia="Arial" w:hAnsi="Arial"/>
                <w:sz w:val="18"/>
                <w:szCs w:val="18"/>
                <w:color w:val="0000EE"/>
                <w:w w:val="87"/>
              </w:rPr>
            </w:pPr>
            <w:hyperlink w:anchor="page31">
              <w:r>
                <w:rPr>
                  <w:rFonts w:ascii="Arial" w:cs="Arial" w:eastAsia="Arial" w:hAnsi="Arial"/>
                  <w:sz w:val="18"/>
                  <w:szCs w:val="18"/>
                  <w:color w:val="0000EE"/>
                  <w:w w:val="87"/>
                </w:rPr>
                <w:t>Properties</w:t>
              </w:r>
            </w:hyperlink>
          </w:p>
        </w:tc>
        <w:tc>
          <w:tcPr>
            <w:tcW w:w="1300" w:type="dxa"/>
            <w:vAlign w:val="bottom"/>
            <w:gridSpan w:val="8"/>
          </w:tcPr>
          <w:p>
            <w:pPr>
              <w:spacing w:after="0"/>
              <w:rPr>
                <w:sz w:val="24"/>
                <w:szCs w:val="24"/>
                <w:color w:val="auto"/>
              </w:rPr>
            </w:pPr>
          </w:p>
        </w:tc>
        <w:tc>
          <w:tcPr>
            <w:tcW w:w="6840" w:type="dxa"/>
            <w:vAlign w:val="bottom"/>
            <w:gridSpan w:val="12"/>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1">
              <w:r>
                <w:rPr>
                  <w:rFonts w:ascii="Arial" w:cs="Arial" w:eastAsia="Arial" w:hAnsi="Arial"/>
                  <w:sz w:val="18"/>
                  <w:szCs w:val="18"/>
                  <w:color w:val="0000EE"/>
                  <w:w w:val="76"/>
                </w:rPr>
                <w:t>Item 3.</w:t>
              </w:r>
            </w:hyperlink>
          </w:p>
        </w:tc>
        <w:tc>
          <w:tcPr>
            <w:tcW w:w="600" w:type="dxa"/>
            <w:vAlign w:val="bottom"/>
            <w:gridSpan w:val="4"/>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Legal Proceedings</w:t>
              </w:r>
            </w:hyperlink>
          </w:p>
        </w:tc>
        <w:tc>
          <w:tcPr>
            <w:tcW w:w="7560" w:type="dxa"/>
            <w:vAlign w:val="bottom"/>
            <w:gridSpan w:val="17"/>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1">
              <w:r>
                <w:rPr>
                  <w:rFonts w:ascii="Arial" w:cs="Arial" w:eastAsia="Arial" w:hAnsi="Arial"/>
                  <w:sz w:val="18"/>
                  <w:szCs w:val="18"/>
                  <w:color w:val="0000EE"/>
                  <w:w w:val="76"/>
                </w:rPr>
                <w:t>Item 4.</w:t>
              </w:r>
            </w:hyperlink>
          </w:p>
        </w:tc>
        <w:tc>
          <w:tcPr>
            <w:tcW w:w="600" w:type="dxa"/>
            <w:vAlign w:val="bottom"/>
            <w:gridSpan w:val="4"/>
          </w:tcPr>
          <w:p>
            <w:pPr>
              <w:spacing w:after="0"/>
              <w:rPr>
                <w:sz w:val="24"/>
                <w:szCs w:val="24"/>
                <w:color w:val="auto"/>
              </w:rPr>
            </w:pPr>
          </w:p>
        </w:tc>
        <w:tc>
          <w:tcPr>
            <w:tcW w:w="1700" w:type="dxa"/>
            <w:vAlign w:val="bottom"/>
            <w:gridSpan w:val="8"/>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Mine Safety Disclosure</w:t>
              </w:r>
            </w:hyperlink>
          </w:p>
        </w:tc>
        <w:tc>
          <w:tcPr>
            <w:tcW w:w="7180" w:type="dxa"/>
            <w:vAlign w:val="bottom"/>
            <w:gridSpan w:val="15"/>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Part II</w:t>
              </w:r>
            </w:hyperlink>
          </w:p>
        </w:tc>
        <w:tc>
          <w:tcPr>
            <w:tcW w:w="60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2">
              <w:r>
                <w:rPr>
                  <w:rFonts w:ascii="Arial" w:cs="Arial" w:eastAsia="Arial" w:hAnsi="Arial"/>
                  <w:sz w:val="18"/>
                  <w:szCs w:val="18"/>
                  <w:color w:val="0000EE"/>
                  <w:w w:val="76"/>
                </w:rPr>
                <w:t>Item 5.</w:t>
              </w:r>
            </w:hyperlink>
          </w:p>
        </w:tc>
        <w:tc>
          <w:tcPr>
            <w:tcW w:w="600" w:type="dxa"/>
            <w:vAlign w:val="bottom"/>
            <w:gridSpan w:val="4"/>
          </w:tcPr>
          <w:p>
            <w:pPr>
              <w:spacing w:after="0"/>
              <w:rPr>
                <w:sz w:val="24"/>
                <w:szCs w:val="24"/>
                <w:color w:val="auto"/>
              </w:rPr>
            </w:pPr>
          </w:p>
        </w:tc>
        <w:tc>
          <w:tcPr>
            <w:tcW w:w="8080" w:type="dxa"/>
            <w:vAlign w:val="bottom"/>
            <w:gridSpan w:val="22"/>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Market for Registrant’s Common Equity, Related Stockholder Matters and Issuer Purchases of Equity Securities</w:t>
              </w:r>
            </w:hyperlink>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29</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3">
              <w:r>
                <w:rPr>
                  <w:rFonts w:ascii="Arial" w:cs="Arial" w:eastAsia="Arial" w:hAnsi="Arial"/>
                  <w:sz w:val="18"/>
                  <w:szCs w:val="18"/>
                  <w:color w:val="0000EE"/>
                  <w:w w:val="76"/>
                </w:rPr>
                <w:t>Item 6.</w:t>
              </w:r>
            </w:hyperlink>
          </w:p>
        </w:tc>
        <w:tc>
          <w:tcPr>
            <w:tcW w:w="600" w:type="dxa"/>
            <w:vAlign w:val="bottom"/>
            <w:gridSpan w:val="4"/>
          </w:tcPr>
          <w:p>
            <w:pPr>
              <w:spacing w:after="0"/>
              <w:rPr>
                <w:sz w:val="24"/>
                <w:szCs w:val="24"/>
                <w:color w:val="auto"/>
              </w:rPr>
            </w:pPr>
          </w:p>
        </w:tc>
        <w:tc>
          <w:tcPr>
            <w:tcW w:w="800" w:type="dxa"/>
            <w:vAlign w:val="bottom"/>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[Reserved]</w:t>
              </w:r>
            </w:hyperlink>
          </w:p>
        </w:tc>
        <w:tc>
          <w:tcPr>
            <w:tcW w:w="7280" w:type="dxa"/>
            <w:vAlign w:val="bottom"/>
            <w:gridSpan w:val="18"/>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33">
              <w:r>
                <w:rPr>
                  <w:rFonts w:ascii="Arial" w:cs="Arial" w:eastAsia="Arial" w:hAnsi="Arial"/>
                  <w:sz w:val="18"/>
                  <w:szCs w:val="18"/>
                  <w:color w:val="0000EE"/>
                  <w:w w:val="76"/>
                </w:rPr>
                <w:t>Item 7.</w:t>
              </w:r>
            </w:hyperlink>
          </w:p>
        </w:tc>
        <w:tc>
          <w:tcPr>
            <w:tcW w:w="600" w:type="dxa"/>
            <w:vAlign w:val="bottom"/>
            <w:gridSpan w:val="4"/>
          </w:tcPr>
          <w:p>
            <w:pPr>
              <w:spacing w:after="0"/>
              <w:rPr>
                <w:sz w:val="24"/>
                <w:szCs w:val="24"/>
                <w:color w:val="auto"/>
              </w:rPr>
            </w:pPr>
          </w:p>
        </w:tc>
        <w:tc>
          <w:tcPr>
            <w:tcW w:w="6460" w:type="dxa"/>
            <w:vAlign w:val="bottom"/>
            <w:gridSpan w:val="19"/>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Management’s Discussion and Analysis of Financial Condition and Results of Operations</w:t>
              </w:r>
            </w:hyperlink>
          </w:p>
        </w:tc>
        <w:tc>
          <w:tcPr>
            <w:tcW w:w="2420" w:type="dxa"/>
            <w:vAlign w:val="bottom"/>
            <w:gridSpan w:val="4"/>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30</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6"/>
              </w:rPr>
            </w:pPr>
            <w:hyperlink w:anchor="page50">
              <w:r>
                <w:rPr>
                  <w:rFonts w:ascii="Arial" w:cs="Arial" w:eastAsia="Arial" w:hAnsi="Arial"/>
                  <w:sz w:val="18"/>
                  <w:szCs w:val="18"/>
                  <w:color w:val="0000EE"/>
                  <w:w w:val="86"/>
                </w:rPr>
                <w:t>Item 7A.</w:t>
              </w:r>
            </w:hyperlink>
          </w:p>
        </w:tc>
        <w:tc>
          <w:tcPr>
            <w:tcW w:w="440" w:type="dxa"/>
            <w:vAlign w:val="bottom"/>
            <w:gridSpan w:val="2"/>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Quantitative and Qualitative Disclosures about Market Risk</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51">
              <w:r>
                <w:rPr>
                  <w:rFonts w:ascii="Arial" w:cs="Arial" w:eastAsia="Arial" w:hAnsi="Arial"/>
                  <w:sz w:val="18"/>
                  <w:szCs w:val="18"/>
                  <w:color w:val="0000EE"/>
                  <w:w w:val="76"/>
                </w:rPr>
                <w:t>Item 8.</w:t>
              </w:r>
            </w:hyperlink>
          </w:p>
        </w:tc>
        <w:tc>
          <w:tcPr>
            <w:tcW w:w="160" w:type="dxa"/>
            <w:vAlign w:val="bottom"/>
            <w:gridSpan w:val="2"/>
          </w:tcPr>
          <w:p>
            <w:pPr>
              <w:spacing w:after="0"/>
              <w:rPr>
                <w:sz w:val="24"/>
                <w:szCs w:val="24"/>
                <w:color w:val="auto"/>
              </w:rPr>
            </w:pPr>
          </w:p>
        </w:tc>
        <w:tc>
          <w:tcPr>
            <w:tcW w:w="440" w:type="dxa"/>
            <w:vAlign w:val="bottom"/>
            <w:gridSpan w:val="2"/>
          </w:tcPr>
          <w:p>
            <w:pPr>
              <w:spacing w:after="0"/>
              <w:rPr>
                <w:sz w:val="24"/>
                <w:szCs w:val="24"/>
                <w:color w:val="auto"/>
              </w:rPr>
            </w:pPr>
          </w:p>
        </w:tc>
        <w:tc>
          <w:tcPr>
            <w:tcW w:w="4300" w:type="dxa"/>
            <w:vAlign w:val="bottom"/>
            <w:gridSpan w:val="1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4580" w:type="dxa"/>
            <w:vAlign w:val="bottom"/>
            <w:gridSpan w:val="7"/>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460" w:type="dxa"/>
            <w:vAlign w:val="bottom"/>
            <w:gridSpan w:val="2"/>
          </w:tcPr>
          <w:p>
            <w:pPr>
              <w:spacing w:after="0"/>
              <w:rPr>
                <w:rFonts w:ascii="Arial" w:cs="Arial" w:eastAsia="Arial" w:hAnsi="Arial"/>
                <w:sz w:val="18"/>
                <w:szCs w:val="18"/>
                <w:color w:val="0000EE"/>
                <w:w w:val="76"/>
              </w:rPr>
            </w:pPr>
            <w:hyperlink w:anchor="page51">
              <w:r>
                <w:rPr>
                  <w:rFonts w:ascii="Arial" w:cs="Arial" w:eastAsia="Arial" w:hAnsi="Arial"/>
                  <w:sz w:val="18"/>
                  <w:szCs w:val="18"/>
                  <w:color w:val="0000EE"/>
                  <w:w w:val="76"/>
                </w:rPr>
                <w:t>Item 9.</w:t>
              </w:r>
            </w:hyperlink>
          </w:p>
        </w:tc>
        <w:tc>
          <w:tcPr>
            <w:tcW w:w="600" w:type="dxa"/>
            <w:vAlign w:val="bottom"/>
            <w:gridSpan w:val="4"/>
          </w:tcPr>
          <w:p>
            <w:pPr>
              <w:spacing w:after="0"/>
              <w:rPr>
                <w:sz w:val="24"/>
                <w:szCs w:val="24"/>
                <w:color w:val="auto"/>
              </w:rPr>
            </w:pPr>
          </w:p>
        </w:tc>
        <w:tc>
          <w:tcPr>
            <w:tcW w:w="6480" w:type="dxa"/>
            <w:vAlign w:val="bottom"/>
            <w:gridSpan w:val="20"/>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Changes in and Disagreements with Accountants on Accounting and Financial Disclosure</w:t>
              </w:r>
            </w:hyperlink>
          </w:p>
        </w:tc>
        <w:tc>
          <w:tcPr>
            <w:tcW w:w="2400" w:type="dxa"/>
            <w:vAlign w:val="bottom"/>
            <w:gridSpan w:val="3"/>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6"/>
              </w:rPr>
            </w:pPr>
            <w:hyperlink w:anchor="page51">
              <w:r>
                <w:rPr>
                  <w:rFonts w:ascii="Arial" w:cs="Arial" w:eastAsia="Arial" w:hAnsi="Arial"/>
                  <w:sz w:val="18"/>
                  <w:szCs w:val="18"/>
                  <w:color w:val="0000EE"/>
                  <w:w w:val="86"/>
                </w:rPr>
                <w:t>Item 9A.</w:t>
              </w:r>
            </w:hyperlink>
          </w:p>
        </w:tc>
        <w:tc>
          <w:tcPr>
            <w:tcW w:w="440" w:type="dxa"/>
            <w:vAlign w:val="bottom"/>
            <w:gridSpan w:val="2"/>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6"/>
              </w:rPr>
            </w:pPr>
            <w:hyperlink w:anchor="page54">
              <w:r>
                <w:rPr>
                  <w:rFonts w:ascii="Arial" w:cs="Arial" w:eastAsia="Arial" w:hAnsi="Arial"/>
                  <w:sz w:val="18"/>
                  <w:szCs w:val="18"/>
                  <w:color w:val="0000EE"/>
                  <w:w w:val="86"/>
                </w:rPr>
                <w:t>Item 9B.</w:t>
              </w:r>
            </w:hyperlink>
          </w:p>
        </w:tc>
        <w:tc>
          <w:tcPr>
            <w:tcW w:w="440" w:type="dxa"/>
            <w:vAlign w:val="bottom"/>
            <w:gridSpan w:val="2"/>
          </w:tcPr>
          <w:p>
            <w:pPr>
              <w:spacing w:after="0"/>
              <w:rPr>
                <w:sz w:val="24"/>
                <w:szCs w:val="24"/>
                <w:color w:val="auto"/>
              </w:rPr>
            </w:pPr>
          </w:p>
        </w:tc>
        <w:tc>
          <w:tcPr>
            <w:tcW w:w="1320" w:type="dxa"/>
            <w:vAlign w:val="bottom"/>
            <w:gridSpan w:val="6"/>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Other Information</w:t>
              </w:r>
            </w:hyperlink>
          </w:p>
        </w:tc>
        <w:tc>
          <w:tcPr>
            <w:tcW w:w="440" w:type="dxa"/>
            <w:vAlign w:val="bottom"/>
            <w:gridSpan w:val="3"/>
          </w:tcPr>
          <w:p>
            <w:pPr>
              <w:spacing w:after="0"/>
              <w:rPr>
                <w:sz w:val="24"/>
                <w:szCs w:val="24"/>
                <w:color w:val="auto"/>
              </w:rPr>
            </w:pPr>
          </w:p>
        </w:tc>
        <w:tc>
          <w:tcPr>
            <w:tcW w:w="7120" w:type="dxa"/>
            <w:vAlign w:val="bottom"/>
            <w:gridSpan w:val="14"/>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51</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Item 9C</w:t>
              </w:r>
            </w:hyperlink>
          </w:p>
        </w:tc>
        <w:tc>
          <w:tcPr>
            <w:tcW w:w="80" w:type="dxa"/>
            <w:vAlign w:val="bottom"/>
          </w:tcPr>
          <w:p>
            <w:pPr>
              <w:spacing w:after="0"/>
              <w:rPr>
                <w:sz w:val="24"/>
                <w:szCs w:val="24"/>
                <w:color w:val="auto"/>
              </w:rPr>
            </w:pPr>
          </w:p>
        </w:tc>
        <w:tc>
          <w:tcPr>
            <w:tcW w:w="440" w:type="dxa"/>
            <w:vAlign w:val="bottom"/>
            <w:gridSpan w:val="2"/>
          </w:tcPr>
          <w:p>
            <w:pPr>
              <w:spacing w:after="0"/>
              <w:rPr>
                <w:sz w:val="24"/>
                <w:szCs w:val="24"/>
                <w:color w:val="auto"/>
              </w:rPr>
            </w:pPr>
          </w:p>
        </w:tc>
        <w:tc>
          <w:tcPr>
            <w:tcW w:w="490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Disclosure Regarding Foreign Jurisdictions that Prevent Inspections</w:t>
              </w:r>
            </w:hyperlink>
          </w:p>
        </w:tc>
        <w:tc>
          <w:tcPr>
            <w:tcW w:w="3980" w:type="dxa"/>
            <w:vAlign w:val="bottom"/>
            <w:gridSpan w:val="6"/>
          </w:tcPr>
          <w:p>
            <w:pPr>
              <w:spacing w:after="0"/>
              <w:rPr>
                <w:sz w:val="24"/>
                <w:szCs w:val="24"/>
                <w:color w:val="auto"/>
              </w:rPr>
            </w:pPr>
          </w:p>
        </w:tc>
        <w:tc>
          <w:tcPr>
            <w:tcW w:w="1140" w:type="dxa"/>
            <w:vAlign w:val="bottom"/>
            <w:gridSpan w:val="3"/>
          </w:tcPr>
          <w:p>
            <w:pPr>
              <w:jc w:val="center"/>
              <w:ind w:left="710"/>
              <w:spacing w:after="0"/>
              <w:rPr>
                <w:sz w:val="20"/>
                <w:szCs w:val="20"/>
                <w:color w:val="auto"/>
              </w:rPr>
            </w:pPr>
            <w:r>
              <w:rPr>
                <w:rFonts w:ascii="Arial" w:cs="Arial" w:eastAsia="Arial" w:hAnsi="Arial"/>
                <w:sz w:val="18"/>
                <w:szCs w:val="18"/>
                <w:color w:val="auto"/>
                <w:w w:val="89"/>
              </w:rPr>
              <w:t>55</w:t>
            </w:r>
          </w:p>
        </w:tc>
      </w:tr>
      <w:tr>
        <w:trPr>
          <w:trHeight w:val="412"/>
        </w:trPr>
        <w:tc>
          <w:tcPr>
            <w:tcW w:w="106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Part III</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60" w:type="dxa"/>
            <w:vAlign w:val="bottom"/>
            <w:gridSpan w:val="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10.</w:t>
              </w:r>
            </w:hyperlink>
          </w:p>
        </w:tc>
        <w:tc>
          <w:tcPr>
            <w:tcW w:w="888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11.</w:t>
              </w:r>
            </w:hyperlink>
          </w:p>
        </w:tc>
        <w:tc>
          <w:tcPr>
            <w:tcW w:w="440" w:type="dxa"/>
            <w:vAlign w:val="bottom"/>
            <w:gridSpan w:val="2"/>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12.</w:t>
              </w:r>
            </w:hyperlink>
          </w:p>
        </w:tc>
        <w:tc>
          <w:tcPr>
            <w:tcW w:w="440" w:type="dxa"/>
            <w:vAlign w:val="bottom"/>
            <w:gridSpan w:val="2"/>
          </w:tcPr>
          <w:p>
            <w:pPr>
              <w:spacing w:after="0"/>
              <w:rPr>
                <w:sz w:val="24"/>
                <w:szCs w:val="24"/>
                <w:color w:val="auto"/>
              </w:rPr>
            </w:pPr>
          </w:p>
        </w:tc>
        <w:tc>
          <w:tcPr>
            <w:tcW w:w="7300" w:type="dxa"/>
            <w:vAlign w:val="bottom"/>
            <w:gridSpan w:val="21"/>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Security Ownership of Certain Beneficial Owners and Management and Related Stockholder Matters</w:t>
              </w:r>
            </w:hyperlink>
          </w:p>
        </w:tc>
        <w:tc>
          <w:tcPr>
            <w:tcW w:w="1580" w:type="dxa"/>
            <w:vAlign w:val="bottom"/>
            <w:gridSpan w:val="2"/>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13.</w:t>
              </w:r>
            </w:hyperlink>
          </w:p>
        </w:tc>
        <w:tc>
          <w:tcPr>
            <w:tcW w:w="440" w:type="dxa"/>
            <w:vAlign w:val="bottom"/>
            <w:gridSpan w:val="2"/>
          </w:tcPr>
          <w:p>
            <w:pPr>
              <w:spacing w:after="0"/>
              <w:rPr>
                <w:sz w:val="24"/>
                <w:szCs w:val="24"/>
                <w:color w:val="auto"/>
              </w:rPr>
            </w:pPr>
          </w:p>
        </w:tc>
        <w:tc>
          <w:tcPr>
            <w:tcW w:w="5460" w:type="dxa"/>
            <w:vAlign w:val="bottom"/>
            <w:gridSpan w:val="1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4"/>
                <w:szCs w:val="24"/>
                <w:color w:val="auto"/>
              </w:rPr>
            </w:pPr>
          </w:p>
        </w:tc>
        <w:tc>
          <w:tcPr>
            <w:tcW w:w="1580" w:type="dxa"/>
            <w:vAlign w:val="bottom"/>
            <w:gridSpan w:val="2"/>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500" w:type="dxa"/>
            <w:vAlign w:val="bottom"/>
            <w:gridSpan w:val="5"/>
            <w:shd w:val="clear" w:color="auto" w:fill="0000EE"/>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Item 14.</w:t>
              </w:r>
            </w:hyperlink>
          </w:p>
        </w:tc>
        <w:tc>
          <w:tcPr>
            <w:tcW w:w="440" w:type="dxa"/>
            <w:vAlign w:val="bottom"/>
            <w:gridSpan w:val="2"/>
          </w:tcPr>
          <w:p>
            <w:pPr>
              <w:spacing w:after="0"/>
              <w:rPr>
                <w:sz w:val="24"/>
                <w:szCs w:val="24"/>
                <w:color w:val="auto"/>
              </w:rPr>
            </w:pPr>
          </w:p>
        </w:tc>
        <w:tc>
          <w:tcPr>
            <w:tcW w:w="5460" w:type="dxa"/>
            <w:vAlign w:val="bottom"/>
            <w:gridSpan w:val="1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3420" w:type="dxa"/>
            <w:vAlign w:val="bottom"/>
            <w:gridSpan w:val="5"/>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52</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Part IV</w:t>
              </w:r>
            </w:hyperlink>
          </w:p>
        </w:tc>
        <w:tc>
          <w:tcPr>
            <w:tcW w:w="520" w:type="dxa"/>
            <w:vAlign w:val="bottom"/>
            <w:gridSpan w:val="3"/>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Item 15.</w:t>
              </w:r>
            </w:hyperlink>
          </w:p>
        </w:tc>
        <w:tc>
          <w:tcPr>
            <w:tcW w:w="440" w:type="dxa"/>
            <w:vAlign w:val="bottom"/>
            <w:gridSpan w:val="2"/>
          </w:tcPr>
          <w:p>
            <w:pPr>
              <w:spacing w:after="0"/>
              <w:rPr>
                <w:sz w:val="24"/>
                <w:szCs w:val="24"/>
                <w:color w:val="auto"/>
              </w:rPr>
            </w:pPr>
          </w:p>
        </w:tc>
        <w:tc>
          <w:tcPr>
            <w:tcW w:w="8880" w:type="dxa"/>
            <w:vAlign w:val="bottom"/>
            <w:gridSpan w:val="2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Exhibits, Financial Statements Schedules</w:t>
              </w:r>
            </w:hyperlink>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0"/>
        </w:trPr>
        <w:tc>
          <w:tcPr>
            <w:tcW w:w="6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gridSpan w:val="7"/>
            <w:shd w:val="clear" w:color="auto" w:fill="0000EE"/>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620" w:type="dxa"/>
            <w:vAlign w:val="bottom"/>
            <w:gridSpan w:val="4"/>
          </w:tcPr>
          <w:p>
            <w:pPr>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Item 16.</w:t>
              </w:r>
            </w:hyperlink>
          </w:p>
        </w:tc>
        <w:tc>
          <w:tcPr>
            <w:tcW w:w="440" w:type="dxa"/>
            <w:vAlign w:val="bottom"/>
            <w:gridSpan w:val="2"/>
          </w:tcPr>
          <w:p>
            <w:pPr>
              <w:spacing w:after="0"/>
              <w:rPr>
                <w:sz w:val="24"/>
                <w:szCs w:val="24"/>
                <w:color w:val="auto"/>
              </w:rPr>
            </w:pPr>
          </w:p>
        </w:tc>
        <w:tc>
          <w:tcPr>
            <w:tcW w:w="1560" w:type="dxa"/>
            <w:vAlign w:val="bottom"/>
            <w:gridSpan w:val="7"/>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Form 10-K Summary</w:t>
              </w:r>
            </w:hyperlink>
          </w:p>
        </w:tc>
        <w:tc>
          <w:tcPr>
            <w:tcW w:w="1400" w:type="dxa"/>
            <w:vAlign w:val="bottom"/>
            <w:gridSpan w:val="6"/>
          </w:tcPr>
          <w:p>
            <w:pPr>
              <w:spacing w:after="0"/>
              <w:rPr>
                <w:sz w:val="24"/>
                <w:szCs w:val="24"/>
                <w:color w:val="auto"/>
              </w:rPr>
            </w:pPr>
          </w:p>
        </w:tc>
        <w:tc>
          <w:tcPr>
            <w:tcW w:w="5920" w:type="dxa"/>
            <w:vAlign w:val="bottom"/>
            <w:gridSpan w:val="10"/>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53</w:t>
              </w:r>
            </w:hyperlink>
          </w:p>
        </w:tc>
      </w:tr>
      <w:tr>
        <w:trPr>
          <w:trHeight w:val="20"/>
        </w:trPr>
        <w:tc>
          <w:tcPr>
            <w:tcW w:w="62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r>
        <w:trPr>
          <w:trHeight w:val="412"/>
        </w:trPr>
        <w:tc>
          <w:tcPr>
            <w:tcW w:w="1060" w:type="dxa"/>
            <w:vAlign w:val="bottom"/>
            <w:gridSpan w:val="6"/>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gridSpan w:val="3"/>
          </w:tcPr>
          <w:p>
            <w:pPr>
              <w:jc w:val="center"/>
              <w:ind w:left="710"/>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60</w:t>
              </w:r>
            </w:hyperlink>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320" w:top="108" w:right="499" w:bottom="1440" w:gutter="0" w:footer="0" w:header="0"/>
        </w:sectPr>
      </w:pPr>
    </w:p>
    <w:p>
      <w:pPr>
        <w:spacing w:after="0" w:line="42" w:lineRule="exact"/>
        <w:rPr>
          <w:sz w:val="20"/>
          <w:szCs w:val="20"/>
          <w:color w:val="auto"/>
        </w:rPr>
      </w:pPr>
    </w:p>
    <w:p>
      <w:pPr>
        <w:jc w:val="center"/>
        <w:ind w:right="-15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Annual Report on Form 10-K ("Form 10-K") contains forward-looking statements that are based on our management’s beliefs and assumptions and on information currently available to our management, including statements appearing under the heading, “Management’s Discussion and Analysis of Financial Condition and Results of Operations”. The statements contained in this Form 10-K that are not purely historical are forward-looking statements within the meaning of the Private Securities Litigation Reform Act of 1995, Section 27A of the Securities Act of 1933, as amended, or the Securities Act, and Section 21E of the Securities Exchange Act of 1934, as amended, or the Exchange Act. In some cases, you can identify forward-looking statements by terminology such as ‘‘may,’’ ‘‘will,’’ ‘‘should,’’ ‘‘expects,’’ ‘‘plans,’’ ‘‘anticipates,’’ ‘‘believes,’’ ‘‘estimates,” “strategy,” “future,” “likely,” or “would” or by other similar expressions that convey uncertainty of future events or outcomes. These forward-looking statements involve risks and uncertainties, as well as assumptions and current expectations, which could cause the Company’s actual results to differ materially from those anticipated in such forward-looking statements. These risks and uncertainties include but are not limited to: statements about reduction in the size or quantity of customer orders; change in demand for the Company’s products due to industry conditions; our ability to maintain sufficient liquidity; changes in manufacturing operations; volatility in manufacturing costs; delays in shipments of products; disruptions in the supply chain; change in the rate of design wins or the rate of customer acceptance of new products; the CCompany’s reliance on a small number of customers for a substantial portion of its revenues; pricing pressure; a decline in demand for our customers’ products or their rate of deployment of their products; general conditions in the internet data center, cable television or CATV, telecommunications or telecom and fiber-to-the-home or FTTH; changes in the world economy (particularly in the United States and China); the negative effects of seasonality; the anticipated impact to our business operations, customer demand and supply chain due to the recent global pandemic of a novel strain of the coronavirus (COVID-19); expectations regarding the acquisition or divestiture of assets and business; realization of deferred tax assets; and other risks and uncertainties described more fully under the heading “Risk Factors” in this Form 10-K and those discussed in the Company’s other documents filed with or furnished to the Securities and Exchange Commission. You should not rely on forward-looking statements as predictions of future events. All forward-looking statements in this Form 10-K are based upon information available to us as of the date hereof, and qualified in their entirety by this cautionary statement. Except as required by law, we assume no obligation to update forward-looking statements for any reason after the date of this report to conform these statements to actual results or to changes in the Company’s expectations.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Applied Optoelectronics, Inc. (the “Company” or "AOI") is a leading, vertically integrated provider of fiber-optic networking products, primarily for four networking end-markets: internet data center, cable television, ("CATV"), telecommunications, ("telecom"), and fiber-to-the-home ("FTTH"). We design and manufacture a range of optical communications products at varying levels of integration, from components, subassemblies and modules to complete turn-key equipment.</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all four of our target markets, which increasingly demand faster connectivity and innovation.</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To address this increased bandwidth demand, CATV and telecom service providers are competing directly against each other by providing bundles of voice, video and data services to their subscribers and investing to enhance the capacity, reliability and capability of their networks. The trend of rising bandwidth consumption also impacts the internet data center market, as reflected in the shift to higher speed server connections. As a result of these trends, fiber-optic networking technology is becoming essential in all four of our target markets, as it is often the only economical way to deliver the desired bandwidth.</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internet data center market is our largest market. Our customers in this market are generally large internet-based (“Web 2.0”) data center operators, to whom we supply optical transceivers that plug into switches and servers within the data center and allow these network devices to send and receive data over fiber-optic cables. The majority of the data center optical transceivers that we sell utilize our own lasers and subassemblies (we refer to the transceivers subassemblies as “light engines”), and we believe that our in-house technology and manufacturing capability for these lasers and subassemblies gives us an advantage over many of our competitors who often lack either development or manufacturing capabilities for these advanced optical modules.</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CATV market is our most established market, for which we supply a broad array of products, including lasers, transmitters and transceivers, and turn-key equipment. Sales of headend, node and distribution equipment have contributed significantly to our revenue in recent years as a result of our ability to meet the needs of CATV equipment vendors who have continued to outsource both the design and manufacturing of this equipment. As the complexity of CATV networks has increased over the years, equipment vendors, many of whom are our customers, have been under pressure to supply a wider variety of increasingly complex equipment to CATV multiple system operators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 We believe that our extensive high-speed optical, mixed-signal semiconductor and mechanical engineering capabilities position us well to continue to benefit from these industry dynamics.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telecom market we supply lasers and laser subassemblies as well as transceivers. Our customers in this segment consist mostly of network equipment manufacturers ("NEMs") and other manufacturers of optical transceivers. Our NEM customers manufacture equipment used in telecommunications networks and our transceiver manufacturer customers use our lasers and subassemblies in the manufacture of their optical transceivers. Most of our products in this segment are purchased for use in advanced 5G mobile network deployments.</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proprietary Molecular Beam Epitaxy, or MBE, and Metal Organic Chemical Vapor Deposition (MOCVD) fabrication process, which we believe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markets where networking equipment is often installed outdoors.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2021, 2020 and 2019, our revenue was $211.6 million, $234.6 million, and $190.9 million and our gross margin was 17.8%, 21.5%, and 24.2%. In the years ended December 31, 2021, 2020 and 2019, we had net loss of $53.7 million, $58.5 million, and $66.0 million, respectively. At December 31, 2021 and 2020, our accumulated deficit were $142.2 million and $88.6 million, respectively. In 2021, we earned 46.1% of our total revenue from the internet data center market and 44.6% of our total revenue from the CATV market. In 2021, our key customers in the data center market included Microsoft Corp, a US based large datacenter operator, a US based NEM and Amazon.com. In 2021, 2020, and 2019, Microsoft accounted for 14.1%, 38.3%, and 32.2% of our revenue, the US based large datacenter operator accounted for 8.3%, 8.0%, and 0.4%, the US based NEM accounted for 7.2%, 7.9%, and 1.6%, and Amazon accounted for 5.5%, 11.5% and 24.0%, respectively. In 2021, our key customers in the CATV market included ATX Networks Corp., Cisco Systems, Inc., and CommScope (which in 2019 acquired Arris, who had previously acquired the Motorola Home Business in 2013 and Pace Plc in 2016). In 2021, 2020 and 2019, ATX accounted for 25.6%, 3.7% and 0% of our revenue, Cisco accounted for 11.9%, 7.5%, and 10.0% of our revenue, and CommScope accounted for 3.3%, 2.1%, and 3.7% of our revenue,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2021, our four target markets, internet data center, CATV, telecom and FTTH, experienced a significant growth in bandwidth consumption and the corresponding need for network infrastructure improvement to support this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prevailing trends in our target markets include:</w:t>
      </w:r>
    </w:p>
    <w:p>
      <w:pPr>
        <w:spacing w:after="0" w:line="225" w:lineRule="exact"/>
        <w:rPr>
          <w:sz w:val="20"/>
          <w:szCs w:val="20"/>
          <w:color w:val="auto"/>
        </w:rPr>
      </w:pPr>
    </w:p>
    <w:p>
      <w:pPr>
        <w:jc w:val="both"/>
        <w:ind w:left="680" w:hanging="213"/>
        <w:spacing w:after="0" w:line="266" w:lineRule="auto"/>
        <w:tabs>
          <w:tab w:leader="none" w:pos="680" w:val="left"/>
        </w:tabs>
        <w:numPr>
          <w:ilvl w:val="0"/>
          <w:numId w:val="4"/>
        </w:numPr>
        <w:rPr>
          <w:rFonts w:ascii="MS PGothic" w:cs="MS PGothic" w:eastAsia="MS PGothic" w:hAnsi="MS PGothic"/>
          <w:sz w:val="21"/>
          <w:szCs w:val="21"/>
          <w:color w:val="auto"/>
        </w:rPr>
      </w:pPr>
      <w:r>
        <w:rPr>
          <w:rFonts w:ascii="Arial" w:cs="Arial" w:eastAsia="Arial" w:hAnsi="Arial"/>
          <w:sz w:val="17"/>
          <w:szCs w:val="17"/>
          <w:b w:val="1"/>
          <w:bCs w:val="1"/>
          <w:i w:val="1"/>
          <w:iCs w:val="1"/>
          <w:color w:val="auto"/>
        </w:rPr>
        <w:t xml:space="preserve">Trends in the Internet Data Center Market. </w:t>
      </w:r>
      <w:r>
        <w:rPr>
          <w:rFonts w:ascii="Arial" w:cs="Arial" w:eastAsia="Arial" w:hAnsi="Arial"/>
          <w:sz w:val="17"/>
          <w:szCs w:val="17"/>
          <w:color w:val="auto"/>
        </w:rPr>
        <w:t>To support the substantial increase in bandwidth consumption, internet data center operators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increasing the scale of their internet data centers and deploying infrastructure capable of higher data transmission rates. As a result, there is an ongoing transition from the use of copper cable, typically at speeds of up to 1 gigabit per second ("Gbps"), to optical fiber as a transport medium, typically providing speeds from 10 Gbps to 400 Gbps. In recent years, a number of leading internet companies have adopted more open internet data center architectures, using a mix of systems and components from a variety of vendors, and in some cases designing their own equipment. For these companies, compatibility of new networking equipment with legacy infrastructure is not as important, and consequently, these companies are more willing to work with non-traditional equipment vendors, which we believe creates an opportunity for optical device vendors. Moreover, transmission speeds have continued to increase among the companies who have previously transitioned from copper-based to fiber-based infrastructure, resulting in opportunities for optical device vendors to supply new optical transceivers capable of operating at these higher data rates.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680" w:hanging="213"/>
        <w:spacing w:after="0" w:line="291"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Trends in the CATV Market. </w:t>
      </w:r>
      <w:r>
        <w:rPr>
          <w:rFonts w:ascii="Arial" w:cs="Arial" w:eastAsia="Arial" w:hAnsi="Arial"/>
          <w:sz w:val="16"/>
          <w:szCs w:val="16"/>
          <w:color w:val="auto"/>
        </w:rPr>
        <w:t>In recent years, CATV service providers have invested extensively to support high speed, two-way communications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we expect that they will continue to do so. In North America, CATV service providers have upgraded their networks with new technologies like DOCSIS 3.1, which enables them to offer higher speed connections to their customers. In order to increase available bandwidth for their customers beyond the bandwidth possible with the introduction of DOCSIS 3.1, cable MSOs have been reducing the number of customers that are connected to a single node. By reducing the number of “homes per node,” the average bandwidth available to each customer is increased. Other new technologies, such as Converged Cable Access Platform ("CCAP") and Remote-PHY are under development by cable equipment suppliers. These technologies are being developed to be a cost-effective solution to provide higher available bandwidth to CATV customers.</w:t>
      </w:r>
    </w:p>
    <w:p>
      <w:pPr>
        <w:spacing w:after="0" w:line="166" w:lineRule="exact"/>
        <w:rPr>
          <w:rFonts w:ascii="MS PGothic" w:cs="MS PGothic" w:eastAsia="MS PGothic" w:hAnsi="MS PGothic"/>
          <w:sz w:val="16"/>
          <w:szCs w:val="16"/>
          <w:color w:val="auto"/>
        </w:rPr>
      </w:pPr>
    </w:p>
    <w:p>
      <w:pPr>
        <w:jc w:val="both"/>
        <w:ind w:left="680"/>
        <w:spacing w:after="0" w:line="257" w:lineRule="auto"/>
        <w:rPr>
          <w:rFonts w:ascii="MS PGothic" w:cs="MS PGothic" w:eastAsia="MS PGothic" w:hAnsi="MS PGothic"/>
          <w:sz w:val="16"/>
          <w:szCs w:val="16"/>
          <w:color w:val="auto"/>
        </w:rPr>
      </w:pPr>
      <w:r>
        <w:rPr>
          <w:rFonts w:ascii="Arial" w:cs="Arial" w:eastAsia="Arial" w:hAnsi="Arial"/>
          <w:sz w:val="18"/>
          <w:szCs w:val="18"/>
          <w:color w:val="auto"/>
        </w:rPr>
        <w:t>As the complexity of CATV networks has increased over the years, equipment vendors, many of whom are our customers, have been under pressure to supply a wider variety of increasingly complex equipment to CATV MSOs. In order to meet these demands, many equipment vendors have looked to engage with suppliers like AOI, who have the capability to design and manufacture various network equipment or subassemblies, rather than always developing these devices themselves. This outsourcing trend has been a significant contributor to the revenue we derive from the CATV market.</w:t>
      </w:r>
    </w:p>
    <w:p>
      <w:pPr>
        <w:spacing w:after="0" w:line="187" w:lineRule="exact"/>
        <w:rPr>
          <w:rFonts w:ascii="MS PGothic" w:cs="MS PGothic" w:eastAsia="MS PGothic" w:hAnsi="MS PGothic"/>
          <w:sz w:val="16"/>
          <w:szCs w:val="16"/>
          <w:color w:val="auto"/>
        </w:rPr>
      </w:pPr>
    </w:p>
    <w:p>
      <w:pPr>
        <w:jc w:val="both"/>
        <w:ind w:left="680" w:hanging="213"/>
        <w:spacing w:after="0" w:line="254" w:lineRule="auto"/>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Trends in the Telecom Market. </w:t>
      </w:r>
      <w:r>
        <w:rPr>
          <w:rFonts w:ascii="Arial" w:cs="Arial" w:eastAsia="Arial" w:hAnsi="Arial"/>
          <w:sz w:val="18"/>
          <w:szCs w:val="18"/>
          <w:color w:val="auto"/>
        </w:rPr>
        <w:t>The telecom market is composed of customers who deploy wireline optical networks, other than Passive Optical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or PONs, for telecom access networks, including for backhaul of cellular telephone signals. As demand for mobile internet connectivity has increased in recent years, reliable and high-speed optical networks have become increasingly important. In particular, the use of wavelength division multiplexing ("WDM") to expand the capacity of mobile networks has led to increased demand for WDM components (including lasers and transceivers) by telecom equipment manufacturers. In coming years, we believe that the deployment of advanced 5G networks will result in increased demand for optical components, especially those used in connecting between antennas and base stations, as well as for backhaul as mentioned above.</w:t>
      </w:r>
    </w:p>
    <w:p>
      <w:pPr>
        <w:spacing w:after="0" w:line="194" w:lineRule="exact"/>
        <w:rPr>
          <w:rFonts w:ascii="MS PGothic" w:cs="MS PGothic" w:eastAsia="MS PGothic" w:hAnsi="MS PGothic"/>
          <w:sz w:val="18"/>
          <w:szCs w:val="18"/>
          <w:color w:val="auto"/>
        </w:rPr>
      </w:pPr>
    </w:p>
    <w:p>
      <w:pPr>
        <w:jc w:val="both"/>
        <w:ind w:left="680" w:hanging="213"/>
        <w:spacing w:after="0" w:line="255" w:lineRule="auto"/>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Trends in the FTTH Market. </w:t>
      </w:r>
      <w:r>
        <w:rPr>
          <w:rFonts w:ascii="Arial" w:cs="Arial" w:eastAsia="Arial" w:hAnsi="Arial"/>
          <w:sz w:val="18"/>
          <w:szCs w:val="18"/>
          <w:color w:val="auto"/>
        </w:rPr>
        <w:t>The FTTH market generally refers to the PONs that telecom service providers deploy. The most commonly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deployed PON technology is Gigabit PON, or GPON, which delivers up to 2.5 Gbps of data, but due to the splitting of the bandwidth among multiple users, the actual bandwidth delivered to an individual subscriber is far less than 2.5 Gbps. One approach that does support true 1 Gbps service to the home is wavelength division multiplexing PON, or WDM-PON, a technology that enables the transmission of multiple wavelengths of data over a single fiber-optic strand. We also see opportunities for 10 Gbps Ethernet Passive Optical Network ("EPON") and higher data rate PON networks in the future.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experience certain challenges within our target markets, including continuous pressure to innovate and deliver highly integrated products that perform reliably in harsh, demanding environments and to produce high-quality devices in large volumes at competitive prices.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By addressing the challenges in our target markets, we provide the following benefits to our customers:</w:t>
      </w:r>
    </w:p>
    <w:p>
      <w:pPr>
        <w:spacing w:after="0" w:line="225" w:lineRule="exact"/>
        <w:rPr>
          <w:sz w:val="20"/>
          <w:szCs w:val="20"/>
          <w:color w:val="auto"/>
        </w:rPr>
      </w:pPr>
    </w:p>
    <w:p>
      <w:pPr>
        <w:jc w:val="both"/>
        <w:ind w:left="980" w:hanging="324"/>
        <w:spacing w:after="0" w:line="263" w:lineRule="auto"/>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Enable customers to deliver innovative products. </w:t>
      </w:r>
      <w:r>
        <w:rPr>
          <w:rFonts w:ascii="Arial" w:cs="Arial" w:eastAsia="Arial" w:hAnsi="Arial"/>
          <w:sz w:val="18"/>
          <w:szCs w:val="18"/>
          <w:color w:val="auto"/>
        </w:rPr>
        <w:t>We leverage our extensive expertise in high-speed optical, mixed-signal semiconductor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mechanical engineering, and MOCVD and our proprietary MBE laser fabrication process to deliver technologically advanced products to our customers.</w:t>
      </w:r>
    </w:p>
    <w:p>
      <w:pPr>
        <w:spacing w:after="0" w:line="183" w:lineRule="exact"/>
        <w:rPr>
          <w:rFonts w:ascii="MS PGothic" w:cs="MS PGothic" w:eastAsia="MS PGothic" w:hAnsi="MS PGothic"/>
          <w:sz w:val="18"/>
          <w:szCs w:val="18"/>
          <w:color w:val="auto"/>
        </w:rPr>
      </w:pPr>
    </w:p>
    <w:p>
      <w:pPr>
        <w:ind w:left="980" w:hanging="324"/>
        <w:spacing w:after="0" w:line="342" w:lineRule="auto"/>
        <w:tabs>
          <w:tab w:leader="none" w:pos="98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Enhance efficiency and cost effectiveness of our customers’ supply chains. </w:t>
      </w:r>
      <w:r>
        <w:rPr>
          <w:rFonts w:ascii="Arial" w:cs="Arial" w:eastAsia="Arial" w:hAnsi="Arial"/>
          <w:sz w:val="16"/>
          <w:szCs w:val="16"/>
          <w:color w:val="auto"/>
        </w:rPr>
        <w:t>We design and sell products at the level of integration desired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customer, from components to turn-key equipment, providing our customers a dependable, cost-effective and simplified supply chain.</w:t>
      </w:r>
    </w:p>
    <w:p>
      <w:pPr>
        <w:spacing w:after="0" w:line="123" w:lineRule="exact"/>
        <w:rPr>
          <w:rFonts w:ascii="MS PGothic" w:cs="MS PGothic" w:eastAsia="MS PGothic" w:hAnsi="MS PGothic"/>
          <w:sz w:val="16"/>
          <w:szCs w:val="16"/>
          <w:color w:val="auto"/>
        </w:rPr>
      </w:pPr>
    </w:p>
    <w:p>
      <w:pPr>
        <w:jc w:val="both"/>
        <w:ind w:left="980" w:hanging="324"/>
        <w:spacing w:after="0" w:line="259" w:lineRule="auto"/>
        <w:tabs>
          <w:tab w:leader="none" w:pos="980" w:val="left"/>
        </w:tabs>
        <w:numPr>
          <w:ilvl w:val="0"/>
          <w:numId w:val="6"/>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Deliver high quality, reliable products in high volume. </w:t>
      </w:r>
      <w:r>
        <w:rPr>
          <w:rFonts w:ascii="Arial" w:cs="Arial" w:eastAsia="Arial" w:hAnsi="Arial"/>
          <w:sz w:val="18"/>
          <w:szCs w:val="18"/>
          <w:color w:val="auto"/>
        </w:rPr>
        <w:t>As a vertically integrated supplier, we are able to monitor and maintain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throughout the production process, using our internally produced components, where possible, for our final products. With manufacturing facilities in the U.S., Taiwan and China, we can support high volume production and timely delivery for our customers around the world.</w:t>
      </w:r>
    </w:p>
    <w:p>
      <w:pPr>
        <w:spacing w:after="0" w:line="186" w:lineRule="exact"/>
        <w:rPr>
          <w:rFonts w:ascii="MS PGothic" w:cs="MS PGothic" w:eastAsia="MS PGothic" w:hAnsi="MS PGothic"/>
          <w:sz w:val="18"/>
          <w:szCs w:val="18"/>
          <w:color w:val="auto"/>
        </w:rPr>
      </w:pPr>
    </w:p>
    <w:p>
      <w:pPr>
        <w:ind w:left="980" w:hanging="324"/>
        <w:spacing w:after="0" w:line="342" w:lineRule="auto"/>
        <w:tabs>
          <w:tab w:leader="none" w:pos="980" w:val="left"/>
        </w:tabs>
        <w:numPr>
          <w:ilvl w:val="0"/>
          <w:numId w:val="6"/>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Provide sophisticated design solutions to our customers. </w:t>
      </w:r>
      <w:r>
        <w:rPr>
          <w:rFonts w:ascii="Arial" w:cs="Arial" w:eastAsia="Arial" w:hAnsi="Arial"/>
          <w:sz w:val="16"/>
          <w:szCs w:val="16"/>
          <w:color w:val="auto"/>
        </w:rPr>
        <w:t>We believe our in-house expertise in both analog and digital optical engineering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enables us to design comprehensive solutions that meet many of the different network architectures and protocols used by our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competitive strengths include the following:</w:t>
      </w:r>
    </w:p>
    <w:p>
      <w:pPr>
        <w:spacing w:after="0" w:line="225" w:lineRule="exact"/>
        <w:rPr>
          <w:sz w:val="20"/>
          <w:szCs w:val="20"/>
          <w:color w:val="auto"/>
        </w:rPr>
      </w:pPr>
    </w:p>
    <w:p>
      <w:pPr>
        <w:ind w:left="980" w:hanging="324"/>
        <w:spacing w:after="0" w:line="277"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Proprietary technological expertise and track record of innovation. </w:t>
      </w:r>
      <w:r>
        <w:rPr>
          <w:rFonts w:ascii="Arial" w:cs="Arial" w:eastAsia="Arial" w:hAnsi="Arial"/>
          <w:sz w:val="18"/>
          <w:szCs w:val="18"/>
          <w:color w:val="auto"/>
        </w:rPr>
        <w:t>We continue to develop innovative products by leveraging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technological expertise, including our proprietary MBE and MOCVD laser fabrication process.</w:t>
      </w:r>
    </w:p>
    <w:p>
      <w:pPr>
        <w:spacing w:after="0" w:line="170" w:lineRule="exact"/>
        <w:rPr>
          <w:rFonts w:ascii="MS PGothic" w:cs="MS PGothic" w:eastAsia="MS PGothic" w:hAnsi="MS PGothic"/>
          <w:sz w:val="18"/>
          <w:szCs w:val="18"/>
          <w:color w:val="auto"/>
        </w:rPr>
      </w:pPr>
    </w:p>
    <w:p>
      <w:pPr>
        <w:jc w:val="both"/>
        <w:ind w:left="980" w:hanging="324"/>
        <w:spacing w:after="0" w:line="259"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Innovative light engine design and manufacturing. </w:t>
      </w:r>
      <w:r>
        <w:rPr>
          <w:rFonts w:ascii="Arial" w:cs="Arial" w:eastAsia="Arial" w:hAnsi="Arial"/>
          <w:sz w:val="18"/>
          <w:szCs w:val="18"/>
          <w:color w:val="auto"/>
        </w:rPr>
        <w:t>High-speed data center interconnect transceivers increasingly rely on multiple parallel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optical signals. Our expertise in designing and manufacturing light engines, which combine lasers and photodiodes, and in some cases, driver electronics and/or signal amplifiers, with channel multiplexing and de-multiplexing elements, gives us the ability to quickly develop new products for our data center customers.</w:t>
      </w:r>
    </w:p>
    <w:p>
      <w:pPr>
        <w:spacing w:after="0" w:line="186" w:lineRule="exact"/>
        <w:rPr>
          <w:rFonts w:ascii="MS PGothic" w:cs="MS PGothic" w:eastAsia="MS PGothic" w:hAnsi="MS PGothic"/>
          <w:sz w:val="18"/>
          <w:szCs w:val="18"/>
          <w:color w:val="auto"/>
        </w:rPr>
      </w:pPr>
    </w:p>
    <w:p>
      <w:pPr>
        <w:jc w:val="both"/>
        <w:ind w:left="980" w:hanging="324"/>
        <w:spacing w:after="0" w:line="263" w:lineRule="auto"/>
        <w:tabs>
          <w:tab w:leader="none" w:pos="980" w:val="left"/>
        </w:tabs>
        <w:numPr>
          <w:ilvl w:val="0"/>
          <w:numId w:val="7"/>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Proven system design capabilities. </w:t>
      </w:r>
      <w:r>
        <w:rPr>
          <w:rFonts w:ascii="Arial" w:cs="Arial" w:eastAsia="Arial" w:hAnsi="Arial"/>
          <w:sz w:val="18"/>
          <w:szCs w:val="18"/>
          <w:color w:val="auto"/>
        </w:rPr>
        <w:t>We have extensive expertise and proven design capabilities in high-speed optical, mixed-signal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semiconductor and mechanical engineering, which we believe position us to take advantage of the continuing shift to outsourced design and manufacturing among CATV equipment vendors.</w:t>
      </w:r>
    </w:p>
    <w:p>
      <w:pPr>
        <w:spacing w:after="0" w:line="183" w:lineRule="exact"/>
        <w:rPr>
          <w:rFonts w:ascii="MS PGothic" w:cs="MS PGothic" w:eastAsia="MS PGothic" w:hAnsi="MS PGothic"/>
          <w:sz w:val="18"/>
          <w:szCs w:val="18"/>
          <w:color w:val="auto"/>
        </w:rPr>
      </w:pPr>
    </w:p>
    <w:p>
      <w:pPr>
        <w:jc w:val="both"/>
        <w:ind w:left="980" w:hanging="324"/>
        <w:spacing w:after="0" w:line="286" w:lineRule="auto"/>
        <w:tabs>
          <w:tab w:leader="none" w:pos="980"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Industry-leading position in the CATV market. </w:t>
      </w:r>
      <w:r>
        <w:rPr>
          <w:rFonts w:ascii="Arial" w:cs="Arial" w:eastAsia="Arial" w:hAnsi="Arial"/>
          <w:sz w:val="17"/>
          <w:szCs w:val="17"/>
          <w:color w:val="auto"/>
        </w:rPr>
        <w:t>We continue to be awarded new design and manufacturing opportunities for CATV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components and equipment. We serve a majority of the largest CATV equipment manufacturers in the world and our knowledge of both their requirements and the needs of their customers (the CATV network operators) allows us to access these new opportunities.</w:t>
      </w:r>
    </w:p>
    <w:p>
      <w:pPr>
        <w:spacing w:after="0" w:line="165" w:lineRule="exact"/>
        <w:rPr>
          <w:rFonts w:ascii="MS PGothic" w:cs="MS PGothic" w:eastAsia="MS PGothic" w:hAnsi="MS PGothic"/>
          <w:sz w:val="17"/>
          <w:szCs w:val="17"/>
          <w:color w:val="auto"/>
        </w:rPr>
      </w:pPr>
    </w:p>
    <w:p>
      <w:pPr>
        <w:jc w:val="both"/>
        <w:ind w:left="980" w:hanging="324"/>
        <w:spacing w:after="0" w:line="279" w:lineRule="auto"/>
        <w:tabs>
          <w:tab w:leader="none" w:pos="980" w:val="left"/>
        </w:tabs>
        <w:numPr>
          <w:ilvl w:val="0"/>
          <w:numId w:val="7"/>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Vertically integrated, geographically distributed manufacturing model. </w:t>
      </w:r>
      <w:r>
        <w:rPr>
          <w:rFonts w:ascii="Arial" w:cs="Arial" w:eastAsia="Arial" w:hAnsi="Arial"/>
          <w:sz w:val="17"/>
          <w:szCs w:val="17"/>
          <w:color w:val="auto"/>
        </w:rPr>
        <w:t>Our vertically integrated design and manufacturing process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encompasses various steps from laser design and fabrication to complete optical system design and assembly. Furthermore, we have geographically distributed our manufacturing by strategically locating our operations in the U.S., China and Taiwan to reduce development time and production costs, to better support our customers and to help protect our intellectual property.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seek to be the leading global provider of optical components, modules and equipment for each of our four target markets: internet data centers,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CATV, telecom and FTTH. Our strategy includes the following key elements:</w:t>
      </w:r>
    </w:p>
    <w:p>
      <w:pPr>
        <w:spacing w:after="0" w:line="211" w:lineRule="exact"/>
        <w:rPr>
          <w:sz w:val="20"/>
          <w:szCs w:val="20"/>
          <w:color w:val="auto"/>
        </w:rPr>
      </w:pPr>
    </w:p>
    <w:p>
      <w:pPr>
        <w:jc w:val="both"/>
        <w:ind w:left="980" w:hanging="324"/>
        <w:spacing w:after="0" w:line="263" w:lineRule="auto"/>
        <w:tabs>
          <w:tab w:leader="none" w:pos="980" w:val="left"/>
        </w:tabs>
        <w:numPr>
          <w:ilvl w:val="0"/>
          <w:numId w:val="8"/>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penetrate the internet data center market. </w:t>
      </w:r>
      <w:r>
        <w:rPr>
          <w:rFonts w:ascii="Arial" w:cs="Arial" w:eastAsia="Arial" w:hAnsi="Arial"/>
          <w:sz w:val="18"/>
          <w:szCs w:val="18"/>
          <w:color w:val="auto"/>
        </w:rPr>
        <w:t>In the internet data center market, we primarily target internet data center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 have adopted an open system architecture—one in which the optical connectivity solutions can be provided by a different vendor than the vendor which provides their servers and switches.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hanging="324"/>
        <w:spacing w:after="0" w:line="263"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Extend our leadership in CATV networking. </w:t>
      </w:r>
      <w:r>
        <w:rPr>
          <w:rFonts w:ascii="Arial" w:cs="Arial" w:eastAsia="Arial" w:hAnsi="Arial"/>
          <w:sz w:val="18"/>
          <w:szCs w:val="18"/>
          <w:color w:val="auto"/>
        </w:rPr>
        <w:t>We intend to maintain our position as a leading producer of optical components used in CATV</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networks, and to capture an increasing share of the CATV equipment market as the major equipment vendors continue to outsource the design and manufacturing of such products.</w:t>
      </w:r>
    </w:p>
    <w:p>
      <w:pPr>
        <w:spacing w:after="0" w:line="183" w:lineRule="exact"/>
        <w:rPr>
          <w:rFonts w:ascii="MS PGothic" w:cs="MS PGothic" w:eastAsia="MS PGothic" w:hAnsi="MS PGothic"/>
          <w:sz w:val="18"/>
          <w:szCs w:val="18"/>
          <w:color w:val="auto"/>
        </w:rPr>
      </w:pPr>
    </w:p>
    <w:p>
      <w:pPr>
        <w:jc w:val="both"/>
        <w:ind w:left="980" w:hanging="324"/>
        <w:spacing w:after="0" w:line="259"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Develop new products for the Telecom market. </w:t>
      </w:r>
      <w:r>
        <w:rPr>
          <w:rFonts w:ascii="Arial" w:cs="Arial" w:eastAsia="Arial" w:hAnsi="Arial"/>
          <w:sz w:val="18"/>
          <w:szCs w:val="18"/>
          <w:color w:val="auto"/>
        </w:rPr>
        <w:t>Our addressable telecom market has often been limited by our relatively small portfolio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for this market. In many cases, our telecom product offerings are identical or nearly identical to products that we sell in other markets (for example, CATV or internet data center). As we continue to develop new technological capabilities, we intend to develop products specifically for telecom markets.</w:t>
      </w:r>
    </w:p>
    <w:p>
      <w:pPr>
        <w:spacing w:after="0" w:line="186" w:lineRule="exact"/>
        <w:rPr>
          <w:rFonts w:ascii="MS PGothic" w:cs="MS PGothic" w:eastAsia="MS PGothic" w:hAnsi="MS PGothic"/>
          <w:sz w:val="18"/>
          <w:szCs w:val="18"/>
          <w:color w:val="auto"/>
        </w:rPr>
      </w:pPr>
    </w:p>
    <w:p>
      <w:pPr>
        <w:jc w:val="both"/>
        <w:ind w:left="980" w:hanging="324"/>
        <w:spacing w:after="0" w:line="257"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penetrate the FTTH market. </w:t>
      </w:r>
      <w:r>
        <w:rPr>
          <w:rFonts w:ascii="Arial" w:cs="Arial" w:eastAsia="Arial" w:hAnsi="Arial"/>
          <w:sz w:val="18"/>
          <w:szCs w:val="18"/>
          <w:color w:val="auto"/>
        </w:rPr>
        <w:t>We believe our WDM-PON technology is a cost-effective solution for delivering 1 Gbps bandwidth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home. We intend to capture an increasing share of the FTTH market by delivering optical modules enabling 1 Gbps synchronous service to the home through our customers, who are either internet service providers or manufacturers of networking equipment supplying internet service providers. Besides WDM-PON, we also believe that PON networks operating at 10 Gbps or higher will be in demand by certain customers in the future and we intend to develop components for these networks.</w:t>
      </w:r>
    </w:p>
    <w:p>
      <w:pPr>
        <w:spacing w:after="0" w:line="187" w:lineRule="exact"/>
        <w:rPr>
          <w:rFonts w:ascii="MS PGothic" w:cs="MS PGothic" w:eastAsia="MS PGothic" w:hAnsi="MS PGothic"/>
          <w:sz w:val="18"/>
          <w:szCs w:val="18"/>
          <w:color w:val="auto"/>
        </w:rPr>
      </w:pPr>
    </w:p>
    <w:p>
      <w:pPr>
        <w:jc w:val="both"/>
        <w:ind w:left="980" w:hanging="324"/>
        <w:spacing w:after="0" w:line="263"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Continue to invest in our capabilities and infrastructure. </w:t>
      </w:r>
      <w:r>
        <w:rPr>
          <w:rFonts w:ascii="Arial" w:cs="Arial" w:eastAsia="Arial" w:hAnsi="Arial"/>
          <w:sz w:val="18"/>
          <w:szCs w:val="18"/>
          <w:color w:val="auto"/>
        </w:rPr>
        <w:t>We intend to continue to invest in new products, new technology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production infrastructure and facilities to maintain and strengthen our competitive position. We engage in an active research and development program to develop new products and enhance existing products.</w:t>
      </w:r>
    </w:p>
    <w:p>
      <w:pPr>
        <w:spacing w:after="0" w:line="183" w:lineRule="exact"/>
        <w:rPr>
          <w:rFonts w:ascii="MS PGothic" w:cs="MS PGothic" w:eastAsia="MS PGothic" w:hAnsi="MS PGothic"/>
          <w:sz w:val="18"/>
          <w:szCs w:val="18"/>
          <w:color w:val="auto"/>
        </w:rPr>
      </w:pPr>
    </w:p>
    <w:p>
      <w:pPr>
        <w:jc w:val="both"/>
        <w:ind w:left="980" w:hanging="324"/>
        <w:spacing w:after="0" w:line="311" w:lineRule="auto"/>
        <w:tabs>
          <w:tab w:leader="none" w:pos="980" w:val="left"/>
        </w:tabs>
        <w:numPr>
          <w:ilvl w:val="0"/>
          <w:numId w:val="9"/>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Selectively pursue other opportunities that leverage our existing expertise. </w:t>
      </w:r>
      <w:r>
        <w:rPr>
          <w:rFonts w:ascii="Arial" w:cs="Arial" w:eastAsia="Arial" w:hAnsi="Arial"/>
          <w:sz w:val="16"/>
          <w:szCs w:val="16"/>
          <w:color w:val="auto"/>
        </w:rPr>
        <w:t>Our expertise in designing and manufacturing outdoor equipment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CATV industry positions us well to pursue applications that are also characterized by having varying and demanding environments, including wireless and wireline telecom infrastructure, industrial robotics, aerospace and defense, and oil and gas exploration.</w:t>
      </w:r>
    </w:p>
    <w:p>
      <w:pPr>
        <w:spacing w:after="0" w:line="148" w:lineRule="exact"/>
        <w:rPr>
          <w:rFonts w:ascii="MS PGothic" w:cs="MS PGothic" w:eastAsia="MS PGothic" w:hAnsi="MS PGothic"/>
          <w:sz w:val="16"/>
          <w:szCs w:val="16"/>
          <w:color w:val="auto"/>
        </w:rPr>
      </w:pPr>
    </w:p>
    <w:p>
      <w:pPr>
        <w:jc w:val="both"/>
        <w:ind w:left="980" w:hanging="324"/>
        <w:spacing w:after="0" w:line="263" w:lineRule="auto"/>
        <w:tabs>
          <w:tab w:leader="none" w:pos="980" w:val="left"/>
        </w:tabs>
        <w:numPr>
          <w:ilvl w:val="0"/>
          <w:numId w:val="9"/>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Pursue complementary acquisition and strategic alliance opportunities. </w:t>
      </w:r>
      <w:r>
        <w:rPr>
          <w:rFonts w:ascii="Arial" w:cs="Arial" w:eastAsia="Arial" w:hAnsi="Arial"/>
          <w:sz w:val="18"/>
          <w:szCs w:val="18"/>
          <w:color w:val="auto"/>
        </w:rPr>
        <w:t>We evaluate and selectively pursue acquisition opportunities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alliances that we believe will enhance or complement our current product offerings, augment our technology roadmap, or diversify our revenue base.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we have technology leadership in four key areas: semiconductor laser manufacturing, electronic technologies that enhance the performance of our lasers, optical hybrid integration and mixed-signal semiconductor design.</w:t>
      </w:r>
    </w:p>
    <w:p>
      <w:pPr>
        <w:spacing w:after="0" w:line="170" w:lineRule="exact"/>
        <w:rPr>
          <w:sz w:val="20"/>
          <w:szCs w:val="20"/>
          <w:color w:val="auto"/>
        </w:rPr>
      </w:pPr>
    </w:p>
    <w:p>
      <w:pPr>
        <w:jc w:val="both"/>
        <w:ind w:left="980" w:hanging="324"/>
        <w:spacing w:after="0" w:line="286" w:lineRule="auto"/>
        <w:tabs>
          <w:tab w:leader="none" w:pos="980" w:val="left"/>
        </w:tabs>
        <w:numPr>
          <w:ilvl w:val="0"/>
          <w:numId w:val="10"/>
        </w:numPr>
        <w:rPr>
          <w:rFonts w:ascii="MS PGothic" w:cs="MS PGothic" w:eastAsia="MS PGothic" w:hAnsi="MS PGothic"/>
          <w:sz w:val="16"/>
          <w:szCs w:val="16"/>
          <w:color w:val="auto"/>
        </w:rPr>
      </w:pPr>
      <w:r>
        <w:rPr>
          <w:rFonts w:ascii="Arial" w:cs="Arial" w:eastAsia="Arial" w:hAnsi="Arial"/>
          <w:sz w:val="16"/>
          <w:szCs w:val="16"/>
          <w:b w:val="1"/>
          <w:bCs w:val="1"/>
          <w:i w:val="1"/>
          <w:iCs w:val="1"/>
          <w:color w:val="auto"/>
        </w:rPr>
        <w:t xml:space="preserve">Differentiated semiconductor laser manufacturing. </w:t>
      </w:r>
      <w:r>
        <w:rPr>
          <w:rFonts w:ascii="Arial" w:cs="Arial" w:eastAsia="Arial" w:hAnsi="Arial"/>
          <w:sz w:val="16"/>
          <w:szCs w:val="16"/>
          <w:color w:val="auto"/>
        </w:rPr>
        <w:t>We use a combination of MBE and MOCVD processes in the fabrication of our lasers.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believe that the combination of these two epitaxial processes allows our products to benefit from the advantages afforded by each of these techniques. Among the differentiators of MBE relative to MOCVD fabrication are a lower process temperature and the use of solid phase materials rather than gaseous sources to grow wafers and the growth of more highly strained crystals. These factors contribute to longer operating lives of our lasers, improved laser efficiency and threshold current, and other performance attributes that make them well-suited to our target markets. While we believe that these advantages of MBE are important, MBE does have disadvantages including the inability to use certain dopant materials (for example, Iron), difficulty in certain types of regrowth, and the necessity to maintain complex ultra-high vacuum equipment. By utilizing MOCVD in a portion of our production process, we are able to ameliorate some of these disadvantages. However, the epitaxial and processing steps required in the fabrication of our devices are very complex, with numerous critical steps requiring highly precise control. As a result of some of these challenges, production yields and the performance attributes of laser devices are highly variable and optimizing these characteristics requires numerous enhancements and modifications to standard MBE equipment and the MBE process. To our knowledge, we are unique in incorporating MBE processes in the production of communications lasers in high volume, and believe it would be difficult and time-consuming for other vendors to replicate our production 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980" w:hanging="324"/>
        <w:spacing w:after="0" w:line="257" w:lineRule="auto"/>
        <w:tabs>
          <w:tab w:leader="none" w:pos="980" w:val="left"/>
        </w:tabs>
        <w:numPr>
          <w:ilvl w:val="0"/>
          <w:numId w:val="11"/>
        </w:numPr>
        <w:rPr>
          <w:rFonts w:ascii="MS PGothic" w:cs="MS PGothic" w:eastAsia="MS PGothic" w:hAnsi="MS PGothic"/>
          <w:sz w:val="18"/>
          <w:szCs w:val="18"/>
          <w:color w:val="auto"/>
        </w:rPr>
      </w:pPr>
      <w:r>
        <w:rPr>
          <w:rFonts w:ascii="Arial" w:cs="Arial" w:eastAsia="Arial" w:hAnsi="Arial"/>
          <w:sz w:val="18"/>
          <w:szCs w:val="18"/>
          <w:b w:val="1"/>
          <w:bCs w:val="1"/>
          <w:i w:val="1"/>
          <w:iCs w:val="1"/>
          <w:color w:val="auto"/>
        </w:rPr>
        <w:t xml:space="preserve">Laser enhancement technology. </w:t>
      </w:r>
      <w:r>
        <w:rPr>
          <w:rFonts w:ascii="Arial" w:cs="Arial" w:eastAsia="Arial" w:hAnsi="Arial"/>
          <w:sz w:val="18"/>
          <w:szCs w:val="18"/>
          <w:color w:val="auto"/>
        </w:rPr>
        <w:t>Certain properties of the semiconductor lasers predominantly used in traditional communications devices,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as chirp and wavelength drift, negatively affect their ability to transmit signals over long fiber distances or prevent them from transmitting signals with acceptable fidelity in certain applications. We have developed laser enhancement circuitry that can correct many of these deficiencies. We believe that our technology will become more essential with wider deployment of higher capacity CATV and FTTH systems, which place more stringent demands on laser performance.</w:t>
      </w:r>
    </w:p>
    <w:p>
      <w:pPr>
        <w:spacing w:after="0" w:line="187" w:lineRule="exact"/>
        <w:rPr>
          <w:rFonts w:ascii="MS PGothic" w:cs="MS PGothic" w:eastAsia="MS PGothic" w:hAnsi="MS PGothic"/>
          <w:sz w:val="18"/>
          <w:szCs w:val="18"/>
          <w:color w:val="auto"/>
        </w:rPr>
      </w:pPr>
    </w:p>
    <w:p>
      <w:pPr>
        <w:jc w:val="both"/>
        <w:ind w:left="980" w:hanging="324"/>
        <w:spacing w:after="0" w:line="270" w:lineRule="auto"/>
        <w:tabs>
          <w:tab w:leader="none" w:pos="98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Optical hybrid-integration technology. </w:t>
      </w:r>
      <w:r>
        <w:rPr>
          <w:rFonts w:ascii="Arial" w:cs="Arial" w:eastAsia="Arial" w:hAnsi="Arial"/>
          <w:sz w:val="17"/>
          <w:szCs w:val="17"/>
          <w:color w:val="auto"/>
        </w:rPr>
        <w:t>Reducing the size, power consumption and complexity of optical devices is essential for achieving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price and performance targets of our customers. Our ability to integrate multiple optical networking functions into a single device and to co-package multiple devices into smaller form factors helps us meet customer requirements, which we believe can also create new opportunities. For instance, the transmission speed between network elements (switches and servers, for example) within the data center has continued to increase. However, the rate at which this data can be converted from electrical signals to optical signals by laser diodes has not increased at the same pace. Therefore, to achieve data rates of 40 Gbps and above, many customers utilize multiple lower data rate lasers co-packaged together into a single optical module, which we refer to as a light engine. The technology required to cost-effectively and reliably co-package these lasers and the associated electronic control circuitry is complex. Our extensive experience with the processes and the manufacturing technologies required to produce these devices gives us a competitive advantage.</w:t>
      </w:r>
    </w:p>
    <w:p>
      <w:pPr>
        <w:spacing w:after="0" w:line="180" w:lineRule="exact"/>
        <w:rPr>
          <w:rFonts w:ascii="MS PGothic" w:cs="MS PGothic" w:eastAsia="MS PGothic" w:hAnsi="MS PGothic"/>
          <w:sz w:val="17"/>
          <w:szCs w:val="17"/>
          <w:color w:val="auto"/>
        </w:rPr>
      </w:pPr>
    </w:p>
    <w:p>
      <w:pPr>
        <w:jc w:val="both"/>
        <w:ind w:left="980"/>
        <w:spacing w:after="0" w:line="272" w:lineRule="auto"/>
        <w:rPr>
          <w:rFonts w:ascii="MS PGothic" w:cs="MS PGothic" w:eastAsia="MS PGothic" w:hAnsi="MS PGothic"/>
          <w:sz w:val="17"/>
          <w:szCs w:val="17"/>
          <w:color w:val="auto"/>
        </w:rPr>
      </w:pPr>
      <w:r>
        <w:rPr>
          <w:rFonts w:ascii="Arial" w:cs="Arial" w:eastAsia="Arial" w:hAnsi="Arial"/>
          <w:sz w:val="17"/>
          <w:szCs w:val="17"/>
          <w:color w:val="auto"/>
        </w:rPr>
        <w:t>Similarly, in FTTH and telecom networks, installing new fiber-optic cable is expensive and difficult, and in some situations prohibitively so for a network service provider. As a consequence, network operators seek to maximize the utilization of their installed fiber plant. In long-haul and metropolitan networks, the number of service providers who deployed WDM technology as fiber utilization rose. Fiber utilization in access networks has risen, but the use of WDM technology in the access segment has been problematic due to the relatively high cost and power consumption of the requisite optical devices. We have developed proprietary miniaturized optical packaging, electronic control circuitry and testing algorithms to create a hybrid WDM-PON solution that addresses these historical impediments that we believe will make WDM-PON a cost-effective alternative for deployment.</w:t>
      </w:r>
    </w:p>
    <w:p>
      <w:pPr>
        <w:spacing w:after="0" w:line="177" w:lineRule="exact"/>
        <w:rPr>
          <w:rFonts w:ascii="MS PGothic" w:cs="MS PGothic" w:eastAsia="MS PGothic" w:hAnsi="MS PGothic"/>
          <w:sz w:val="17"/>
          <w:szCs w:val="17"/>
          <w:color w:val="auto"/>
        </w:rPr>
      </w:pPr>
    </w:p>
    <w:p>
      <w:pPr>
        <w:jc w:val="both"/>
        <w:ind w:left="980" w:hanging="324"/>
        <w:spacing w:after="0" w:line="270" w:lineRule="auto"/>
        <w:tabs>
          <w:tab w:leader="none" w:pos="980" w:val="left"/>
        </w:tabs>
        <w:numPr>
          <w:ilvl w:val="0"/>
          <w:numId w:val="11"/>
        </w:numPr>
        <w:rPr>
          <w:rFonts w:ascii="MS PGothic" w:cs="MS PGothic" w:eastAsia="MS PGothic" w:hAnsi="MS PGothic"/>
          <w:sz w:val="17"/>
          <w:szCs w:val="17"/>
          <w:color w:val="auto"/>
        </w:rPr>
      </w:pPr>
      <w:r>
        <w:rPr>
          <w:rFonts w:ascii="Arial" w:cs="Arial" w:eastAsia="Arial" w:hAnsi="Arial"/>
          <w:sz w:val="17"/>
          <w:szCs w:val="17"/>
          <w:b w:val="1"/>
          <w:bCs w:val="1"/>
          <w:i w:val="1"/>
          <w:iCs w:val="1"/>
          <w:color w:val="auto"/>
        </w:rPr>
        <w:t xml:space="preserve">Mixed-signal design. </w:t>
      </w:r>
      <w:r>
        <w:rPr>
          <w:rFonts w:ascii="Arial" w:cs="Arial" w:eastAsia="Arial" w:hAnsi="Arial"/>
          <w:sz w:val="17"/>
          <w:szCs w:val="17"/>
          <w:color w:val="auto"/>
        </w:rPr>
        <w:t>As CATV providers continue to evolve from primarily broadcast-video content providers to a mixture of HD video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together with data-connectivity providers, the networks they utilize to offer these services must evolve as well. Older analog networks are giving way to hybrid networks that incorporate both analog and digital signals. For example, many newer networks are being designed with “digital return-path” capabilities, and certain MSOs have begun to deploy “Remote-PHY” technologies. Both of these technologies involve transporting certain network signals in digital format, and then converting these signals to and from analog signals at various points in the MSO’s network. This combination of analog and digital signaling creates unique design challenges. Our engineers have many years of experience in developing equipment, modules and components that are well suited to these sorts of mixed-signal architectures. We believe that having deep experience in both digital and analog signaling allows us to offer superior solutions to our customers, compared with companies who have expertise in only one of these signal types.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products include an array of optical communications solutions at varying levels of integration. We begin from the fundamental building blocks of lasers and laser components. From these foundational products, we design and manufacture a wide range of products from optical modules to complete turn-key equipment. We design our products to target customers in our identified markets to meet their needs and specifications.</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components often incorporate one or more of our optical laser chips inside a precision housing that provides mechanical protection as well as standardized electrical contacts. More complex optical components may also include optical filters (for example, for use in WDM) or other optical elements by which optical signals are routed internally within the component. These more advanced components may also include coolers, heaters and sensors that allow the temperature of the laser chip to be measured and controlled. We manufacture the majority of the laser chips and optical components that are used in our own products.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next level of integration, our module or sub-assembly products typically contain one or more of our optical components and some additional control circuitry. Examples of modules include our transceiver line primarily used in internet data center markets, telecom markets, and FTTH markets.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the highest level of integration and complexity, our equipment products typically contain one or more optical components, modules and additional electronic control circuitry required to enable these subsystems to operate independently. For example, our CATV transmitter equipment requires utilization of our optical components and assembly onto a circuit board and to an external housing. Examples of equipment include our CATV transmitter and CATV nodes.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rely on a combination of patent, copyright, trademark, trade secret laws and unfair competition laws, as well as confidentiality and licensing arrangements, to establish and protect our intellectual property. We employ various methods to protect these intellectual property rights, including maintaining a technological infrastructure with significant security measures, limiting disclosure and restricting access to only those individuals with an operational need for such information, and having employees, consultants and suppliers execute confidentiality agreements with us. While we expect our intellectual property to provide competitive advantages, we also find meaningful value from unpatented proprietary process knowledge, know-how and trade secrets.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As of December 31, 2021, we owned a total of 185 U.S. issued patents and 143 patents issued in China and Taiwan, plus a number of pending U.S. and foreign/international patent applications. Our issued U.S. and foreign patents will expire between 2022 and 2042. While our patents are an important element of our success, our business as a whole is not dependent on any one patent or group of patents. We do not anticipate any material effect on our business due to any patents expiring in 2022, and we continue to obtain new patents through our ongoing research and development.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of patents and patent applications covers several different technology families including:</w:t>
      </w:r>
    </w:p>
    <w:p>
      <w:pPr>
        <w:spacing w:after="0" w:line="225" w:lineRule="exact"/>
        <w:rPr>
          <w:sz w:val="20"/>
          <w:szCs w:val="20"/>
          <w:color w:val="auto"/>
        </w:rPr>
      </w:pPr>
    </w:p>
    <w:p>
      <w:pPr>
        <w:ind w:left="980" w:hanging="324"/>
        <w:spacing w:after="0"/>
        <w:tabs>
          <w:tab w:leader="none" w:pos="980" w:val="left"/>
        </w:tabs>
        <w:numPr>
          <w:ilvl w:val="0"/>
          <w:numId w:val="12"/>
        </w:numPr>
        <w:rPr>
          <w:rFonts w:ascii="MS PGothic" w:cs="MS PGothic" w:eastAsia="MS PGothic" w:hAnsi="MS PGothic"/>
          <w:sz w:val="22"/>
          <w:szCs w:val="22"/>
          <w:color w:val="auto"/>
        </w:rPr>
      </w:pPr>
      <w:r>
        <w:rPr>
          <w:rFonts w:ascii="Arial" w:cs="Arial" w:eastAsia="Arial" w:hAnsi="Arial"/>
          <w:sz w:val="18"/>
          <w:szCs w:val="18"/>
          <w:color w:val="auto"/>
        </w:rPr>
        <w:t>laser structure and design;</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12"/>
        </w:numPr>
        <w:rPr>
          <w:rFonts w:ascii="MS PGothic" w:cs="MS PGothic" w:eastAsia="MS PGothic" w:hAnsi="MS PGothic"/>
          <w:sz w:val="22"/>
          <w:szCs w:val="22"/>
          <w:color w:val="auto"/>
        </w:rPr>
      </w:pPr>
      <w:r>
        <w:rPr>
          <w:rFonts w:ascii="Arial" w:cs="Arial" w:eastAsia="Arial" w:hAnsi="Arial"/>
          <w:sz w:val="18"/>
          <w:szCs w:val="18"/>
          <w:color w:val="auto"/>
        </w:rPr>
        <w:t>optical signal conditioning and laser control;</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laser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photodiode and optical receiver design and fabrication;</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optical device and module designs;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optical device packaging equipment and techniques;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2"/>
        </w:numPr>
        <w:rPr>
          <w:rFonts w:ascii="MS PGothic" w:cs="MS PGothic" w:eastAsia="MS PGothic" w:hAnsi="MS PGothic"/>
          <w:sz w:val="18"/>
          <w:szCs w:val="18"/>
          <w:color w:val="auto"/>
        </w:rPr>
      </w:pPr>
      <w:r>
        <w:rPr>
          <w:rFonts w:ascii="Arial" w:cs="Arial" w:eastAsia="Arial" w:hAnsi="Arial"/>
          <w:sz w:val="18"/>
          <w:szCs w:val="18"/>
          <w:color w:val="auto"/>
        </w:rPr>
        <w:t>optical network enhancements.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registered the trademarks APPLIED OPTOELECTRONICS, INC., AOI and our logo with the U.S. Patent and Trademark Office on the Principal Register. These marks are also registered in, or have applications for registration pending in, various foreign trademark offices.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To maintain our growth and competitiveness, we engage in an active research and development program to develop new products and enhance existing products. As a result of these efforts, we anticipate releasing various new or enhanced products over the next several years.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2021, we had a total of 226 employees working in the R&amp;D department, including ten with Ph.D. degrees. We continue to recruit talented engineers to further enhance our research and development capabilities. We have research and development departments in our facilities in Texas, Georgia, China and Taiwan. Our research and development teams collaborate on joint projects, and by co-locating with our manufacturing operations enable us to achieve an efficient cost structure and improve our time to market.</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 key factor in our research and development success is our highly collaborative process for new product development. Particularly in our equipment and module businesses, we often collaborate very closely with our customers from a very early stage in product development. By purposefully fostering this close collaboration, we believe that we can more rapidly develop leading solutions meeting the needs of our customers.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Operations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telecom, FTTH and other markets. In our China facility, we take advantage of lower labor costs and manufacture certain more labor intensive components and optical equipment systems, such as optical subassemblies and transceivers for the internet data center market, CATV transmitters (at the headend) and CATV outdoor equipment (at the node). Each manufacturing facility conducts testing on the components, modules or subsystems it manufactures and each facility is certified to ISO 9001:2015. Our facilities in Ningbo, China, Taipei, Taiwan, and Sugar Land, Texas are all certified to ISO 14001:2015.</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sell our products to customers worldwide, and in addition to these external customer sales many of our products are used internally in the production of transceivers and equipment that we manufacture. With a vertically integrated manufacturing process, we produce many of our own laser chips and other parts required to manufacture our optical components. Through this model, we are able to reduce development time and product costs as well as actively monitor and control product quality. We incorporate our own components into our transceivers, subsystems and equipment products wherever possible. In instances where we do not produce components ourselves, we source them from external suppliers and regularly evaluate these relationships in an attempt to reduce risk and lower cost.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depend on a limited number of suppliers, including in some cases our own internal supply, for certain raw materials and components used in our products. We regularly review our vendor relationships in an attempt to mitigate risks and lower costs, especially where we depend on one or two vendors for critical components or raw materials. While maintaining inventories that we believe are sufficient to meet our near-term needs, we strive not to carry significant inventories of externally sourced raw materials. Accordingly, we maintain ongoing communications with our vendors in order to help prevent any interruptions in supply, and have implemented a supply-chain management program to maintain quality and lower purchase prices through standardized purchasing efficiencies and design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customers are primarily internet data center operators, CATV and telecom equipment manufacturers, and internet service providers. We generally employ a direct sales model in North America and in the rest of the world we use both direct and indirect sales channels. In 2021, 2020 and 2019, we obtained 92.8%, 97.6%, and 98.0% of our revenue, respectively, through our direct sales efforts and the remainder of our revenue through our indirect sales channels. Our sales channel partners provide logistical services and day-to-day customer support. Where we sell through an indirect sales channel, we work with the end customer to establish technological specifications for our products. Our equipment customers typically offer our equipment under their brand-name and our equipment is often customized with unique design or performance criteria by each of these customers. We also from time to time offer design or manufacturing services to customers to assist them in more effectively using our products and realizing time-to-market advantages.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last three years, we have taken several actions to increase the diversity of our customer base. These actions include hiring sales staff to improve our ability to serve new customers and the introduction of new products that we believe will appeal to new customers. Furthermore, we have developed additional original design manufacturer, or ODM, relationships with customers in each of our target markets which should enable us to diversify our revenue base.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2021, the three customers who contributed most to our data center revenue were Microsoft, a US based large datacenter operator and a US based NEM. Our CATV products were used by three large CATV original equipment manufacturers, or OEMs, consisting of ATX, Cisco and CommScope. In 2021, revenue from the internet data center market, CATV market, telecom market, FTTH market and other markets provided 46.1%, 44.6%, 7.7%, 0.5% and 1.2% of our revenue, respectively, compared to 73.9%, 16.2%, 9.0%, 0.01% and 0.9%, respectively, in 2020.</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telecom market, we manufacture and sell optical products which include transceivers designed to transmit signals used in 5th Generation ("5G") mobile networks, and various products targeted at the metro-scale telecom networking market. We have various other products designed for diverse applications, both inside and outside of communications technology, which generally are derivatives of products developed for our four target markets.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support our sales efforts by attendance at industry trade shows (virtually and in person), technical conferences and other promotional efforts.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efforts are aimed at attracting new customers and enhancing our existing customer relationships.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generally make sales pursuant to short-term purchase orders without deposits and subject to rescheduling, revision or cancellation on short notice. We accordingly believe that purchase orders are not an accurate indicator of our future sales and any backlog of purchase orders is not a reliable indicator of our future revenue.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optical networking market is intensely competitive. Because of the broad nature of our product offerings, we do not believe that we face a single major competitor across all of our markets. We do, however, experience intense competition in each product area from a number of manufacturers and we anticipate that competition will increase. Our major competitors in one or more of our markets include EMCORE Corporation, Finisar Corporation who was acquired by II-VI Incorporated, Foxconn Interconnect Technology Ltd., InnoLight Technology (Suzhou) Ltd., Intel Corporation, Lumentum Holdings, Inc., Mitsubishi, Molex, LLC, Source Photonics, Inc. and Sumitomo Electric Industries, Ltd.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competitors are larger than we are and have significantly greater financial, marketing and other resources.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several of our competitors have large market capitalizations or cash reserves and are much better positioned to acquire other companies to gain new technologies or products that may displace our products. Network equipment providers, who are our customers, and network service providers, who are supplied by our customers, may decide to manufacture the optical subsystems incorporated into their network systems in-house. We also encounter potential customers that, because of existing relationships, are committed to the products offered by these competitors.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principal competitive factors in our target markets include the following:</w:t>
      </w:r>
    </w:p>
    <w:p>
      <w:pPr>
        <w:spacing w:after="0" w:line="225" w:lineRule="exact"/>
        <w:rPr>
          <w:sz w:val="20"/>
          <w:szCs w:val="20"/>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use of internally manufactured components;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product breadth and functionality;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timing and pace of new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breadth of customer base;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technological expertise;</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reliability of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product pricing;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3"/>
        </w:numPr>
        <w:rPr>
          <w:rFonts w:ascii="MS PGothic" w:cs="MS PGothic" w:eastAsia="MS PGothic" w:hAnsi="MS PGothic"/>
          <w:sz w:val="18"/>
          <w:szCs w:val="18"/>
          <w:color w:val="auto"/>
        </w:rPr>
      </w:pPr>
      <w:r>
        <w:rPr>
          <w:rFonts w:ascii="Arial" w:cs="Arial" w:eastAsia="Arial" w:hAnsi="Arial"/>
          <w:sz w:val="18"/>
          <w:szCs w:val="18"/>
          <w:color w:val="auto"/>
        </w:rPr>
        <w:t>manufacturing efficiency.</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we compete favorably with respect to the above factors based on our MBE and MOCVD processes, our vertically integrated model, the performance and reliability of our product offerings, and our technical expertise in light engine design and manufacture.</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Part II, Item 7, “Management’s Discussion and Analysis of Financial Condition and Results of Operations—Seasonality,” regarding seasonality of certain of the Company’s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2021, we employed 2,534 full-time employees, of which 36 held Ph.D. degrees in a science or engineering field. Of our employees, 367 are located in the U.S., 514 are located in Taiwan and 1653 are located in China.</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none of our employees are represented by any collective bargaining agreement, but certain employees of our China subsidiary are members of a trade union. We have never suffered any work stoppage as a result of an employment related strike or any employee related dispute and believe that we have satisfactory relations with our employees.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Engagement, Development and Career Planning</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business results depend in part on our ability to successfully manage our human capital resources, including attracting, identifying, and retaining key talent. Factors that may affect our ability to attract and retain qualified employees include employee morale, our reputation, competition from other employers, and availability of qualified individuals. We believe our commitment to our human capital resources is an important component of our mission to deliver superior products to our customers. We provide all employees with the opportunity to share their opinions in open dialogues with our human resources department and senior management. In the past, we have conducted confidential surveys of select workforce members to measure engagement. The results are discussed with senior leadership and managers. We provide all employees a wide range of professional development experiences, both formal and informal. We offer our highest level employees/executives/VPs leadership development programs as part of our talent and succession planning process. Also, we have development programs for managers and supervisors and learning opportunities for all employees. We provide access to learning platforms so employees can access resources to support their career aspirations and advance their skills.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Safety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safety of our employees is a paramount value for us. We provide mandatory safety trainings in our production facilities, which are designed to focus on empowering our employees with the knowledge and tools they need to make safe choices and to mitigate risks. Supervisors complete safety management courses as well. In response to the COVID-19 pandemic, we implemented significant changes that we determined were in the best interest of our employees and which comply with government orders in all the states and countries where we operate. In an effort to keep our employees safe and to maintain operations during the COVID-19 pandemic, we have implemented a number of new health-related measures including, the requirement to wear company provided face-masks at all times while on company property, implemented temperature taking protocols, increased hygiene, cleaning and sanitizing procedures at all Company sites, implemented social-distancing, implemented restrictions on visitors to our facilities, limiting in-person meetings and other gatherings.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Benefits and Wellness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offer fair, competitive compensation and benefits that support our employees’ overall wellness. Further, the health and wellness of our employees are critical to our success. We provide our employees with access to a variety of innovative, flexible and convenient health and wellness programs. Such programs are designed to support employees' physical and mental health by providing tools and resources to help them improve or maintain their health status and encourage engagement in healthy behaviors. We offer financial education and financial wellness tools and resources to help employees reach their personal financial goals. Additionally, we provide robust compensation and benefits through internal and external benchmarking.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research and development and manufacturing operations and our products are subject to a variety of federal, state, local and foreign environmental, health and safety laws and regulations, including those governing discharges of pollutants to air and water, the use, storage, handling and disposal of hazardous materials and solid wastes, employee health and safety, and the hazardous material content in our products. To date, costs and accruals incurred to comply with these governmental regulations have not been material to our capital expenditures, results of operations, and competitive position. Our environmental management systems in our facilities in Sugar Land, Texas, Ningbo, China and Taipei, Taiwan are all certified to meet the requirements of ISO14001:2015. However, there can be no assurance that violations of applicable laws at any of our facilities will not occur in the future as a result of human error, accident, equipment failure or other causes. We use, store and dispose of hazardous materials and solid wastes in our manufacturing operations and hazardous materials are present in our products. We incur costs to comply with environmental, health and safety requirements, and any failure to comply, or the identification of contamination for which we are found liable, could cause us to incur substantial costs, including cleanup costs, natural resource damages, monetary fines, or administrative, civil or criminal penalties, and subject us to property damage and personal injury claims, and result in injunctive relief including the suspension of production, alteration or upgrades of our manufacturing processes, redesign of our products, or curtailment of sales, and could result in adverse publicity.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operate or formerly owned, such as our currently owned Sugar Land, Texas facility, or at properties at which we previously operated, as well as at properties we will own or operate in the future, and properties to which we have sent hazardous substances, whether or not we caused the contamination.</w:t>
      </w:r>
    </w:p>
    <w:p>
      <w:pPr>
        <w:sectPr>
          <w:pgSz w:w="11900" w:h="16838" w:orient="portrait"/>
          <w:cols w:equalWidth="0" w:num="1">
            <w:col w:w="11240"/>
          </w:cols>
          <w:pgMar w:left="320" w:top="125"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3" w:name="page14"/>
    <w:bookmarkEnd w:id="13"/>
    <w:p>
      <w:pPr>
        <w:spacing w:after="0" w:line="7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committed to maintaining compliance with all environmental laws applicable to our operations, products, and services and to reducing our environmental impact across our business. Our operations and many of our products are subject to various federal, state, local, and foreign regulations that have been adopted with respect to the environment, such as the Directive on the Restriction of the Use of Certain Hazardous Substances in Electrical and Electronic Equipment; Registration, Evaluation, Authorization, and Restriction of Chemicals; and Substances of Concern In Products, regulations adopted by the European Union, or EU.</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Over and above our commitment to compliance with all environmental laws, we have further committed ourselves to the following environment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goals:</w:t>
      </w:r>
    </w:p>
    <w:p>
      <w:pPr>
        <w:spacing w:after="0" w:line="211" w:lineRule="exact"/>
        <w:rPr>
          <w:sz w:val="20"/>
          <w:szCs w:val="20"/>
          <w:color w:val="auto"/>
        </w:rPr>
      </w:pPr>
    </w:p>
    <w:p>
      <w:pPr>
        <w:ind w:left="980" w:hanging="16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at least 20% of the energy used in our operations from renewable sources</w:t>
      </w:r>
    </w:p>
    <w:p>
      <w:pPr>
        <w:spacing w:after="0" w:line="36" w:lineRule="exact"/>
        <w:rPr>
          <w:rFonts w:ascii="Arial" w:cs="Arial" w:eastAsia="Arial" w:hAnsi="Arial"/>
          <w:sz w:val="18"/>
          <w:szCs w:val="18"/>
          <w:color w:val="auto"/>
        </w:rPr>
      </w:pPr>
    </w:p>
    <w:p>
      <w:pPr>
        <w:ind w:left="980" w:hanging="16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Properly recycle waste materials including paper, electronic components, glass and batteries</w:t>
      </w:r>
    </w:p>
    <w:p>
      <w:pPr>
        <w:spacing w:after="0" w:line="36" w:lineRule="exact"/>
        <w:rPr>
          <w:rFonts w:ascii="Arial" w:cs="Arial" w:eastAsia="Arial" w:hAnsi="Arial"/>
          <w:sz w:val="18"/>
          <w:szCs w:val="18"/>
          <w:color w:val="auto"/>
        </w:rPr>
      </w:pPr>
    </w:p>
    <w:p>
      <w:pPr>
        <w:ind w:left="980" w:hanging="16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Reduce our generation of hazardous waste by at least 10% over the five year period beginning in 2021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meet these goals, we maintain an Integrated Environmental and Safety Management System.</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expect that our operations and products will be affected by new environmental requirements on an ongoing basis. Environmental, health and safety requirements have become more stringent over time, and changes to existing requirements could restrict our ability to expand our facilities, require us to acquire costly pollution control equipment, require us to obtain additional permits for our activities, or cause us to incur other significant expenses or to modify our manufacturing processes or the hazardous material content of our products.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or delays in planned activities.</w:t>
      </w:r>
    </w:p>
    <w:p>
      <w:pPr>
        <w:spacing w:after="0" w:line="19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face increasing complexity in our product design and procurement operations as we adjust to new and upcoming requirements relating to the materials composition of our products. Some jurisdictions in which our products are sold have enacted requirements regarding the hazardous material content of certain products. For example, member states of the European Union and China are among a growing number of jurisdictions that have placed restrictions on the use of lead, among other chemicals, in electronic products, which affect the composition and packaging of our products. The passage of such requirements in additional jurisdictions, or the tightening of standards or elimination of certain exemptions in jurisdictions where our products are already subject to such requirements, could cause us to incur significant expenditures to make our products compliant with new requirements, or could limit the markets into which we may sell our products. Other governmental regulations may require us to reengineer our products to use components that are more environmentally compatible, resulting in additional costs to us.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Export Controls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Bureau of Industry and Security (BIS) of the U.S. Department of Commerce is responsible for regulating the export of most commercial items that are classified as dual-use goods that may have both commercial and military applications. Our products are classified under Export Control Classification Numbers, or ECCNs, 5A991 and 6A995. Export Control Classification requirements are dependent upon an item’s technical characteristics, the destination, the end-use, and the end-user, and other activities of the end-user. Should the ECCN change, then the export of our products to certain countries would be restricted. However, we currently do not export our products to any countries on the restricted list, and therefore a change in the ECCN would not materially impact our business.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information concerning regulatory compliance and a discussion of the risks associated with governmental regulations that may materially impact us is described more fully under the heading “Risk Factors”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Raw Materials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depend on a limited number of suppliers for certain raw materials, components, and equipment used in our products. We continually review our supplier relationships to mitigate risks and lower costs, especially where we depend on one or two suppliers for critical components or raw materials. While maintaining inventories that we believe are sufficient to meet our near-term needs, we strive not to carry significant inventories of raw materials. Accordingly, we maintain ongoing communications with our suppliers in order to prevent any interruptions in supply, and have implemented a supply-chain management program to maintain quality and lower purchase prices through standardized purchasing efficiencies and design requirements. To date, we generally have been able to obtain sufficient quantities of critical supplies in a timely manner.</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subject to rules promulgated by the SEC pursuant to the Dodd-Frank Wall Street Reform and Consumer Protection Act regarding the use of "conflict minerals". These rules have imposed and will continue to impose additional costs and may introduce new risks related to our ability to verify the origin of any "conflict minerals" used in our products.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were incorporated in the State of Texas in 1997. In March 2013, Applied Optoelectronics, Inc., a Texas corporation, converted into a Delaware corporation. Prime World International Holdings, Ltd. (“Prime World”) is a wholly-owned subsidiary of the Company incorporated in the British Virgin Islands on January 13, 2006. Prime World is the parent company of Global Technology, Inc. (“Global”). Global was established in June 2002 in the People’s Republic of China (“PRC”) and was acquired by Prime World on March 30, 2006. Prime World also operates a division in Taiwan, which is qualified to do business in Taiwan and primarily manufactures transceivers and performs research and development activities.</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principal executive offices are located at 13139 Jess Pirtle Blvd., Sugar Land, TX 77478, and our telephone number is (281) 295-1800. Our website address is www.ao-inc.com. Information contained on our website is not incorporated by reference into this Form 10-K.</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file electronically with the United States Securities and Exchange Commission, or SEC, our annual reports on Form 10-K, quarterly reports on Form 10-Q, current reports on Form 8-K, and amendments to those reports filed or furnished pursuant to Section 13(a) or 15(d) of the Securities Exchange</w:t>
      </w:r>
    </w:p>
    <w:p>
      <w:pPr>
        <w:sectPr>
          <w:pgSz w:w="11900" w:h="16915" w:orient="portrait"/>
          <w:cols w:equalWidth="0" w:num="1">
            <w:col w:w="11240"/>
          </w:cols>
          <w:pgMar w:left="320" w:top="125" w:right="339" w:bottom="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color w:val="auto"/>
        </w:rPr>
        <w:t>Act of 1934, as amended. We make available on our website at www.ao-inc.com free of charge, copies of these reports as soon as reasonably practicable after filing these reports with, or furnishing them to,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 factors and all other information contained in our Form 10-K, including our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Epidemic diseases, such as COVID-19, or the perception of their effects, could have a material adverse effect on our business, financial condition, results of operation, or cash flows.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Outbreaks of epidemic, pandemic, or contagious diseases, such as the recent COVID-19 or, historically, the Ebola virus, Middle East Respiratory Syndrome, Severe Acute Respiratory Syndrome, or the H1N1 virus, could divert medical resources and priorities towards the treatment of that disease. Business disruptions could include disruptions or restrictions on our ability to travel or to distribute our products, as well as temporary closures of our facilities or the facilities of our suppliers and their contract manufacturers. Any disruption of our suppliers and their contract manufacturers or our customers would likely impact our sales and operating results. In addition, a significant outbreak of epidemic, pandemic, or contagious diseases in the human population could result in a widespread health crisis that could adversely affect the economies and financial markets of many countries, resulting in an economic downturn that could affect demand for our products. Any of these events could have a material adverse effect on our business, financial condition, results of operations, or cash flows.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extent of the impact of the COVID-19 pandemic on our business is highly uncertain and difficult to predict as coronavirus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reduction of infections, we implemented procedures for a safe return to the office environment for all of our employees. However, even with these precautions, it is not possible to eliminate the risk of a widespread outbreak amongour employees and if such an outbreak were to occur, it would likely have a negative impact on our business, results of operations, and our financial condition.</w:t>
      </w:r>
    </w:p>
    <w:p>
      <w:pPr>
        <w:spacing w:after="0" w:line="16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spread of COVID-19 has also impacted our supply chain operations through restrictions, reduced capacity and shutdown of business activities by suppliers whom we rely on for sourcing components and materials and third-party partners whom we rely on for manufacturing, warehousing and logistics services. Currently, the suppliers who are responsible for most of our supply-chain constraints have begun the process of returning to normal operations and have expressed optimism that their deliveries in 2022 will return to normal. In order to minimize the impact of these and any similar disruptions, we have added additional suppliers for many key components, where it is practical to do so. We believe that these additional suppliers will be able to augment our supply of needed components, although in some cases these new suppliers' materials are more expensive than the pre-existing suppliers so a switch to these alternate suppliers could have a negative impact on gross margins and profitability. However, this is uncertain and we also cannot predict if other suppliers could encounter similar difficulties. Any disruption resulting from similar events on a larger scale or over a prolonged period could cause significant delays in supply of needed components. It would likely have a negative impact on our business, results of operations, and our financial condition.</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demand for many of our products has been strong in the short-term as subscribers seek more bandwidth, customers’ purchasing decisions over the long-term may be impacted by the pandemic and its impact on the economy, which could in turn impact our revenue and results of operations. The extent to which the COVID-19 pandemic may materially impact our financial condition, liquidity or results of operations is therefore uncertain.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Operating Our Business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generate much of our revenue from a limited number of customers. For each year ended 2021, 2020 and 2019, our top ten customers represented 84.7%, 84.3%, and 88.1% of our revenue, respectively. In 2021, ATX represented 25.6% of our revenue, Microsoft represented 14.1% of our revenue, and Cisco represented 11.9%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However, many of our current revenue expectations and forecasts reflect significant anticipated orders from a limited number of key customers. If our key customers do not continue to purchase our existing products or fail to purchase additional products from us, our revenue would decline and our results of operations would be adversely affected.</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demand is difficult to forecast accurately and, as a result, we may be unable to match production with customer demand.</w:t>
      </w:r>
    </w:p>
    <w:p>
      <w:pPr>
        <w:spacing w:after="0" w:line="23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w:t>
      </w:r>
    </w:p>
    <w:p>
      <w:pPr>
        <w:sectPr>
          <w:pgSz w:w="11900" w:h="16838" w:orient="portrait"/>
          <w:cols w:equalWidth="0" w:num="1">
            <w:col w:w="11240"/>
          </w:cols>
          <w:pgMar w:left="320" w:top="125" w:right="339" w:bottom="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demands. If any of our major customers decrease, stop or delay purchasing our products for any reason, we will likely have excess manufacturing capacity or inventory and our business and results of operations would be harmed.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Prior to the sale of new products, our customers typically require us to “qualify” our products for use in their applications. At the successful completion of this qualification process, we refer to the resulting sales opportunity as a “design win.” Additionally, new customers often audit our manufacturing facilities and perform other evaluations during this qualification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7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Some of these unrecoverable expenses for cancelled or unutilized custom design projects may be significant.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and we may invest a significant amount to scale our capacity to meet potential demand from customers for our new technologies and products. If we are unable to qualify and sell any of our new products in volume, on time, or at all, our results of operations may be adversely affected.</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modification of product specifications and customer requirements;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unanticipated engineering complexities;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5"/>
        </w:numPr>
        <w:rPr>
          <w:rFonts w:ascii="MS PGothic" w:cs="MS PGothic" w:eastAsia="MS PGothic" w:hAnsi="MS PGothic"/>
          <w:sz w:val="18"/>
          <w:szCs w:val="18"/>
          <w:color w:val="auto"/>
        </w:rPr>
      </w:pPr>
      <w:r>
        <w:rPr>
          <w:rFonts w:ascii="Arial" w:cs="Arial" w:eastAsia="Arial" w:hAnsi="Arial"/>
          <w:sz w:val="18"/>
          <w:szCs w:val="18"/>
          <w:color w:val="auto"/>
        </w:rPr>
        <w:t>rapidly changing technology or competitive product requirements.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introduction of new products by us or our competitors and other changes in our customer’s demands could result in a slowdown in demand for our existing products and could result in a write-down in the value of our inventory. We have in the past experienced periodic fluctuations in demand for existing products and delays in new product development, and such fluctuations will likely occur in the future. To the extent we fail to qualify our products and obtain their approval for use, which we refer to as a design win, or experience product development delays for any reason, our competitive position would be adversely affected and our ability to grow our revenue would be impaired.</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ectPr>
          <w:pgSz w:w="11900" w:h="16838" w:orient="portrait"/>
          <w:cols w:equalWidth="0" w:num="1">
            <w:col w:w="11240"/>
          </w:cols>
          <w:pgMar w:left="320" w:top="125" w:right="339" w:bottom="1440"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revenues, growth rates and operating results are likely to fluctuate significantly as a result of factors that are outside our control, which could adversely impact our operating results.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revenues, growth rates and operating results are likely to fluctuate significantly in the future as a result of factors that are outside our control. We may not achieve similar revenues, growth rates or operating results in future periods. Our revenues, growth rates and operating results for any prior quarterly or annual period should not be relied upon as any indication of our future revenues, growth rates or operating results. The timing of order placement, size of orders and satisfaction of contractual customer acceptance criteria, changes in the pricing of our products due to competitive pressures as well as order or shipment delays or deferrals, with respect to our products, may cause material fluctuations in revenues. Our lengthy sales cycle, which may extend to more than one year, may cause our revenues and operating results to vary from period to period and it may be difficult to predict the timing and amount of any variation. Delays or deferrals in purchasing decisions by our customers may increase as we develop new or enhanced products for existing and new markets, including automotive and biotechnology markets. Our current and anticipated future dependence on a small number of customers increases the revenue impact of each such customer’s decision to delay or defer purchases from us, or decision not to purchase products from us. Our expense levels in the future will be based, in large part, on our expectations regarding future revenue sources and, as a result, operating results for any quarterly period in which anticipated material orders fail to occur, or are delayed or deferred, could be significantly harmed.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our MBE, fabrication process to make our lasers, in addition to MOCVD, the technique most commonly used in optical manufacturing by communications optics vendors, and our MBE fabrication process relies on custom-manufactured equipment. If our MBE or MOCVD fabrication facility in Sugar Land, Texas were to be damaged or destroyed for any reason, our manufacturing process would be severely disrupted. Any such manufacturing problems would likely delay product shipments to our customers. We may also experience delays in production, typically in February, during the Lunar New Year holiday when our facilities in China and Taiwan are closed.</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2,178 of our employees as of December 31, 2021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financial results may vary significantly from quarter-to-quarter due to a number of factors, which may lead to volatility in our stock price.</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quarter-to-quarter. This variability may lead to volatility in our stock price as research analysts and investors respond to these quarterly fluctuations. These fluctuations are due to numerous factors, including:</w:t>
      </w:r>
    </w:p>
    <w:p>
      <w:pPr>
        <w:spacing w:after="0" w:line="184" w:lineRule="exact"/>
        <w:rPr>
          <w:sz w:val="20"/>
          <w:szCs w:val="20"/>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the timing, size and mix of sales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63" w:lineRule="exact"/>
        <w:rPr>
          <w:rFonts w:ascii="MS PGothic" w:cs="MS PGothic" w:eastAsia="MS PGothic" w:hAnsi="MS PGothic"/>
          <w:sz w:val="17"/>
          <w:szCs w:val="17"/>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our ability to design, manufacture and deliver products which meet customer requirements in a timely and cost-effective manner;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the gain or loss of key customers;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seasonality of certain of our products and manufacturing capabilities;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quality control or yield problems in our manufacturing operations;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supply disruption for certain raw materials and components used in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capacity constraints of our outside contract manufacturers for a portion of the manufacturing process for some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length and variability of the sales cycles of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unanticipated increases in costs or expenses;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the loss of key employees;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18"/>
          <w:szCs w:val="18"/>
          <w:color w:val="auto"/>
        </w:rPr>
        <w:t>political stability in the areas of the world in which we operate;</w:t>
      </w:r>
    </w:p>
    <w:p>
      <w:pPr>
        <w:spacing w:after="0" w:line="252" w:lineRule="exact"/>
        <w:rPr>
          <w:rFonts w:ascii="MS PGothic" w:cs="MS PGothic" w:eastAsia="MS PGothic" w:hAnsi="MS PGothic"/>
          <w:sz w:val="18"/>
          <w:szCs w:val="18"/>
          <w:color w:val="auto"/>
        </w:rPr>
      </w:pPr>
    </w:p>
    <w:p>
      <w:pPr>
        <w:jc w:val="both"/>
        <w:ind w:left="620" w:hanging="221"/>
        <w:spacing w:after="0" w:line="263" w:lineRule="auto"/>
        <w:tabs>
          <w:tab w:leader="none" w:pos="620" w:val="left"/>
        </w:tabs>
        <w:numPr>
          <w:ilvl w:val="0"/>
          <w:numId w:val="16"/>
        </w:numPr>
        <w:rPr>
          <w:rFonts w:ascii="MS PGothic" w:cs="MS PGothic" w:eastAsia="MS PGothic" w:hAnsi="MS PGothic"/>
          <w:sz w:val="18"/>
          <w:szCs w:val="18"/>
          <w:color w:val="auto"/>
        </w:rPr>
      </w:pPr>
      <w:r>
        <w:rPr>
          <w:rFonts w:ascii="Arial" w:cs="Arial" w:eastAsia="Arial" w:hAnsi="Arial"/>
          <w:sz w:val="18"/>
          <w:szCs w:val="18"/>
          <w:color w:val="auto"/>
        </w:rPr>
        <w:t>changes in or limitations imposed by trade protection laws or other regulatory orders or requirements in the United States or in other countries, including tariffs, sanctions, or other costs, restrictions, or requirements which may affect our ability to import or export our products to or from various countries; and</w:t>
      </w:r>
    </w:p>
    <w:p>
      <w:pPr>
        <w:spacing w:after="0" w:line="176" w:lineRule="exact"/>
        <w:rPr>
          <w:rFonts w:ascii="MS PGothic" w:cs="MS PGothic" w:eastAsia="MS PGothic" w:hAnsi="MS PGothic"/>
          <w:sz w:val="18"/>
          <w:szCs w:val="18"/>
          <w:color w:val="auto"/>
        </w:rPr>
      </w:pPr>
    </w:p>
    <w:p>
      <w:pPr>
        <w:ind w:left="980" w:hanging="324"/>
        <w:spacing w:after="0" w:line="227" w:lineRule="auto"/>
        <w:tabs>
          <w:tab w:leader="none" w:pos="980" w:val="left"/>
        </w:tabs>
        <w:numPr>
          <w:ilvl w:val="1"/>
          <w:numId w:val="16"/>
        </w:numPr>
        <w:rPr>
          <w:rFonts w:ascii="MS PGothic" w:cs="MS PGothic" w:eastAsia="MS PGothic" w:hAnsi="MS PGothic"/>
          <w:sz w:val="18"/>
          <w:szCs w:val="18"/>
          <w:color w:val="auto"/>
        </w:rPr>
      </w:pPr>
      <w:r>
        <w:rPr>
          <w:rFonts w:ascii="Arial" w:cs="Arial" w:eastAsia="Arial" w:hAnsi="Arial"/>
          <w:sz w:val="22"/>
          <w:szCs w:val="22"/>
          <w:color w:val="auto"/>
        </w:rPr>
        <w:t>t</w:t>
      </w:r>
      <w:r>
        <w:rPr>
          <w:rFonts w:ascii="Arial" w:cs="Arial" w:eastAsia="Arial" w:hAnsi="Arial"/>
          <w:sz w:val="17"/>
          <w:szCs w:val="17"/>
          <w:color w:val="auto"/>
        </w:rPr>
        <w:t>rade-related government actions that impose barriers or restrictions that would impact our ability to sell or ship products to Huawei or other</w:t>
      </w:r>
      <w:r>
        <w:rPr>
          <w:rFonts w:ascii="Arial" w:cs="Arial" w:eastAsia="Arial" w:hAnsi="Arial"/>
          <w:sz w:val="22"/>
          <w:szCs w:val="22"/>
          <w:color w:val="auto"/>
        </w:rPr>
        <w:t xml:space="preserve"> </w:t>
      </w:r>
      <w:r>
        <w:rPr>
          <w:rFonts w:ascii="Arial" w:cs="Arial" w:eastAsia="Arial" w:hAnsi="Arial"/>
          <w:sz w:val="17"/>
          <w:szCs w:val="17"/>
          <w:color w:val="auto"/>
        </w:rPr>
        <w:t>customers.</w:t>
      </w:r>
    </w:p>
    <w:p>
      <w:pPr>
        <w:spacing w:after="0" w:line="20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are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Senior Vice President and North America General Manager and Senior Vice President and Asia General Manager, may resign at any time. We do not have key person life insurance policies covering any of our employees.</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implement our business plan, we also intend to hire additional employees in expanding areas of our business.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operations. Also see the section above on the COVID-19 pandemic for details related to global supply chain disruptions.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Any such failures could delay product shipments to our customers or result in a loss of customers.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We face this risk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5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As of December 31, 2021 , we had U.S. accumulated net operating losses, or NOLs, of approximately $104.8 million, federal and state research and development credits (“R&amp;D credits”) of $9.9 million, business interest expense of $13.5 million and foreign tax credits of $4.6 million for U.S. federal income tax purposes. Our ability to use our net operating losses, or NOLs, to offset future taxable income may be subject to certain limitations which could subject our business to higher tax liability. We may be limited in the portion of NOL carryforwards that we can use in the future to offset taxable income for U.S. federal and state income tax purposes, and federal tax credits to offset federal tax liabilities. Sections 382 and 383 of the Internal Revenue Code of 1986, as amended, limit the use of NOLs and tax credits after a cumulative change in corporate ownership of more than 50% occurs within a three-year period. The statutes place a formula limit on how much NOLs and tax credits a corporation can use in a tax year after a change in ownership. Avoiding an ownership change is generally beyond our control. Although the ownership changes we experienced in the past and in the year ended December 31, 2021 would not have prevented us from using all NOLs and tax credits accumulated before such ownership changes, assuming we were otherwise able to do so, we could experience another ownership change that might limit our use of NOLs and tax credits in the future. Under the Tax Cuts and Jobs Act of 2017, or Tax Act, NOLs from tax years that began after December 31, 2017 do not expire, but NOLs from tax years that began before January 1, 2018 expire after 20 years. Further, under the Tax Act, although the treatment of tax losses generated in taxable years ending before December 31, 2017 has generally not changed, tax losses generated in taxable years beginning after December 31, 2017 may offset no more than 80% of taxable income annually. Accordingly, if we generate NOLs after the tax year ended December 31, 2017, we might have to pay more federal income taxes in a subsequent year as a result of the 80% taxable income limitation than we would have had to pay under the law in effect before the Tax Act. Also, any foreign NOLs (for example NOLs in our China and Taiwan jurisdictions) are subject to different NOL expirations, generally shorter than in the US.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4" w:lineRule="exact"/>
        <w:rPr>
          <w:sz w:val="20"/>
          <w:szCs w:val="20"/>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difficulties integrating the acquired business;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diversion of financial and management resources from our existing business;</w:t>
      </w:r>
    </w:p>
    <w:p>
      <w:pPr>
        <w:spacing w:after="0" w:line="252" w:lineRule="exact"/>
        <w:rPr>
          <w:rFonts w:ascii="MS PGothic" w:cs="MS PGothic" w:eastAsia="MS PGothic" w:hAnsi="MS PGothic"/>
          <w:sz w:val="18"/>
          <w:szCs w:val="18"/>
          <w:color w:val="auto"/>
        </w:rPr>
      </w:pPr>
    </w:p>
    <w:p>
      <w:pPr>
        <w:ind w:left="980" w:hanging="324"/>
        <w:spacing w:after="0" w:line="277" w:lineRule="auto"/>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spacing w:after="0" w:line="170"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7"/>
        </w:numPr>
        <w:rPr>
          <w:rFonts w:ascii="MS PGothic" w:cs="MS PGothic" w:eastAsia="MS PGothic" w:hAnsi="MS PGothic"/>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Future divestitures may adversely affect our financial condition and results of operations.</w:t>
      </w:r>
    </w:p>
    <w:p>
      <w:pPr>
        <w:spacing w:after="0" w:line="225" w:lineRule="exact"/>
        <w:rPr>
          <w:sz w:val="20"/>
          <w:szCs w:val="20"/>
          <w:color w:val="auto"/>
        </w:rPr>
      </w:pPr>
    </w:p>
    <w:p>
      <w:pPr>
        <w:jc w:val="both"/>
        <w:ind w:left="260" w:firstLine="648"/>
        <w:spacing w:after="0" w:line="255" w:lineRule="auto"/>
        <w:rPr>
          <w:sz w:val="20"/>
          <w:szCs w:val="20"/>
          <w:color w:val="auto"/>
        </w:rPr>
      </w:pPr>
      <w:r>
        <w:rPr>
          <w:rFonts w:ascii="Arial" w:cs="Arial" w:eastAsia="Arial" w:hAnsi="Arial"/>
          <w:sz w:val="18"/>
          <w:szCs w:val="18"/>
          <w:color w:val="auto"/>
        </w:rPr>
        <w:t>We frequently evaluate our portfolio of products and may consider divestitures or exits of businesses that we no longer believe to be an appropriate strategic fit. Divestitures may adversely impact our results if we are unable to offset the dilutive impacts from the loss of revenue associated with the divested products or businesses, or mitigate overhead costs allocated to those businesses. Furthermore, the divestitures could adversely affect our ongoing business operations, including by enhancing our competitors' positions or reducing customer confidence in our ongoing brand and products. The inability to effectively and efficiently manage divestitures with the results we expect or in the timeframe we anticipate could adversely affect our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We have significant foreign currency exposure and are affected by fluctuations among the U.S. dollar, the Chinese Renminbi, or RMB, and the New Taiwan dollar, or NT dollar, because a substantial portion of our business is conducted in China and Taiwan. Our sales, raw materials, components and capital expenditures are denominated in U.S. dollars, RMB and NT dollars in varying amounts.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ectPr>
          <w:pgSz w:w="11900" w:h="16838" w:orient="portrait"/>
          <w:cols w:equalWidth="0" w:num="1">
            <w:col w:w="11240"/>
          </w:cols>
          <w:pgMar w:left="320" w:top="125" w:right="339" w:bottom="115"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15"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the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earthquakes,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governmental export and import controls that could subject us to liability or impair our ability to compete in international markets.</w:t>
      </w:r>
    </w:p>
    <w:p>
      <w:pPr>
        <w:spacing w:after="0" w:line="26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Our products are primarily classified under Export Control Classification Numbers, or ECCNs 5A991 EAR99. Export Control Classification requirements are dependent upon an item’s technical characteristics, and dictate the destination, end-use,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Furthermore, due to the recent administration change in the U.S., and the appointment of a new United States Trade Representative, new policy priorities may lead to additional or new import risks affecting the flow of our products into the U.S.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impacted as a result of shareholder activism.</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recent years, shareholder activists have become involved in numerous public companies. Shareholder activists frequently propose to involve themselves in the governance, strategic direction, and operations of the Company. We may in the future become subject to such shareholder activity and demands. Such demands may disrupt our business and divert the attention of our management and employees, and any perceived uncertainties as to our future direction resulting from such a situation could result in the loss of potential business opportunities, be exploited by our competitors, cause concern to our current or potential customers, and make it more difficult to attract and retain qualified personnel and business partners, all of which could adversely affect our business. In addition, actions of activist shareholders may cause significant fluctuations in our stock price based on temporary or speculative market perceptions or other factors that do not necessarily reflect the underlying fundamentals and prospects of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unfavorable outcome of any pending or future litigation or administrative action and expenses incurred in connection with litigation could result in financial losses or harm to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been, and in the future may be, subject to legal actions in the ordinary course of our operations, both domestically and internationally. There can be no assurances as to the favorable outcome of any litigation. In addition it can be costly to defend litigation and these costs could negatively impact our financial results. As further described in that section, subsequent derivative actions and securities class actions have since been filed. This litigation and any other such litigation could result in substantial costs and divert our management’s attention from other business concerns, which could seriously harm our business.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 and Future Financing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indebtedness and liabilities could limit the cash flow available for our operations, expose us to risks that could adversely affect our business, financial condition and results of operations and impair our ability to satisfy our obligations under our indebtedness.</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 we had approximately $141.6 million of consolidated indebtedness. We may also incur additional indebtedness to meet future financing needs. Our indebtedness could have significant negative consequences for our security holders and our business, results of operations and financial condition by, among other things:</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increasing our vulnerability to adverse economic and industry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our cash flow from operations to service our indebtedness, which will reduce the amount of cash available for other purposes;</w:t>
      </w:r>
    </w:p>
    <w:p>
      <w:pPr>
        <w:spacing w:after="0" w:line="386"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flexibility to plan for, or react to, changes in our business;</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diluting the interests of our existing stockholders as a result of issuing shares of our common stock upon conversion of the Notes; and</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placing us at a possible competitive disadvantage with competitors that are less leveraged than us or have better access to capital.</w:t>
      </w:r>
    </w:p>
    <w:p>
      <w:pPr>
        <w:spacing w:after="0" w:line="23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may not generate sufficient funds, and we may otherwise be unable to maintain sufficient cash reserves, to pay amounts due under our indebtedness, including the Notes, and our cash needs may increase in the future. In addition, our existing Credit Facility with Truist Bank, contains, and any future indebtedness that we may incur may contain, financial and other restrictive covenants that limit our ability to operate our business, raise capital or make payments under our other indebtedness. If we fail to comply with these covenants or to make payments under our indebtedness when due, then we would be in default under that indebtedness, which could, in turn, result in that and our other indebtedness becoming immediately payable in full.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lending arrangements with several financial institutions, including loan agreements with Truist Bank in the U.S., equipment finance agreements with Chailease Finance Co., Ltd. in Taiwan and credit facilities with China Merchants Bank Co. Ltd., Shanghai Pudong Development Bank Co., Ltd and China Zheshang Bank Co., Ltd. in China. Our loan agreements governing our long-term debt obligations in the U.S. and Asia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sell or otherwise dispose of assets and merge or consolidate with other entities. In addition, the Indenture governing the Notes contains covenants that limit our ability and the ability of our subsidiaries to, among other things: (i) incur or guarantee additional indebtedness or issue disqualified stock; and (ii) create or incur liens.</w:t>
      </w:r>
    </w:p>
    <w:p>
      <w:pPr>
        <w:spacing w:after="0" w:line="19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loan agreements with Truist Bank are secured by our accounts receivable, inventory, intellectual property, and all business assets except real estate and equipment. Our credit facilities with Shanghai Pudong Development Bank Co., Ltd. and China Zheshang Bank Co., Ltd. are secured by real estate.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expansion of research and development;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expansion of manufacturing capabilities;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hiring of additional technical, sales and other personnel; and</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19"/>
        </w:numPr>
        <w:rPr>
          <w:rFonts w:ascii="MS PGothic" w:cs="MS PGothic" w:eastAsia="MS PGothic" w:hAnsi="MS PGothic"/>
          <w:sz w:val="18"/>
          <w:szCs w:val="18"/>
          <w:color w:val="auto"/>
        </w:rPr>
      </w:pPr>
      <w:r>
        <w:rPr>
          <w:rFonts w:ascii="Arial" w:cs="Arial" w:eastAsia="Arial" w:hAnsi="Arial"/>
          <w:sz w:val="18"/>
          <w:szCs w:val="18"/>
          <w:color w:val="auto"/>
        </w:rPr>
        <w:t>acquisitions of complementary businesses.</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including under our Registration Statement filed with the SEC in October 2019, effective January 2020, we may be unable to meet the demands of existing and prospective customers, adversely affecting our sales and market opportunities and consequently our business, financial condition and results of operations.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Breaches and Network Infrastructures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Data breaches and cyberattacks could compromise our operations, our customers’ operations, or the operations of our contract manufacturers upon whom we rely, and cause significant damage to our business and reputation.</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Cyberattacks have become more prevalent and much harder to detect and defend against. Companies, including companies in our industry, have been increasingly subject to a wide variety of security incidents, cyberattacks and other attempts to gain unauthorized access to their systems or to deny access and disrupt their systems and operations. These threats can come from a variety of sources, ranging in sophistication from an individual hacker to a state-sponsored attack. Cyber threats may be generic, or they may be custom-crafted against our information systems.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the ordinary course of our business, we and our data center customers maintain sensitive data on our respective networks, including intellectual property, employee personal information and proprietary or confidential business information relating to our business and that of our customers and business partners. The secure maintenance of this information is critical to our business and reputation. Despite our implementation of network security measures, our network and storage applications have been subject to computer viruses, ransomware and other forms of cyber terrorism.</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Also, despite our implementation of security measures, we are not able to guarantee that we can prevent unauthorized access by hackers or breaches due to operator error, malfeasance or other system disruptions. Our customers’ network and storage applications may be subject to similar disruptions. It is often difficult to anticipate or immediately detect such incidents and the damage caused by such incidents. Data breaches and any unauthorized access or disclosure of our information, employee information or intellectual property could compromise our business, trade secrets and other sensitive business information, any of which could result in legal action against us, exposure of our intellectual property to our competitors, damages, fines and other adverse effects. A data security breach could also lead to public exposure of personal information of our employees, customers and others. Any such theft, loss or misuse of personal data collected, used, stored or transferred by us to run our business could result in significantly increased security costs or costs related to defending legal claims. Cyberattacks, such as computer viruses or other forms of cyber terrorism, have disrupted access to some of our network or storage applications. In past incidents we have been able to recover quickly without material financial impact, however such disruptions in the future may result in delays or cancellations of customer orders or delays or additional costs to produce and ship our products. Data security breaches involving our data center customers could affect their financial condition and ability to continue to purchase our products. Further, cyberattacks may cause us to incur significant remediation costs, result in product development delays, disrupt key business operations and divert attention of management and key information technology resources. These incidents could also subject us to liability, expose us to significant expense and cause significant harm to our reputation and business.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A disruption, infiltration or failure of our information technology systems as a result of software or hardware malfunctions, system implementations or upgrades, computer viruses, third-party security breaches, employee error, theft or misuse, malfeasance, power disruptions, natural disasters or accidents could cause a breach of data security, loss of intellectual property and critical data and the release and misappropriation of sensitive competitive information and partner, customer, and employee personal data. Any of these events could harm our competitive position, result in a loss of customer confidence, cause us to incur significant costs to remedy any damages and ultimately materially adversely affect our business and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Trade and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U.S. and international trade policies, particularly regarding China, may materially and adversely impact our business and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government has made statements and taken certain actions that have led and may lead to further changes to U.S. and international trade policies, including imposing additional tariffs on certain products manufactured in China. Since the beginning of 2018, there has been increasing rhetoric, in some cases coupled with legislative, administrative, or executive action, from several U.S. and foreign leaders regarding the possibility of instituting tariffs on the foreign imports of certain materials. Five rounds of U.S. tariffs on imports from China (respectively the “U.S. Tariffs on China Imports”) went into effect on July 2018, August 2018, September 2018, September 2019, and February 2020. A limited number of our products that are of Chinese origin are currently subject to the U.S. Tariffs on China Imports.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an administration change in the U.S., and the appointment of a new United States Trade Representative, it is unknown whether and to what extent new tariffs (or other new laws or regulations) will be adopted, or the effect that any such actions would have on us or our industry. A significant portion of our manufacturing operations are based in Ningbo, China; therefore, there could be material adverse effects on our business, financial condition, and/or cash flow if any new tariffs, legislation and/or regulations are implemented, or if existing trade agreements are renegotiated or if China or other affected countries take further retaliatory trade actions.</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Furthermore, the implementation of trade tariffs both globally and between the U.S. and China specifically carries the risk of negatively impacting China’s overall economic condition, which could have negative repercussions on our business. Bilateral tariffs could cause a decrease in the sales of our products to customers located in China or other customers selling to Chinese end users, further impacting our business.</w:t>
      </w:r>
    </w:p>
    <w:p>
      <w:pPr>
        <w:spacing w:after="0" w:line="16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Significant changes to existing international trade agreements could also lead to sourcing or logistics disruption resulting from import delays or the imposition of increased tariffs on our sourcing partners. For example, the Chinese government could, among other things, require the use of local suppliers, compel companies that do business in China to partner with local companies, and otherwise provide government incentives or subsidies to government-backed local customers to buy from local suppliers. Changes in, and responses to, U.S. trade policy could reduce the competitiveness of our products and thus cause our sales and revenues to drop, which could materially and adversely impact our business and results of operations.</w:t>
      </w:r>
    </w:p>
    <w:p>
      <w:pPr>
        <w:sectPr>
          <w:pgSz w:w="11900" w:h="16838" w:orient="portrait"/>
          <w:cols w:equalWidth="0" w:num="1">
            <w:col w:w="11240"/>
          </w:cols>
          <w:pgMar w:left="320" w:top="125" w:right="339" w:bottom="628"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28"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2021, 2020 and 2019, 25.5%, 25.4%, and 18.8% of our revenue was derived from sales that occurred outside of North America, respectively. In addition, a significant portion of our manufacturing operations is based in Ningbo, China and Taipei, Taiwan.</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Trade-related government actions, by the U.S., China or other countries that impose barriers or restrictions that would impact our ability to sell or ship products to customers or potential customers may have a negative impact on our financial condition and results of operations. We cannot predict the actions government entities may take in this context and may be unable to quickly offset or effectively react to government actions that restrict our ability to sell to certain customers or in certain jurisdictions. Government actions that affect our customers' ability to sell products or access critical elements of their supply chains may result in a decreased demand for their products, which may consequently reduce their demand for our products.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international revenue and operations are subject to a number of material risks, including:</w:t>
      </w:r>
    </w:p>
    <w:p>
      <w:pPr>
        <w:spacing w:after="0" w:line="225" w:lineRule="exact"/>
        <w:rPr>
          <w:sz w:val="20"/>
          <w:szCs w:val="20"/>
          <w:color w:val="auto"/>
        </w:rPr>
      </w:pPr>
    </w:p>
    <w:p>
      <w:pPr>
        <w:ind w:left="980" w:hanging="324"/>
        <w:spacing w:after="0"/>
        <w:tabs>
          <w:tab w:leader="none" w:pos="980" w:val="left"/>
        </w:tabs>
        <w:numPr>
          <w:ilvl w:val="0"/>
          <w:numId w:val="20"/>
        </w:numPr>
        <w:rPr>
          <w:rFonts w:ascii="MS PGothic" w:cs="MS PGothic" w:eastAsia="MS PGothic" w:hAnsi="MS PGothic"/>
          <w:sz w:val="22"/>
          <w:szCs w:val="22"/>
          <w:color w:val="auto"/>
        </w:rPr>
      </w:pPr>
      <w:r>
        <w:rPr>
          <w:rFonts w:ascii="Arial" w:cs="Arial" w:eastAsia="Arial" w:hAnsi="Arial"/>
          <w:sz w:val="18"/>
          <w:szCs w:val="18"/>
          <w:color w:val="auto"/>
        </w:rPr>
        <w:t>difficulties in staffing, managing and supporting operations in more than one country;</w:t>
      </w:r>
    </w:p>
    <w:p>
      <w:pPr>
        <w:spacing w:after="0" w:line="232" w:lineRule="exact"/>
        <w:rPr>
          <w:sz w:val="20"/>
          <w:szCs w:val="20"/>
          <w:color w:val="auto"/>
        </w:rPr>
      </w:pPr>
    </w:p>
    <w:p>
      <w:pPr>
        <w:ind w:left="980" w:hanging="324"/>
        <w:spacing w:after="0"/>
        <w:tabs>
          <w:tab w:leader="none" w:pos="980" w:val="left"/>
        </w:tabs>
        <w:numPr>
          <w:ilvl w:val="0"/>
          <w:numId w:val="21"/>
        </w:numPr>
        <w:rPr>
          <w:rFonts w:ascii="MS PGothic" w:cs="MS PGothic" w:eastAsia="MS PGothic" w:hAnsi="MS PGothic"/>
          <w:sz w:val="22"/>
          <w:szCs w:val="22"/>
          <w:color w:val="auto"/>
        </w:rPr>
      </w:pPr>
      <w:r>
        <w:rPr>
          <w:rFonts w:ascii="Arial" w:cs="Arial" w:eastAsia="Arial" w:hAnsi="Arial"/>
          <w:sz w:val="18"/>
          <w:szCs w:val="18"/>
          <w:color w:val="auto"/>
        </w:rPr>
        <w:t>difficulties in enforcing agreements and collecting receivables through foreign legal systems;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fewer legal protections for intellectual property in foreign jurisdictions;</w:t>
      </w:r>
    </w:p>
    <w:p>
      <w:pPr>
        <w:spacing w:after="0" w:line="252" w:lineRule="exact"/>
        <w:rPr>
          <w:rFonts w:ascii="MS PGothic" w:cs="MS PGothic" w:eastAsia="MS PGothic" w:hAnsi="MS PGothic"/>
          <w:sz w:val="18"/>
          <w:szCs w:val="18"/>
          <w:color w:val="auto"/>
        </w:rPr>
      </w:pPr>
    </w:p>
    <w:p>
      <w:pPr>
        <w:ind w:left="980" w:hanging="324"/>
        <w:spacing w:after="0" w:line="277" w:lineRule="auto"/>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foreign and U.S. taxation issues and international trade barriers, including the adoption or expansion of governmental trade tariffs, export controls, and fluctuating changes to end use and user rules;</w:t>
      </w:r>
    </w:p>
    <w:p>
      <w:pPr>
        <w:spacing w:after="0" w:line="170"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difficulties in obtaining any necessary governmental authorizations for the export of our products to certain foreign jurisdictions;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fluctuations in foreign economies;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fluctuations in the value of foreign currencies and interest rates;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trade and travel restrictions;</w:t>
      </w:r>
    </w:p>
    <w:p>
      <w:pPr>
        <w:spacing w:after="0" w:line="252" w:lineRule="exact"/>
        <w:rPr>
          <w:rFonts w:ascii="MS PGothic" w:cs="MS PGothic" w:eastAsia="MS PGothic" w:hAnsi="MS PGothic"/>
          <w:sz w:val="18"/>
          <w:szCs w:val="18"/>
          <w:color w:val="auto"/>
        </w:rPr>
      </w:pPr>
    </w:p>
    <w:p>
      <w:pPr>
        <w:ind w:left="980" w:hanging="324"/>
        <w:spacing w:after="0" w:line="277" w:lineRule="auto"/>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spacing w:after="0" w:line="170" w:lineRule="exact"/>
        <w:rPr>
          <w:rFonts w:ascii="MS PGothic" w:cs="MS PGothic" w:eastAsia="MS PGothic" w:hAnsi="MS PGothic"/>
          <w:sz w:val="18"/>
          <w:szCs w:val="18"/>
          <w:color w:val="auto"/>
        </w:rPr>
      </w:pPr>
    </w:p>
    <w:p>
      <w:pPr>
        <w:jc w:val="both"/>
        <w:ind w:left="980" w:hanging="324"/>
        <w:spacing w:after="0" w:line="263" w:lineRule="auto"/>
        <w:tabs>
          <w:tab w:leader="none" w:pos="980" w:val="left"/>
        </w:tabs>
        <w:numPr>
          <w:ilvl w:val="0"/>
          <w:numId w:val="21"/>
        </w:numPr>
        <w:rPr>
          <w:rFonts w:ascii="MS PGothic" w:cs="MS PGothic" w:eastAsia="MS PGothic" w:hAnsi="MS PGothic"/>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various modifications by the Bureau of Industry and Security of the U.S. Department of Commerce to export policy; and</w:t>
      </w:r>
    </w:p>
    <w:p>
      <w:pPr>
        <w:spacing w:after="0" w:line="183" w:lineRule="exact"/>
        <w:rPr>
          <w:rFonts w:ascii="MS PGothic" w:cs="MS PGothic" w:eastAsia="MS PGothic" w:hAnsi="MS PGothic"/>
          <w:sz w:val="18"/>
          <w:szCs w:val="18"/>
          <w:color w:val="auto"/>
        </w:rPr>
      </w:pPr>
    </w:p>
    <w:p>
      <w:pPr>
        <w:ind w:left="980" w:hanging="324"/>
        <w:spacing w:after="0"/>
        <w:tabs>
          <w:tab w:leader="none" w:pos="980" w:val="left"/>
        </w:tabs>
        <w:numPr>
          <w:ilvl w:val="0"/>
          <w:numId w:val="21"/>
        </w:numPr>
        <w:rPr>
          <w:rFonts w:ascii="MS PGothic" w:cs="MS PGothic" w:eastAsia="MS PGothic" w:hAnsi="MS PGothic"/>
          <w:sz w:val="17"/>
          <w:szCs w:val="17"/>
          <w:color w:val="auto"/>
        </w:rPr>
      </w:pPr>
      <w:r>
        <w:rPr>
          <w:rFonts w:ascii="Arial" w:cs="Arial" w:eastAsia="Arial" w:hAnsi="Arial"/>
          <w:sz w:val="17"/>
          <w:szCs w:val="17"/>
          <w:color w:val="auto"/>
        </w:rPr>
        <w:t>different and changing legal and regulatory requirements in the jurisdictions in which we currently operate or may operate in the future.</w:t>
      </w: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Matters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patents and trademark registrations in the U.S. or other foreign countries may limit our ability to protect the intellectual property rights that these patent and trademark registrations intended to cover.</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misappropriated or duplicated, our business, results of operations or financial condition could be materially harmed.</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2" w:lineRule="exact"/>
        <w:rPr>
          <w:sz w:val="20"/>
          <w:szCs w:val="20"/>
          <w:color w:val="auto"/>
        </w:rPr>
      </w:pPr>
    </w:p>
    <w:p>
      <w:pPr>
        <w:ind w:left="980" w:hanging="324"/>
        <w:spacing w:after="0"/>
        <w:tabs>
          <w:tab w:leader="none" w:pos="980" w:val="left"/>
        </w:tabs>
        <w:numPr>
          <w:ilvl w:val="0"/>
          <w:numId w:val="22"/>
        </w:numPr>
        <w:rPr>
          <w:rFonts w:ascii="MS PGothic" w:cs="MS PGothic" w:eastAsia="MS PGothic" w:hAnsi="MS PGothic"/>
          <w:sz w:val="16"/>
          <w:szCs w:val="16"/>
          <w:color w:val="auto"/>
        </w:rPr>
      </w:pPr>
      <w:r>
        <w:rPr>
          <w:rFonts w:ascii="Arial" w:cs="Arial" w:eastAsia="Arial" w:hAnsi="Arial"/>
          <w:sz w:val="16"/>
          <w:szCs w:val="16"/>
          <w:color w:val="auto"/>
        </w:rPr>
        <w:t>obtain from a third party claiming infringement a license to the relevant technology, which may not be available on reasonable terms, or at all;</w:t>
      </w:r>
    </w:p>
    <w:p>
      <w:pPr>
        <w:spacing w:after="0" w:line="275" w:lineRule="exact"/>
        <w:rPr>
          <w:rFonts w:ascii="MS PGothic" w:cs="MS PGothic" w:eastAsia="MS PGothic" w:hAnsi="MS PGothic"/>
          <w:sz w:val="16"/>
          <w:szCs w:val="16"/>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pay substantial monetary damages; or</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2"/>
        </w:numPr>
        <w:rPr>
          <w:rFonts w:ascii="MS PGothic" w:cs="MS PGothic" w:eastAsia="MS PGothic" w:hAnsi="MS PGothic"/>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ectPr>
          <w:pgSz w:w="11900" w:h="16838" w:orient="portrait"/>
          <w:cols w:equalWidth="0" w:num="1">
            <w:col w:w="11240"/>
          </w:cols>
          <w:pgMar w:left="320" w:top="125"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business operations conducted in China are critical to our success. A total of $97.7 million, $85.2 million, and $83.3 million or 46.2%, 36.3%, and 43.6%, of our revenue in the years ended December 31, 2021, 2020 and 2019 was attributable to our product manufactured at our plant in China, respectively. Additionally, a substantial portion of our property, plant and equipment, 42.2% 40.6%, and 37.1% as of December 31, 2021, 2020 and 2019, was located in China, respectively. We expect to make further investments in China in the foreseeable future. Therefore, our business, financial condition, results of operations and prospects are to a significant degree subject to economic, political, legal, and social events and developments in China.</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extremely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Chinese regulation of loans to and direct investment by offshore holding companies in China entities may delay or prevent us from making loans or additional capital contributions to our China subsidiary.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Chinese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Chinese labor laws and regulations provide certain protections for our employees located in China, and changes to those labor laws and regulations may increase our costs and reduce our flexibility. The China Labor Contract Law, which went into effect in 2008, together with its implementing rules, provides increased rights to Chinese employees compared to prior employment laws in China. Under the rules under the China Labor Contract Law,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Any further changes to these laws may increase our costs and reduce our flexibility.</w:t>
      </w:r>
    </w:p>
    <w:p>
      <w:pPr>
        <w:sectPr>
          <w:pgSz w:w="11900" w:h="16838" w:orient="portrait"/>
          <w:cols w:equalWidth="0" w:num="1">
            <w:col w:w="11240"/>
          </w:cols>
          <w:pgMar w:left="320" w:top="125"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market price of our common stock has been and is likely to be subject to wide fluctuations in response to, among other things, the risk factors described in this section of this Form 10-K, and other factors beyond our control, such as fluctuations in the valuation of companies perceived by investors to be comparable to us. For example, announcements made by competitors regarding factors influencing their business may cause fluctuations in the valuation of companies throughout our industry, including fluctuations in the valuation of our stock.</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have been and may become the target of this type of litigation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4" w:lineRule="exact"/>
        <w:rPr>
          <w:sz w:val="20"/>
          <w:szCs w:val="20"/>
          <w:color w:val="auto"/>
        </w:rPr>
      </w:pPr>
    </w:p>
    <w:p>
      <w:pPr>
        <w:ind w:left="980" w:hanging="324"/>
        <w:spacing w:after="0"/>
        <w:tabs>
          <w:tab w:leader="none" w:pos="980" w:val="left"/>
        </w:tabs>
        <w:numPr>
          <w:ilvl w:val="0"/>
          <w:numId w:val="23"/>
        </w:numPr>
        <w:rPr>
          <w:rFonts w:ascii="MS PGothic" w:cs="MS PGothic" w:eastAsia="MS PGothic" w:hAnsi="MS PGothic"/>
          <w:sz w:val="22"/>
          <w:szCs w:val="22"/>
          <w:color w:val="auto"/>
        </w:rPr>
      </w:pPr>
      <w:r>
        <w:rPr>
          <w:rFonts w:ascii="Arial" w:cs="Arial" w:eastAsia="Arial" w:hAnsi="Arial"/>
          <w:sz w:val="18"/>
          <w:szCs w:val="18"/>
          <w:color w:val="auto"/>
        </w:rPr>
        <w:t>providing for a classified board of directors with staggered, three-year terms;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3"/>
        </w:numPr>
        <w:rPr>
          <w:rFonts w:ascii="MS PGothic" w:cs="MS PGothic" w:eastAsia="MS PGothic" w:hAnsi="MS PGothic"/>
          <w:sz w:val="22"/>
          <w:szCs w:val="22"/>
          <w:color w:val="auto"/>
        </w:rPr>
      </w:pPr>
      <w:r>
        <w:rPr>
          <w:rFonts w:ascii="Arial" w:cs="Arial" w:eastAsia="Arial" w:hAnsi="Arial"/>
          <w:sz w:val="18"/>
          <w:szCs w:val="18"/>
          <w:color w:val="auto"/>
        </w:rPr>
        <w:t>not providing for cumulative voting in the election of directors;</w:t>
      </w:r>
    </w:p>
    <w:p>
      <w:pPr>
        <w:spacing w:after="0" w:line="231" w:lineRule="exact"/>
        <w:rPr>
          <w:rFonts w:ascii="MS PGothic" w:cs="MS PGothic" w:eastAsia="MS PGothic" w:hAnsi="MS PGothic"/>
          <w:sz w:val="22"/>
          <w:szCs w:val="22"/>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prohibiting stockholder action by written consent;</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limiting the persons who may call special meetings of stockholders;</w:t>
      </w:r>
    </w:p>
    <w:p>
      <w:pPr>
        <w:spacing w:after="0" w:line="252" w:lineRule="exact"/>
        <w:rPr>
          <w:rFonts w:ascii="MS PGothic" w:cs="MS PGothic" w:eastAsia="MS PGothic" w:hAnsi="MS PGothic"/>
          <w:sz w:val="18"/>
          <w:szCs w:val="18"/>
          <w:color w:val="auto"/>
        </w:rPr>
      </w:pPr>
    </w:p>
    <w:p>
      <w:pPr>
        <w:ind w:left="980" w:hanging="324"/>
        <w:spacing w:after="0"/>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requiring advance notification of stockholder nominations and proposals; and</w:t>
      </w:r>
    </w:p>
    <w:p>
      <w:pPr>
        <w:spacing w:after="0" w:line="252" w:lineRule="exact"/>
        <w:rPr>
          <w:rFonts w:ascii="MS PGothic" w:cs="MS PGothic" w:eastAsia="MS PGothic" w:hAnsi="MS PGothic"/>
          <w:sz w:val="18"/>
          <w:szCs w:val="18"/>
          <w:color w:val="auto"/>
        </w:rPr>
      </w:pPr>
    </w:p>
    <w:p>
      <w:pPr>
        <w:ind w:left="980" w:hanging="324"/>
        <w:spacing w:after="0" w:line="277" w:lineRule="auto"/>
        <w:tabs>
          <w:tab w:leader="none" w:pos="980" w:val="left"/>
        </w:tabs>
        <w:numPr>
          <w:ilvl w:val="0"/>
          <w:numId w:val="23"/>
        </w:numPr>
        <w:rPr>
          <w:rFonts w:ascii="MS PGothic" w:cs="MS PGothic" w:eastAsia="MS PGothic" w:hAnsi="MS PGothic"/>
          <w:sz w:val="18"/>
          <w:szCs w:val="18"/>
          <w:color w:val="auto"/>
        </w:rPr>
      </w:pPr>
      <w:r>
        <w:rPr>
          <w:rFonts w:ascii="Arial" w:cs="Arial" w:eastAsia="Arial" w:hAnsi="Arial"/>
          <w:sz w:val="18"/>
          <w:szCs w:val="18"/>
          <w:color w:val="auto"/>
        </w:rPr>
        <w:t>change of control provisions in our stock incentive plans, and the individual stock option agreements, which provide that a change of control may accelerate the vesting of the stock options and equity awards issued under such plans.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we are governed by the provisions of Section 203 of the Delaware General Corporate Law.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84" w:lineRule="exact"/>
        <w:rPr>
          <w:sz w:val="20"/>
          <w:szCs w:val="20"/>
          <w:color w:val="auto"/>
        </w:rPr>
      </w:pPr>
    </w:p>
    <w:p>
      <w:pPr>
        <w:ind w:left="140" w:right="140" w:hanging="161"/>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a forum selection clause, which could limit our stockholders' ability to obtain a favorable judicial forum for disputes with us.</w:t>
      </w:r>
    </w:p>
    <w:p>
      <w:pPr>
        <w:spacing w:after="0" w:line="170" w:lineRule="exact"/>
        <w:rPr>
          <w:sz w:val="20"/>
          <w:szCs w:val="20"/>
          <w:color w:val="auto"/>
        </w:rPr>
      </w:pPr>
    </w:p>
    <w:p>
      <w:pPr>
        <w:jc w:val="both"/>
        <w:ind w:firstLine="643"/>
        <w:spacing w:after="0" w:line="268" w:lineRule="auto"/>
        <w:rPr>
          <w:sz w:val="20"/>
          <w:szCs w:val="20"/>
          <w:color w:val="auto"/>
        </w:rPr>
      </w:pPr>
      <w:r>
        <w:rPr>
          <w:rFonts w:ascii="Arial" w:cs="Arial" w:eastAsia="Arial" w:hAnsi="Arial"/>
          <w:sz w:val="17"/>
          <w:szCs w:val="17"/>
          <w:color w:val="auto"/>
        </w:rPr>
        <w:t>Our Amended and Restated Certificate of Incorporation provides that, 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arising pursuant to any provision of the Delaware General Corporation Law or the Company's Amended and Restated Certificate of Incorporation or By-laws, or (iv) any action asserting a claim against the Company governed by the internal affairs doctrine. This exclusive forum provision will not apply to claims under the Securities Exchange Act of 1934 but will apply to other state and federal law claims including actions arising under the Securities Act of 1933 (although our stockholders will not be deemed to have waived our compliance with the federal securities laws and the rules and regulations thereunder). Section 22 of the Securities Act of 1933, however, creates concurrent jurisdiction for federal and state courts over all suits brought to enforce any duty or liability created by the Securities Act of 1933 or the rules and regulations thereunder. Accordingly, there is uncertainty as to whether a court would enforce such a forum selection provision as written in connection with claims arising under the Securities Act of 1933. This forum selection provision in our Amended and Restated Certificate of Incorporation may limit our stockholders' ability to obtain a favorable judicial forum for disputes with us. It is also possible that a court could rule that such a provision is inapplicable or unenforceable.</w:t>
      </w:r>
    </w:p>
    <w:p>
      <w:pPr>
        <w:sectPr>
          <w:pgSz w:w="11900" w:h="16838" w:orient="portrait"/>
          <w:cols w:equalWidth="0" w:num="1">
            <w:col w:w="11240"/>
          </w:cols>
          <w:pgMar w:left="320" w:top="125" w:right="339" w:bottom="1440" w:gutter="0" w:footer="0" w:header="0"/>
        </w:sectPr>
      </w:pP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We maintain manufacturing, research and development, sales and administrative offices in the U.S., China and Taiwan. Our corporate headquarters is located at our facility in Sugar Land, Texas. The table below provides information regarding our facilities.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0"/>
              </w:rPr>
              <w:t>Owned or Lease</w:t>
            </w:r>
          </w:p>
        </w:tc>
        <w:tc>
          <w:tcPr>
            <w:tcW w:w="100" w:type="dxa"/>
            <w:vAlign w:val="bottom"/>
          </w:tcPr>
          <w:p>
            <w:pPr>
              <w:spacing w:after="0"/>
              <w:rPr>
                <w:sz w:val="18"/>
                <w:szCs w:val="18"/>
                <w:color w:val="auto"/>
              </w:rPr>
            </w:pPr>
          </w:p>
        </w:tc>
        <w:tc>
          <w:tcPr>
            <w:tcW w:w="1680" w:type="dxa"/>
            <w:vAlign w:val="bottom"/>
            <w:gridSpan w:val="2"/>
          </w:tcPr>
          <w:p>
            <w:pPr>
              <w:ind w:left="280"/>
              <w:spacing w:after="0"/>
              <w:rPr>
                <w:sz w:val="20"/>
                <w:szCs w:val="20"/>
                <w:color w:val="auto"/>
              </w:rPr>
            </w:pPr>
            <w:r>
              <w:rPr>
                <w:rFonts w:ascii="Arial" w:cs="Arial" w:eastAsia="Arial" w:hAnsi="Arial"/>
                <w:sz w:val="18"/>
                <w:szCs w:val="18"/>
                <w:b w:val="1"/>
                <w:bCs w:val="1"/>
                <w:color w:val="auto"/>
              </w:rPr>
              <w:t>Approximate</w:t>
            </w:r>
          </w:p>
        </w:tc>
        <w:tc>
          <w:tcPr>
            <w:tcW w:w="5620" w:type="dxa"/>
            <w:vAlign w:val="bottom"/>
          </w:tcPr>
          <w:p>
            <w:pPr>
              <w:spacing w:after="0"/>
              <w:rPr>
                <w:sz w:val="18"/>
                <w:szCs w:val="18"/>
                <w:color w:val="auto"/>
              </w:rPr>
            </w:pPr>
          </w:p>
        </w:tc>
      </w:tr>
      <w:tr>
        <w:trPr>
          <w:trHeight w:val="234"/>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Square Footage</w:t>
            </w:r>
          </w:p>
        </w:tc>
        <w:tc>
          <w:tcPr>
            <w:tcW w:w="100" w:type="dxa"/>
            <w:vAlign w:val="bottom"/>
          </w:tcPr>
          <w:p>
            <w:pPr>
              <w:spacing w:after="0"/>
              <w:rPr>
                <w:sz w:val="20"/>
                <w:szCs w:val="20"/>
                <w:color w:val="auto"/>
              </w:rPr>
            </w:pPr>
          </w:p>
        </w:tc>
        <w:tc>
          <w:tcPr>
            <w:tcW w:w="5620" w:type="dxa"/>
            <w:vAlign w:val="bottom"/>
            <w:tcBorders>
              <w:bottom w:val="single" w:sz="8" w:color="auto"/>
            </w:tcBorders>
          </w:tcPr>
          <w:p>
            <w:pPr>
              <w:ind w:left="2680"/>
              <w:spacing w:after="0"/>
              <w:rPr>
                <w:sz w:val="20"/>
                <w:szCs w:val="20"/>
                <w:color w:val="auto"/>
              </w:rPr>
            </w:pPr>
            <w:r>
              <w:rPr>
                <w:rFonts w:ascii="Arial" w:cs="Arial" w:eastAsia="Arial" w:hAnsi="Arial"/>
                <w:sz w:val="18"/>
                <w:szCs w:val="18"/>
                <w:b w:val="1"/>
                <w:bCs w:val="1"/>
                <w:color w:val="auto"/>
              </w:rPr>
              <w:t>Use</w:t>
            </w:r>
          </w:p>
        </w:tc>
      </w:tr>
      <w:tr>
        <w:trPr>
          <w:trHeight w:val="210"/>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Sugar Land, Texas</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0" w:lineRule="exact"/>
              <w:rPr>
                <w:sz w:val="20"/>
                <w:szCs w:val="20"/>
                <w:color w:val="auto"/>
              </w:rPr>
            </w:pPr>
            <w:r>
              <w:rPr>
                <w:rFonts w:ascii="Arial" w:cs="Arial" w:eastAsia="Arial" w:hAnsi="Arial"/>
                <w:sz w:val="15"/>
                <w:szCs w:val="15"/>
                <w:color w:val="auto"/>
              </w:rPr>
              <w:t xml:space="preserve">Owned </w:t>
            </w:r>
            <w:r>
              <w:rPr>
                <w:rFonts w:ascii="Arial" w:cs="Arial" w:eastAsia="Arial" w:hAnsi="Arial"/>
                <w:sz w:val="24"/>
                <w:szCs w:val="24"/>
                <w:color w:val="auto"/>
                <w:vertAlign w:val="superscript"/>
              </w:rPr>
              <w:t>(1)</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139,450</w:t>
            </w: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216"/>
        </w:trPr>
        <w:tc>
          <w:tcPr>
            <w:tcW w:w="1700" w:type="dxa"/>
            <w:vAlign w:val="bottom"/>
            <w:gridSpan w:val="2"/>
          </w:tcPr>
          <w:p>
            <w:pPr>
              <w:spacing w:after="0"/>
              <w:rPr>
                <w:sz w:val="20"/>
                <w:szCs w:val="20"/>
                <w:color w:val="auto"/>
              </w:rPr>
            </w:pPr>
            <w:r>
              <w:rPr>
                <w:rFonts w:ascii="Arial" w:cs="Arial" w:eastAsia="Arial" w:hAnsi="Arial"/>
                <w:sz w:val="18"/>
                <w:szCs w:val="18"/>
                <w:color w:val="auto"/>
              </w:rPr>
              <w:t>Ningbo, China</w:t>
            </w:r>
          </w:p>
        </w:tc>
        <w:tc>
          <w:tcPr>
            <w:tcW w:w="120" w:type="dxa"/>
            <w:vAlign w:val="bottom"/>
          </w:tcPr>
          <w:p>
            <w:pPr>
              <w:spacing w:after="0"/>
              <w:rPr>
                <w:sz w:val="18"/>
                <w:szCs w:val="18"/>
                <w:color w:val="auto"/>
              </w:rPr>
            </w:pPr>
          </w:p>
        </w:tc>
        <w:tc>
          <w:tcPr>
            <w:tcW w:w="2020" w:type="dxa"/>
            <w:vAlign w:val="bottom"/>
          </w:tcPr>
          <w:p>
            <w:pPr>
              <w:jc w:val="center"/>
              <w:spacing w:after="0" w:line="216" w:lineRule="exact"/>
              <w:rPr>
                <w:sz w:val="20"/>
                <w:szCs w:val="20"/>
                <w:color w:val="auto"/>
              </w:rPr>
            </w:pPr>
            <w:r>
              <w:rPr>
                <w:rFonts w:ascii="Arial" w:cs="Arial" w:eastAsia="Arial" w:hAnsi="Arial"/>
                <w:sz w:val="16"/>
                <w:szCs w:val="16"/>
                <w:color w:val="auto"/>
                <w:w w:val="97"/>
              </w:rPr>
              <w:t xml:space="preserve">Owned </w:t>
            </w:r>
            <w:r>
              <w:rPr>
                <w:rFonts w:ascii="Arial" w:cs="Arial" w:eastAsia="Arial" w:hAnsi="Arial"/>
                <w:sz w:val="25"/>
                <w:szCs w:val="25"/>
                <w:color w:val="auto"/>
                <w:w w:val="97"/>
                <w:vertAlign w:val="superscript"/>
              </w:rPr>
              <w:t>(2)</w:t>
            </w:r>
          </w:p>
        </w:tc>
        <w:tc>
          <w:tcPr>
            <w:tcW w:w="1780" w:type="dxa"/>
            <w:vAlign w:val="bottom"/>
            <w:gridSpan w:val="3"/>
          </w:tcPr>
          <w:p>
            <w:pPr>
              <w:jc w:val="right"/>
              <w:ind w:right="100"/>
              <w:spacing w:after="0"/>
              <w:rPr>
                <w:sz w:val="20"/>
                <w:szCs w:val="20"/>
                <w:color w:val="auto"/>
              </w:rPr>
            </w:pPr>
            <w:r>
              <w:rPr>
                <w:rFonts w:ascii="Arial" w:cs="Arial" w:eastAsia="Arial" w:hAnsi="Arial"/>
                <w:sz w:val="18"/>
                <w:szCs w:val="18"/>
                <w:color w:val="auto"/>
              </w:rPr>
              <w:t>458,849</w:t>
            </w:r>
          </w:p>
        </w:tc>
        <w:tc>
          <w:tcPr>
            <w:tcW w:w="5620" w:type="dxa"/>
            <w:vAlign w:val="bottom"/>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216"/>
        </w:trPr>
        <w:tc>
          <w:tcPr>
            <w:tcW w:w="1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Taipei, Taiwan</w:t>
            </w:r>
          </w:p>
        </w:tc>
        <w:tc>
          <w:tcPr>
            <w:tcW w:w="12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line="216" w:lineRule="exact"/>
              <w:rPr>
                <w:sz w:val="20"/>
                <w:szCs w:val="20"/>
                <w:color w:val="auto"/>
              </w:rPr>
            </w:pPr>
            <w:r>
              <w:rPr>
                <w:rFonts w:ascii="Arial" w:cs="Arial" w:eastAsia="Arial" w:hAnsi="Arial"/>
                <w:sz w:val="16"/>
                <w:szCs w:val="16"/>
                <w:color w:val="auto"/>
              </w:rPr>
              <w:t xml:space="preserve">May 31, 2029 </w:t>
            </w:r>
            <w:r>
              <w:rPr>
                <w:rFonts w:ascii="Arial" w:cs="Arial" w:eastAsia="Arial" w:hAnsi="Arial"/>
                <w:sz w:val="25"/>
                <w:szCs w:val="25"/>
                <w:color w:val="auto"/>
                <w:vertAlign w:val="superscript"/>
              </w:rPr>
              <w:t>(3)</w:t>
            </w:r>
          </w:p>
        </w:tc>
        <w:tc>
          <w:tcPr>
            <w:tcW w:w="1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268,797</w:t>
            </w: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Administration, sales, manufacturing, research and development</w:t>
            </w:r>
          </w:p>
        </w:tc>
      </w:tr>
      <w:tr>
        <w:trPr>
          <w:trHeight w:val="54"/>
        </w:trPr>
        <w:tc>
          <w:tcPr>
            <w:tcW w:w="1120" w:type="dxa"/>
            <w:vAlign w:val="bottom"/>
            <w:tcBorders>
              <w:bottom w:val="single" w:sz="8" w:color="auto"/>
            </w:tcBorders>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20" w:type="dxa"/>
            <w:vAlign w:val="bottom"/>
          </w:tcPr>
          <w:p>
            <w:pPr>
              <w:spacing w:after="0"/>
              <w:rPr>
                <w:sz w:val="4"/>
                <w:szCs w:val="4"/>
                <w:color w:val="auto"/>
              </w:rPr>
            </w:pPr>
          </w:p>
        </w:tc>
      </w:tr>
    </w:tbl>
    <w:p>
      <w:pPr>
        <w:spacing w:after="0" w:line="40" w:lineRule="exact"/>
        <w:rPr>
          <w:sz w:val="20"/>
          <w:szCs w:val="20"/>
          <w:color w:val="auto"/>
        </w:rPr>
      </w:pPr>
    </w:p>
    <w:p>
      <w:pPr>
        <w:ind w:left="340" w:hanging="278"/>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manufacture laser chips (utilizing our MBE and MOCVD process), subassemblies and components in our Sugar Land, Texas facility.</w:t>
      </w:r>
    </w:p>
    <w:p>
      <w:pPr>
        <w:spacing w:after="0" w:line="225" w:lineRule="exact"/>
        <w:rPr>
          <w:rFonts w:ascii="Arial" w:cs="Arial" w:eastAsia="Arial" w:hAnsi="Arial"/>
          <w:sz w:val="18"/>
          <w:szCs w:val="18"/>
          <w:color w:val="auto"/>
        </w:rPr>
      </w:pPr>
    </w:p>
    <w:p>
      <w:pPr>
        <w:jc w:val="both"/>
        <w:ind w:left="340" w:hanging="278"/>
        <w:spacing w:after="0" w:line="255"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our China facility, we manufacture certain more labor intensive components and optical equipment systems, such as optical subassemblies and transceivers for the internet data center market, CATV transmitters (at the headend) and CATV outdoor equipment (at the node). Our China subsidiary acquired the land use rights to the real property on which our current facility is located from the Chinese government. Such land use rights expire on October 7, 2054. Our China subsidiary owns the facility located on such real property. Our China subsidiary also obtained from the Chinese government the land use rights to a second real property located within a close proximity to our current facility. The land use rights for the second real property expire on December 28, 2067.</w:t>
      </w:r>
    </w:p>
    <w:p>
      <w:pPr>
        <w:spacing w:after="0" w:line="192" w:lineRule="exact"/>
        <w:rPr>
          <w:rFonts w:ascii="Arial" w:cs="Arial" w:eastAsia="Arial" w:hAnsi="Arial"/>
          <w:sz w:val="18"/>
          <w:szCs w:val="18"/>
          <w:color w:val="auto"/>
        </w:rPr>
      </w:pPr>
    </w:p>
    <w:p>
      <w:pPr>
        <w:jc w:val="both"/>
        <w:ind w:left="340" w:hanging="278"/>
        <w:spacing w:after="0" w:line="311"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our Taiwan location, we manufacture optical components, such as our butterfly lasers, which incorporate laser chips, subassemblies and components manufactured within our Sugar Land facility. In addition, in our Taiwan location, we manufacture transceivers for the internet data center market, telecom, FTTH and other markets. The lease covering the Taiwan facility commenced on June 1, 2014 and expires on May 31, 2029.</w:t>
      </w:r>
    </w:p>
    <w:p>
      <w:pPr>
        <w:spacing w:after="0" w:line="14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information set forth under Note T "Contingencies" included in Part II, Item 8 of this Form 10-K, is incorporated herein by reference. For an additional discussion of certain risks associated with legal proceedings, see "Risk Factors" above.</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September 26, 2013, our common stock began to trade on the NASDAQ Global Market under the symbol “AAOI”. Prior to that time, there was no public market for our common stock. As of February 20, 2021 there were 36 holders of record of our common stock (not including beneficial holders of our common stock holding in street name).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compensation plan information refer to Item 12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never declared or paid any cash dividends on our capital stock, and we do not anticipate paying any cash dividends on our common stock for the foreseeable future. We currently intend to retain all available funds and future earnings for use in the operation and expansion of our business. Any future determination to pay cash dividends will be at the discretion of our board of directors and will depend upon our financial condition, results of operations, terms of financing arrangements, applicable Delaware law, capital requirements and such other factors as our board of directors deems relevant. In addition, the terms of our loan agreements governing our long-term debt obligations restricts us from paying dividends.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consolidated financial statements and the accompanying notes appearing elsewhere in this Form 10-K. This discussion and other parts of this Form 10-K contain forward-looking statements that involve risks and uncertainties, such as statements of our plans, objectives, expectations and intentions. Our actual results could differ materially from those discussed in the forward-looking statements. Factors that could cause or contribute to such differences include, but are not limited to, those discussed in “Risk Factors.” This section generally discusses the results of our operations for the year ended December 31, 2021 compared to the year ended December 31, 2020. For a discussion of the year ended December 31, 2020 compared to the year ended December 31, 2019, please refer to Part II, Item 7, "Management's Discussion and Analysis of Financial Condition and Result of Operations" in our Annual Report on Form 10-K for the year ended December 31, 2020, as amended.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a leading, vertically integrated provider of fiber-optic networking products. We target four networking end-markets: internet data centers, CATV, telecom and FTTH. We design and manufacture a range of optical communications products at varying levels of integration, from components, subassemblies and modules to complete turn-key equipment. In designing products for our customers, we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Our vertically integrated manufacturing model provides us several advantages, including rapid product development, fast response times to customer requests and control over product quality and manufacturing costs.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copper cables, particularly as speeds reach 10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and the outsourcing of system design among CATV networking equipment companies. In the FTTH market, we benefit from continuing PON deployments and system upgrades among telecom service providers. In the telecom market, we benefit from deployment of new high-speed fiber-optic networks by telecom network operators, including 5G networks.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2021, 2020 and 2019, our revenue was $211.57 million, $234.6 million, and $190.9 million and our gross margin was 17.8%, 21.5%, and 24.2%. We have grown our annual revenue at a compound annual growth rate, or CAGR, of 16.0% between 2011 and 2021. In the years ended December 31, 2021, 2020 and 2019, we had net loss of $53.7 million, $58.5 million, and $66.0 million, respectively. At December 31, 2021 and 2020, our accumulated deficit was $142.2 million and $88.5 million, respectively. In 2021, we earned 46.1% of our total revenue from the internet data center market, and 44.6% of our total revenue from the CATV market.</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sell our products to leading OEMs in the CATV, telecom, and FTTH markets as well as internet data center operators. In 2021, revenue from the internet data center market, CATV market, telecom market and FTTH markets provided 46.1%, 44.6%, 7.7%, and 0.5% of our revenue, respectively, compared to73.9%, 16.2%, 9.0%, and 0.0% of our 2020 revenue, respectively. In 2021, our key customers in the data center market included, Microsoft, a US based large datacenter operator and a US based NEM company. In 2021, 2020, and 2019, Microsoft accounted for 25.6%, 38.3%, and 32.2% of our revenue, the US based large datacenter operator accounted for 8.3%. 8.0%, and 0.4% of our revenue, and the US based NEM company accounted for 7.2%, 7.9% and 1.6% of our revenue, respectively. In 2021, our key customers in the CATV market included ATX, Cisco, and CommScope. In 2021, 2020 and 2019, ATX accounted for 25.6%, 3.7% and 0% of our revenue, Cisco accounted for 11.9%, 7.5%, and 10.0% of our revenue, and CommScope accounted for 3.3%, 2.1%, and 3.7% of our revenue, respectively.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2021, our revenue decrease of 9.8% over the prior-year was driven primarily by decreased demand for the datacenter products; this slowdown was related to inventory normalization following the surge in demand that was driven by the shift to working from home in 2020. We believe datacenter demand will improve in 2022. The decreased demand for datacenter products was offset by increased demand for CATV products from several existing customers. The increase in demand from CATV multiple-system operators ("MSOs") resulted in strong demand for our CATV products, especially those products that are related to architecture improvements to enable delivery of additional bandwidth to consumers. This increase in bandwidth demand is particularly acute in the upstream direction, and sales of products associated with increased return-path bandwidth were notably strong in the fourth quarter. Based on forecasts and current order bookings, we believe that this CATV demand will likely continue through 2022.</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expect continued sales of our 40 Gbps and 100 Gbps products in 2022, and we expect that sales of 100 Gbps products will likely exceed sales of 40 Gbps products. However, quarter-to-quarter results may show considerable variability as is usual in a period of technology transition. Similar to revenue, our gross margins can fluctuate materially depending on a variety of factors including average selling price changes, product mix, global supply chain situation, raw material cost reduction or increase, manufacturing utilization rate and changes in manufacturing efficiency. Furthermore, we are continuing to monitor and assess the effects of the coronavirus outbreak on our commercial and manufacturing operations, including any impact on our revenue in 2022.</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performance and price. Our strategy is to use our direct sales force to sell to key accounts and to expand our use of distributors for increased coverage in certain international markets and certain domestic market segments. We have direct sales personnel that cover the U.S., Taiwan and China focusing primarily on major OEM customers and internet data center operators. Throughout our sales cycle, we work closely with our customers to qualify our products into their product lines. As a result, we strive to build strategic and long-lasting customer relationships and deliver products that are customized to our customers’ requirements.</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spacing w:after="0" w:line="19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2021, 2020 and 2019, we had 20, 30, and 31 design wins, respectively. We define a design win as the successful completion of the evaluation stage, where our customer has tested our product, verified that our product meets substantially all of their requirements and has informed us that they intend to purchase the product from us. Although we believe that our ability to obtain design wins is a key strength and can provide meaningful and recurring revenue, an increase or decrease in the mere number of design wins does not necessarily correlate to a likely increase or decrease in revenue, particularly in the short term. As such, the number of design wins we achieve on a quarterly or annual basis and any increase or decrease in design wins will not necessarily result in a corresponding increase or decrease in revenue in the same or immediately succeeding quarter or year. For example, if our total number of design wins in an annual or quarterly period increases or decreases compared to the total number of design wins in a prior period, this does not necessarily mean that our revenue in such period will be higher or lower than our revenue in the prior period. In fact, our experience is that some design wins result in significant revenue and some do not, and the timing of such revenue is difficult to predict as it depends on the success of the end customer’s product that uses our components. Thus, some design wins result in orders and significant revenue shortly after the design win is awarded and other design wins do not result in significant orders and revenue for several months or longer after the initial design win (if at all). We do believe that over a period of years the collective impact of design wins correlates to our overall revenue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risks and uncertainties as a result of the COVID-19 pandemic. The extent of the impact of the COVID-19 pandemic on our business is highly uncertain and difficult to predict as COVID-19 continues to spread around the world. In March 2020, we instituted travel restrictions and implemented sanitation and disinfection procedures to safeguard the health and safety of our employees which continue today. Recently, we began allowing certain employee travel, but continue strict sanitation procedures in our facilities. With increased vaccinations and the potential reduction of infections, we implemented procedures for a safe return to the office environment for all of our employees. However, even with these precautions, it is not possible to eliminate the risk of a widespread outbreak among our employees and if such an outbreak were to occur, it would likely have a negative impact on our business, results of operations and our financial condition.</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spread of COVID-19 may still impact our supply chain operations through restrictions, reduced capacity and shutdown of business activities by suppliers whom we rely on for sourcing components and materials and third-party partners whom we rely on for manufacturing, warehousing and logistics services. The extent to which the COVID-19 pandemic may materially impact our financial condition, liquidity or results of operations is uncertain.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 xml:space="preserve">Increasing Consumer Demand for Bandwidth. </w:t>
      </w:r>
      <w:r>
        <w:rPr>
          <w:rFonts w:ascii="Arial" w:cs="Arial" w:eastAsia="Arial" w:hAnsi="Arial"/>
          <w:sz w:val="16"/>
          <w:szCs w:val="16"/>
          <w:color w:val="auto"/>
        </w:rPr>
        <w:t>Bandwidth demand in all of our target markets is driving service provider investment in new</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and in turn generating demand for our products. Increasingly, optical networking technologies are being incorporated into networking equipment, replacing legacy copper-based networking technologies. This shift to optical networking solutions benefits us as a provider of those solutions.</w:t>
      </w:r>
    </w:p>
    <w:p>
      <w:pPr>
        <w:spacing w:after="0" w:line="14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Pricing, Product Cost and Margins. </w:t>
      </w:r>
      <w:r>
        <w:rPr>
          <w:rFonts w:ascii="Arial" w:cs="Arial" w:eastAsia="Arial" w:hAnsi="Arial"/>
          <w:sz w:val="17"/>
          <w:szCs w:val="17"/>
          <w:color w:val="auto"/>
        </w:rPr>
        <w:t>Our products are sold in a highly competitive marketplace, and in many cases our products are only</w:t>
      </w:r>
      <w:r>
        <w:rPr>
          <w:rFonts w:ascii="Arial" w:cs="Arial" w:eastAsia="Arial" w:hAnsi="Arial"/>
          <w:sz w:val="17"/>
          <w:szCs w:val="17"/>
          <w:i w:val="1"/>
          <w:iCs w:val="1"/>
          <w:color w:val="auto"/>
        </w:rPr>
        <w:t xml:space="preserve"> </w:t>
      </w:r>
      <w:r>
        <w:rPr>
          <w:rFonts w:ascii="Arial" w:cs="Arial" w:eastAsia="Arial" w:hAnsi="Arial"/>
          <w:sz w:val="17"/>
          <w:szCs w:val="17"/>
          <w:color w:val="auto"/>
        </w:rPr>
        <w:t>minimally differentiated from those of our competitors. In addition, our sales are heavily concentrated with a small number of end customers. As a result, there is strong pricing pressure across many of our product lines. We have addressed this strong pressure in several ways:</w:t>
      </w:r>
    </w:p>
    <w:p>
      <w:pPr>
        <w:spacing w:after="0" w:line="165" w:lineRule="exact"/>
        <w:rPr>
          <w:sz w:val="20"/>
          <w:szCs w:val="20"/>
          <w:color w:val="auto"/>
        </w:rPr>
      </w:pPr>
    </w:p>
    <w:p>
      <w:pPr>
        <w:jc w:val="both"/>
        <w:ind w:left="1300" w:hanging="320"/>
        <w:spacing w:after="0" w:line="263" w:lineRule="auto"/>
        <w:tabs>
          <w:tab w:leader="none" w:pos="13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Lowering our material costs. In some cases, we are able to negotiate more favorable pricing from our raw material suppliers. Also, where feasible, we are often able to develop internal production for certain materials that were previously purchased from other companies. This generally has resulted in lower material costs for us.</w:t>
      </w:r>
    </w:p>
    <w:p>
      <w:pPr>
        <w:spacing w:after="0" w:line="183" w:lineRule="exact"/>
        <w:rPr>
          <w:rFonts w:ascii="MS PGothic" w:cs="MS PGothic" w:eastAsia="MS PGothic" w:hAnsi="MS PGothic"/>
          <w:sz w:val="18"/>
          <w:szCs w:val="18"/>
          <w:color w:val="auto"/>
        </w:rPr>
      </w:pPr>
    </w:p>
    <w:p>
      <w:pPr>
        <w:jc w:val="both"/>
        <w:ind w:left="1300" w:hanging="320"/>
        <w:spacing w:after="0" w:line="259" w:lineRule="auto"/>
        <w:tabs>
          <w:tab w:leader="none" w:pos="13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Enhancing the efficiency of our production process. We have been able to automate many of our production processes, which often results in lower labor costs and reduced scrap or rework rates, both of which lower our production cost. In some cases, we have been able to redesign our products to make them less complex to manufacture, and when possible during these redesigns we also incorporate lower cost raw materials.</w:t>
      </w:r>
    </w:p>
    <w:p>
      <w:pPr>
        <w:spacing w:after="0" w:line="186" w:lineRule="exact"/>
        <w:rPr>
          <w:rFonts w:ascii="MS PGothic" w:cs="MS PGothic" w:eastAsia="MS PGothic" w:hAnsi="MS PGothic"/>
          <w:sz w:val="18"/>
          <w:szCs w:val="18"/>
          <w:color w:val="auto"/>
        </w:rPr>
      </w:pPr>
    </w:p>
    <w:p>
      <w:pPr>
        <w:jc w:val="both"/>
        <w:ind w:left="1300" w:hanging="320"/>
        <w:spacing w:after="0" w:line="257" w:lineRule="auto"/>
        <w:tabs>
          <w:tab w:leader="none" w:pos="1300" w:val="left"/>
        </w:tabs>
        <w:numPr>
          <w:ilvl w:val="0"/>
          <w:numId w:val="25"/>
        </w:numPr>
        <w:rPr>
          <w:rFonts w:ascii="MS PGothic" w:cs="MS PGothic" w:eastAsia="MS PGothic" w:hAnsi="MS PGothic"/>
          <w:sz w:val="18"/>
          <w:szCs w:val="18"/>
          <w:color w:val="auto"/>
        </w:rPr>
      </w:pPr>
      <w:r>
        <w:rPr>
          <w:rFonts w:ascii="Arial" w:cs="Arial" w:eastAsia="Arial" w:hAnsi="Arial"/>
          <w:sz w:val="18"/>
          <w:szCs w:val="18"/>
          <w:color w:val="auto"/>
        </w:rPr>
        <w:t>Introducing new products. In many cases, newly released products have more features and often higher prices compared with older products. By regularly introducing new products, we attempt to minimize the average price reduction we experience. However, we often initially experience lower gross margins on new products, as our pricing is based upon anticipated volume-driven cost reductions over the life of the design win. Thus, if we are unable to realize our expected cost reductions, we may experience declining gross margins on such products.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product pricing is established when the product is initially introduced to the market, and thereafter through periodic negotiations with customers. We generally do not agree to periodic automatic price reductions. Furthermore, due to the dynamics in the CATV market and the value of our outsourced design services to our customers, we believe we face less downward price pressure than many of our competitors in this market. We sell a wide variety of products among our four target markets and our gross margin is heavily dependent in any quarter on the product mix achieved during that period as well as any price changes that we have agreed upon with our customers.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Customer Concentration within End Markets. </w:t>
      </w:r>
      <w:r>
        <w:rPr>
          <w:rFonts w:ascii="Arial" w:cs="Arial" w:eastAsia="Arial" w:hAnsi="Arial"/>
          <w:sz w:val="18"/>
          <w:szCs w:val="18"/>
          <w:color w:val="auto"/>
        </w:rPr>
        <w:t>Historically, our revenue has been significantly concentrated within the data center market,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2021 our revenue now tends to be split between data center market and CATV market. Moreover, within these markets, revenue tends to be concentrated among a small number of customers. In the last couple years, we have taken several actions to increase the diversity of our customer base. These actions include hiring additional sales staff to improve our ability to serve new customers and introduction of new products that we believe will appeal to new customers. Furthermore, we have developed additional original design manufacturer, or ODM, relationships with customers in each of our target markets which should enable us to diversify our revenue base. We had three and two customers that accounted for more than 10% of our revenue in 2021 and 2020, respectively.</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We invest heavily to develop new and innovative products. The majority of our research and development expense is</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to product development, usually with a specific customer and customer platform in mind. We believe our close coordination with our customers regarding their future product requirements enhances the efficiency of our research and development expenditures.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Financial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for the internet data center, CATV, telecom, FTTH and other markets. We derive a significant portion of our revenue from our top ten customers, and we anticipate that we will continue to do so for the foreseeable future. The following chart provides the revenue contribution from each of the markets we serve for the years 2021, 2020 and 2019, as well as the corresponding percentage of our total revenue for each period (in thousands, except percentages):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Market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173,437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143,562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CATV</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94,266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37,328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FTTH</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211,565</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234,623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190,872</w:t>
            </w:r>
          </w:p>
        </w:tc>
      </w:tr>
      <w:tr>
        <w:trPr>
          <w:trHeight w:val="20"/>
        </w:trPr>
        <w:tc>
          <w:tcPr>
            <w:tcW w:w="6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3"/>
              </w:rPr>
              <w:t>Percentage of Revenue</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46.1%</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CATV</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44.6%</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16.2%</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19.6%</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FTTH</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0.5%</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r>
      <w:tr>
        <w:trPr>
          <w:trHeight w:val="20"/>
        </w:trPr>
        <w:tc>
          <w:tcPr>
            <w:tcW w:w="620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24"/>
        </w:trPr>
        <w:tc>
          <w:tcPr>
            <w:tcW w:w="6200" w:type="dxa"/>
            <w:vAlign w:val="bottom"/>
          </w:tcPr>
          <w:p>
            <w:pPr>
              <w:ind w:left="180"/>
              <w:spacing w:after="0"/>
              <w:rPr>
                <w:sz w:val="20"/>
                <w:szCs w:val="20"/>
                <w:color w:val="auto"/>
              </w:rPr>
            </w:pPr>
            <w:r>
              <w:rPr>
                <w:rFonts w:ascii="Arial" w:cs="Arial" w:eastAsia="Arial" w:hAnsi="Arial"/>
                <w:sz w:val="18"/>
                <w:szCs w:val="18"/>
                <w:color w:val="auto"/>
              </w:rPr>
              <w:t>Total Revenue</w:t>
            </w:r>
          </w:p>
        </w:tc>
        <w:tc>
          <w:tcPr>
            <w:tcW w:w="1720" w:type="dxa"/>
            <w:vAlign w:val="bottom"/>
            <w:gridSpan w:val="2"/>
          </w:tcPr>
          <w:p>
            <w:pPr>
              <w:jc w:val="right"/>
              <w:ind w:right="30"/>
              <w:spacing w:after="0"/>
              <w:rPr>
                <w:sz w:val="20"/>
                <w:szCs w:val="20"/>
                <w:color w:val="auto"/>
              </w:rPr>
            </w:pPr>
            <w:r>
              <w:rPr>
                <w:rFonts w:ascii="Arial" w:cs="Arial" w:eastAsia="Arial" w:hAnsi="Arial"/>
                <w:sz w:val="18"/>
                <w:szCs w:val="18"/>
                <w:color w:val="auto"/>
              </w:rPr>
              <w:t>100%</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2021, 2020 and 2019, our top ten customers represented 84.7%, 84.3%, and 88.1% of our revenue, respectively.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Revenue is recognized when obligations under the terms of a contract with our customer are satisfied; generally this occurs with the transfer of control of products or services. Revenue is measured as the amount of consideration we expect to receive in exchange for transferring products or providing services. A majority of our annual sales are denominated in U.S. dollars, but some sales from our Taiwan location and China-based subsidiary are denominated in NT dollars and RMB, respectively. For the year ended December 31, 2021, 46.2% of our total revenue was manufactured at our China-based subsidiary, with $16.6 million denominated in RMB and 46.9% of our total revenue was from products manufactured at our Taiwan-based facility with no revenue denominated in NT dollars. We expect a similar portion of our sales to be denominated in foreign currencies in 2022.</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cost of goods sold is impacted by variances arising from changes in yields and production volume, as well as increases or decreases in the cost of raw materials used in production. We typically experience lower yields and higher associated costs on new products. For our mature products, we can experience lower yields and higher production costs if customer requirements change or if we experience manufacturing difficulties or quality issues during our production process. Notwithstanding the foregoing, however, in general for our mature products our cost of goods sold for a particular product declines over time as a result of increasing efficiencies in the manufacturing processes, or supply cost declines, as well as yield improvements and testing enhancements.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manufacture products in three of our four facilities located in the U.S., Taiwan and China. Generally, laser chips and optical components are manufactured in our Sugar Land facility, optical components and subassemblies are manufactured in our Taiwan facility, and optical components, subassemblies and optical equipment are manufactured in our China facility. Because of our vertical integration model, we generally utilize our own optical component products in our semi-finished and finished goods that we sell between and among our respective manufacturing operations. We base those internal sales upon established transfer pricing methodologies. However, we eliminate all of those internal sales, and cost of goods sold transactions, to arrive at total revenue and cost of goods sold on a consolidated basis.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 global set of suppliers to help balance considerations related to product availability, quality and cost. Components of our cost of goods sold are denominated in U.S. or NT dollars or RMB, depending upon the manufacturing location.</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Gross profit as a percentage of total revenue, or gross margin, has been and is expected to continue to be affected by a variety of factors, including the introduction of new products, production volumes, the mix of products sold, the geographic region in which products are sold, changes in the cost and volumes of materials purchased from our suppliers, changes in labor costs, changes in overhead costs, reserves for excess and obsolete inventories and changes in the average selling prices of our products. Although our overall gross margins over the past three years have been between 17.8% and 24.2%, our gross margins vary more broadly on a product-by-product basis. Our newer and more advanced products typically have higher average selling prices and higher gross margins; however, until the product volumes scale, the gross margin from newer and advanced products may initially be lower. Within our markets, we may sell similar products to different geographic regions at different prices, and therefore realize different gross margins among those similar products. Our strategy is to improve our gross margins through vertical integration such as utilization of our own laser chips and optical sub-components in our solutions. We expect that our gross margins are likely to continue to fluctuate from quarter to quarter because of the variety of products we sell and the relative product mix within a quarter.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operating expenses consist of research and development, sales and marketing, and general and administrative expenses. Personnel costs are the most significant component of operating expenses and include salaries, benefits, bonuses and share-based compensation. With regard to sales and marketing expense, personnel costs also include sales commissions.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Research and development, or R&amp;D, expense consists primarily of personnel costs, including share-based compensation for R&amp;D personnel, and R&amp;D work orders (that include material, direct labor and allocated overhead), as well as allocated development costs, such as engineering services, software and hardware tools, depreciation of capital equipment and facility costs. We record all research and development expense as incurred. Customers rely upon us to assist them with the development of new products and modification of existing products because of our extensive optical design and manufacturing expertise. We work closely with our customers in the critical design phase of product development and are occasionally reimbursed for some of these development efforts. We expect research and development expense to increase on a dollar basis, but will likely decrease as a percentage of our revenue to the extent that revenue increases over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Sales and marketing expense consists primarily of personnel costs, including share-based compensation for our sales and marketing personnel, as well as travel and trade show expense, shipping and tariff expense, sales commissions and the allocation of overall corporate services and facility costs. We sell our products to customers who either incorporate our products into their offering or resell our products to end customers. Because we sell to a limited number of well-established customers, we employ a limited number of sales professionals who are able to cover large markets. We compensate our sales staff through base salary and commissions, with base salary being the largest component of overall compensation. Total sales commissions to employees amounted to less than one percent of our revenue in 2021, 2020 and 2019. Additionally, we pay commissions to third parties on certain product lines and identified customers, which also amounted to less than one percent of our revenue in 2021, 2020 and 2019. As such, our sales and marketing expense does not directly increase with revenue. In the future, we expect sales and marketing expense to increase on a dollar basis as we incrementally increase our overall sales activities, but expect our sales and marketing expense to decline as a percentage of revenue, to the extent our revenue increases over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General and administrative expense consists primarily of personnel costs, including share-based compensation, primarily for our finance, human resources, legal and information technology personnel and certain executive officers, as well as professional services costs related to accounting, tax, banking, legal and information technology services, depreciation of capital equipment and facility costs. We expect general and administrative expense to increase as we continue to grow in both size and complexity as a public company. We expect rising costs including increased audit and legal fees, costs to comply with rules and regulations applicable to companies listed on a national stock exchange, as well as investor relations expense and higher insurance premiums. In the future, we expect general and administrative expense to increase on a dollar basis but to decline as a percentage of revenue, to the extent that our revenue increases over time.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income consists of income earned on our cash, cash equivalents and short-term investments. Interest expense consists of amounts paid for interest on our short-term and long-term debt borrowings, and convertible senior notes.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Other income (expense), net is primarily made up of government subsidized income, extinguishment of debt and foreign currency transaction gains and losses. The functional currency of our China subsidiary is the RMB and the foreign currency transaction gains and losses of our China subsidiary primarily result from their transactions in U.S. dollars. The functional currency of our Taiwan location is the NT dollar and the foreign currency transaction gains and losses of our Taiwan location primarily result from their transactions in U.S. dollars.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 U.S. registered company and are subject to income taxes in the U.S. We also operate in a number of countries throughout the world, including Taiwan and China. Consequently, our effective tax rate is impacted by the geographic distribution of our earnings or losses and the tax laws and regulations in each geographical region. We expect that our income taxes will vary in relation to our profitability and the geographic distribution of our profits. In 2021 our effective tax rate was (0.0%). In 2020 and 2019, our effective tax rate was (14.1%) and (28.5%), respectively.</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wholly owned subsidiary, Global Technology, Inc., has received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was recognized as a national high-tech enterprise in 2008 and was entitled to a 15% tax rate for a three year period. Global renewed its national high-tech enterprise certificate in 2011, 2014, 2017 and 2020, extending its three year tax preferential status through December 2023.</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years ended December 31, 2021 and 2020, we had $0.2 million and $0.2 million, respectively, of unrecognized tax benefits related to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tax benefits recognized for which we do not meet the more likely than not threshold.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O, included in Part II, Item 8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uncertain whether the demand for our internet data center, CATV, telecom and FTTH products is seasonal, as our sales data does not indicate a significant trend with respect to these products. We began to manufacture a meaningful quantity of internet data center and CATV products in our Ningbo, China factory in 2017 and 2020, respectively. This factory experiences a lengthy shut-down associated with the Lunar New Year holiday which occurs in Q1 of each year. In addition to the factory shut-down, it is also common for employees in the factory to fail to return to work following resumption of operations. In the years 2021, 2020, and 2019, the percentage of employees in our China factory who resigned or were terminated during Q1, relative to the average number of employees during the quarter was 101%, 217%, and 122%, respectively. We believe that the turnover in 2020 was higher than usual due to the COVID-19 pandemic which caused travel restrictions, additional health check requirements, and a lengthy shutdown of operations in Ningbo. As a result of employee turnover, we must hire and train replacement employees. These replacement employees require a period of training and improvement, and this impacts the quantity of products we can produce in the quarter. The combined effect of the factory shut-down and employee turnover in the quarter may also contribute to negative seasonality in Q1.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gross margin varies quarter to quarter and varies primarily due to the product mix in a particular quarter, as well as from the level of manufacturing efficiencies, production yields (particularly in the laser chip fabrication process) and overall supply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 forth our results of operations for the periods presented and as a percentage of our revenue for those periods. The period-to-period comparison of our financial results is not necessarily indicative of our financial results to be achieved in future periods.</w:t>
      </w:r>
    </w:p>
    <w:p>
      <w:pPr>
        <w:spacing w:after="0" w:line="166" w:lineRule="exact"/>
        <w:rPr>
          <w:sz w:val="20"/>
          <w:szCs w:val="20"/>
          <w:color w:val="auto"/>
        </w:rPr>
      </w:pPr>
    </w:p>
    <w:p>
      <w:pPr>
        <w:ind w:left="7560"/>
        <w:spacing w:after="0"/>
        <w:rPr>
          <w:sz w:val="20"/>
          <w:szCs w:val="20"/>
          <w:color w:val="auto"/>
        </w:rPr>
      </w:pPr>
      <w:r>
        <w:rPr>
          <w:rFonts w:ascii="Arial" w:cs="Arial" w:eastAsia="Arial" w:hAnsi="Arial"/>
          <w:sz w:val="18"/>
          <w:szCs w:val="18"/>
          <w:b w:val="1"/>
          <w:bCs w:val="1"/>
          <w:color w:val="auto"/>
        </w:rPr>
        <w:t>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r>
      <w:tr>
        <w:trPr>
          <w:trHeight w:val="209"/>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100.0%</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Cost of goods sold</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82.2%</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78.5%</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09"/>
        </w:trPr>
        <w:tc>
          <w:tcPr>
            <w:tcW w:w="61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r>
      <w:tr>
        <w:trPr>
          <w:trHeight w:val="216"/>
        </w:trPr>
        <w:tc>
          <w:tcPr>
            <w:tcW w:w="7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22.7%</w:t>
            </w:r>
          </w:p>
        </w:tc>
      </w:tr>
      <w:tr>
        <w:trPr>
          <w:trHeight w:val="216"/>
        </w:trPr>
        <w:tc>
          <w:tcPr>
            <w:tcW w:w="70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6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21.7%</w:t>
            </w:r>
          </w:p>
        </w:tc>
      </w:tr>
      <w:tr>
        <w:trPr>
          <w:trHeight w:val="20"/>
        </w:trPr>
        <w:tc>
          <w:tcPr>
            <w:tcW w:w="6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09"/>
        </w:trPr>
        <w:tc>
          <w:tcPr>
            <w:tcW w:w="61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44.7%</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42.4%</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9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9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9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9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9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9"/>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9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c>
          <w:tcPr>
            <w:tcW w:w="9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0"/>
        </w:trPr>
        <w:tc>
          <w:tcPr>
            <w:tcW w:w="61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2021 and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2021 and 2020 (in thousands, except percentages):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Years ended December 31,</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rPr>
              <w:t>Change</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 of</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97,461</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173,437</w:t>
            </w:r>
          </w:p>
        </w:tc>
        <w:tc>
          <w:tcPr>
            <w:tcW w:w="1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(75,976)</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CATV</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94,266</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44.6%</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37,944</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148.4%</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1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(4,845)</w:t>
            </w: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color w:val="auto"/>
              </w:rPr>
              <w:t>FTTH</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957</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770.0%</w:t>
            </w:r>
          </w:p>
        </w:tc>
      </w:tr>
      <w:tr>
        <w:trPr>
          <w:trHeight w:val="216"/>
        </w:trPr>
        <w:tc>
          <w:tcPr>
            <w:tcW w:w="20" w:type="dxa"/>
            <w:vAlign w:val="bottom"/>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20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6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29.1%</w:t>
            </w:r>
          </w:p>
        </w:tc>
      </w:tr>
      <w:tr>
        <w:trPr>
          <w:trHeight w:val="20"/>
        </w:trPr>
        <w:tc>
          <w:tcPr>
            <w:tcW w:w="20" w:type="dxa"/>
            <w:vAlign w:val="bottom"/>
          </w:tcPr>
          <w:p>
            <w:pPr>
              <w:spacing w:after="0" w:line="20" w:lineRule="exact"/>
              <w:rPr>
                <w:sz w:val="1"/>
                <w:szCs w:val="1"/>
                <w:color w:val="auto"/>
              </w:rPr>
            </w:pPr>
          </w:p>
        </w:tc>
        <w:tc>
          <w:tcPr>
            <w:tcW w:w="16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6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211,565</w:t>
            </w:r>
          </w:p>
        </w:tc>
        <w:tc>
          <w:tcPr>
            <w:tcW w:w="20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234,623</w:t>
            </w:r>
          </w:p>
        </w:tc>
        <w:tc>
          <w:tcPr>
            <w:tcW w:w="166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(23,058)</w:t>
            </w:r>
          </w:p>
        </w:tc>
        <w:tc>
          <w:tcPr>
            <w:tcW w:w="3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decrease in revenue for the year was driven primarily by decreased demand for the datacenter products; this slowdown was related to inventory normalization following the surge in demand that was driven by the shift to working from home in 2020. We believe datacenter demand will improve in 2022. The decreased demand for datacenter products was offset by increased demand for CATV products from several existing customers. The increase in demand from CATV multiple-system operators ("MSOs") resulted in strong demand for our CATV products, especially those products that are related to architecture improvements to enable delivery of additional bandwidth to consumers. This increase in bandwidth demand is particularly acute in the upstream direction, and sales of products associated with increased return-path bandwidth were notably strong in the quarter. Based on forecasts and current order bookings, we believe that this CATV demand will likely continue through 2022.</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years ended December 31, 2021 and 2020, our top ten customers represented 84.7% and 84.3%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3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200" w:type="dxa"/>
            <w:vAlign w:val="bottom"/>
            <w:gridSpan w:val="2"/>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173,850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184,082</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78.46%  $</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Gross margin</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37,715</w:t>
            </w: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50,541</w:t>
            </w:r>
          </w:p>
        </w:tc>
        <w:tc>
          <w:tcPr>
            <w:tcW w:w="140" w:type="dxa"/>
            <w:vAlign w:val="bottom"/>
          </w:tcPr>
          <w:p>
            <w:pPr>
              <w:spacing w:after="0"/>
              <w:rPr>
                <w:sz w:val="20"/>
                <w:szCs w:val="20"/>
                <w:color w:val="auto"/>
              </w:rPr>
            </w:pPr>
          </w:p>
        </w:tc>
        <w:tc>
          <w:tcPr>
            <w:tcW w:w="1240" w:type="dxa"/>
            <w:vAlign w:val="bottom"/>
            <w:gridSpan w:val="2"/>
          </w:tcPr>
          <w:p>
            <w:pPr>
              <w:ind w:left="560"/>
              <w:spacing w:after="0"/>
              <w:rPr>
                <w:sz w:val="20"/>
                <w:szCs w:val="20"/>
                <w:color w:val="auto"/>
              </w:rPr>
            </w:pPr>
            <w:r>
              <w:rPr>
                <w:rFonts w:ascii="Arial" w:cs="Arial" w:eastAsia="Arial" w:hAnsi="Arial"/>
                <w:sz w:val="18"/>
                <w:szCs w:val="18"/>
                <w:color w:val="auto"/>
              </w:rPr>
              <w:t>21.54%</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Cost of goods sold decreased by $10.2 million, or 5.6%, from 2020 to 2021, primarily due to a 9.8% decrease in sales over the prior year. The decrease in gross margin for the year ended December 31, 2021 compared to the same period ended December 31, 2020 was primarily the result of changes in the mix of datacenter and CATV products. In particular, we saw an increase in sales of certain CATV products relative to sales of transceivers. In addition, we experienced higher costs of certain raw materials and global supply chain disruptions due to COVID-19 closures of ports and factories in Asia (see the section above on the COVID-19 pandemic for more details of these challenges).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43,393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14,087</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(3,188)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41,903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459</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94,481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99,383</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42.4%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(4,902)</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 decreased $2.2 million, or 5.0% from 2020 and 2021. Research and development costs consist of R&amp;D work orders, R&amp;D material usage and other project related costs related to 100 Gbps, 200/400 Gbps data center products, DOCSIS 3.1 capable CATV products, including remote-PHY products and 1.2 GHz-capable amplifier products, and other new product development, and depreciation expense resulting from R&amp;D equipment investments. These decreases were primarily due to decrease in personnel-related costs, and share-based compensation expense. These decreases were partically offset by an increase in sale and use tax on R&amp;D purchase.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 decreased by $3.2 million, or 22.6%, from 2020 to 2021. These decreases were primarily due to decrease in shipping and handling charges and tradeshow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 increased by $0.5 million, or 1.1%, from 2020 to 2021. These increases were primarily due to an increase in depreciation expense and expenses related to winter storm Uri. These increases were partially offset by a decrease in personnel-related costs and professional service fees.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gridSpan w:val="3"/>
            <w:vMerge w:val="restart"/>
          </w:tcPr>
          <w:p>
            <w:pPr>
              <w:ind w:left="680"/>
              <w:spacing w:after="0"/>
              <w:rPr>
                <w:sz w:val="20"/>
                <w:szCs w:val="20"/>
                <w:color w:val="auto"/>
              </w:rPr>
            </w:pPr>
            <w:r>
              <w:rPr>
                <w:rFonts w:ascii="Arial" w:cs="Arial" w:eastAsia="Arial" w:hAnsi="Arial"/>
                <w:sz w:val="18"/>
                <w:szCs w:val="18"/>
                <w:b w:val="1"/>
                <w:bCs w:val="1"/>
                <w:color w:val="auto"/>
              </w:rPr>
              <w:t>Change</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 of</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(in</w:t>
            </w:r>
          </w:p>
        </w:tc>
        <w:tc>
          <w:tcPr>
            <w:tcW w:w="276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87"/>
              </w:rPr>
              <w:t>thousands, except percentages)</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(5,620)</w:t>
            </w:r>
          </w:p>
        </w:tc>
        <w:tc>
          <w:tcPr>
            <w:tcW w:w="16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(5,635)</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5,158</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2,606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90"/>
              <w:spacing w:after="0"/>
              <w:rPr>
                <w:sz w:val="20"/>
                <w:szCs w:val="20"/>
                <w:color w:val="auto"/>
              </w:rPr>
            </w:pPr>
            <w:r>
              <w:rPr>
                <w:rFonts w:ascii="Arial" w:cs="Arial" w:eastAsia="Arial" w:hAnsi="Arial"/>
                <w:sz w:val="18"/>
                <w:szCs w:val="18"/>
                <w:color w:val="auto"/>
              </w:rPr>
              <w:t>1.2%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(2,382)</w:t>
            </w:r>
          </w:p>
        </w:tc>
        <w:tc>
          <w:tcPr>
            <w:tcW w:w="16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4,988</w:t>
            </w:r>
          </w:p>
        </w:tc>
        <w:tc>
          <w:tcPr>
            <w:tcW w:w="3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(209.4)%</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decreased by $0.2 million, or 72.5% from 2020 to 2021. The changes are similar to expected rates of fluctuation with the interest rates and cash balances.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was comparable between 2020 and 2021 due to comparable debt balances during the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income increased by $5.2 million, or 172.0% from 2020 to 2021.This increases was primarily due to approval by the SBA of the Company's</w:t>
      </w:r>
    </w:p>
    <w:p>
      <w:pPr>
        <w:spacing w:after="0" w:line="46" w:lineRule="exact"/>
        <w:rPr>
          <w:sz w:val="20"/>
          <w:szCs w:val="20"/>
          <w:color w:val="auto"/>
        </w:rPr>
      </w:pPr>
    </w:p>
    <w:p>
      <w:pPr>
        <w:ind w:firstLine="8"/>
        <w:spacing w:after="0" w:line="290" w:lineRule="auto"/>
        <w:tabs>
          <w:tab w:leader="none" w:pos="3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Loan forgiveness application for the entire PPP Loan balance of $6.23 million. This increase was offset with less receipt of government subsidies. In 2020, we received $1.4 million government subsidies associated with COVID-19 pandemic in Taiwan.</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3"/>
          </w:tcPr>
          <w:p>
            <w:pPr>
              <w:jc w:val="right"/>
              <w:ind w:right="750"/>
              <w:spacing w:after="0"/>
              <w:rPr>
                <w:sz w:val="20"/>
                <w:szCs w:val="20"/>
                <w:color w:val="auto"/>
              </w:rPr>
            </w:pPr>
            <w:r>
              <w:rPr>
                <w:rFonts w:ascii="Arial" w:cs="Arial" w:eastAsia="Arial" w:hAnsi="Arial"/>
                <w:sz w:val="18"/>
                <w:szCs w:val="18"/>
                <w:b w:val="1"/>
                <w:bCs w:val="1"/>
                <w:color w:val="auto"/>
                <w:w w:val="89"/>
              </w:rPr>
              <w:t>Years ended December 31,</w:t>
            </w:r>
          </w:p>
        </w:tc>
        <w:tc>
          <w:tcPr>
            <w:tcW w:w="6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18"/>
                <w:szCs w:val="18"/>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196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w w:val="80"/>
              </w:rPr>
              <w:t>except percentages)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(7,228)</w:t>
            </w:r>
          </w:p>
        </w:tc>
        <w:tc>
          <w:tcPr>
            <w:tcW w:w="1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7,226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income tax provision consists of U.S. income tax, state taxes, and Taiwan and China income tax recorded during the periods. Our effective tax rate is affected by recurring items, such as tax rates in state and foreign jurisdictions and the relative amounts of income we earn in those jurisdictions.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no federal tax expense for the year ended December 31, 2021 as compared to $7.2 million for the year ended December 31, 2020. The income tax expense in the year ended December 31, 2021 was primarily related to the state tax provision. The income tax expense recorded in the year ended December 31, 2020 was primarily related to the change of the valuation allowance, deferred tax assets, and the recording of a valuation allowance on Taiwan and China deferred tax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2020 and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generate revenue through the sale of our products to equipment providers and network operators for the internet data center, CATV, FTTH, telecom and other markets. We derive a significant portion of our revenue from our top ten customers, and we anticipate that we will continue to do so for the foreseeable future. The following charts provide the revenue contribution from each of the markets we served for the years ended December 31, 2020 and 2019 (in thousands, except percentages):</w:t>
      </w:r>
    </w:p>
    <w:p>
      <w:pPr>
        <w:spacing w:after="0" w:line="183"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w w:val="99"/>
              </w:rPr>
              <w:t>Years ended December 31,</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rPr>
              <w:t>Change</w:t>
            </w:r>
          </w:p>
        </w:tc>
        <w:tc>
          <w:tcPr>
            <w:tcW w:w="8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173,437</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29,875</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CATV</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37,944</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37,328</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150.2%</w:t>
            </w: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FTTH</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190</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(42.1)%</w:t>
            </w: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8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6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r>
      <w:tr>
        <w:trPr>
          <w:trHeight w:val="20"/>
        </w:trPr>
        <w:tc>
          <w:tcPr>
            <w:tcW w:w="20" w:type="dxa"/>
            <w:vAlign w:val="bottom"/>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234,623</w:t>
            </w:r>
          </w:p>
        </w:tc>
        <w:tc>
          <w:tcPr>
            <w:tcW w:w="1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190,872</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43,751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increase in revenue for the year was driven primarily by increased demand for our 100 Gbps transceivers in our data center market, and laser chips used in the manufacture of transceivers for 5G wireless communications in our telecom market. The increase in 100 Gbps demand includes increased demand from several existing customers, along with new customer additions. We believe that some of this increase is related to increased demand for cloud-based services as a result of a shift to remote-working arrangements in the US and other areas, which in turn caused our customers to increase capacity in their data centers requiring more optical transceivers, especially 100 Gbps transceivers. The increase in 5G-related sales came mainly from customers in China, as wireless operators in that country have begun to deploy advanced 5G mobile networks. The slight increase in revenue for our CATV products is due to increased demand from CATV MSOs as they began to add capacity to their networks. This increase in demand was at least partially attributable to network capacity expansion, particularly in the upstream direction, which is related to changes in network traffic due to increased working from home in the US earlier in the year. Towards the end of 2020, we saw a slow-down in orders from certain customers in our datacenter and telecom markets. We attribute the slowdown in datacenter business to absorption of previously-purchased inventory and in our telecom business to slow-down in the rate of deployment of new 5G mobile networks in China. We believe that both of these effects are temporary and we expect that they should be resolved in 2021.</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years ended December 31, 2020 and 2019, our top ten customers represented 84.3%, and 88.1%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i w:val="1"/>
                <w:iCs w:val="1"/>
                <w:color w:val="auto"/>
              </w:rPr>
              <w:t>Cost of goods sold and gross margin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184,082</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78.46%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144,671</w:t>
            </w:r>
          </w:p>
        </w:tc>
        <w:tc>
          <w:tcPr>
            <w:tcW w:w="14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75.8%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39,411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50,541</w:t>
            </w:r>
          </w:p>
        </w:tc>
        <w:tc>
          <w:tcPr>
            <w:tcW w:w="14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21.54%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46,201</w:t>
            </w: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rPr>
              <w:t>24.2%</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Cost of goods sold increased by $39.4 million, or 27.2%, from 2019 to 2020, primarily due to a 22.9% increase in sales over the prior year. The decrease in gross margin for the year ended December 31, 2020 compared to the same period ended December 31, 2019 was primarily the result of changes in the mix of products within our datacenter segment. In particular, we saw an increase in sales of certain lower-cost 100 Gbps transceivers, designed for shorter reaches within the datacenter, relative to sales of transceivers designed for longer reaches. This product mix resulted in an overall reduction in gross margin. Also contributing to the reduced gross margin was production inefficiencies, and higher costs of certain raw materials.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gridSpan w:val="3"/>
            <w:vMerge w:val="restart"/>
          </w:tcPr>
          <w:p>
            <w:pPr>
              <w:ind w:left="76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ind w:left="220"/>
              <w:spacing w:after="0" w:line="191"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revenue</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74"/>
              </w:rPr>
              <w:t>except percentages)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43,399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10,060</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41,489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99,383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94,948</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49.7%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4,435</w:t>
            </w:r>
          </w:p>
        </w:tc>
        <w:tc>
          <w:tcPr>
            <w:tcW w:w="3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Research and development expense was comparable between 2019 and 2020. Research and development costs consist of R&amp;D work orders, R&amp;D material usage and other project related costs related to 100 Gbps, 200/400 Gbps data center products, DOCSIS 3.1 capable CATV products, including remote-PHY products and 1.2 GHz-capable amplifier products, and other new product development, and depreciation expense resulting from R&amp;D equipment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Sales and marketing expense increased by $4.0 million, or 40.0%, from 2019 to 2020. These increases were primarily due to increase in commission expenses, duties and freight. These increases were partially offset by a decrease in trade show expenses and travel-related costs as a result of the COVID-19 pandemic. As a result of the pandemic outbreak, the Company has modified many of its customary business practices by limiting employee travel including cancelling in-person participation in various meetings, events and conferences.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 and administrative expense increased by $0.4 million, or 1.0%, from 2019 to 2020. These increases were primarily due to an increase in personnel-related costs, share-based compensation expense and insurance expense. These increases were partially offset by a decrease in legal expenses, some of which were paid by our insurance carrier rather than the Company, as legal expenses related to the first of our shareholder class action lawsuits have exceeded the retention in our insurance contract.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Years ended December 31,</w:t>
            </w:r>
          </w:p>
        </w:tc>
        <w:tc>
          <w:tcPr>
            <w:tcW w:w="9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vMerge w:val="restart"/>
          </w:tcPr>
          <w:p>
            <w:pPr>
              <w:ind w:left="74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9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2019</w:t>
            </w:r>
          </w:p>
        </w:tc>
        <w:tc>
          <w:tcPr>
            <w:tcW w:w="9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ind w:left="200"/>
              <w:spacing w:after="0" w:line="191"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 of</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revenue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revenue</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6"/>
              </w:rPr>
              <w:t>(in thousands,</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w w:val="73"/>
              </w:rPr>
              <w:t>except percentages)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925</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(5,635)</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(5,405)</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3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1,840</w:t>
            </w:r>
          </w:p>
        </w:tc>
        <w:tc>
          <w:tcPr>
            <w:tcW w:w="160" w:type="dxa"/>
            <w:vAlign w:val="bottom"/>
            <w:shd w:val="clear" w:color="auto" w:fill="CCEEFF"/>
          </w:tcPr>
          <w:p>
            <w:pPr>
              <w:spacing w:after="0"/>
              <w:rPr>
                <w:sz w:val="18"/>
                <w:szCs w:val="18"/>
                <w:color w:val="auto"/>
              </w:rPr>
            </w:pPr>
          </w:p>
        </w:tc>
        <w:tc>
          <w:tcPr>
            <w:tcW w:w="12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1,158</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3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(2,382)</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50"/>
              <w:spacing w:after="0"/>
              <w:rPr>
                <w:sz w:val="20"/>
                <w:szCs w:val="20"/>
                <w:color w:val="auto"/>
              </w:rPr>
            </w:pPr>
            <w:r>
              <w:rPr>
                <w:rFonts w:ascii="Arial" w:cs="Arial" w:eastAsia="Arial" w:hAnsi="Arial"/>
                <w:sz w:val="18"/>
                <w:szCs w:val="18"/>
                <w:color w:val="auto"/>
              </w:rPr>
              <w:t>(2,640)</w:t>
            </w:r>
          </w:p>
        </w:tc>
        <w:tc>
          <w:tcPr>
            <w:tcW w:w="16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258</w:t>
            </w:r>
          </w:p>
        </w:tc>
        <w:tc>
          <w:tcPr>
            <w:tcW w:w="3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decreased by $0.6 million, or 72.4% from 2019 to 2020. The changes are similar to expected rates of fluctuation with the interest rates and cash balances.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increased by $0.2 million, or 4.3% from 2019 to 2020 due to higher average debt balances during the year.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income increased by $1.2 million, or 62.9% from 2019 to 2020.This increases was primarily due to the receipt of government subsidies associated with COVID-19 pandemic in Taiwan.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tcPr>
          <w:p>
            <w:pPr>
              <w:spacing w:after="0"/>
              <w:rPr>
                <w:sz w:val="20"/>
                <w:szCs w:val="20"/>
                <w:color w:val="auto"/>
              </w:rPr>
            </w:pPr>
            <w:r>
              <w:rPr>
                <w:rFonts w:ascii="Arial" w:cs="Arial" w:eastAsia="Arial" w:hAnsi="Arial"/>
                <w:sz w:val="18"/>
                <w:szCs w:val="18"/>
                <w:i w:val="1"/>
                <w:iCs w:val="1"/>
                <w:color w:val="auto"/>
              </w:rPr>
              <w:t>Benefit (provision) for income taxes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59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w w:val="89"/>
              </w:rPr>
              <w:t>Years ended December 31,</w:t>
            </w: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10"/>
        </w:trPr>
        <w:tc>
          <w:tcPr>
            <w:tcW w:w="5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8"/>
                <w:szCs w:val="18"/>
                <w:color w:val="auto"/>
              </w:rPr>
            </w:pPr>
          </w:p>
        </w:tc>
        <w:tc>
          <w:tcPr>
            <w:tcW w:w="1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89"/>
              </w:rPr>
              <w:t>(in thousands,</w:t>
            </w:r>
          </w:p>
        </w:tc>
        <w:tc>
          <w:tcPr>
            <w:tcW w:w="200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w w:val="80"/>
              </w:rPr>
              <w:t>except percentages)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(14,662)</w:t>
            </w:r>
          </w:p>
        </w:tc>
        <w:tc>
          <w:tcPr>
            <w:tcW w:w="178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7,434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w:t>
            </w:r>
          </w:p>
        </w:tc>
      </w:tr>
    </w:tbl>
    <w:p>
      <w:pPr>
        <w:spacing w:after="0" w:line="20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income tax provision consists of U.S. income tax, state taxes, and Taiwan and China income tax recorded during the periods. Our effective tax rate is affected by recurring items, such as tax rates in state and foreign jurisdictions and the relative amounts of income we earn in those jurisdictions.</w:t>
      </w:r>
    </w:p>
    <w:p>
      <w:pPr>
        <w:spacing w:after="0" w:line="12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recorded a tax expense of $7.2 million for the year ended December 31, 2020 as compared to $14.7 million for the year ended December 31, 2019. The income tax expense in the year ended December 31, 2020 was primarily related to the change of the valuation allowance, deferred tax assets, and the recording of a valuation allowance on Taiwan and China deferred tax assets. The income tax expense recorded in the year ended December 31, 2019 was primarily related to recognition of research and development credits, offset by the recognition of a valuation allowance on our US and state deferred tax assets, and due to excess tax benefits attributable to share-based compensation, and as well as the tax rates in foreign jurisdictions.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we had $7.4 million of unused borrowing capacity from all of our loan agreements. As of December 31, 2021, our cash, cash equivalents, restricted cash and short-term investments totaled $41.1 million. Cash and cash equivalents are held for working capital purposes and are invested primarily in money market or time deposit funds.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24, 2019, we filed a Registration Statement on Form S-3 with the Securities and Exchange Commission, which was declared effective on January 9, 2020, providing for the public offer and sale of certain securities of the Company from time to time, at our discretion, up to an aggregate amount of $250 million.</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February 28, 2020, we entered into an Equity Distribution Agreement with Raymond James &amp; Associates, Inc. (the “Sales Agent”) pursuant to which the Company may issue and sell shares of the Company’s common stock having an aggregate offering price of up to $55 million (the “Initial ATM Offering”), from time to time through the Sales Agent. In January 2021, the Company completed its Initial ATM Offering and sold 5.9 million shares at a weighted average price of $9.12 per share, providing proceeds of $53.9 million, net of expenses and underwriting discounts and commissions.</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February 26, 2021, we entered into another Equity Distribution Agreement (the “Agreement”) with the Sales Agent pursuant to which the Company may issue and sell shares of the Company’s common stock, par value $0.001 per share (the “Shares”) having an aggregate offering price of up to $35 million (the “Second ATM Offering”), from time to time through the Sales Agent. Upon delivery of a placement notice and subject to the terms and conditions of the Agreement, sales, if any, of the Shares will be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will designate the maximum number of Shares to be sold through the Sales Agent, the time period during which sales are requested to be made, the minimum price for the Shares to be sold, and any limitation on the number of Shares that may be sold in any one day. Subject to the terms and conditions of the Agreement, the Sales Agent will use its commercially reasonable efforts to sell Shares on the Company’s behalf up to the designated amount specified in the placement notice. The Company has no obligation to sell any Shares under the Agreement and may at any time suspend offers and sales of the Shares under the Agreement.</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Agreement provides that the Sales Agent will be entitled to compensation of up to 2% of the gross sales price of the Shares sold through the Sales Agent from time to time. The Company has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Additionally, if the Agreement is terminated under certain circumstances, and the Company fails to sell a minimum amount of the Shares as set forth in the Agreement, then the Company has agreed to reimburse the Sales Agent for reasonable out-of-pocket expenses, including the reasonable fees and disbursements of counsel incurred by the Sales Agent, up to a maximum of $30,000 in the aggregate. The Company agreed to indemnify the Sales Agent against certain liabilities, including liabilities under the Securities Act, or to contribute to payments that the Sales Agent may be required to make because of any of those liabilities.</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March 2021, we commenced sales of common stock through the Second ATM Offering. The details of the shares of common stock sold through the Second ATM Offering through December 31, 2021 are as follows (in thousands, except shares and weighted average per share price):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Compensation</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w:t>
            </w:r>
          </w:p>
        </w:tc>
      </w:tr>
      <w:tr>
        <w:trPr>
          <w:trHeight w:val="216"/>
        </w:trPr>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Average Per</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Distribution</w:t>
            </w:r>
          </w:p>
        </w:tc>
      </w:tr>
      <w:tr>
        <w:trPr>
          <w:trHeight w:val="234"/>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Distribution Agent</w:t>
            </w:r>
          </w:p>
        </w:tc>
        <w:tc>
          <w:tcPr>
            <w:tcW w:w="140" w:type="dxa"/>
            <w:vAlign w:val="bottom"/>
          </w:tcPr>
          <w:p>
            <w:pPr>
              <w:spacing w:after="0"/>
              <w:rPr>
                <w:sz w:val="20"/>
                <w:szCs w:val="20"/>
                <w:color w:val="auto"/>
              </w:rPr>
            </w:pPr>
          </w:p>
        </w:tc>
        <w:tc>
          <w:tcPr>
            <w:tcW w:w="180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Month</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Share Price</w:t>
            </w:r>
          </w:p>
        </w:tc>
        <w:tc>
          <w:tcPr>
            <w:tcW w:w="24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 Sold</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88"/>
              </w:rPr>
              <w:t>Net Proceeds</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Agent</w:t>
            </w:r>
          </w:p>
        </w:tc>
        <w:tc>
          <w:tcPr>
            <w:tcW w:w="100" w:type="dxa"/>
            <w:vAlign w:val="bottom"/>
          </w:tcPr>
          <w:p>
            <w:pPr>
              <w:spacing w:after="0"/>
              <w:rPr>
                <w:sz w:val="20"/>
                <w:szCs w:val="20"/>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March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9.0622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tcPr>
          <w:p>
            <w:pPr>
              <w:spacing w:after="0"/>
              <w:rPr>
                <w:sz w:val="18"/>
                <w:szCs w:val="18"/>
                <w:color w:val="auto"/>
              </w:rPr>
            </w:pPr>
          </w:p>
        </w:tc>
        <w:tc>
          <w:tcPr>
            <w:tcW w:w="1920" w:type="dxa"/>
            <w:vAlign w:val="bottom"/>
            <w:gridSpan w:val="2"/>
          </w:tcPr>
          <w:p>
            <w:pPr>
              <w:jc w:val="right"/>
              <w:ind w:right="120"/>
              <w:spacing w:after="0"/>
              <w:rPr>
                <w:sz w:val="20"/>
                <w:szCs w:val="20"/>
                <w:color w:val="auto"/>
              </w:rPr>
            </w:pPr>
            <w:r>
              <w:rPr>
                <w:rFonts w:ascii="Arial" w:cs="Arial" w:eastAsia="Arial" w:hAnsi="Arial"/>
                <w:sz w:val="18"/>
                <w:szCs w:val="18"/>
                <w:color w:val="auto"/>
              </w:rPr>
              <w:t>June 2021</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9.1115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34,686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Raymond James &amp; Associates, Inc.</w:t>
            </w: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July 2021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9.1061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2021, the total gross sales were $1.0 million and thus remaining amount of common stock we have available to sell under the Second ATM Offering is $34.0 million.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5, 2019, the Company issued $80.5 million of 5% convertible senior notes due 2024, bearing interest at a rate of 5% per year maturing on March 15, 2024 (the "Notes"), unless earlier repurchased, redeemed or converted in accordance with their terms. The sale of the Notes generated net proceeds of $76.4 million, after expenses. Also refer to Note L “Convertible Senior Notes” to the consolidated financial statements for further discussion of the Notes.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b w:val="1"/>
                <w:bCs w:val="1"/>
                <w:color w:val="auto"/>
              </w:rPr>
              <w:t>Years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(11,644)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(44,009)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(10,546)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(19,347)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(32,116)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14,088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47,441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42,596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(876)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r>
      <w:tr>
        <w:trPr>
          <w:trHeight w:val="20"/>
        </w:trPr>
        <w:tc>
          <w:tcPr>
            <w:tcW w:w="5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21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(8,978)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(16,914)</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9,025</w:t>
            </w:r>
          </w:p>
        </w:tc>
      </w:tr>
      <w:tr>
        <w:trPr>
          <w:trHeight w:val="20"/>
        </w:trPr>
        <w:tc>
          <w:tcPr>
            <w:tcW w:w="51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2021, net cash used in operating activities was $11.6 million. Net cash used in operating activities consisted of our net loss of $54.2 million, after the exclusion of non-cash items of $36.6 million, an increase in accounts and notes receivable from our customers of $14.6 million and a decrease in accrued liabilities of $3.1 million. These cash decreases were offset by a decrease in inventory of $15.8 million and increase in accounts payable to our vendors of $7.1 million.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2020, net cash used in operating activities was $44.0 million. Net cash used in operating activities consisted of our net loss of $58.5 million, after the exclusion of non-cash items of $48.9 million, an increase in accounts receivable from our customers of $8.4 million and an increase in inventory of $23.7 million and decrease in accounts payable to our vendor of $3.3 million.</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2019, net cash used in operating activities was $1.8 million. Net cash used in operating activities consisted of our net loss of $66.0 million, after the exclusion of non-cash items of $57.8 million, an increase in accounts receivable from our customers of $4.3 million and a decrease in accrued liabilities of $0.3 million. These cash decreases were offset by a decrease in inventory of $1.6 million, an increase in accounts payable to our vendors of $3.2 million, a decrease in prepaid tax of $1.0 million and a decrease in other current assets of $5.5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consisted primarily of capital expenditures and purchases of intangible assets.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2021, net cash used in investing activities was $10.5 million. The net cash used consisted of spending on purchase and prepaid of additional property, plant and equipment of $10.2 million.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2020, net cash used in investing activities was $19.3 million. The net cash used consisted of spending on China factory construction, purchase and prepaid of additional property, plant and equipment of $19.1 million.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2019, net cash used in investing activities was $32.1 million. The net cash used consisted of spending on China factory construction, purchase and prepaid of additional property, plant and equipment of $31.5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financing activities have historically consisted primarily of proceeds from the issuance of common stock and arrangements with various commercial lenders.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2021, our financing activities provided $14.1 million in cash. This increase in cash was due to $15.4 million of net proceeds from our At-The-Market (ATM) Offering. These activities were offset by $0.3 million net repayments to acceptances payable and bank debt, and $1.0 million related to tax withholding associated with employee share-based compensation.</w:t>
      </w:r>
    </w:p>
    <w:p>
      <w:pPr>
        <w:spacing w:after="0" w:line="184"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2020, our financing activities provided $47.4 million in cash. This increase in cash was due to $39.2 million of net proceeds from our At-The-Market (ATM) Offering, $6.2 million proceeds from PPP term loan, and $3.4 million net proceeds from acceptances payable and bank debt.</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2019, our financing activities provided $42.6 million in cash. We received $76.4 million proceeds from the issuance of convertible senior notes offset by net bank loan and bank acceptance notes repayments of $32.9 million. These activities were offset by $0.9 million related to tax withholding associated with employee share-based compensation.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We have lending arrangements with several financial institutions. In the U.S., we have a revolving line of credit with Truist Bank. The line of credit contains financial covenants that may limit the amount and types of debt that we may incur. As of December 31, 2021, we were in compliance with these covenants.</w:t>
      </w:r>
    </w:p>
    <w:p>
      <w:pPr>
        <w:spacing w:after="0" w:line="184" w:lineRule="exact"/>
        <w:rPr>
          <w:sz w:val="20"/>
          <w:szCs w:val="20"/>
          <w:color w:val="auto"/>
        </w:rPr>
      </w:pPr>
    </w:p>
    <w:p>
      <w:pPr>
        <w:jc w:val="both"/>
        <w:ind w:right="140" w:firstLine="648"/>
        <w:spacing w:after="0" w:line="263" w:lineRule="auto"/>
        <w:rPr>
          <w:sz w:val="20"/>
          <w:szCs w:val="20"/>
          <w:color w:val="auto"/>
        </w:rPr>
      </w:pPr>
      <w:r>
        <w:rPr>
          <w:rFonts w:ascii="Arial" w:cs="Arial" w:eastAsia="Arial" w:hAnsi="Arial"/>
          <w:sz w:val="18"/>
          <w:szCs w:val="18"/>
          <w:color w:val="auto"/>
        </w:rPr>
        <w:t>In Taiwan, we have an equipment finance agreement with Chailease Finance Co., Ltd. for Prime World’s Taiwan Branch. In China, we have a revolving line of credit with China Merchants Bank Co., Ltd. and Shanghai Pudong Development Bank Co., Ltd and a credit facility with China Zheshang Bank Co., Ltd. for our China subsidiary, Global.</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As of December 31, 2021 , we had $7.4 million of unused borrowing capacity.</w:t>
      </w:r>
    </w:p>
    <w:p>
      <w:pPr>
        <w:spacing w:after="0" w:line="225"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On March 5, 2019, the Company issued $80.5 million of 5% convertible senior notes due 2024. The Notes will mature on March 15, 2024, unless earlier repurchased, redeemed or converted in accordance with their terms.</w:t>
      </w:r>
    </w:p>
    <w:p>
      <w:pPr>
        <w:spacing w:after="0" w:line="170" w:lineRule="exact"/>
        <w:rPr>
          <w:sz w:val="20"/>
          <w:szCs w:val="20"/>
          <w:color w:val="auto"/>
        </w:rPr>
      </w:pPr>
    </w:p>
    <w:p>
      <w:pPr>
        <w:jc w:val="both"/>
        <w:ind w:left="20" w:firstLine="648"/>
        <w:spacing w:after="0" w:line="277" w:lineRule="auto"/>
        <w:rPr>
          <w:sz w:val="20"/>
          <w:szCs w:val="20"/>
          <w:color w:val="auto"/>
        </w:rPr>
      </w:pPr>
      <w:r>
        <w:rPr>
          <w:rFonts w:ascii="Arial" w:cs="Arial" w:eastAsia="Arial" w:hAnsi="Arial"/>
          <w:sz w:val="18"/>
          <w:szCs w:val="18"/>
          <w:color w:val="auto"/>
        </w:rPr>
        <w:t>See Note K “Notes Payable and Long-term Debt” and Note L “Convertible Senior Notes” of our Consolidated Financial Statements for a description of our notes payable and long-term debt and convertible senior notes.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China factory construction</w:t>
      </w:r>
    </w:p>
    <w:p>
      <w:pPr>
        <w:spacing w:after="0" w:line="225" w:lineRule="exact"/>
        <w:rPr>
          <w:sz w:val="20"/>
          <w:szCs w:val="20"/>
          <w:color w:val="auto"/>
        </w:rPr>
      </w:pPr>
    </w:p>
    <w:p>
      <w:pPr>
        <w:jc w:val="both"/>
        <w:ind w:left="20" w:firstLine="648"/>
        <w:spacing w:after="0" w:line="254" w:lineRule="auto"/>
        <w:rPr>
          <w:sz w:val="20"/>
          <w:szCs w:val="20"/>
          <w:color w:val="auto"/>
        </w:rPr>
      </w:pPr>
      <w:r>
        <w:rPr>
          <w:rFonts w:ascii="Arial" w:cs="Arial" w:eastAsia="Arial" w:hAnsi="Arial"/>
          <w:sz w:val="18"/>
          <w:szCs w:val="18"/>
          <w:color w:val="auto"/>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December 31, 2021, construction of the building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service in the first half of 2022, property will be transferred from construction in progress to building and improvement at that time.</w:t>
      </w:r>
    </w:p>
    <w:p>
      <w:pPr>
        <w:spacing w:after="0" w:line="19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jc w:val="both"/>
        <w:ind w:left="20" w:firstLine="648"/>
        <w:spacing w:after="0" w:line="272" w:lineRule="auto"/>
        <w:rPr>
          <w:sz w:val="20"/>
          <w:szCs w:val="20"/>
          <w:color w:val="auto"/>
        </w:rPr>
      </w:pPr>
      <w:r>
        <w:rPr>
          <w:rFonts w:ascii="Arial" w:cs="Arial" w:eastAsia="Arial" w:hAnsi="Arial"/>
          <w:sz w:val="17"/>
          <w:szCs w:val="17"/>
          <w:color w:val="auto"/>
        </w:rPr>
        <w:t>We believe that our existing cash and cash equivalents, cash flows from our operating activities, and available credit will be sufficient to meet our anticipated cash needs for the next 12 months. Our future capital requirements will depend on many factors including our growth rate, the timing and extent of spending to support our research and development efforts, the expansion of our sales and marketing activities, the introduction of new and enhanced products, changes in our manufacturing capacity and the continuing market acceptance of our products. 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jc w:val="both"/>
        <w:ind w:left="20" w:firstLine="648"/>
        <w:spacing w:after="0" w:line="253" w:lineRule="auto"/>
        <w:rPr>
          <w:sz w:val="20"/>
          <w:szCs w:val="20"/>
          <w:color w:val="auto"/>
        </w:rPr>
      </w:pPr>
      <w:r>
        <w:rPr>
          <w:rFonts w:ascii="Arial" w:cs="Arial" w:eastAsia="Arial" w:hAnsi="Arial"/>
          <w:sz w:val="18"/>
          <w:szCs w:val="18"/>
          <w:color w:val="auto"/>
        </w:rPr>
        <w:t>We have outstanding notes payable with varying maturities. As of December 31, 2021, our notes payable had an aggregate amount of $54.7 million, with $49.7 million payable witin 12 months. Further information regarding our note payable is provided in Note K Notes Payable and Long-Term Debt in the Notes to Consolidated Financial Statements in this Form 10-K. We also have a fixed-rate convertible senior note. As of December 31, 2021, our convertible senior note had an aggregate principle amount of $80.5 million and future interest payments associated with our senior notes totaled $10.1 million. Further information regarding our convertible senior notes is provided in Note L – Convertible Senior Notes in the Notes to Consolidated Financial Statements in this Form 10-K. In addition, we have operating and financial lease for certain property and equipment with an expected term at the commencement date of more than 12 months. As of December 31, 2021, the future minimum payments required under these leases totaled $9.3 million, with $1.3 million payable within 12 months. Further information regarding our leases is provided in Note D – Leases to Consolidated Financial Statements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annual inflation rate in the US and Taiwan accelerated more than 7% in 2021. Cost inflation including increases in shipping costs, labor rates, and in costs of some raw materials; we currently believe these increases are related to the COVID-19 pandemic (please refer to our discussion on COVID-19 in the MD&amp;A section of this Form 10-K), however we cannot be sure when or if prices will return to pre-pandemic levels. There is no guarantee that we can increase selling prices or reduce costs to fully mitigate the effect of inflation on our costs, which may adversely impact our sales margins and profitability. Compared to other major economies in the world, China has a stable level of inflation, which has not had a significant impact on our sales or operating results.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These principles require us to make estimates and judgments that affect the reported amounts of assets, liabilities, revenue, expenses and cash flows, and related disclosure of contingent assets and liabilities. Our estimates include those related to revenue recognition, share-based compensation expense, impairment analysis of goodwill and long-lived assets,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that of our significant accounting policies, which are described in Note B to our consolidated financial statements appearing elsewhere in this Form 10-K, the following accounting policies involve a greater degree of judgment and complexity. Accordingly, we believe these are the most critical to fully understand and evaluate our financial condition and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evaluate the carrying value of long-lived assets for potential impairment when we determine a triggering event has occurred, or whenever events or changes in circumstances indicate that the carrying amount of such assets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we perform an analysis of the fair value of the asset group and will recognize an impairment loss when the fair value is less than the carrying amount of such assets. The fair value, based on reasonable and supportable assumptions and projections, require subjective judgments. Depending on the assumptions and estimates used, the fair value projected in the evaluation of long-lived assets can vary within a range of outcomes. We consider the likelihood of possible outcomes in determining the best estimate for the fair value of the assets. We did not record any asset impairment charges in 2021, 2020, and 2019.</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Inventories are stated at the lower of cost (average-cost method) or market. Work in process and finished goods includes materials, labor and allocated overhead. We assess the valuation of our inventory on a periodic basis and provide an allowance for the value of estimated excess and obsolete inventory based on estimates of future demand. During the years ended December 31, 2021, 2020 and 2019, we recorded excess and obsolete inventory reserve charges of $3.9 million, $3.9 million, and $6.8 million, respectively. For the years December 2021, 2020 and 2019, the direct inventory write-offs related to scrap, discontinued products and damaged inventories were $16.8 million, $20.4 million, and $13.4 million, respectively.</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an accounting policy to write down the value of obsolete inventory. We considered the following factors in our determination of the appropriate reserve level: how often we buy material in bulk; the overall market value of raw material, semi-finished goods and finished goods across our varied product lines and within markets; changes in expected demand for our products; the change in valuations historically; the determined safety stock for key customers; and the likelihood of postponement in delivery schedules for materials already placed in finished goods inventory.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We account for income taxes in accordance with the provisions of ASC 740, </w:t>
      </w:r>
      <w:r>
        <w:rPr>
          <w:rFonts w:ascii="Arial" w:cs="Arial" w:eastAsia="Arial" w:hAnsi="Arial"/>
          <w:sz w:val="18"/>
          <w:szCs w:val="18"/>
          <w:i w:val="1"/>
          <w:iCs w:val="1"/>
          <w:color w:val="auto"/>
        </w:rPr>
        <w:t>Income Taxes</w:t>
      </w:r>
      <w:r>
        <w:rPr>
          <w:rFonts w:ascii="Arial" w:cs="Arial" w:eastAsia="Arial" w:hAnsi="Arial"/>
          <w:sz w:val="18"/>
          <w:szCs w:val="18"/>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our tax returns.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8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the basis of this evaluation, as of December 31, 2021, a valuation allowance of $57.7 million has been recorded related to deferred tax assets to recognize only the portion of the deferred tax assets that are more likely than not to be realized. The amount of the deferred tax assets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5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recognize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additional information regarding income taxes in Note O of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B of our Consolidated Financial Statements for a description of recent accounting pronouncements.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financial market prices and rates and inflation. Our market risk exposure results primarily from fluctuations in foreign exchange and interest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are exposed to market risk due to the possibility of changing interest rates associated with certain debt instruments. As of December 31, 2021, our debt bears a variable rate of interest that is based on SOFR or other interbank offered rates. The debt subject to variable rates is subject to fluctuation in the SOFR or other interbank offered rates. As of December 31, 2021, we had not hedged our interest rate risk.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our interest expense for the three months ended December 31, 2021, an increase of 1.0% in each of our interest rates would have resulted in an increase of $0.5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operate on an international basis with a large portion of our business conducted in our Taiwan branch and China subsidiary. We use the U.S. dollar as our reporting currency for our consolidated financial statements. The financial records of our China subsidiary and our Taiwan branch are maintained in their respective local currencies, the RMB and the NT dollar, which are the functional currencies for our China subsidiary and our Taiwan branch, respectively. Assets and liabilities are translated at prevailing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and comprehensive income.</w:t>
      </w:r>
    </w:p>
    <w:p>
      <w:pPr>
        <w:spacing w:after="0" w:line="1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transactions in currencies other than their functional currencies during the year are subject to foreign exchange risk when the exchange rate fluctuates on the respective relevant dates of such transactions. Transaction gains and losses are recognized in our statements of operations in other income (expense). Monetary assets and liabilities existing at the balance sheet date denominated in currencies other than the functional currencies are re-measured at the exchange rates prevailing on the balance sheet date and unrealized exchange differences are recorded in our consolidated income statement. In October 2015, we determined that certain intercompany loans are long-term investments. Therefore, exchange gain (loss) arising from re-measurement of intercompany loans were recorded in the Cumulative Translation Adjustment accounts.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December 31, 2021, we recognized less than $0.5 million of exchange gains arising from foreign currency transactions and re-measurement of monetary assets and liabilities dominated in non-functional currency on the balance sheet date.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year ended December 31, 2021, 7.9% of our revenue was denominated in RMB and none of our revenue was denominated in NT dollars. In the year ended December 31, 2021, 26.3% of our operating expenses were denominated in RMB and 21.9% of our operating expenses were denominated in NT dollars. Accordingly, fluctuations in exchange rates directly affect our cost of goods sold and net income (loss), and have a significant impact on our operating margins. If exchange rates of RMB and NT dollars for U.S. dollars were 1% higher during the year ended December 31, 2021, our operating expenses would have had been higher by $0.5 million.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2021, we held the U.S. dollar denominated liabilities net of assets of approximately $5.7 million in our China subsidiary and $13.4 million in our Taiwan branch. With respect to these U.S. dollar denominated net assets as of December 31, 2021, if exchange rates of RMB and NT dollars for U.S. dollars were 1% higher during the year ended December 31, 2021, our other operating expenses would have been reduced by $0.2 million. Any significant revaluation of the RMB and NT dollars may materially and adversely affect the cash flows, revenues, and net income (loss) as reported in U.S. dollars.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currently do not use derivative financial instruments to mitigate this exposure. We continue to review this issue and may consider hedging certain foreign exchange risks through the use of currency forwards or options in future years.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consolidated financial statements and accompanying notes beginning on page F-1 of this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of December 31, 2021. Based upon that evaluation, our Chief Executive Officer and Chief Financial Officer concluded that, as of the end of the period covered in this Form 10-K, our disclosure controls and procedures were effective.</w:t>
      </w:r>
    </w:p>
    <w:p>
      <w:pPr>
        <w:spacing w:after="0" w:line="18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Management’s Annual Report on Internal Control over Financial Reporting.</w:t>
      </w:r>
    </w:p>
    <w:p>
      <w:pPr>
        <w:spacing w:after="0" w:line="25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designed by, or under the supervision of, the issuer’s principal executive and principal financial officers, or persons performing similar functions, and effected by our board of directors, management and other personnel,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4" w:lineRule="exact"/>
        <w:rPr>
          <w:sz w:val="20"/>
          <w:szCs w:val="20"/>
          <w:color w:val="auto"/>
        </w:rPr>
      </w:pPr>
    </w:p>
    <w:p>
      <w:pPr>
        <w:jc w:val="both"/>
        <w:ind w:firstLine="8"/>
        <w:spacing w:after="0" w:line="290" w:lineRule="auto"/>
        <w:tabs>
          <w:tab w:leader="none" w:pos="286"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our degree of compliance with the policies or procedures may deteriorate.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conducted an evaluation of the effectiveness of our internal control over financial reporting as of the end of the period covered by this Form 10-K based on the framework in Internal Control—Integrated Framework (2013) issued by the Committee of Sponsoring Organization of the Treadway Commission. Based on this evaluation, management concluded that our internal control over financial reporting was effective as of December 31, 2021.</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Grant Thornton LLP, the independent registered public accounting firm that audited the consolidated financial statements included in this Form 10-K, has issued a report, included below, on the effectiveness of our internal control over financial reporting as of December 31, 2021.</w:t>
      </w:r>
    </w:p>
    <w:p>
      <w:pPr>
        <w:spacing w:after="0" w:line="146"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was no change in our internal control over financial reporting (as defined in Rule 13a-15(f) under the Exchange Act)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 xml:space="preserve">We have audited the internal control over financial reporting of Applied Optoelectronics, Inc. (a Delaware corporation) and subsidiaries (the “Company”)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2021, based on criteria established in the 2013 </w:t>
      </w:r>
      <w:r>
        <w:rPr>
          <w:rFonts w:ascii="Arial" w:cs="Arial" w:eastAsia="Arial" w:hAnsi="Arial"/>
          <w:sz w:val="16"/>
          <w:szCs w:val="16"/>
          <w:i w:val="1"/>
          <w:iCs w:val="1"/>
          <w:color w:val="auto"/>
        </w:rPr>
        <w:t>Internal Control</w:t>
      </w:r>
      <w:r>
        <w:rPr>
          <w:rFonts w:ascii="Arial" w:cs="Arial" w:eastAsia="Arial" w:hAnsi="Arial"/>
          <w:sz w:val="16"/>
          <w:szCs w:val="16"/>
          <w:color w:val="auto"/>
        </w:rPr>
        <w:t>—</w:t>
      </w:r>
      <w:r>
        <w:rPr>
          <w:rFonts w:ascii="Arial" w:cs="Arial" w:eastAsia="Arial" w:hAnsi="Arial"/>
          <w:sz w:val="16"/>
          <w:szCs w:val="16"/>
          <w:i w:val="1"/>
          <w:iCs w:val="1"/>
          <w:color w:val="auto"/>
        </w:rPr>
        <w:t>Integrated Framework</w:t>
      </w:r>
      <w:r>
        <w:rPr>
          <w:rFonts w:ascii="Arial" w:cs="Arial" w:eastAsia="Arial" w:hAnsi="Arial"/>
          <w:sz w:val="16"/>
          <w:szCs w:val="16"/>
          <w:color w:val="auto"/>
        </w:rPr>
        <w:t xml:space="preserve"> issued by COSO.</w:t>
      </w:r>
    </w:p>
    <w:p>
      <w:pPr>
        <w:spacing w:after="0" w:line="154" w:lineRule="exact"/>
        <w:rPr>
          <w:sz w:val="20"/>
          <w:szCs w:val="20"/>
          <w:color w:val="auto"/>
        </w:rPr>
      </w:pPr>
    </w:p>
    <w:p>
      <w:pPr>
        <w:jc w:val="both"/>
        <w:ind w:right="480"/>
        <w:spacing w:after="0" w:line="297" w:lineRule="auto"/>
        <w:rPr>
          <w:sz w:val="20"/>
          <w:szCs w:val="20"/>
          <w:color w:val="auto"/>
        </w:rPr>
      </w:pPr>
      <w:r>
        <w:rPr>
          <w:rFonts w:ascii="Arial" w:cs="Arial" w:eastAsia="Arial" w:hAnsi="Arial"/>
          <w:sz w:val="19"/>
          <w:szCs w:val="19"/>
          <w:color w:val="auto"/>
        </w:rPr>
        <w:t>We also have audited, in accordance with the standards of the Public Company Accounting Oversight Board (United States) (“PCAOB”), the consolidated financial statements of the Company as of and for the year ended December 31, 2021, and our report dated February 24, 2022 expressed an unqualified opinion on those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 that Prevent Inspections</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regarding our directors is incorporated herein by reference from the information contained in our definitive Proxy Statement for the 2021 Annual Meeting of Stockholders (our “Proxy Statement”), a copy of which will be filed with the Securities and Exchange Commission within 120 days after the end of our fiscal year ended December 31, 2021.</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regarding our executive officers is incorporated herein by reference from the information contained in our Proxy Statement.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our Proxy Statement.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the composition of our Audit Committee, and whether the Company has an “audit committee financial expert”, is incorporated by reference from the information contained in our Proxy Statement.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Adoption of Code of Ethics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adopted a Code of Business Conduct and Ethics (the “Code”) applicable to all of our board of director members, employees and executive officers, including our Chief Executive Officer (Principal Executive Officer), and Chief Financial Officer (Principal Financial Officer and Principal Accounting Officer). The Company has made the Code available on our website at http://www.ao-inc.com.</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intends to satisfy the public disclosure requirements regarding (1) any amendments to the Code, or (2) any waivers under the Code given to our Principal Executive Officer, Principal Financial Officer and Principal Accounting Officer by posting such information on our website at www.ao-inc.com. There were amendments to the Code or waivers granted thereunder relating to the Principal Executive Officer, Principal Financial Officer or Principal Accounting Officer during 2021.</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herein by reference from the information in our Proxy Statement.</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regarding pay ratio disclosure is incorporated herein by reference from the information contained in our Proxy Statement.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regarding our Compensation Committee and the Compensation Committee Report are incorporated by reference from the information contained in our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management is incorporated herein by reference from the information contained in the section entitled “Security Ownership of Certain Beneficial Owners and Management” in our Proxy Statement.</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herein by reference from the information contained in the section entitled “Equity Compensation Plan Information” in our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our Proxy Statement.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regarding the independence of our directors is incorporated herein by reference from the information contained in our Proxy Statement.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by Part III, Item 14, regarding principal accounting fees and services is incorporated by reference from the information contained in our Proxy Statement, a copy of which will be filed with the Securities and Exchange Commission within 120 days after the end of our fiscal year ended December 31, 2021.</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Statements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(a)(1) The consolidated financial statements are listed on the Index to Consolidated Financial Statements to this Form 10-K beginning on page 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(a)(2) Financial Statement Schedules. Financial statement schedules have been omitted, as the information required to be set forth therein is included in the Consolidated Financial Statements or Notes thereto appearing in this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(a)(3) Exhibits. See the Exhibit immediately following Item 16. Form 10-K Summary of this Form 10-K.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20" w:type="dxa"/>
            <w:vAlign w:val="bottom"/>
            <w:gridSpan w:val="2"/>
          </w:tcPr>
          <w:p>
            <w:pPr>
              <w:spacing w:after="0"/>
              <w:rPr>
                <w:rFonts w:ascii="Arial" w:cs="Arial" w:eastAsia="Arial" w:hAnsi="Arial"/>
                <w:sz w:val="18"/>
                <w:szCs w:val="18"/>
                <w:color w:val="0000EE"/>
                <w:w w:val="91"/>
              </w:rPr>
            </w:pPr>
            <w:hyperlink w:anchor="page3">
              <w:r>
                <w:rPr>
                  <w:rFonts w:ascii="Arial" w:cs="Arial" w:eastAsia="Arial" w:hAnsi="Arial"/>
                  <w:sz w:val="18"/>
                  <w:szCs w:val="18"/>
                  <w:color w:val="0000EE"/>
                  <w:w w:val="91"/>
                </w:rPr>
                <w:t>Table of Contents</w:t>
              </w:r>
            </w:hyperlink>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23"/>
          </w:tcPr>
          <w:p>
            <w:pPr>
              <w:ind w:left="20"/>
              <w:spacing w:after="0"/>
              <w:rPr>
                <w:sz w:val="20"/>
                <w:szCs w:val="20"/>
                <w:color w:val="auto"/>
              </w:rPr>
            </w:pPr>
            <w:r>
              <w:rPr>
                <w:rFonts w:ascii="Arial" w:cs="Arial" w:eastAsia="Arial" w:hAnsi="Arial"/>
                <w:sz w:val="18"/>
                <w:szCs w:val="18"/>
                <w:b w:val="1"/>
                <w:bCs w:val="1"/>
                <w:color w:val="auto"/>
              </w:rPr>
              <w:t>EXHIBIT INDEX</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160" w:type="dxa"/>
            <w:vAlign w:val="bottom"/>
            <w:gridSpan w:val="3"/>
          </w:tcPr>
          <w:p>
            <w:pPr>
              <w:ind w:left="700"/>
              <w:spacing w:after="0"/>
              <w:rPr>
                <w:sz w:val="20"/>
                <w:szCs w:val="20"/>
                <w:color w:val="auto"/>
              </w:rPr>
            </w:pPr>
            <w:r>
              <w:rPr>
                <w:rFonts w:ascii="Arial" w:cs="Arial" w:eastAsia="Arial" w:hAnsi="Arial"/>
                <w:sz w:val="18"/>
                <w:szCs w:val="18"/>
                <w:b w:val="1"/>
                <w:bCs w:val="1"/>
                <w:color w:val="auto"/>
              </w:rPr>
              <w:t>Incorporated By Reference</w:t>
            </w:r>
          </w:p>
        </w:tc>
      </w:tr>
      <w:tr>
        <w:trPr>
          <w:trHeight w:val="220"/>
        </w:trPr>
        <w:tc>
          <w:tcPr>
            <w:tcW w:w="1320" w:type="dxa"/>
            <w:vAlign w:val="bottom"/>
            <w:gridSpan w:val="2"/>
          </w:tcPr>
          <w:p>
            <w:pPr>
              <w:ind w:left="220"/>
              <w:spacing w:after="0"/>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360" w:type="dxa"/>
            <w:vAlign w:val="bottom"/>
            <w:gridSpan w:val="31"/>
          </w:tcPr>
          <w:p>
            <w:pPr>
              <w:ind w:left="240"/>
              <w:spacing w:after="0"/>
              <w:rPr>
                <w:sz w:val="20"/>
                <w:szCs w:val="20"/>
                <w:color w:val="auto"/>
              </w:rPr>
            </w:pPr>
            <w:r>
              <w:rPr>
                <w:rFonts w:ascii="Arial" w:cs="Arial" w:eastAsia="Arial" w:hAnsi="Arial"/>
                <w:sz w:val="18"/>
                <w:szCs w:val="18"/>
                <w:b w:val="1"/>
                <w:bCs w:val="1"/>
                <w:color w:val="auto"/>
              </w:rPr>
              <w:t>Exhibit Description</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1340" w:type="dxa"/>
            <w:vAlign w:val="bottom"/>
          </w:tcPr>
          <w:p>
            <w:pPr>
              <w:ind w:left="360"/>
              <w:spacing w:after="0"/>
              <w:rPr>
                <w:sz w:val="20"/>
                <w:szCs w:val="20"/>
                <w:color w:val="auto"/>
              </w:rPr>
            </w:pPr>
            <w:r>
              <w:rPr>
                <w:rFonts w:ascii="Arial" w:cs="Arial" w:eastAsia="Arial" w:hAnsi="Arial"/>
                <w:sz w:val="18"/>
                <w:szCs w:val="18"/>
                <w:b w:val="1"/>
                <w:bCs w:val="1"/>
                <w:color w:val="auto"/>
              </w:rPr>
              <w:t>File No.</w:t>
            </w:r>
          </w:p>
        </w:tc>
        <w:tc>
          <w:tcPr>
            <w:tcW w:w="1100" w:type="dxa"/>
            <w:vAlign w:val="bottom"/>
          </w:tcPr>
          <w:p>
            <w:pPr>
              <w:ind w:left="240"/>
              <w:spacing w:after="0"/>
              <w:rPr>
                <w:sz w:val="20"/>
                <w:szCs w:val="20"/>
                <w:color w:val="auto"/>
              </w:rPr>
            </w:pPr>
            <w:r>
              <w:rPr>
                <w:rFonts w:ascii="Arial" w:cs="Arial" w:eastAsia="Arial" w:hAnsi="Arial"/>
                <w:sz w:val="18"/>
                <w:szCs w:val="18"/>
                <w:b w:val="1"/>
                <w:bCs w:val="1"/>
                <w:color w:val="auto"/>
              </w:rPr>
              <w:t>Exhibit</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3"/>
              </w:rPr>
              <w:t>Filing Date</w:t>
            </w:r>
          </w:p>
        </w:tc>
      </w:tr>
      <w:tr>
        <w:trPr>
          <w:trHeight w:val="190"/>
        </w:trPr>
        <w:tc>
          <w:tcPr>
            <w:tcW w:w="1280" w:type="dxa"/>
            <w:vAlign w:val="bottom"/>
          </w:tcPr>
          <w:p>
            <w:pPr>
              <w:jc w:val="right"/>
              <w:ind w:right="110"/>
              <w:spacing w:after="0" w:line="190" w:lineRule="exact"/>
              <w:rPr>
                <w:sz w:val="20"/>
                <w:szCs w:val="20"/>
                <w:color w:val="auto"/>
              </w:rPr>
            </w:pPr>
            <w:r>
              <w:rPr>
                <w:rFonts w:ascii="Arial" w:cs="Arial" w:eastAsia="Arial" w:hAnsi="Arial"/>
                <w:sz w:val="18"/>
                <w:szCs w:val="18"/>
                <w:color w:val="auto"/>
              </w:rPr>
              <w:t>3.1</w:t>
            </w:r>
          </w:p>
        </w:tc>
        <w:tc>
          <w:tcPr>
            <w:tcW w:w="40" w:type="dxa"/>
            <w:vAlign w:val="bottom"/>
          </w:tcPr>
          <w:p>
            <w:pPr>
              <w:spacing w:after="0"/>
              <w:rPr>
                <w:sz w:val="16"/>
                <w:szCs w:val="16"/>
                <w:color w:val="auto"/>
              </w:rPr>
            </w:pPr>
          </w:p>
        </w:tc>
        <w:tc>
          <w:tcPr>
            <w:tcW w:w="4560" w:type="dxa"/>
            <w:vAlign w:val="bottom"/>
            <w:gridSpan w:val="35"/>
          </w:tcPr>
          <w:p>
            <w:pPr>
              <w:spacing w:after="0" w:line="190" w:lineRule="exact"/>
              <w:rPr>
                <w:rFonts w:ascii="Arial" w:cs="Arial" w:eastAsia="Arial" w:hAnsi="Arial"/>
                <w:sz w:val="18"/>
                <w:szCs w:val="18"/>
                <w:color w:val="0000EE"/>
                <w:w w:val="99"/>
              </w:rPr>
            </w:pPr>
            <w:hyperlink r:id="rId65">
              <w:r>
                <w:rPr>
                  <w:rFonts w:ascii="Arial" w:cs="Arial" w:eastAsia="Arial" w:hAnsi="Arial"/>
                  <w:sz w:val="18"/>
                  <w:szCs w:val="18"/>
                  <w:color w:val="0000EE"/>
                  <w:w w:val="99"/>
                </w:rPr>
                <w:t>Amended and Restated Certificate of Incorporation of the</w:t>
              </w:r>
            </w:hyperlink>
          </w:p>
        </w:tc>
        <w:tc>
          <w:tcPr>
            <w:tcW w:w="960" w:type="dxa"/>
            <w:vAlign w:val="bottom"/>
          </w:tcPr>
          <w:p>
            <w:pPr>
              <w:jc w:val="center"/>
              <w:spacing w:after="0" w:line="190" w:lineRule="exact"/>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line="190" w:lineRule="exact"/>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line="190" w:lineRule="exact"/>
              <w:rPr>
                <w:sz w:val="20"/>
                <w:szCs w:val="20"/>
                <w:color w:val="auto"/>
              </w:rPr>
            </w:pPr>
            <w:r>
              <w:rPr>
                <w:rFonts w:ascii="Arial" w:cs="Arial" w:eastAsia="Arial" w:hAnsi="Arial"/>
                <w:sz w:val="18"/>
                <w:szCs w:val="18"/>
                <w:color w:val="auto"/>
                <w:w w:val="95"/>
              </w:rPr>
              <w:t>3.1</w:t>
            </w:r>
          </w:p>
        </w:tc>
        <w:tc>
          <w:tcPr>
            <w:tcW w:w="1720" w:type="dxa"/>
            <w:vAlign w:val="bottom"/>
          </w:tcPr>
          <w:p>
            <w:pPr>
              <w:jc w:val="center"/>
              <w:ind w:left="210"/>
              <w:spacing w:after="0" w:line="190" w:lineRule="exact"/>
              <w:rPr>
                <w:sz w:val="20"/>
                <w:szCs w:val="20"/>
                <w:color w:val="auto"/>
              </w:rPr>
            </w:pPr>
            <w:r>
              <w:rPr>
                <w:rFonts w:ascii="Arial" w:cs="Arial" w:eastAsia="Arial" w:hAnsi="Arial"/>
                <w:sz w:val="18"/>
                <w:szCs w:val="18"/>
                <w:color w:val="auto"/>
                <w:w w:val="89"/>
              </w:rPr>
              <w:t>November 14,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4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registrant, as currently in effect</w:t>
              </w:r>
            </w:hyperlink>
          </w:p>
        </w:tc>
        <w:tc>
          <w:tcPr>
            <w:tcW w:w="42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c>
          <w:tcPr>
            <w:tcW w:w="4560" w:type="dxa"/>
            <w:vAlign w:val="bottom"/>
            <w:gridSpan w:val="35"/>
          </w:tcPr>
          <w:p>
            <w:pPr>
              <w:spacing w:after="0"/>
              <w:rPr>
                <w:rFonts w:ascii="Arial" w:cs="Arial" w:eastAsia="Arial" w:hAnsi="Arial"/>
                <w:sz w:val="18"/>
                <w:szCs w:val="18"/>
                <w:color w:val="0000EE"/>
                <w:w w:val="93"/>
              </w:rPr>
            </w:pPr>
            <w:hyperlink r:id="rId66">
              <w:r>
                <w:rPr>
                  <w:rFonts w:ascii="Arial" w:cs="Arial" w:eastAsia="Arial" w:hAnsi="Arial"/>
                  <w:sz w:val="18"/>
                  <w:szCs w:val="18"/>
                  <w:color w:val="0000EE"/>
                  <w:w w:val="93"/>
                </w:rPr>
                <w:t>Amended and Restated Bylaws of the registrant, as currently</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November 14,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3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66">
              <w:r>
                <w:rPr>
                  <w:rFonts w:ascii="Arial" w:cs="Arial" w:eastAsia="Arial" w:hAnsi="Arial"/>
                  <w:sz w:val="18"/>
                  <w:szCs w:val="18"/>
                  <w:color w:val="0000EE"/>
                </w:rPr>
                <w:t>in effect</w:t>
              </w:r>
            </w:hyperlink>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89"/>
              </w:rPr>
            </w:pPr>
            <w:hyperlink r:id="rId67">
              <w:r>
                <w:rPr>
                  <w:rFonts w:ascii="Arial" w:cs="Arial" w:eastAsia="Arial" w:hAnsi="Arial"/>
                  <w:sz w:val="18"/>
                  <w:szCs w:val="18"/>
                  <w:color w:val="0000EE"/>
                  <w:w w:val="89"/>
                </w:rPr>
                <w:t>Common Stock Specimen</w:t>
              </w:r>
            </w:hyperlink>
          </w:p>
        </w:tc>
        <w:tc>
          <w:tcPr>
            <w:tcW w:w="2680" w:type="dxa"/>
            <w:vAlign w:val="bottom"/>
            <w:gridSpan w:val="29"/>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November 14, 2016</w:t>
            </w:r>
          </w:p>
        </w:tc>
      </w:tr>
      <w:tr>
        <w:trPr>
          <w:trHeight w:val="412"/>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24"/>
                <w:szCs w:val="24"/>
                <w:color w:val="auto"/>
              </w:rPr>
            </w:pPr>
          </w:p>
        </w:tc>
        <w:tc>
          <w:tcPr>
            <w:tcW w:w="4560" w:type="dxa"/>
            <w:vAlign w:val="bottom"/>
            <w:gridSpan w:val="35"/>
          </w:tcPr>
          <w:p>
            <w:pPr>
              <w:spacing w:after="0"/>
              <w:rPr>
                <w:rFonts w:ascii="Arial" w:cs="Arial" w:eastAsia="Arial" w:hAnsi="Arial"/>
                <w:sz w:val="18"/>
                <w:szCs w:val="18"/>
                <w:color w:val="0000EE"/>
              </w:rPr>
            </w:pPr>
            <w:hyperlink r:id="rId68">
              <w:r>
                <w:rPr>
                  <w:rFonts w:ascii="Arial" w:cs="Arial" w:eastAsia="Arial" w:hAnsi="Arial"/>
                  <w:sz w:val="18"/>
                  <w:szCs w:val="18"/>
                  <w:color w:val="0000EE"/>
                </w:rPr>
                <w:t xml:space="preserve">Indenture, </w:t>
              </w:r>
              <w:r>
                <w:rPr>
                  <w:rFonts w:ascii="Arial" w:cs="Arial" w:eastAsia="Arial" w:hAnsi="Arial"/>
                  <w:sz w:val="18"/>
                  <w:szCs w:val="18"/>
                  <w:color w:val="0000EE"/>
                  <w:highlight w:val="white"/>
                </w:rPr>
                <w:t>dated as of March 5, 2019 between Applied</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2"/>
              </w:rPr>
              <w:t>March 5, 2019</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6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0"/>
              </w:rPr>
            </w:pPr>
            <w:hyperlink r:id="rId68">
              <w:r>
                <w:rPr>
                  <w:rFonts w:ascii="Arial" w:cs="Arial" w:eastAsia="Arial" w:hAnsi="Arial"/>
                  <w:sz w:val="18"/>
                  <w:szCs w:val="18"/>
                  <w:color w:val="0000EE"/>
                  <w:w w:val="90"/>
                </w:rPr>
                <w:t>Optoelectronics, Inc. and Wells Fargo Bank, National</w:t>
              </w:r>
            </w:hyperlink>
          </w:p>
        </w:tc>
        <w:tc>
          <w:tcPr>
            <w:tcW w:w="60" w:type="dxa"/>
            <w:vAlign w:val="bottom"/>
            <w:tcBorders>
              <w:top w:val="single" w:sz="8" w:color="0000EE"/>
            </w:tcBorders>
          </w:tcPr>
          <w:p>
            <w:pPr>
              <w:spacing w:after="0"/>
              <w:rPr>
                <w:sz w:val="17"/>
                <w:szCs w:val="17"/>
                <w:color w:val="auto"/>
              </w:rPr>
            </w:pPr>
          </w:p>
        </w:tc>
        <w:tc>
          <w:tcPr>
            <w:tcW w:w="640" w:type="dxa"/>
            <w:vAlign w:val="bottom"/>
            <w:gridSpan w:val="15"/>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w w:val="95"/>
              </w:rPr>
            </w:pPr>
            <w:hyperlink r:id="rId68">
              <w:r>
                <w:rPr>
                  <w:rFonts w:ascii="Arial" w:cs="Arial" w:eastAsia="Arial" w:hAnsi="Arial"/>
                  <w:sz w:val="18"/>
                  <w:szCs w:val="18"/>
                  <w:color w:val="0000EE"/>
                  <w:w w:val="95"/>
                </w:rPr>
                <w:t>Association, as trustee, paying agent, and conversion agent</w:t>
              </w:r>
            </w:hyperlink>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c>
          <w:tcPr>
            <w:tcW w:w="35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r:id="rId68">
              <w:r>
                <w:rPr>
                  <w:rFonts w:ascii="Arial" w:cs="Arial" w:eastAsia="Arial" w:hAnsi="Arial"/>
                  <w:sz w:val="18"/>
                  <w:szCs w:val="18"/>
                  <w:color w:val="0000EE"/>
                  <w:w w:val="90"/>
                </w:rPr>
                <w:t>Form of Note representing the Company’s 5.00%</w:t>
              </w:r>
            </w:hyperlink>
          </w:p>
        </w:tc>
        <w:tc>
          <w:tcPr>
            <w:tcW w:w="680" w:type="dxa"/>
            <w:vAlign w:val="bottom"/>
            <w:tcBorders>
              <w:top w:val="single" w:sz="8" w:color="0000EE"/>
            </w:tcBorders>
            <w:gridSpan w:val="17"/>
          </w:tcPr>
          <w:p>
            <w:pPr>
              <w:spacing w:after="0"/>
              <w:rPr>
                <w:sz w:val="24"/>
                <w:szCs w:val="24"/>
                <w:color w:val="auto"/>
              </w:rPr>
            </w:pPr>
          </w:p>
        </w:tc>
        <w:tc>
          <w:tcPr>
            <w:tcW w:w="320" w:type="dxa"/>
            <w:vAlign w:val="bottom"/>
            <w:gridSpan w:val="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2"/>
              </w:rPr>
              <w:t>March 5, 2019</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Convertible Senior Notes due 2024 (included as Exhibit A</w:t>
              </w:r>
            </w:hyperlink>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to the Indenture)</w:t>
              </w:r>
            </w:hyperlink>
          </w:p>
        </w:tc>
        <w:tc>
          <w:tcPr>
            <w:tcW w:w="360" w:type="dxa"/>
            <w:vAlign w:val="bottom"/>
            <w:gridSpan w:val="7"/>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24"/>
                <w:szCs w:val="24"/>
                <w:color w:val="auto"/>
              </w:rPr>
            </w:pPr>
          </w:p>
        </w:tc>
        <w:tc>
          <w:tcPr>
            <w:tcW w:w="3080" w:type="dxa"/>
            <w:vAlign w:val="bottom"/>
            <w:tcBorders>
              <w:bottom w:val="single" w:sz="8" w:color="0000EE"/>
            </w:tcBorders>
            <w:gridSpan w:val="10"/>
          </w:tcPr>
          <w:p>
            <w:pPr>
              <w:spacing w:after="0"/>
              <w:rPr>
                <w:rFonts w:ascii="Arial" w:cs="Arial" w:eastAsia="Arial" w:hAnsi="Arial"/>
                <w:sz w:val="18"/>
                <w:szCs w:val="18"/>
                <w:color w:val="0000EE"/>
                <w:w w:val="91"/>
              </w:rPr>
            </w:pPr>
            <w:hyperlink r:id="rId69">
              <w:r>
                <w:rPr>
                  <w:rFonts w:ascii="Arial" w:cs="Arial" w:eastAsia="Arial" w:hAnsi="Arial"/>
                  <w:sz w:val="18"/>
                  <w:szCs w:val="18"/>
                  <w:color w:val="0000EE"/>
                  <w:w w:val="91"/>
                </w:rPr>
                <w:t>Description of Company’s Common Stock</w:t>
              </w:r>
            </w:hyperlink>
          </w:p>
        </w:tc>
        <w:tc>
          <w:tcPr>
            <w:tcW w:w="1480" w:type="dxa"/>
            <w:vAlign w:val="bottom"/>
            <w:gridSpan w:val="25"/>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4.4</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1"/>
              </w:rPr>
              <w:t>February 28, 2020</w:t>
            </w:r>
          </w:p>
        </w:tc>
      </w:tr>
      <w:tr>
        <w:trPr>
          <w:trHeight w:val="412"/>
        </w:trPr>
        <w:tc>
          <w:tcPr>
            <w:tcW w:w="128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4"/>
                <w:szCs w:val="24"/>
                <w:color w:val="auto"/>
              </w:rPr>
            </w:pPr>
          </w:p>
        </w:tc>
        <w:tc>
          <w:tcPr>
            <w:tcW w:w="4260" w:type="dxa"/>
            <w:vAlign w:val="bottom"/>
            <w:tcBorders>
              <w:bottom w:val="single" w:sz="8" w:color="0000EE"/>
            </w:tcBorders>
            <w:gridSpan w:val="31"/>
          </w:tcPr>
          <w:p>
            <w:pPr>
              <w:spacing w:after="0"/>
              <w:rPr>
                <w:rFonts w:ascii="Arial" w:cs="Arial" w:eastAsia="Arial" w:hAnsi="Arial"/>
                <w:sz w:val="18"/>
                <w:szCs w:val="18"/>
                <w:color w:val="0000EE"/>
                <w:w w:val="91"/>
              </w:rPr>
            </w:pPr>
            <w:hyperlink r:id="rId70">
              <w:r>
                <w:rPr>
                  <w:rFonts w:ascii="Arial" w:cs="Arial" w:eastAsia="Arial" w:hAnsi="Arial"/>
                  <w:sz w:val="18"/>
                  <w:szCs w:val="18"/>
                  <w:color w:val="0000EE"/>
                  <w:w w:val="91"/>
                </w:rPr>
                <w:t>Form of Indemnification Agreement between the registrant</w:t>
              </w:r>
            </w:hyperlink>
          </w:p>
        </w:tc>
        <w:tc>
          <w:tcPr>
            <w:tcW w:w="300" w:type="dxa"/>
            <w:vAlign w:val="bottom"/>
            <w:gridSpan w:val="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1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70">
              <w:r>
                <w:rPr>
                  <w:rFonts w:ascii="Arial" w:cs="Arial" w:eastAsia="Arial" w:hAnsi="Arial"/>
                  <w:sz w:val="18"/>
                  <w:szCs w:val="18"/>
                  <w:color w:val="0000EE"/>
                  <w:w w:val="91"/>
                </w:rPr>
                <w:t>each of its Directors and certain of its Executive Officers</w:t>
              </w:r>
            </w:hyperlink>
          </w:p>
        </w:tc>
        <w:tc>
          <w:tcPr>
            <w:tcW w:w="46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1900" w:type="dxa"/>
            <w:vAlign w:val="bottom"/>
            <w:tcBorders>
              <w:bottom w:val="single" w:sz="8" w:color="0000EE"/>
            </w:tcBorders>
            <w:gridSpan w:val="7"/>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2006 Incentive Share Plan</w:t>
              </w:r>
            </w:hyperlink>
          </w:p>
        </w:tc>
        <w:tc>
          <w:tcPr>
            <w:tcW w:w="2660" w:type="dxa"/>
            <w:vAlign w:val="bottom"/>
            <w:gridSpan w:val="28"/>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10.2.1†</w:t>
            </w:r>
          </w:p>
        </w:tc>
        <w:tc>
          <w:tcPr>
            <w:tcW w:w="4560" w:type="dxa"/>
            <w:vAlign w:val="bottom"/>
            <w:gridSpan w:val="35"/>
          </w:tcPr>
          <w:p>
            <w:pPr>
              <w:spacing w:after="0"/>
              <w:rPr>
                <w:rFonts w:ascii="Arial" w:cs="Arial" w:eastAsia="Arial" w:hAnsi="Arial"/>
                <w:sz w:val="18"/>
                <w:szCs w:val="18"/>
                <w:color w:val="0000EE"/>
              </w:rPr>
            </w:pPr>
            <w:hyperlink r:id="rId72">
              <w:r>
                <w:rPr>
                  <w:rFonts w:ascii="Arial" w:cs="Arial" w:eastAsia="Arial" w:hAnsi="Arial"/>
                  <w:sz w:val="18"/>
                  <w:szCs w:val="18"/>
                  <w:color w:val="0000EE"/>
                </w:rPr>
                <w:t>First Amendment to 2006 Incentive Share Plan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10.5.1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27, 2013</w:t>
            </w:r>
          </w:p>
        </w:tc>
      </w:tr>
      <w:tr>
        <w:trPr>
          <w:trHeight w:val="20"/>
        </w:trPr>
        <w:tc>
          <w:tcPr>
            <w:tcW w:w="13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10.2.2†</w:t>
            </w:r>
          </w:p>
        </w:tc>
        <w:tc>
          <w:tcPr>
            <w:tcW w:w="4020" w:type="dxa"/>
            <w:vAlign w:val="bottom"/>
            <w:tcBorders>
              <w:bottom w:val="single" w:sz="8" w:color="0000EE"/>
            </w:tcBorders>
            <w:gridSpan w:val="22"/>
          </w:tcPr>
          <w:p>
            <w:pPr>
              <w:spacing w:after="0"/>
              <w:rPr>
                <w:rFonts w:ascii="Arial" w:cs="Arial" w:eastAsia="Arial" w:hAnsi="Arial"/>
                <w:sz w:val="18"/>
                <w:szCs w:val="18"/>
                <w:color w:val="0000EE"/>
                <w:w w:val="91"/>
              </w:rPr>
            </w:pPr>
            <w:hyperlink r:id="rId73">
              <w:r>
                <w:rPr>
                  <w:rFonts w:ascii="Arial" w:cs="Arial" w:eastAsia="Arial" w:hAnsi="Arial"/>
                  <w:sz w:val="18"/>
                  <w:szCs w:val="18"/>
                  <w:color w:val="0000EE"/>
                  <w:w w:val="91"/>
                </w:rPr>
                <w:t>Form of Stock Option Agreement under 2006 Incentive</w:t>
              </w:r>
            </w:hyperlink>
          </w:p>
        </w:tc>
        <w:tc>
          <w:tcPr>
            <w:tcW w:w="540" w:type="dxa"/>
            <w:vAlign w:val="bottom"/>
            <w:gridSpan w:val="13"/>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10.5.2</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r:id="rId73">
              <w:r>
                <w:rPr>
                  <w:rFonts w:ascii="Arial" w:cs="Arial" w:eastAsia="Arial" w:hAnsi="Arial"/>
                  <w:sz w:val="18"/>
                  <w:szCs w:val="18"/>
                  <w:color w:val="0000EE"/>
                  <w:w w:val="85"/>
                </w:rPr>
                <w:t>Share Plan</w:t>
              </w:r>
            </w:hyperlink>
          </w:p>
        </w:tc>
        <w:tc>
          <w:tcPr>
            <w:tcW w:w="3780" w:type="dxa"/>
            <w:vAlign w:val="bottom"/>
            <w:gridSpan w:val="32"/>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w:t>
            </w:r>
          </w:p>
        </w:tc>
        <w:tc>
          <w:tcPr>
            <w:tcW w:w="3680" w:type="dxa"/>
            <w:vAlign w:val="bottom"/>
            <w:tcBorders>
              <w:bottom w:val="single" w:sz="8" w:color="0000EE"/>
            </w:tcBorders>
            <w:gridSpan w:val="17"/>
          </w:tcPr>
          <w:p>
            <w:pPr>
              <w:spacing w:after="0"/>
              <w:rPr>
                <w:rFonts w:ascii="Arial" w:cs="Arial" w:eastAsia="Arial" w:hAnsi="Arial"/>
                <w:sz w:val="18"/>
                <w:szCs w:val="18"/>
                <w:color w:val="0000EE"/>
                <w:w w:val="89"/>
              </w:rPr>
            </w:pPr>
            <w:hyperlink r:id="rId74">
              <w:r>
                <w:rPr>
                  <w:rFonts w:ascii="Arial" w:cs="Arial" w:eastAsia="Arial" w:hAnsi="Arial"/>
                  <w:sz w:val="18"/>
                  <w:szCs w:val="18"/>
                  <w:color w:val="0000EE"/>
                  <w:w w:val="89"/>
                </w:rPr>
                <w:t>Amended and Restated 2013 Equity Incentive Plan</w:t>
              </w:r>
            </w:hyperlink>
          </w:p>
        </w:tc>
        <w:tc>
          <w:tcPr>
            <w:tcW w:w="880" w:type="dxa"/>
            <w:vAlign w:val="bottom"/>
            <w:gridSpan w:val="18"/>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2"/>
              </w:rPr>
              <w:t>March 9, 2017</w:t>
            </w: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10.3.1†</w:t>
            </w:r>
          </w:p>
        </w:tc>
        <w:tc>
          <w:tcPr>
            <w:tcW w:w="4040" w:type="dxa"/>
            <w:vAlign w:val="bottom"/>
            <w:tcBorders>
              <w:bottom w:val="single" w:sz="8" w:color="0000EE"/>
            </w:tcBorders>
            <w:gridSpan w:val="23"/>
          </w:tcPr>
          <w:p>
            <w:pPr>
              <w:spacing w:after="0"/>
              <w:rPr>
                <w:rFonts w:ascii="Arial" w:cs="Arial" w:eastAsia="Arial" w:hAnsi="Arial"/>
                <w:sz w:val="18"/>
                <w:szCs w:val="18"/>
                <w:color w:val="0000EE"/>
                <w:w w:val="90"/>
              </w:rPr>
            </w:pPr>
            <w:hyperlink r:id="rId75">
              <w:r>
                <w:rPr>
                  <w:rFonts w:ascii="Arial" w:cs="Arial" w:eastAsia="Arial" w:hAnsi="Arial"/>
                  <w:sz w:val="18"/>
                  <w:szCs w:val="18"/>
                  <w:color w:val="0000EE"/>
                  <w:w w:val="90"/>
                </w:rPr>
                <w:t>Form of Restricted Stock Award Agreement under 2013</w:t>
              </w:r>
            </w:hyperlink>
          </w:p>
        </w:tc>
        <w:tc>
          <w:tcPr>
            <w:tcW w:w="520" w:type="dxa"/>
            <w:vAlign w:val="bottom"/>
            <w:gridSpan w:val="12"/>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10.6.1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75">
              <w:r>
                <w:rPr>
                  <w:rFonts w:ascii="Arial" w:cs="Arial" w:eastAsia="Arial" w:hAnsi="Arial"/>
                  <w:sz w:val="18"/>
                  <w:szCs w:val="18"/>
                  <w:color w:val="0000EE"/>
                  <w:w w:val="91"/>
                </w:rPr>
                <w:t>Equity Incentive Plan</w:t>
              </w:r>
            </w:hyperlink>
          </w:p>
        </w:tc>
        <w:tc>
          <w:tcPr>
            <w:tcW w:w="3000" w:type="dxa"/>
            <w:vAlign w:val="bottom"/>
            <w:gridSpan w:val="30"/>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10.3.2†</w:t>
            </w:r>
          </w:p>
        </w:tc>
        <w:tc>
          <w:tcPr>
            <w:tcW w:w="4000" w:type="dxa"/>
            <w:vAlign w:val="bottom"/>
            <w:tcBorders>
              <w:bottom w:val="single" w:sz="8" w:color="0000EE"/>
            </w:tcBorders>
            <w:gridSpan w:val="21"/>
          </w:tcPr>
          <w:p>
            <w:pPr>
              <w:spacing w:after="0"/>
              <w:rPr>
                <w:rFonts w:ascii="Arial" w:cs="Arial" w:eastAsia="Arial" w:hAnsi="Arial"/>
                <w:sz w:val="18"/>
                <w:szCs w:val="18"/>
                <w:color w:val="0000EE"/>
                <w:w w:val="91"/>
              </w:rPr>
            </w:pPr>
            <w:hyperlink r:id="rId76">
              <w:r>
                <w:rPr>
                  <w:rFonts w:ascii="Arial" w:cs="Arial" w:eastAsia="Arial" w:hAnsi="Arial"/>
                  <w:sz w:val="18"/>
                  <w:szCs w:val="18"/>
                  <w:color w:val="0000EE"/>
                  <w:w w:val="91"/>
                </w:rPr>
                <w:t>Form of Restricted Stock Unit Award Agreement under</w:t>
              </w:r>
            </w:hyperlink>
          </w:p>
        </w:tc>
        <w:tc>
          <w:tcPr>
            <w:tcW w:w="560" w:type="dxa"/>
            <w:vAlign w:val="bottom"/>
            <w:gridSpan w:val="14"/>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10.6.2</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rPr>
            </w:pPr>
            <w:hyperlink r:id="rId76">
              <w:r>
                <w:rPr>
                  <w:rFonts w:ascii="Arial" w:cs="Arial" w:eastAsia="Arial" w:hAnsi="Arial"/>
                  <w:sz w:val="18"/>
                  <w:szCs w:val="18"/>
                  <w:color w:val="0000EE"/>
                </w:rPr>
                <w:t>2013 Equity Incentive Plan</w:t>
              </w:r>
            </w:hyperlink>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3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4560" w:type="dxa"/>
            <w:vAlign w:val="bottom"/>
            <w:gridSpan w:val="35"/>
          </w:tcPr>
          <w:p>
            <w:pPr>
              <w:spacing w:after="0"/>
              <w:rPr>
                <w:rFonts w:ascii="Arial" w:cs="Arial" w:eastAsia="Arial" w:hAnsi="Arial"/>
                <w:sz w:val="18"/>
                <w:szCs w:val="18"/>
                <w:color w:val="0000EE"/>
                <w:w w:val="97"/>
              </w:rPr>
            </w:pPr>
            <w:hyperlink r:id="rId77">
              <w:r>
                <w:rPr>
                  <w:rFonts w:ascii="Arial" w:cs="Arial" w:eastAsia="Arial" w:hAnsi="Arial"/>
                  <w:sz w:val="18"/>
                  <w:szCs w:val="18"/>
                  <w:color w:val="0000EE"/>
                  <w:w w:val="97"/>
                </w:rPr>
                <w:t>Form of Stock Appreciation Right Award Agreement under</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10.6.3</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8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77">
              <w:r>
                <w:rPr>
                  <w:rFonts w:ascii="Arial" w:cs="Arial" w:eastAsia="Arial" w:hAnsi="Arial"/>
                  <w:sz w:val="18"/>
                  <w:szCs w:val="18"/>
                  <w:color w:val="0000EE"/>
                </w:rPr>
                <w:t>2013 Equity Incentive Plan</w:t>
              </w:r>
            </w:hyperlink>
          </w:p>
        </w:tc>
        <w:tc>
          <w:tcPr>
            <w:tcW w:w="28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32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0" w:type="dxa"/>
            <w:vAlign w:val="bottom"/>
            <w:gridSpan w:val="7"/>
            <w:shd w:val="clear" w:color="auto" w:fill="0000EE"/>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10.3.4†</w:t>
            </w:r>
          </w:p>
        </w:tc>
        <w:tc>
          <w:tcPr>
            <w:tcW w:w="4560" w:type="dxa"/>
            <w:vAlign w:val="bottom"/>
            <w:gridSpan w:val="35"/>
          </w:tcPr>
          <w:p>
            <w:pPr>
              <w:spacing w:after="0"/>
              <w:rPr>
                <w:rFonts w:ascii="Arial" w:cs="Arial" w:eastAsia="Arial" w:hAnsi="Arial"/>
                <w:sz w:val="18"/>
                <w:szCs w:val="18"/>
                <w:color w:val="0000EE"/>
              </w:rPr>
            </w:pPr>
            <w:hyperlink r:id="rId78">
              <w:r>
                <w:rPr>
                  <w:rFonts w:ascii="Arial" w:cs="Arial" w:eastAsia="Arial" w:hAnsi="Arial"/>
                  <w:sz w:val="18"/>
                  <w:szCs w:val="18"/>
                  <w:color w:val="0000EE"/>
                </w:rPr>
                <w:t>Form of Notice of Stock Option Award and Stock Option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10.6.4</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8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0"/>
              </w:rPr>
            </w:pPr>
            <w:hyperlink r:id="rId78">
              <w:r>
                <w:rPr>
                  <w:rFonts w:ascii="Arial" w:cs="Arial" w:eastAsia="Arial" w:hAnsi="Arial"/>
                  <w:sz w:val="18"/>
                  <w:szCs w:val="18"/>
                  <w:color w:val="0000EE"/>
                  <w:w w:val="90"/>
                </w:rPr>
                <w:t>Award Agreement under 2013 Equity Incentive Plan</w:t>
              </w:r>
            </w:hyperlink>
          </w:p>
        </w:tc>
        <w:tc>
          <w:tcPr>
            <w:tcW w:w="340" w:type="dxa"/>
            <w:vAlign w:val="bottom"/>
            <w:tcBorders>
              <w:top w:val="single" w:sz="8" w:color="0000EE"/>
            </w:tcBorders>
            <w:gridSpan w:val="8"/>
          </w:tcPr>
          <w:p>
            <w:pPr>
              <w:spacing w:after="0"/>
              <w:rPr>
                <w:sz w:val="17"/>
                <w:szCs w:val="17"/>
                <w:color w:val="auto"/>
              </w:rPr>
            </w:pPr>
          </w:p>
        </w:tc>
        <w:tc>
          <w:tcPr>
            <w:tcW w:w="440" w:type="dxa"/>
            <w:vAlign w:val="bottom"/>
            <w:gridSpan w:val="9"/>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4220" w:type="dxa"/>
            <w:vAlign w:val="bottom"/>
            <w:tcBorders>
              <w:bottom w:val="single" w:sz="8" w:color="0000EE"/>
            </w:tcBorders>
            <w:gridSpan w:val="29"/>
          </w:tcPr>
          <w:p>
            <w:pPr>
              <w:spacing w:after="0"/>
              <w:rPr>
                <w:rFonts w:ascii="Arial" w:cs="Arial" w:eastAsia="Arial" w:hAnsi="Arial"/>
                <w:sz w:val="18"/>
                <w:szCs w:val="18"/>
                <w:color w:val="0000EE"/>
                <w:w w:val="89"/>
              </w:rPr>
            </w:pPr>
            <w:hyperlink r:id="rId79">
              <w:r>
                <w:rPr>
                  <w:rFonts w:ascii="Arial" w:cs="Arial" w:eastAsia="Arial" w:hAnsi="Arial"/>
                  <w:sz w:val="18"/>
                  <w:szCs w:val="18"/>
                  <w:color w:val="0000EE"/>
                  <w:w w:val="89"/>
                </w:rPr>
                <w:t>Amended and Restated Employment Agreement regarding</w:t>
              </w:r>
            </w:hyperlink>
          </w:p>
        </w:tc>
        <w:tc>
          <w:tcPr>
            <w:tcW w:w="340" w:type="dxa"/>
            <w:vAlign w:val="bottom"/>
            <w:gridSpan w:val="6"/>
          </w:tcPr>
          <w:p>
            <w:pPr>
              <w:spacing w:after="0"/>
              <w:rPr>
                <w:sz w:val="24"/>
                <w:szCs w:val="24"/>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333-190591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10.12.1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89"/>
              </w:rPr>
              <w:t>August 13, 2013</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4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r:id="rId79">
              <w:r>
                <w:rPr>
                  <w:rFonts w:ascii="Arial" w:cs="Arial" w:eastAsia="Arial" w:hAnsi="Arial"/>
                  <w:sz w:val="18"/>
                  <w:szCs w:val="18"/>
                  <w:color w:val="0000EE"/>
                  <w:w w:val="89"/>
                </w:rPr>
                <w:t>Change of Control or Separation of Service between the</w:t>
              </w:r>
            </w:hyperlink>
          </w:p>
        </w:tc>
        <w:tc>
          <w:tcPr>
            <w:tcW w:w="520" w:type="dxa"/>
            <w:vAlign w:val="bottom"/>
            <w:gridSpan w:val="12"/>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60" w:type="dxa"/>
            <w:vAlign w:val="bottom"/>
            <w:gridSpan w:val="35"/>
          </w:tcPr>
          <w:p>
            <w:pPr>
              <w:spacing w:after="0" w:line="196" w:lineRule="exact"/>
              <w:rPr>
                <w:rFonts w:ascii="Arial" w:cs="Arial" w:eastAsia="Arial" w:hAnsi="Arial"/>
                <w:sz w:val="18"/>
                <w:szCs w:val="18"/>
                <w:color w:val="0000EE"/>
                <w:w w:val="96"/>
              </w:rPr>
            </w:pPr>
            <w:hyperlink r:id="rId79">
              <w:r>
                <w:rPr>
                  <w:rFonts w:ascii="Arial" w:cs="Arial" w:eastAsia="Arial" w:hAnsi="Arial"/>
                  <w:sz w:val="18"/>
                  <w:szCs w:val="18"/>
                  <w:color w:val="0000EE"/>
                  <w:w w:val="96"/>
                </w:rPr>
                <w:t>registrant and Chih-Hsiang (Thompson) Lin, dated April 16,</w:t>
              </w:r>
            </w:hyperlink>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79">
              <w:r>
                <w:rPr>
                  <w:rFonts w:ascii="Arial" w:cs="Arial" w:eastAsia="Arial" w:hAnsi="Arial"/>
                  <w:sz w:val="18"/>
                  <w:szCs w:val="18"/>
                  <w:color w:val="0000EE"/>
                  <w:w w:val="84"/>
                </w:rPr>
                <w:t>2013</w:t>
              </w:r>
            </w:hyperlink>
          </w:p>
        </w:tc>
        <w:tc>
          <w:tcPr>
            <w:tcW w:w="2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4560" w:type="dxa"/>
            <w:vAlign w:val="bottom"/>
            <w:gridSpan w:val="35"/>
          </w:tcPr>
          <w:p>
            <w:pPr>
              <w:spacing w:after="0"/>
              <w:rPr>
                <w:rFonts w:ascii="Arial" w:cs="Arial" w:eastAsia="Arial" w:hAnsi="Arial"/>
                <w:sz w:val="18"/>
                <w:szCs w:val="18"/>
                <w:color w:val="0000EE"/>
              </w:rPr>
            </w:pPr>
            <w:hyperlink r:id="rId80">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0"/>
              </w:rPr>
              <w:t>August 9, 2016</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92"/>
              </w:rPr>
            </w:pPr>
            <w:hyperlink r:id="rId80">
              <w:r>
                <w:rPr>
                  <w:rFonts w:ascii="Arial" w:cs="Arial" w:eastAsia="Arial" w:hAnsi="Arial"/>
                  <w:sz w:val="18"/>
                  <w:szCs w:val="18"/>
                  <w:color w:val="0000EE"/>
                  <w:w w:val="92"/>
                </w:rPr>
                <w:t>Applied Optoelectronics, Inc. and Stefan J. Murry</w:t>
              </w:r>
            </w:hyperlink>
          </w:p>
        </w:tc>
        <w:tc>
          <w:tcPr>
            <w:tcW w:w="440" w:type="dxa"/>
            <w:vAlign w:val="bottom"/>
            <w:tcBorders>
              <w:top w:val="single" w:sz="8" w:color="0000EE"/>
            </w:tcBorders>
            <w:gridSpan w:val="8"/>
          </w:tcPr>
          <w:p>
            <w:pPr>
              <w:spacing w:after="0"/>
              <w:rPr>
                <w:sz w:val="17"/>
                <w:szCs w:val="17"/>
                <w:color w:val="auto"/>
              </w:rPr>
            </w:pPr>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4560" w:type="dxa"/>
            <w:vAlign w:val="bottom"/>
            <w:gridSpan w:val="35"/>
          </w:tcPr>
          <w:p>
            <w:pPr>
              <w:spacing w:after="0"/>
              <w:rPr>
                <w:rFonts w:ascii="Arial" w:cs="Arial" w:eastAsia="Arial" w:hAnsi="Arial"/>
                <w:sz w:val="18"/>
                <w:szCs w:val="18"/>
                <w:color w:val="0000EE"/>
              </w:rPr>
            </w:pPr>
            <w:hyperlink r:id="rId81">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0"/>
              </w:rPr>
              <w:t>August 9, 2016</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81">
              <w:r>
                <w:rPr>
                  <w:rFonts w:ascii="Arial" w:cs="Arial" w:eastAsia="Arial" w:hAnsi="Arial"/>
                  <w:sz w:val="18"/>
                  <w:szCs w:val="18"/>
                  <w:color w:val="0000EE"/>
                  <w:w w:val="91"/>
                </w:rPr>
                <w:t>Applied Optoelectronics, Inc. and Mr. Joshua Yeh</w:t>
              </w:r>
            </w:hyperlink>
          </w:p>
        </w:tc>
        <w:tc>
          <w:tcPr>
            <w:tcW w:w="460" w:type="dxa"/>
            <w:vAlign w:val="bottom"/>
            <w:tcBorders>
              <w:top w:val="single" w:sz="8" w:color="0000EE"/>
            </w:tcBorders>
            <w:gridSpan w:val="9"/>
          </w:tcPr>
          <w:p>
            <w:pPr>
              <w:spacing w:after="0"/>
              <w:rPr>
                <w:sz w:val="17"/>
                <w:szCs w:val="17"/>
                <w:color w:val="auto"/>
              </w:rPr>
            </w:pPr>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4560" w:type="dxa"/>
            <w:vAlign w:val="bottom"/>
            <w:gridSpan w:val="35"/>
          </w:tcPr>
          <w:p>
            <w:pPr>
              <w:spacing w:after="0"/>
              <w:rPr>
                <w:rFonts w:ascii="Arial" w:cs="Arial" w:eastAsia="Arial" w:hAnsi="Arial"/>
                <w:sz w:val="18"/>
                <w:szCs w:val="18"/>
                <w:color w:val="0000EE"/>
              </w:rPr>
            </w:pPr>
            <w:hyperlink r:id="rId82">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0"/>
              </w:rPr>
              <w:t>August 9, 2016</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82">
              <w:r>
                <w:rPr>
                  <w:rFonts w:ascii="Arial" w:cs="Arial" w:eastAsia="Arial" w:hAnsi="Arial"/>
                  <w:sz w:val="18"/>
                  <w:szCs w:val="18"/>
                  <w:color w:val="0000EE"/>
                  <w:w w:val="91"/>
                </w:rPr>
                <w:t>Applied Optoelectronics, Inc. and Dr. Fred Chang</w:t>
              </w:r>
            </w:hyperlink>
          </w:p>
        </w:tc>
        <w:tc>
          <w:tcPr>
            <w:tcW w:w="480" w:type="dxa"/>
            <w:vAlign w:val="bottom"/>
            <w:tcBorders>
              <w:top w:val="single" w:sz="8" w:color="0000EE"/>
            </w:tcBorders>
            <w:gridSpan w:val="10"/>
          </w:tcPr>
          <w:p>
            <w:pPr>
              <w:spacing w:after="0"/>
              <w:rPr>
                <w:sz w:val="17"/>
                <w:szCs w:val="17"/>
                <w:color w:val="auto"/>
              </w:rPr>
            </w:pPr>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412"/>
        </w:trPr>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4560" w:type="dxa"/>
            <w:vAlign w:val="bottom"/>
            <w:gridSpan w:val="35"/>
          </w:tcPr>
          <w:p>
            <w:pPr>
              <w:spacing w:after="0"/>
              <w:rPr>
                <w:rFonts w:ascii="Arial" w:cs="Arial" w:eastAsia="Arial" w:hAnsi="Arial"/>
                <w:sz w:val="18"/>
                <w:szCs w:val="18"/>
                <w:color w:val="0000EE"/>
              </w:rPr>
            </w:pPr>
            <w:hyperlink r:id="rId83">
              <w:r>
                <w:rPr>
                  <w:rFonts w:ascii="Arial" w:cs="Arial" w:eastAsia="Arial" w:hAnsi="Arial"/>
                  <w:sz w:val="18"/>
                  <w:szCs w:val="18"/>
                  <w:color w:val="0000EE"/>
                </w:rPr>
                <w:t>Employment Agreement, dated August 5, 2016, between</w:t>
              </w:r>
            </w:hyperlink>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720" w:type="dxa"/>
            <w:vAlign w:val="bottom"/>
          </w:tcPr>
          <w:p>
            <w:pPr>
              <w:jc w:val="center"/>
              <w:ind w:left="210"/>
              <w:spacing w:after="0"/>
              <w:rPr>
                <w:sz w:val="20"/>
                <w:szCs w:val="20"/>
                <w:color w:val="auto"/>
              </w:rPr>
            </w:pPr>
            <w:r>
              <w:rPr>
                <w:rFonts w:ascii="Arial" w:cs="Arial" w:eastAsia="Arial" w:hAnsi="Arial"/>
                <w:sz w:val="18"/>
                <w:szCs w:val="18"/>
                <w:color w:val="auto"/>
                <w:w w:val="91"/>
              </w:rPr>
              <w:t>February 28, 2018</w:t>
            </w:r>
          </w:p>
        </w:tc>
      </w:tr>
      <w:tr>
        <w:trPr>
          <w:trHeight w:val="196"/>
        </w:trPr>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83">
              <w:r>
                <w:rPr>
                  <w:rFonts w:ascii="Arial" w:cs="Arial" w:eastAsia="Arial" w:hAnsi="Arial"/>
                  <w:sz w:val="18"/>
                  <w:szCs w:val="18"/>
                  <w:color w:val="0000EE"/>
                </w:rPr>
                <w:t>Applied Optoelectronics, Inc. and David C. Kuo</w:t>
              </w:r>
            </w:hyperlink>
          </w:p>
        </w:tc>
        <w:tc>
          <w:tcPr>
            <w:tcW w:w="4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00"/>
          </w:cols>
          <w:pgMar w:left="320" w:top="108" w:right="579" w:bottom="1440" w:gutter="0" w:footer="0" w:header="0"/>
        </w:sectPr>
      </w:pPr>
    </w:p>
    <w:p>
      <w:pPr>
        <w:spacing w:after="0" w:line="29"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108" w:right="579" w:bottom="1440" w:gutter="0" w:footer="0" w:header="0"/>
          <w:type w:val="continuous"/>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7" w:lineRule="exact"/>
        <w:rPr>
          <w:sz w:val="20"/>
          <w:szCs w:val="20"/>
          <w:color w:val="auto"/>
        </w:rPr>
      </w:pPr>
    </w:p>
    <w:p>
      <w:pPr>
        <w:jc w:val="both"/>
        <w:ind w:left="1300" w:right="360" w:hanging="543"/>
        <w:spacing w:after="0" w:line="255"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85">
        <w:r>
          <w:rPr>
            <w:rFonts w:ascii="Arial" w:cs="Arial" w:eastAsia="Arial" w:hAnsi="Arial"/>
            <w:sz w:val="18"/>
            <w:szCs w:val="18"/>
            <w:u w:val="single" w:color="auto"/>
            <w:color w:val="0000EE"/>
          </w:rPr>
          <w:t>Loan Agreement, dated September 28, 2017, between</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Applied Optoelectronics, Inc. and Branch Banking and</w:t>
        </w:r>
      </w:hyperlink>
      <w:r>
        <w:rPr>
          <w:rFonts w:ascii="Arial" w:cs="Arial" w:eastAsia="Arial" w:hAnsi="Arial"/>
          <w:sz w:val="18"/>
          <w:szCs w:val="18"/>
          <w:u w:val="single" w:color="auto"/>
          <w:color w:val="0000EE"/>
        </w:rPr>
        <w:t xml:space="preserve"> </w:t>
      </w:r>
      <w:hyperlink r:id="rId85">
        <w:r>
          <w:rPr>
            <w:rFonts w:ascii="Arial" w:cs="Arial" w:eastAsia="Arial" w:hAnsi="Arial"/>
            <w:sz w:val="18"/>
            <w:szCs w:val="18"/>
            <w:u w:val="single" w:color="auto"/>
            <w:color w:val="0000EE"/>
          </w:rPr>
          <w:t>Trust Company</w:t>
        </w:r>
      </w:hyperlink>
    </w:p>
    <w:p>
      <w:pPr>
        <w:spacing w:after="0" w:line="190" w:lineRule="exact"/>
        <w:rPr>
          <w:rFonts w:ascii="Arial" w:cs="Arial" w:eastAsia="Arial" w:hAnsi="Arial"/>
          <w:sz w:val="18"/>
          <w:szCs w:val="18"/>
          <w:u w:val="single" w:color="auto"/>
          <w:color w:val="0000EE"/>
        </w:rPr>
      </w:pPr>
    </w:p>
    <w:p>
      <w:pPr>
        <w:jc w:val="both"/>
        <w:ind w:left="1300" w:right="360" w:hanging="67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10.9.1</w:t>
      </w:r>
      <w:r>
        <w:rPr>
          <w:sz w:val="20"/>
          <w:szCs w:val="20"/>
          <w:color w:val="auto"/>
        </w:rPr>
        <w:tab/>
      </w:r>
      <w:hyperlink r:id="rId86">
        <w:r>
          <w:rPr>
            <w:rFonts w:ascii="Arial" w:cs="Arial" w:eastAsia="Arial" w:hAnsi="Arial"/>
            <w:sz w:val="18"/>
            <w:szCs w:val="18"/>
            <w:u w:val="single" w:color="auto"/>
            <w:color w:val="0000EE"/>
          </w:rPr>
          <w:t>Promissory Note, dated September 28, 2017, between</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Applied Optoelectronics, Inc. and Branch Banking and</w:t>
        </w:r>
      </w:hyperlink>
      <w:r>
        <w:rPr>
          <w:rFonts w:ascii="Arial" w:cs="Arial" w:eastAsia="Arial" w:hAnsi="Arial"/>
          <w:sz w:val="18"/>
          <w:szCs w:val="18"/>
          <w:u w:val="single" w:color="auto"/>
          <w:color w:val="0000EE"/>
        </w:rPr>
        <w:t xml:space="preserve"> </w:t>
      </w:r>
      <w:hyperlink r:id="rId86">
        <w:r>
          <w:rPr>
            <w:rFonts w:ascii="Arial" w:cs="Arial" w:eastAsia="Arial" w:hAnsi="Arial"/>
            <w:sz w:val="18"/>
            <w:szCs w:val="18"/>
            <w:u w:val="single" w:color="auto"/>
            <w:color w:val="0000EE"/>
          </w:rPr>
          <w:t>Trust Company</w:t>
        </w:r>
      </w:hyperlink>
    </w:p>
    <w:p>
      <w:pPr>
        <w:spacing w:after="0" w:line="184" w:lineRule="exact"/>
        <w:rPr>
          <w:rFonts w:ascii="Arial" w:cs="Arial" w:eastAsia="Arial" w:hAnsi="Arial"/>
          <w:sz w:val="18"/>
          <w:szCs w:val="18"/>
          <w:u w:val="single" w:color="auto"/>
          <w:color w:val="0000EE"/>
        </w:rPr>
      </w:pPr>
    </w:p>
    <w:p>
      <w:pPr>
        <w:jc w:val="both"/>
        <w:ind w:left="1300" w:right="220" w:hanging="678"/>
        <w:spacing w:after="0" w:line="286" w:lineRule="auto"/>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10.9.2</w:t>
      </w:r>
      <w:r>
        <w:rPr>
          <w:sz w:val="20"/>
          <w:szCs w:val="20"/>
          <w:color w:val="auto"/>
        </w:rPr>
        <w:tab/>
      </w:r>
      <w:hyperlink r:id="rId87">
        <w:r>
          <w:rPr>
            <w:rFonts w:ascii="Arial" w:cs="Arial" w:eastAsia="Arial" w:hAnsi="Arial"/>
            <w:sz w:val="17"/>
            <w:szCs w:val="17"/>
            <w:u w:val="single" w:color="auto"/>
            <w:color w:val="0000EE"/>
          </w:rPr>
          <w:t>Addendum to the Promissory Note, dated September 28,</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2017, between Applied Optoelectronics, Inc. and Branch</w:t>
        </w:r>
      </w:hyperlink>
      <w:r>
        <w:rPr>
          <w:rFonts w:ascii="Arial" w:cs="Arial" w:eastAsia="Arial" w:hAnsi="Arial"/>
          <w:sz w:val="17"/>
          <w:szCs w:val="17"/>
          <w:u w:val="single" w:color="auto"/>
          <w:color w:val="0000EE"/>
        </w:rPr>
        <w:t xml:space="preserve"> </w:t>
      </w:r>
      <w:hyperlink r:id="rId87">
        <w:r>
          <w:rPr>
            <w:rFonts w:ascii="Arial" w:cs="Arial" w:eastAsia="Arial" w:hAnsi="Arial"/>
            <w:sz w:val="17"/>
            <w:szCs w:val="17"/>
            <w:u w:val="single" w:color="auto"/>
            <w:color w:val="0000EE"/>
          </w:rPr>
          <w:t>Banking and Trust Company</w:t>
        </w:r>
      </w:hyperlink>
    </w:p>
    <w:p>
      <w:pPr>
        <w:spacing w:after="0" w:line="165" w:lineRule="exact"/>
        <w:rPr>
          <w:rFonts w:ascii="Arial" w:cs="Arial" w:eastAsia="Arial" w:hAnsi="Arial"/>
          <w:sz w:val="17"/>
          <w:szCs w:val="17"/>
          <w:u w:val="single" w:color="auto"/>
          <w:color w:val="0000EE"/>
        </w:rPr>
      </w:pPr>
    </w:p>
    <w:p>
      <w:pPr>
        <w:ind w:left="1320" w:hanging="67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10.9.3</w:t>
      </w:r>
      <w:r>
        <w:rPr>
          <w:sz w:val="20"/>
          <w:szCs w:val="20"/>
          <w:color w:val="auto"/>
        </w:rPr>
        <w:tab/>
      </w:r>
      <w:hyperlink r:id="rId88">
        <w:r>
          <w:rPr>
            <w:rFonts w:ascii="Arial" w:cs="Arial" w:eastAsia="Arial" w:hAnsi="Arial"/>
            <w:sz w:val="18"/>
            <w:szCs w:val="18"/>
            <w:u w:val="single" w:color="auto"/>
            <w:color w:val="0000EE"/>
          </w:rPr>
          <w:t>BB&amp;T Security Agreement, dated September 28, 2017,</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88">
        <w:r>
          <w:rPr>
            <w:rFonts w:ascii="Arial" w:cs="Arial" w:eastAsia="Arial" w:hAnsi="Arial"/>
            <w:sz w:val="18"/>
            <w:szCs w:val="18"/>
            <w:u w:val="single" w:color="auto"/>
            <w:color w:val="0000EE"/>
          </w:rPr>
          <w:t>and Trust Company</w:t>
        </w:r>
      </w:hyperlink>
    </w:p>
    <w:p>
      <w:pPr>
        <w:spacing w:after="0" w:line="184" w:lineRule="exact"/>
        <w:rPr>
          <w:rFonts w:ascii="Arial" w:cs="Arial" w:eastAsia="Arial" w:hAnsi="Arial"/>
          <w:sz w:val="18"/>
          <w:szCs w:val="18"/>
          <w:u w:val="single" w:color="auto"/>
          <w:color w:val="0000EE"/>
        </w:rPr>
      </w:pPr>
    </w:p>
    <w:p>
      <w:pPr>
        <w:jc w:val="both"/>
        <w:ind w:left="1320" w:hanging="67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10.9.4</w:t>
      </w:r>
      <w:r>
        <w:rPr>
          <w:sz w:val="20"/>
          <w:szCs w:val="20"/>
          <w:color w:val="auto"/>
        </w:rPr>
        <w:tab/>
      </w:r>
      <w:hyperlink r:id="rId89">
        <w:r>
          <w:rPr>
            <w:rFonts w:ascii="Arial" w:cs="Arial" w:eastAsia="Arial" w:hAnsi="Arial"/>
            <w:sz w:val="18"/>
            <w:szCs w:val="18"/>
            <w:u w:val="single" w:color="auto"/>
            <w:color w:val="0000EE"/>
          </w:rPr>
          <w:t>Trademark Security Agreement, dated September 28, 2017,</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89">
        <w:r>
          <w:rPr>
            <w:rFonts w:ascii="Arial" w:cs="Arial" w:eastAsia="Arial" w:hAnsi="Arial"/>
            <w:sz w:val="18"/>
            <w:szCs w:val="18"/>
            <w:u w:val="single" w:color="auto"/>
            <w:color w:val="0000EE"/>
          </w:rPr>
          <w:t>and Trust Company</w:t>
        </w:r>
      </w:hyperlink>
    </w:p>
    <w:p>
      <w:pPr>
        <w:spacing w:after="0" w:line="184" w:lineRule="exact"/>
        <w:rPr>
          <w:rFonts w:ascii="Arial" w:cs="Arial" w:eastAsia="Arial" w:hAnsi="Arial"/>
          <w:sz w:val="18"/>
          <w:szCs w:val="18"/>
          <w:u w:val="single" w:color="auto"/>
          <w:color w:val="0000EE"/>
        </w:rPr>
      </w:pPr>
    </w:p>
    <w:p>
      <w:pPr>
        <w:ind w:left="1320" w:hanging="67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10.9.5</w:t>
      </w:r>
      <w:r>
        <w:rPr>
          <w:sz w:val="20"/>
          <w:szCs w:val="20"/>
          <w:color w:val="auto"/>
        </w:rPr>
        <w:tab/>
      </w:r>
      <w:hyperlink r:id="rId90">
        <w:r>
          <w:rPr>
            <w:rFonts w:ascii="Arial" w:cs="Arial" w:eastAsia="Arial" w:hAnsi="Arial"/>
            <w:sz w:val="18"/>
            <w:szCs w:val="18"/>
            <w:u w:val="single" w:color="auto"/>
            <w:color w:val="0000EE"/>
          </w:rPr>
          <w:t>Patent Security Agreement, dated September 28, 2017,</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and Trust Company</w:t>
        </w:r>
      </w:hyperlink>
    </w:p>
    <w:p>
      <w:pPr>
        <w:spacing w:after="0" w:line="184" w:lineRule="exact"/>
        <w:rPr>
          <w:rFonts w:ascii="Arial" w:cs="Arial" w:eastAsia="Arial" w:hAnsi="Arial"/>
          <w:sz w:val="18"/>
          <w:szCs w:val="18"/>
          <w:u w:val="single" w:color="auto"/>
          <w:color w:val="0000EE"/>
        </w:rPr>
      </w:pPr>
    </w:p>
    <w:p>
      <w:pPr>
        <w:jc w:val="center"/>
        <w:ind w:left="520"/>
        <w:spacing w:after="0"/>
        <w:tabs>
          <w:tab w:leader="none" w:pos="22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91">
        <w:r>
          <w:rPr>
            <w:rFonts w:ascii="Arial" w:cs="Arial" w:eastAsia="Arial" w:hAnsi="Arial"/>
            <w:sz w:val="16"/>
            <w:szCs w:val="16"/>
            <w:u w:val="single" w:color="auto"/>
            <w:color w:val="0000EE"/>
          </w:rPr>
          <w:t>Supply Agreement, effective November 8, 2017, between</w:t>
        </w:r>
      </w:hyperlink>
    </w:p>
    <w:p>
      <w:pPr>
        <w:spacing w:after="0" w:line="23" w:lineRule="exact"/>
        <w:rPr>
          <w:rFonts w:ascii="Arial" w:cs="Arial" w:eastAsia="Arial" w:hAnsi="Arial"/>
          <w:sz w:val="18"/>
          <w:szCs w:val="18"/>
          <w:u w:val="single" w:color="auto"/>
          <w:color w:val="0000EE"/>
        </w:rPr>
      </w:pPr>
    </w:p>
    <w:p>
      <w:pPr>
        <w:jc w:val="center"/>
        <w:ind w:left="540"/>
        <w:spacing w:after="0"/>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Applied Optoelectronics, Inc. and Facebook, Inc.</w:t>
        </w:r>
      </w:hyperlink>
    </w:p>
    <w:p>
      <w:pPr>
        <w:spacing w:after="0" w:line="211" w:lineRule="exact"/>
        <w:rPr>
          <w:rFonts w:ascii="Arial" w:cs="Arial" w:eastAsia="Arial" w:hAnsi="Arial"/>
          <w:sz w:val="18"/>
          <w:szCs w:val="18"/>
          <w:u w:val="single" w:color="auto"/>
          <w:color w:val="0000EE"/>
        </w:rPr>
      </w:pPr>
    </w:p>
    <w:p>
      <w:pPr>
        <w:ind w:left="1320" w:right="120" w:hanging="626"/>
        <w:spacing w:after="0" w:line="342"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10.11</w:t>
      </w:r>
      <w:r>
        <w:rPr>
          <w:sz w:val="20"/>
          <w:szCs w:val="20"/>
          <w:color w:val="auto"/>
        </w:rPr>
        <w:tab/>
      </w:r>
      <w:hyperlink r:id="rId92">
        <w:r>
          <w:rPr>
            <w:rFonts w:ascii="Arial" w:cs="Arial" w:eastAsia="Arial" w:hAnsi="Arial"/>
            <w:sz w:val="16"/>
            <w:szCs w:val="16"/>
            <w:u w:val="single" w:color="auto"/>
            <w:color w:val="0000EE"/>
          </w:rPr>
          <w:t>Master Purchase Agreement, effective January 2, 2018,</w:t>
        </w:r>
      </w:hyperlink>
      <w:r>
        <w:rPr>
          <w:rFonts w:ascii="Arial" w:cs="Arial" w:eastAsia="Arial" w:hAnsi="Arial"/>
          <w:sz w:val="16"/>
          <w:szCs w:val="16"/>
          <w:u w:val="single" w:color="auto"/>
          <w:color w:val="0000EE"/>
        </w:rPr>
        <w:t xml:space="preserve"> </w:t>
      </w:r>
      <w:hyperlink r:id="rId92">
        <w:r>
          <w:rPr>
            <w:rFonts w:ascii="Arial" w:cs="Arial" w:eastAsia="Arial" w:hAnsi="Arial"/>
            <w:sz w:val="16"/>
            <w:szCs w:val="16"/>
            <w:u w:val="single" w:color="auto"/>
            <w:color w:val="0000EE"/>
          </w:rPr>
          <w:t>between Applied Optoelectronics, Inc. and Facebook, Inc.</w:t>
        </w:r>
      </w:hyperlink>
    </w:p>
    <w:p>
      <w:pPr>
        <w:spacing w:after="0" w:line="124" w:lineRule="exact"/>
        <w:rPr>
          <w:sz w:val="20"/>
          <w:szCs w:val="20"/>
          <w:color w:val="auto"/>
        </w:rPr>
      </w:pPr>
    </w:p>
    <w:p>
      <w:pPr>
        <w:ind w:left="1320" w:right="200" w:hanging="633"/>
        <w:spacing w:after="0" w:line="311"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10.12</w:t>
      </w:r>
      <w:r>
        <w:rPr>
          <w:sz w:val="20"/>
          <w:szCs w:val="20"/>
          <w:color w:val="auto"/>
        </w:rPr>
        <w:tab/>
      </w:r>
      <w:hyperlink r:id="rId93">
        <w:r>
          <w:rPr>
            <w:rFonts w:ascii="Arial" w:cs="Arial" w:eastAsia="Arial" w:hAnsi="Arial"/>
            <w:sz w:val="16"/>
            <w:szCs w:val="16"/>
            <w:u w:val="single" w:color="auto"/>
            <w:color w:val="0000EE"/>
          </w:rPr>
          <w:t>Translation of Lease Agreement between Global</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Technology, Inc. and the People’s Republic of China in</w:t>
        </w:r>
      </w:hyperlink>
      <w:r>
        <w:rPr>
          <w:rFonts w:ascii="Arial" w:cs="Arial" w:eastAsia="Arial" w:hAnsi="Arial"/>
          <w:sz w:val="16"/>
          <w:szCs w:val="16"/>
          <w:u w:val="single" w:color="auto"/>
          <w:color w:val="0000EE"/>
        </w:rPr>
        <w:t xml:space="preserve"> </w:t>
      </w:r>
      <w:hyperlink r:id="rId93">
        <w:r>
          <w:rPr>
            <w:rFonts w:ascii="Arial" w:cs="Arial" w:eastAsia="Arial" w:hAnsi="Arial"/>
            <w:sz w:val="16"/>
            <w:szCs w:val="16"/>
            <w:u w:val="single" w:color="auto"/>
            <w:color w:val="0000EE"/>
          </w:rPr>
          <w:t>Zhejiang Province, Ningbo City, Land Resources Bureau</w:t>
        </w:r>
      </w:hyperlink>
    </w:p>
    <w:p>
      <w:pPr>
        <w:spacing w:after="0" w:line="149" w:lineRule="exact"/>
        <w:rPr>
          <w:rFonts w:ascii="Arial" w:cs="Arial" w:eastAsia="Arial" w:hAnsi="Arial"/>
          <w:sz w:val="16"/>
          <w:szCs w:val="16"/>
          <w:u w:val="single" w:color="auto"/>
          <w:color w:val="0000EE"/>
        </w:rPr>
      </w:pPr>
    </w:p>
    <w:p>
      <w:pPr>
        <w:ind w:left="1320" w:hanging="768"/>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10.12.1</w:t>
      </w:r>
      <w:r>
        <w:rPr>
          <w:sz w:val="20"/>
          <w:szCs w:val="20"/>
          <w:color w:val="auto"/>
        </w:rPr>
        <w:tab/>
      </w:r>
      <w:hyperlink r:id="rId94">
        <w:r>
          <w:rPr>
            <w:rFonts w:ascii="Arial" w:cs="Arial" w:eastAsia="Arial" w:hAnsi="Arial"/>
            <w:sz w:val="18"/>
            <w:szCs w:val="18"/>
            <w:u w:val="single" w:color="auto"/>
            <w:color w:val="0000EE"/>
          </w:rPr>
          <w:t>Translation of Investment and Construction Agreement</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between Global Technology, Inc. and the People’s Republic</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of China in Zhejiang Province, Ningbo City, Land</w:t>
        </w:r>
      </w:hyperlink>
      <w:r>
        <w:rPr>
          <w:rFonts w:ascii="Arial" w:cs="Arial" w:eastAsia="Arial" w:hAnsi="Arial"/>
          <w:sz w:val="18"/>
          <w:szCs w:val="18"/>
          <w:u w:val="single" w:color="auto"/>
          <w:color w:val="0000EE"/>
        </w:rPr>
        <w:t xml:space="preserve"> </w:t>
      </w:r>
      <w:hyperlink r:id="rId94">
        <w:r>
          <w:rPr>
            <w:rFonts w:ascii="Arial" w:cs="Arial" w:eastAsia="Arial" w:hAnsi="Arial"/>
            <w:sz w:val="18"/>
            <w:szCs w:val="18"/>
            <w:u w:val="single" w:color="auto"/>
            <w:color w:val="0000EE"/>
          </w:rPr>
          <w:t>Resources Bureau</w:t>
        </w:r>
      </w:hyperlink>
    </w:p>
    <w:p>
      <w:pPr>
        <w:spacing w:after="0" w:line="187" w:lineRule="exact"/>
        <w:rPr>
          <w:rFonts w:ascii="Arial" w:cs="Arial" w:eastAsia="Arial" w:hAnsi="Arial"/>
          <w:sz w:val="18"/>
          <w:szCs w:val="18"/>
          <w:u w:val="single" w:color="auto"/>
          <w:color w:val="0000EE"/>
        </w:rPr>
      </w:pPr>
    </w:p>
    <w:p>
      <w:pPr>
        <w:ind w:left="1320" w:right="140" w:hanging="633"/>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10.13</w:t>
      </w:r>
      <w:r>
        <w:rPr>
          <w:sz w:val="20"/>
          <w:szCs w:val="20"/>
          <w:color w:val="auto"/>
        </w:rPr>
        <w:tab/>
      </w:r>
      <w:hyperlink r:id="rId95">
        <w:r>
          <w:rPr>
            <w:rFonts w:ascii="Arial" w:cs="Arial" w:eastAsia="Arial" w:hAnsi="Arial"/>
            <w:sz w:val="17"/>
            <w:szCs w:val="17"/>
            <w:u w:val="single" w:color="auto"/>
            <w:color w:val="0000EE"/>
          </w:rPr>
          <w:t>Translation of Construction Agreement between Global</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Technology, Inc. and Zhejiang Xinyu Construction Group</w:t>
        </w:r>
      </w:hyperlink>
      <w:r>
        <w:rPr>
          <w:rFonts w:ascii="Arial" w:cs="Arial" w:eastAsia="Arial" w:hAnsi="Arial"/>
          <w:sz w:val="17"/>
          <w:szCs w:val="17"/>
          <w:u w:val="single" w:color="auto"/>
          <w:color w:val="0000EE"/>
        </w:rPr>
        <w:t xml:space="preserve"> </w:t>
      </w:r>
      <w:hyperlink r:id="rId95">
        <w:r>
          <w:rPr>
            <w:rFonts w:ascii="Arial" w:cs="Arial" w:eastAsia="Arial" w:hAnsi="Arial"/>
            <w:sz w:val="17"/>
            <w:szCs w:val="17"/>
            <w:u w:val="single" w:color="auto"/>
            <w:color w:val="0000EE"/>
          </w:rPr>
          <w:t>Co., Ltd. dated February 8, 2018</w:t>
        </w:r>
      </w:hyperlink>
    </w:p>
    <w:p>
      <w:pPr>
        <w:spacing w:after="0" w:line="165" w:lineRule="exact"/>
        <w:rPr>
          <w:rFonts w:ascii="Arial" w:cs="Arial" w:eastAsia="Arial" w:hAnsi="Arial"/>
          <w:sz w:val="17"/>
          <w:szCs w:val="17"/>
          <w:u w:val="single" w:color="auto"/>
          <w:color w:val="0000EE"/>
        </w:rPr>
      </w:pPr>
    </w:p>
    <w:p>
      <w:pPr>
        <w:ind w:left="1320" w:right="220" w:hanging="633"/>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96">
        <w:r>
          <w:rPr>
            <w:rFonts w:ascii="Arial" w:cs="Arial" w:eastAsia="Arial" w:hAnsi="Arial"/>
            <w:sz w:val="18"/>
            <w:szCs w:val="18"/>
            <w:u w:val="single" w:color="auto"/>
            <w:color w:val="0000EE"/>
          </w:rPr>
          <w:t>First Amendment to Loan Agreement, dated March 30,</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2018, between Applied Optoelectronics, Inc. and Branch</w:t>
        </w:r>
      </w:hyperlink>
      <w:r>
        <w:rPr>
          <w:rFonts w:ascii="Arial" w:cs="Arial" w:eastAsia="Arial" w:hAnsi="Arial"/>
          <w:sz w:val="18"/>
          <w:szCs w:val="18"/>
          <w:u w:val="single" w:color="auto"/>
          <w:color w:val="0000EE"/>
        </w:rPr>
        <w:t xml:space="preserve"> </w:t>
      </w:r>
      <w:hyperlink r:id="rId96">
        <w:r>
          <w:rPr>
            <w:rFonts w:ascii="Arial" w:cs="Arial" w:eastAsia="Arial" w:hAnsi="Arial"/>
            <w:sz w:val="18"/>
            <w:szCs w:val="18"/>
            <w:u w:val="single" w:color="auto"/>
            <w:color w:val="0000EE"/>
          </w:rPr>
          <w:t>Banking and Trust Company</w:t>
        </w:r>
      </w:hyperlink>
    </w:p>
    <w:p>
      <w:pPr>
        <w:spacing w:after="0" w:line="184" w:lineRule="exact"/>
        <w:rPr>
          <w:rFonts w:ascii="Arial" w:cs="Arial" w:eastAsia="Arial" w:hAnsi="Arial"/>
          <w:sz w:val="18"/>
          <w:szCs w:val="18"/>
          <w:u w:val="single" w:color="auto"/>
          <w:color w:val="0000EE"/>
        </w:rPr>
      </w:pPr>
    </w:p>
    <w:p>
      <w:pPr>
        <w:ind w:left="1320" w:hanging="768"/>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10.14.1</w:t>
      </w:r>
      <w:r>
        <w:rPr>
          <w:sz w:val="20"/>
          <w:szCs w:val="20"/>
          <w:color w:val="auto"/>
        </w:rPr>
        <w:tab/>
      </w:r>
      <w:hyperlink r:id="rId97">
        <w:r>
          <w:rPr>
            <w:rFonts w:ascii="Arial" w:cs="Arial" w:eastAsia="Arial" w:hAnsi="Arial"/>
            <w:sz w:val="17"/>
            <w:szCs w:val="17"/>
            <w:u w:val="single" w:color="auto"/>
            <w:color w:val="0000EE"/>
          </w:rPr>
          <w:t>Addendum to the Promissory Note ($60 million), dated</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March 30, 2018, between Applied Optoelectronics, Inc. and</w:t>
        </w:r>
      </w:hyperlink>
      <w:r>
        <w:rPr>
          <w:rFonts w:ascii="Arial" w:cs="Arial" w:eastAsia="Arial" w:hAnsi="Arial"/>
          <w:sz w:val="17"/>
          <w:szCs w:val="17"/>
          <w:u w:val="single" w:color="auto"/>
          <w:color w:val="0000EE"/>
        </w:rPr>
        <w:t xml:space="preserve"> </w:t>
      </w:r>
      <w:hyperlink r:id="rId97">
        <w:r>
          <w:rPr>
            <w:rFonts w:ascii="Arial" w:cs="Arial" w:eastAsia="Arial" w:hAnsi="Arial"/>
            <w:sz w:val="17"/>
            <w:szCs w:val="17"/>
            <w:u w:val="single" w:color="auto"/>
            <w:color w:val="0000EE"/>
          </w:rPr>
          <w:t>Branch Banking and Trust Company</w:t>
        </w:r>
      </w:hyperlink>
    </w:p>
    <w:p>
      <w:pPr>
        <w:spacing w:after="0" w:line="165" w:lineRule="exact"/>
        <w:rPr>
          <w:rFonts w:ascii="Arial" w:cs="Arial" w:eastAsia="Arial" w:hAnsi="Arial"/>
          <w:sz w:val="17"/>
          <w:szCs w:val="17"/>
          <w:u w:val="single" w:color="auto"/>
          <w:color w:val="0000EE"/>
        </w:rPr>
      </w:pPr>
    </w:p>
    <w:p>
      <w:pPr>
        <w:ind w:left="1320" w:hanging="76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10.14.2</w:t>
      </w:r>
      <w:r>
        <w:rPr>
          <w:sz w:val="20"/>
          <w:szCs w:val="20"/>
          <w:color w:val="auto"/>
        </w:rPr>
        <w:tab/>
      </w:r>
      <w:hyperlink r:id="rId98">
        <w:r>
          <w:rPr>
            <w:rFonts w:ascii="Arial" w:cs="Arial" w:eastAsia="Arial" w:hAnsi="Arial"/>
            <w:sz w:val="18"/>
            <w:szCs w:val="18"/>
            <w:u w:val="single" w:color="auto"/>
            <w:color w:val="0000EE"/>
          </w:rPr>
          <w:t>Promissory Note ($26 million), dated March 30, 2018,</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and Trust Company</w:t>
        </w:r>
      </w:hyperlink>
    </w:p>
    <w:p>
      <w:pPr>
        <w:spacing w:after="0" w:line="184" w:lineRule="exact"/>
        <w:rPr>
          <w:rFonts w:ascii="Arial" w:cs="Arial" w:eastAsia="Arial" w:hAnsi="Arial"/>
          <w:sz w:val="18"/>
          <w:szCs w:val="18"/>
          <w:u w:val="single" w:color="auto"/>
          <w:color w:val="0000EE"/>
        </w:rPr>
      </w:pPr>
    </w:p>
    <w:p>
      <w:pPr>
        <w:ind w:left="1320" w:hanging="768"/>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10.14.3</w:t>
      </w:r>
      <w:r>
        <w:rPr>
          <w:sz w:val="20"/>
          <w:szCs w:val="20"/>
          <w:color w:val="auto"/>
        </w:rPr>
        <w:tab/>
      </w:r>
      <w:hyperlink r:id="rId99">
        <w:r>
          <w:rPr>
            <w:rFonts w:ascii="Arial" w:cs="Arial" w:eastAsia="Arial" w:hAnsi="Arial"/>
            <w:sz w:val="17"/>
            <w:szCs w:val="17"/>
            <w:u w:val="single" w:color="auto"/>
            <w:color w:val="0000EE"/>
          </w:rPr>
          <w:t>Addendum to the Promissory Note ($26 million), dated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March 30, 2018, between Applied Optoelectronics, Inc. and</w:t>
        </w:r>
      </w:hyperlink>
      <w:r>
        <w:rPr>
          <w:rFonts w:ascii="Arial" w:cs="Arial" w:eastAsia="Arial" w:hAnsi="Arial"/>
          <w:sz w:val="17"/>
          <w:szCs w:val="17"/>
          <w:u w:val="single" w:color="auto"/>
          <w:color w:val="0000EE"/>
        </w:rPr>
        <w:t xml:space="preserve"> </w:t>
      </w:r>
      <w:hyperlink r:id="rId99">
        <w:r>
          <w:rPr>
            <w:rFonts w:ascii="Arial" w:cs="Arial" w:eastAsia="Arial" w:hAnsi="Arial"/>
            <w:sz w:val="17"/>
            <w:szCs w:val="17"/>
            <w:u w:val="single" w:color="auto"/>
            <w:color w:val="0000EE"/>
          </w:rPr>
          <w:t>Branch Banking and Trust Company</w:t>
        </w:r>
      </w:hyperlink>
    </w:p>
    <w:p>
      <w:pPr>
        <w:spacing w:after="0" w:line="165" w:lineRule="exact"/>
        <w:rPr>
          <w:rFonts w:ascii="Arial" w:cs="Arial" w:eastAsia="Arial" w:hAnsi="Arial"/>
          <w:sz w:val="17"/>
          <w:szCs w:val="17"/>
          <w:u w:val="single" w:color="auto"/>
          <w:color w:val="0000EE"/>
        </w:rPr>
      </w:pPr>
    </w:p>
    <w:p>
      <w:pPr>
        <w:ind w:left="1320" w:hanging="76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10.14.4</w:t>
      </w:r>
      <w:r>
        <w:rPr>
          <w:sz w:val="20"/>
          <w:szCs w:val="20"/>
          <w:color w:val="auto"/>
        </w:rPr>
        <w:tab/>
      </w:r>
      <w:hyperlink r:id="rId100">
        <w:r>
          <w:rPr>
            <w:rFonts w:ascii="Arial" w:cs="Arial" w:eastAsia="Arial" w:hAnsi="Arial"/>
            <w:sz w:val="18"/>
            <w:szCs w:val="18"/>
            <w:u w:val="single" w:color="auto"/>
            <w:color w:val="0000EE"/>
          </w:rPr>
          <w:t>Promissory Note ($21.5 million), dated March 30, 2018,</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and Trust Company</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Incorporated By Reference</w:t>
            </w:r>
          </w:p>
        </w:tc>
        <w:tc>
          <w:tcPr>
            <w:tcW w:w="1340" w:type="dxa"/>
            <w:vAlign w:val="bottom"/>
          </w:tcPr>
          <w:p>
            <w:pPr>
              <w:spacing w:after="0"/>
              <w:rPr>
                <w:sz w:val="18"/>
                <w:szCs w:val="18"/>
                <w:color w:val="auto"/>
              </w:rPr>
            </w:pPr>
          </w:p>
        </w:tc>
      </w:t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Form</w:t>
            </w:r>
          </w:p>
        </w:tc>
        <w:tc>
          <w:tcPr>
            <w:tcW w:w="1340" w:type="dxa"/>
            <w:vAlign w:val="bottom"/>
          </w:tcPr>
          <w:p>
            <w:pPr>
              <w:jc w:val="right"/>
              <w:ind w:right="290"/>
              <w:spacing w:after="0"/>
              <w:rPr>
                <w:sz w:val="20"/>
                <w:szCs w:val="20"/>
                <w:color w:val="auto"/>
              </w:rPr>
            </w:pPr>
            <w:r>
              <w:rPr>
                <w:rFonts w:ascii="Arial" w:cs="Arial" w:eastAsia="Arial" w:hAnsi="Arial"/>
                <w:sz w:val="18"/>
                <w:szCs w:val="18"/>
                <w:b w:val="1"/>
                <w:bCs w:val="1"/>
                <w:color w:val="auto"/>
              </w:rPr>
              <w:t>File No.</w:t>
            </w: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30"/>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October 4, 2017</w:t>
            </w:r>
          </w:p>
        </w:tc>
      </w:tr>
      <w:tr>
        <w:trPr>
          <w:trHeight w:val="864"/>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001-36-83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October 4, 2017</w:t>
            </w:r>
          </w:p>
        </w:tc>
      </w:tr>
      <w:tr>
        <w:trPr>
          <w:trHeight w:val="864"/>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001-36-83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10.3</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October 4, 2017</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10.4</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October 4, 2017</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October 4, 2017</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10.6</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October 4, 2017</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February 24, 2018</w:t>
            </w:r>
          </w:p>
        </w:tc>
      </w:tr>
      <w:tr>
        <w:trPr>
          <w:trHeight w:val="648"/>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February 21, 2018</w:t>
            </w:r>
          </w:p>
        </w:tc>
      </w:tr>
      <w:tr>
        <w:trPr>
          <w:trHeight w:val="648"/>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88"/>
              </w:rPr>
              <w:t>10.30</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February 28, 2018</w:t>
            </w:r>
          </w:p>
        </w:tc>
      </w:tr>
      <w:tr>
        <w:trPr>
          <w:trHeight w:val="864"/>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9"/>
              </w:rPr>
              <w:t>10-K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50"/>
              <w:spacing w:after="0"/>
              <w:rPr>
                <w:sz w:val="20"/>
                <w:szCs w:val="20"/>
                <w:color w:val="auto"/>
              </w:rPr>
            </w:pPr>
            <w:r>
              <w:rPr>
                <w:rFonts w:ascii="Arial" w:cs="Arial" w:eastAsia="Arial" w:hAnsi="Arial"/>
                <w:sz w:val="18"/>
                <w:szCs w:val="18"/>
                <w:color w:val="auto"/>
                <w:w w:val="89"/>
              </w:rPr>
              <w:t>10.30.1</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February 28, 2018</w:t>
            </w:r>
          </w:p>
        </w:tc>
      </w:tr>
      <w:tr>
        <w:trPr>
          <w:trHeight w:val="1080"/>
        </w:trPr>
        <w:tc>
          <w:tcPr>
            <w:tcW w:w="740" w:type="dxa"/>
            <w:vAlign w:val="bottom"/>
          </w:tcPr>
          <w:p>
            <w:pPr>
              <w:jc w:val="center"/>
              <w:ind w:right="110"/>
              <w:spacing w:after="0"/>
              <w:rPr>
                <w:sz w:val="20"/>
                <w:szCs w:val="20"/>
                <w:color w:val="auto"/>
              </w:rPr>
            </w:pPr>
            <w:r>
              <w:rPr>
                <w:rFonts w:ascii="Arial" w:cs="Arial" w:eastAsia="Arial" w:hAnsi="Arial"/>
                <w:sz w:val="18"/>
                <w:szCs w:val="18"/>
                <w:color w:val="auto"/>
                <w:w w:val="94"/>
              </w:rPr>
              <w:t>10-Q</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May 8, 2018</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10.3</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10.4</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jc w:val="center"/>
              <w:ind w:right="9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center"/>
              <w:ind w:right="270"/>
              <w:spacing w:after="0"/>
              <w:rPr>
                <w:sz w:val="20"/>
                <w:szCs w:val="20"/>
                <w:color w:val="auto"/>
              </w:rPr>
            </w:pPr>
            <w:r>
              <w:rPr>
                <w:rFonts w:ascii="Arial" w:cs="Arial" w:eastAsia="Arial" w:hAnsi="Arial"/>
                <w:sz w:val="18"/>
                <w:szCs w:val="18"/>
                <w:color w:val="auto"/>
                <w:w w:val="91"/>
              </w:rPr>
              <w:t>10.5</w:t>
            </w:r>
          </w:p>
        </w:tc>
        <w:tc>
          <w:tcPr>
            <w:tcW w:w="1340" w:type="dxa"/>
            <w:vAlign w:val="bottom"/>
          </w:tcPr>
          <w:p>
            <w:pPr>
              <w:jc w:val="center"/>
              <w:spacing w:after="0"/>
              <w:rPr>
                <w:sz w:val="20"/>
                <w:szCs w:val="20"/>
                <w:color w:val="auto"/>
              </w:rPr>
            </w:pPr>
            <w:r>
              <w:rPr>
                <w:rFonts w:ascii="Arial" w:cs="Arial" w:eastAsia="Arial" w:hAnsi="Arial"/>
                <w:sz w:val="18"/>
                <w:szCs w:val="18"/>
                <w:color w:val="auto"/>
                <w:w w:val="96"/>
              </w:rPr>
              <w:t>April 5, 2018</w:t>
            </w:r>
          </w:p>
        </w:tc>
      </w:tr>
    </w:tbl>
    <w:p>
      <w:pPr>
        <w:spacing w:after="0" w:line="634" w:lineRule="exact"/>
        <w:rPr>
          <w:rFonts w:ascii="Arial" w:cs="Arial" w:eastAsia="Arial" w:hAnsi="Arial"/>
          <w:sz w:val="18"/>
          <w:szCs w:val="18"/>
          <w:u w:val="single" w:color="auto"/>
          <w:color w:val="0000EE"/>
        </w:rPr>
      </w:pPr>
    </w:p>
    <w:p>
      <w:pPr>
        <w:sectPr>
          <w:pgSz w:w="11900" w:h="16838" w:orient="portrait"/>
          <w:cols w:equalWidth="0" w:num="2">
            <w:col w:w="5620" w:space="440"/>
            <w:col w:w="4900"/>
          </w:cols>
          <w:pgMar w:left="320" w:top="125" w:right="619" w:bottom="1440" w:gutter="0" w:footer="0" w:header="0"/>
        </w:sectPr>
      </w:pPr>
    </w:p>
    <w:p>
      <w:pPr>
        <w:jc w:val="center"/>
        <w:ind w:right="-299"/>
        <w:spacing w:after="0"/>
        <w:rPr>
          <w:sz w:val="20"/>
          <w:szCs w:val="20"/>
          <w:color w:val="auto"/>
        </w:rPr>
      </w:pPr>
      <w:r>
        <w:rPr>
          <w:rFonts w:ascii="Arial" w:cs="Arial" w:eastAsia="Arial" w:hAnsi="Arial"/>
          <w:sz w:val="16"/>
          <w:szCs w:val="16"/>
          <w:color w:val="auto"/>
        </w:rPr>
        <w:t>55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5" w:right="619" w:bottom="1440" w:gutter="0" w:footer="0" w:header="0"/>
          <w:type w:val="continuous"/>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7" w:lineRule="exact"/>
        <w:rPr>
          <w:sz w:val="20"/>
          <w:szCs w:val="20"/>
          <w:color w:val="auto"/>
        </w:rPr>
      </w:pPr>
    </w:p>
    <w:p>
      <w:pPr>
        <w:ind w:left="1300" w:right="100" w:hanging="768"/>
        <w:spacing w:after="0" w:line="277" w:lineRule="auto"/>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10.14.5</w:t>
      </w:r>
      <w:r>
        <w:rPr>
          <w:sz w:val="20"/>
          <w:szCs w:val="20"/>
          <w:color w:val="auto"/>
        </w:rPr>
        <w:tab/>
      </w:r>
      <w:hyperlink r:id="rId102">
        <w:r>
          <w:rPr>
            <w:rFonts w:ascii="Arial" w:cs="Arial" w:eastAsia="Arial" w:hAnsi="Arial"/>
            <w:sz w:val="17"/>
            <w:szCs w:val="17"/>
            <w:u w:val="single" w:color="auto"/>
            <w:color w:val="0000EE"/>
          </w:rPr>
          <w:t>Addendum to the Promissory Note ($21.5 million), dated</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March 30, 2018, between Applied Optoelectronics, Inc. and</w:t>
        </w:r>
      </w:hyperlink>
      <w:r>
        <w:rPr>
          <w:rFonts w:ascii="Arial" w:cs="Arial" w:eastAsia="Arial" w:hAnsi="Arial"/>
          <w:sz w:val="17"/>
          <w:szCs w:val="17"/>
          <w:u w:val="single" w:color="auto"/>
          <w:color w:val="0000EE"/>
        </w:rPr>
        <w:t xml:space="preserve"> </w:t>
      </w:r>
      <w:hyperlink r:id="rId102">
        <w:r>
          <w:rPr>
            <w:rFonts w:ascii="Arial" w:cs="Arial" w:eastAsia="Arial" w:hAnsi="Arial"/>
            <w:sz w:val="17"/>
            <w:szCs w:val="17"/>
            <w:u w:val="single" w:color="auto"/>
            <w:color w:val="0000EE"/>
          </w:rPr>
          <w:t>Branch Banking and Trust Company</w:t>
        </w:r>
      </w:hyperlink>
    </w:p>
    <w:p>
      <w:pPr>
        <w:spacing w:after="0" w:line="173" w:lineRule="exact"/>
        <w:rPr>
          <w:rFonts w:ascii="Arial" w:cs="Arial" w:eastAsia="Arial" w:hAnsi="Arial"/>
          <w:sz w:val="17"/>
          <w:szCs w:val="17"/>
          <w:u w:val="single" w:color="auto"/>
          <w:color w:val="0000EE"/>
        </w:rPr>
      </w:pPr>
    </w:p>
    <w:p>
      <w:pPr>
        <w:ind w:left="1300" w:right="120" w:hanging="76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10.14.6</w:t>
      </w:r>
      <w:r>
        <w:rPr>
          <w:sz w:val="20"/>
          <w:szCs w:val="20"/>
          <w:color w:val="auto"/>
        </w:rPr>
        <w:tab/>
      </w:r>
      <w:hyperlink r:id="rId103">
        <w:r>
          <w:rPr>
            <w:rFonts w:ascii="Arial" w:cs="Arial" w:eastAsia="Arial" w:hAnsi="Arial"/>
            <w:sz w:val="18"/>
            <w:szCs w:val="18"/>
            <w:u w:val="single" w:color="auto"/>
            <w:color w:val="0000EE"/>
          </w:rPr>
          <w:t>Note Modification Agreement, dated March 30, 2018,</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103">
        <w:r>
          <w:rPr>
            <w:rFonts w:ascii="Arial" w:cs="Arial" w:eastAsia="Arial" w:hAnsi="Arial"/>
            <w:sz w:val="18"/>
            <w:szCs w:val="18"/>
            <w:u w:val="single" w:color="auto"/>
            <w:color w:val="0000EE"/>
          </w:rPr>
          <w:t>and Trust Company</w:t>
        </w:r>
      </w:hyperlink>
    </w:p>
    <w:p>
      <w:pPr>
        <w:spacing w:after="0" w:line="184" w:lineRule="exact"/>
        <w:rPr>
          <w:rFonts w:ascii="Arial" w:cs="Arial" w:eastAsia="Arial" w:hAnsi="Arial"/>
          <w:sz w:val="18"/>
          <w:szCs w:val="18"/>
          <w:u w:val="single" w:color="auto"/>
          <w:color w:val="0000EE"/>
        </w:rPr>
      </w:pPr>
    </w:p>
    <w:p>
      <w:pPr>
        <w:ind w:left="1300" w:right="120" w:hanging="76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10.14.7</w:t>
      </w:r>
      <w:r>
        <w:rPr>
          <w:sz w:val="20"/>
          <w:szCs w:val="20"/>
          <w:color w:val="auto"/>
        </w:rPr>
        <w:tab/>
      </w:r>
      <w:hyperlink r:id="rId104">
        <w:r>
          <w:rPr>
            <w:rFonts w:ascii="Arial" w:cs="Arial" w:eastAsia="Arial" w:hAnsi="Arial"/>
            <w:sz w:val="18"/>
            <w:szCs w:val="18"/>
            <w:u w:val="single" w:color="auto"/>
            <w:color w:val="0000EE"/>
          </w:rPr>
          <w:t>Assignment of Lease and Rent, dated March 30, 2018,</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between Applied Optoelectronics, Inc. and Branch Banking</w:t>
        </w:r>
      </w:hyperlink>
      <w:r>
        <w:rPr>
          <w:rFonts w:ascii="Arial" w:cs="Arial" w:eastAsia="Arial" w:hAnsi="Arial"/>
          <w:sz w:val="18"/>
          <w:szCs w:val="18"/>
          <w:u w:val="single" w:color="auto"/>
          <w:color w:val="0000EE"/>
        </w:rPr>
        <w:t xml:space="preserve"> </w:t>
      </w:r>
      <w:hyperlink r:id="rId104">
        <w:r>
          <w:rPr>
            <w:rFonts w:ascii="Arial" w:cs="Arial" w:eastAsia="Arial" w:hAnsi="Arial"/>
            <w:sz w:val="18"/>
            <w:szCs w:val="18"/>
            <w:u w:val="single" w:color="auto"/>
            <w:color w:val="0000EE"/>
          </w:rPr>
          <w:t>and Trust Company</w:t>
        </w:r>
      </w:hyperlink>
    </w:p>
    <w:p>
      <w:pPr>
        <w:spacing w:after="0" w:line="184" w:lineRule="exact"/>
        <w:rPr>
          <w:rFonts w:ascii="Arial" w:cs="Arial" w:eastAsia="Arial" w:hAnsi="Arial"/>
          <w:sz w:val="18"/>
          <w:szCs w:val="18"/>
          <w:u w:val="single" w:color="auto"/>
          <w:color w:val="0000EE"/>
        </w:rPr>
      </w:pPr>
    </w:p>
    <w:p>
      <w:pPr>
        <w:ind w:left="1300" w:right="60" w:hanging="76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10.14.8</w:t>
      </w:r>
      <w:r>
        <w:rPr>
          <w:sz w:val="20"/>
          <w:szCs w:val="20"/>
          <w:color w:val="auto"/>
        </w:rPr>
        <w:tab/>
      </w:r>
      <w:hyperlink r:id="rId105">
        <w:r>
          <w:rPr>
            <w:rFonts w:ascii="Arial" w:cs="Arial" w:eastAsia="Arial" w:hAnsi="Arial"/>
            <w:sz w:val="18"/>
            <w:szCs w:val="18"/>
            <w:u w:val="single" w:color="auto"/>
            <w:color w:val="0000EE"/>
          </w:rPr>
          <w:t>Texas Deed of Trust and Security Agreement, dated March</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30, 2018, between Applied Optoelectronics, Inc. and Branch</w:t>
        </w:r>
      </w:hyperlink>
      <w:r>
        <w:rPr>
          <w:rFonts w:ascii="Arial" w:cs="Arial" w:eastAsia="Arial" w:hAnsi="Arial"/>
          <w:sz w:val="18"/>
          <w:szCs w:val="18"/>
          <w:u w:val="single" w:color="auto"/>
          <w:color w:val="0000EE"/>
        </w:rPr>
        <w:t xml:space="preserve"> </w:t>
      </w:r>
      <w:hyperlink r:id="rId105">
        <w:r>
          <w:rPr>
            <w:rFonts w:ascii="Arial" w:cs="Arial" w:eastAsia="Arial" w:hAnsi="Arial"/>
            <w:sz w:val="18"/>
            <w:szCs w:val="18"/>
            <w:u w:val="single" w:color="auto"/>
            <w:color w:val="0000EE"/>
          </w:rPr>
          <w:t>Banking and Trust Company</w:t>
        </w:r>
      </w:hyperlink>
    </w:p>
    <w:p>
      <w:pPr>
        <w:spacing w:after="0" w:line="184" w:lineRule="exact"/>
        <w:rPr>
          <w:rFonts w:ascii="Arial" w:cs="Arial" w:eastAsia="Arial" w:hAnsi="Arial"/>
          <w:sz w:val="18"/>
          <w:szCs w:val="18"/>
          <w:u w:val="single" w:color="auto"/>
          <w:color w:val="0000EE"/>
        </w:rPr>
      </w:pPr>
    </w:p>
    <w:p>
      <w:pPr>
        <w:ind w:left="1300" w:right="300" w:hanging="768"/>
        <w:spacing w:after="0" w:line="311" w:lineRule="auto"/>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10.14.9</w:t>
      </w:r>
      <w:r>
        <w:rPr>
          <w:sz w:val="20"/>
          <w:szCs w:val="20"/>
          <w:color w:val="auto"/>
        </w:rPr>
        <w:tab/>
      </w:r>
      <w:hyperlink r:id="rId106">
        <w:r>
          <w:rPr>
            <w:rFonts w:ascii="Arial" w:cs="Arial" w:eastAsia="Arial" w:hAnsi="Arial"/>
            <w:sz w:val="16"/>
            <w:szCs w:val="16"/>
            <w:u w:val="single" w:color="auto"/>
            <w:color w:val="0000EE"/>
          </w:rPr>
          <w:t>Environmental Certification and Indemnity Agreement,</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dated March 30, 2018, between Applied Optoelectronics,</w:t>
        </w:r>
      </w:hyperlink>
      <w:r>
        <w:rPr>
          <w:rFonts w:ascii="Arial" w:cs="Arial" w:eastAsia="Arial" w:hAnsi="Arial"/>
          <w:sz w:val="16"/>
          <w:szCs w:val="16"/>
          <w:u w:val="single" w:color="auto"/>
          <w:color w:val="0000EE"/>
        </w:rPr>
        <w:t xml:space="preserve"> </w:t>
      </w:r>
      <w:hyperlink r:id="rId106">
        <w:r>
          <w:rPr>
            <w:rFonts w:ascii="Arial" w:cs="Arial" w:eastAsia="Arial" w:hAnsi="Arial"/>
            <w:sz w:val="16"/>
            <w:szCs w:val="16"/>
            <w:u w:val="single" w:color="auto"/>
            <w:color w:val="0000EE"/>
          </w:rPr>
          <w:t>Inc. and Branch Banking and Trust Company</w:t>
        </w:r>
      </w:hyperlink>
    </w:p>
    <w:p>
      <w:pPr>
        <w:spacing w:after="0" w:line="149"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8"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900" w:type="dxa"/>
            <w:vAlign w:val="bottom"/>
            <w:gridSpan w:val="2"/>
          </w:tcPr>
          <w:p>
            <w:pPr>
              <w:ind w:left="700"/>
              <w:spacing w:after="0"/>
              <w:rPr>
                <w:sz w:val="20"/>
                <w:szCs w:val="20"/>
                <w:color w:val="auto"/>
              </w:rPr>
            </w:pPr>
            <w:r>
              <w:rPr>
                <w:rFonts w:ascii="Arial" w:cs="Arial" w:eastAsia="Arial" w:hAnsi="Arial"/>
                <w:sz w:val="18"/>
                <w:szCs w:val="18"/>
                <w:b w:val="1"/>
                <w:bCs w:val="1"/>
                <w:color w:val="auto"/>
                <w:w w:val="94"/>
              </w:rPr>
              <w:t>Incorporated By Reference</w:t>
            </w:r>
          </w:p>
        </w:tc>
        <w:tc>
          <w:tcPr>
            <w:tcW w:w="1080" w:type="dxa"/>
            <w:vAlign w:val="bottom"/>
          </w:tcPr>
          <w:p>
            <w:pPr>
              <w:spacing w:after="0"/>
              <w:rPr>
                <w:sz w:val="18"/>
                <w:szCs w:val="18"/>
                <w:color w:val="auto"/>
              </w:rPr>
            </w:pPr>
          </w:p>
        </w:tc>
      </w:t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Form</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580" w:type="dxa"/>
            <w:vAlign w:val="bottom"/>
          </w:tcPr>
          <w:p>
            <w:pPr>
              <w:ind w:left="260"/>
              <w:spacing w:after="0"/>
              <w:rPr>
                <w:sz w:val="20"/>
                <w:szCs w:val="20"/>
                <w:color w:val="auto"/>
              </w:rPr>
            </w:pPr>
            <w:r>
              <w:rPr>
                <w:rFonts w:ascii="Arial" w:cs="Arial" w:eastAsia="Arial" w:hAnsi="Arial"/>
                <w:sz w:val="18"/>
                <w:szCs w:val="18"/>
                <w:b w:val="1"/>
                <w:bCs w:val="1"/>
                <w:color w:val="auto"/>
              </w:rPr>
              <w:t>Exhibit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30"/>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85"/>
              </w:rPr>
              <w:t>10.6</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85"/>
              </w:rPr>
              <w:t>10.7</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85"/>
              </w:rPr>
              <w:t>10.8</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85"/>
              </w:rPr>
              <w:t>10.9</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6"/>
              </w:rPr>
              <w:t>April 5, 2018</w:t>
            </w:r>
          </w:p>
        </w:tc>
      </w:tr>
      <w:tr>
        <w:trPr>
          <w:trHeight w:val="864"/>
        </w:trPr>
        <w:tc>
          <w:tcPr>
            <w:tcW w:w="740" w:type="dxa"/>
            <w:vAlign w:val="bottom"/>
          </w:tcPr>
          <w:p>
            <w:pPr>
              <w:ind w:left="100"/>
              <w:spacing w:after="0"/>
              <w:rPr>
                <w:sz w:val="20"/>
                <w:szCs w:val="20"/>
                <w:color w:val="auto"/>
              </w:rPr>
            </w:pPr>
            <w:r>
              <w:rPr>
                <w:rFonts w:ascii="Arial" w:cs="Arial" w:eastAsia="Arial" w:hAnsi="Arial"/>
                <w:sz w:val="18"/>
                <w:szCs w:val="18"/>
                <w:color w:val="auto"/>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580" w:type="dxa"/>
            <w:vAlign w:val="bottom"/>
          </w:tcPr>
          <w:p>
            <w:pPr>
              <w:jc w:val="center"/>
              <w:ind w:right="350"/>
              <w:spacing w:after="0"/>
              <w:rPr>
                <w:sz w:val="20"/>
                <w:szCs w:val="20"/>
                <w:color w:val="auto"/>
              </w:rPr>
            </w:pPr>
            <w:r>
              <w:rPr>
                <w:rFonts w:ascii="Arial" w:cs="Arial" w:eastAsia="Arial" w:hAnsi="Arial"/>
                <w:sz w:val="18"/>
                <w:szCs w:val="18"/>
                <w:color w:val="auto"/>
                <w:w w:val="93"/>
              </w:rPr>
              <w:t>10.10</w:t>
            </w: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96"/>
              </w:rPr>
              <w:t>April 5, 2018</w:t>
            </w:r>
          </w:p>
        </w:tc>
      </w:tr>
    </w:tbl>
    <w:p>
      <w:pPr>
        <w:sectPr>
          <w:pgSz w:w="11900" w:h="16838" w:orient="portrait"/>
          <w:cols w:equalWidth="0" w:num="2">
            <w:col w:w="5720" w:space="340"/>
            <w:col w:w="4720"/>
          </w:cols>
          <w:pgMar w:left="320" w:top="125" w:right="7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00"/>
        <w:spacing w:after="0"/>
        <w:tabs>
          <w:tab w:leader="none" w:pos="27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pacing w:after="0" w:line="27" w:lineRule="exact"/>
        <w:rPr>
          <w:sz w:val="20"/>
          <w:szCs w:val="20"/>
          <w:color w:val="auto"/>
        </w:rPr>
      </w:pPr>
    </w:p>
    <w:p>
      <w:pPr>
        <w:jc w:val="both"/>
        <w:ind w:left="1300" w:right="80" w:hanging="633"/>
        <w:spacing w:after="0" w:line="255"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08">
        <w:r>
          <w:rPr>
            <w:rFonts w:ascii="Arial" w:cs="Arial" w:eastAsia="Arial" w:hAnsi="Arial"/>
            <w:sz w:val="18"/>
            <w:szCs w:val="18"/>
            <w:u w:val="single" w:color="auto"/>
            <w:color w:val="0000EE"/>
          </w:rPr>
          <w:t>First Amendment to Lease, dated October 8, 2018, between</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Applied Optoelectronics, Inc. and GIG VAOI Breckinridge,</w:t>
        </w:r>
      </w:hyperlink>
      <w:r>
        <w:rPr>
          <w:rFonts w:ascii="Arial" w:cs="Arial" w:eastAsia="Arial" w:hAnsi="Arial"/>
          <w:sz w:val="18"/>
          <w:szCs w:val="18"/>
          <w:u w:val="single" w:color="auto"/>
          <w:color w:val="0000EE"/>
        </w:rPr>
        <w:t xml:space="preserve"> </w:t>
      </w:r>
      <w:hyperlink r:id="rId108">
        <w:r>
          <w:rPr>
            <w:rFonts w:ascii="Arial" w:cs="Arial" w:eastAsia="Arial" w:hAnsi="Arial"/>
            <w:sz w:val="18"/>
            <w:szCs w:val="18"/>
            <w:u w:val="single" w:color="auto"/>
            <w:color w:val="0000EE"/>
          </w:rPr>
          <w:t>LLC.</w:t>
        </w:r>
      </w:hyperlink>
    </w:p>
    <w:p>
      <w:pPr>
        <w:spacing w:after="0" w:line="190" w:lineRule="exact"/>
        <w:rPr>
          <w:rFonts w:ascii="Arial" w:cs="Arial" w:eastAsia="Arial" w:hAnsi="Arial"/>
          <w:sz w:val="18"/>
          <w:szCs w:val="18"/>
          <w:u w:val="single" w:color="auto"/>
          <w:color w:val="0000EE"/>
        </w:rPr>
      </w:pPr>
    </w:p>
    <w:p>
      <w:pPr>
        <w:ind w:left="1300" w:hanging="633"/>
        <w:spacing w:after="0" w:line="279" w:lineRule="auto"/>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10.16</w:t>
      </w:r>
      <w:r>
        <w:rPr>
          <w:sz w:val="20"/>
          <w:szCs w:val="20"/>
          <w:color w:val="auto"/>
        </w:rPr>
        <w:tab/>
      </w:r>
      <w:hyperlink r:id="rId109">
        <w:r>
          <w:rPr>
            <w:rFonts w:ascii="Arial" w:cs="Arial" w:eastAsia="Arial" w:hAnsi="Arial"/>
            <w:sz w:val="17"/>
            <w:szCs w:val="17"/>
            <w:u w:val="single" w:color="auto"/>
            <w:color w:val="0000EE"/>
          </w:rPr>
          <w:t>Translation of Purchase and Sale Contract, Finance Lease</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Agreement and Promissory Note, dated November 29, 2018,</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between Prime World International Holdings, Ltd., and</w:t>
        </w:r>
      </w:hyperlink>
      <w:r>
        <w:rPr>
          <w:rFonts w:ascii="Arial" w:cs="Arial" w:eastAsia="Arial" w:hAnsi="Arial"/>
          <w:sz w:val="17"/>
          <w:szCs w:val="17"/>
          <w:u w:val="single" w:color="auto"/>
          <w:color w:val="0000EE"/>
        </w:rPr>
        <w:t xml:space="preserve"> </w:t>
      </w:r>
      <w:hyperlink r:id="rId109">
        <w:r>
          <w:rPr>
            <w:rFonts w:ascii="Arial" w:cs="Arial" w:eastAsia="Arial" w:hAnsi="Arial"/>
            <w:sz w:val="17"/>
            <w:szCs w:val="17"/>
            <w:u w:val="single" w:color="auto"/>
            <w:color w:val="0000EE"/>
          </w:rPr>
          <w:t>Chailease Finance Co., Ltd.</w:t>
        </w:r>
      </w:hyperlink>
    </w:p>
    <w:p>
      <w:pPr>
        <w:spacing w:after="0" w:line="171" w:lineRule="exact"/>
        <w:rPr>
          <w:rFonts w:ascii="Arial" w:cs="Arial" w:eastAsia="Arial" w:hAnsi="Arial"/>
          <w:sz w:val="17"/>
          <w:szCs w:val="17"/>
          <w:u w:val="single" w:color="auto"/>
          <w:color w:val="0000EE"/>
        </w:rPr>
      </w:pPr>
    </w:p>
    <w:p>
      <w:pPr>
        <w:ind w:left="1300" w:right="220" w:hanging="633"/>
        <w:spacing w:after="0" w:line="291" w:lineRule="auto"/>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10.17</w:t>
      </w:r>
      <w:r>
        <w:rPr>
          <w:sz w:val="20"/>
          <w:szCs w:val="20"/>
          <w:color w:val="auto"/>
        </w:rPr>
        <w:tab/>
      </w:r>
      <w:hyperlink r:id="rId110">
        <w:r>
          <w:rPr>
            <w:rFonts w:ascii="Arial" w:cs="Arial" w:eastAsia="Arial" w:hAnsi="Arial"/>
            <w:sz w:val="16"/>
            <w:szCs w:val="16"/>
            <w:u w:val="single" w:color="auto"/>
            <w:color w:val="0000EE"/>
          </w:rPr>
          <w:t>Translation of Purchase and Sale Contract, Finance Lease</w:t>
        </w:r>
      </w:hyperlink>
      <w:r>
        <w:rPr>
          <w:rFonts w:ascii="Arial" w:cs="Arial" w:eastAsia="Arial" w:hAnsi="Arial"/>
          <w:sz w:val="16"/>
          <w:szCs w:val="16"/>
          <w:u w:val="single" w:color="auto"/>
          <w:color w:val="0000EE"/>
        </w:rPr>
        <w:t xml:space="preserve"> </w:t>
      </w:r>
      <w:hyperlink r:id="rId110">
        <w:r>
          <w:rPr>
            <w:rFonts w:ascii="Arial" w:cs="Arial" w:eastAsia="Arial" w:hAnsi="Arial"/>
            <w:sz w:val="16"/>
            <w:szCs w:val="16"/>
            <w:u w:val="single" w:color="auto"/>
            <w:color w:val="0000EE"/>
          </w:rPr>
          <w:t>Agreement and Promissory Note, dated January 21,</w:t>
        </w:r>
      </w:hyperlink>
    </w:p>
    <w:p>
      <w:pPr>
        <w:ind w:left="1300"/>
        <w:spacing w:after="0" w:line="260" w:lineRule="auto"/>
        <w:rPr>
          <w:rFonts w:ascii="Arial" w:cs="Arial" w:eastAsia="Arial" w:hAnsi="Arial"/>
          <w:sz w:val="18"/>
          <w:szCs w:val="18"/>
          <w:u w:val="single" w:color="auto"/>
          <w:color w:val="0000EE"/>
        </w:rPr>
      </w:pPr>
      <w:hyperlink r:id="rId110">
        <w:r>
          <w:rPr>
            <w:rFonts w:ascii="Arial" w:cs="Arial" w:eastAsia="Arial" w:hAnsi="Arial"/>
            <w:sz w:val="18"/>
            <w:szCs w:val="18"/>
            <w:u w:val="single" w:color="auto"/>
            <w:color w:val="0000EE"/>
          </w:rPr>
          <w:t>2019, between Prime World International Holdings, Ltd. and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Chailease Finance Co., Ltd.</w:t>
        </w:r>
      </w:hyperlink>
    </w:p>
    <w:p>
      <w:pPr>
        <w:spacing w:after="0" w:line="185" w:lineRule="exact"/>
        <w:rPr>
          <w:sz w:val="20"/>
          <w:szCs w:val="20"/>
          <w:color w:val="auto"/>
        </w:rPr>
      </w:pPr>
    </w:p>
    <w:p>
      <w:pPr>
        <w:ind w:left="1300" w:right="120" w:hanging="633"/>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10.18</w:t>
      </w:r>
      <w:r>
        <w:rPr>
          <w:sz w:val="20"/>
          <w:szCs w:val="20"/>
          <w:color w:val="auto"/>
        </w:rPr>
        <w:tab/>
      </w:r>
      <w:hyperlink r:id="rId111">
        <w:r>
          <w:rPr>
            <w:rFonts w:ascii="Arial" w:cs="Arial" w:eastAsia="Arial" w:hAnsi="Arial"/>
            <w:sz w:val="18"/>
            <w:szCs w:val="18"/>
            <w:u w:val="single" w:color="auto"/>
            <w:color w:val="0000EE"/>
          </w:rPr>
          <w:t>Second Amendment to Loan Agreement, dated February 1,</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2019, between Applied Optoelectronics, Inc. and Branch</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Banking and Trust Company</w:t>
        </w:r>
      </w:hyperlink>
    </w:p>
    <w:p>
      <w:pPr>
        <w:spacing w:after="0" w:line="184" w:lineRule="exact"/>
        <w:rPr>
          <w:rFonts w:ascii="Arial" w:cs="Arial" w:eastAsia="Arial" w:hAnsi="Arial"/>
          <w:sz w:val="18"/>
          <w:szCs w:val="18"/>
          <w:u w:val="single" w:color="auto"/>
          <w:color w:val="0000EE"/>
        </w:rPr>
      </w:pPr>
    </w:p>
    <w:p>
      <w:pPr>
        <w:ind w:left="1300" w:right="120" w:hanging="633"/>
        <w:spacing w:after="0" w:line="311" w:lineRule="auto"/>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10.19</w:t>
      </w:r>
      <w:r>
        <w:rPr>
          <w:sz w:val="20"/>
          <w:szCs w:val="20"/>
          <w:color w:val="auto"/>
        </w:rPr>
        <w:tab/>
      </w:r>
      <w:hyperlink r:id="rId112">
        <w:r>
          <w:rPr>
            <w:rFonts w:ascii="Arial" w:cs="Arial" w:eastAsia="Arial" w:hAnsi="Arial"/>
            <w:sz w:val="16"/>
            <w:szCs w:val="16"/>
            <w:u w:val="single" w:color="auto"/>
            <w:color w:val="0000EE"/>
          </w:rPr>
          <w:t>Purchase Agreement, dated as of February 28, 2019 by and</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among Applied Optoelectronics, Inc., Raymond James &amp;</w:t>
        </w:r>
      </w:hyperlink>
      <w:r>
        <w:rPr>
          <w:rFonts w:ascii="Arial" w:cs="Arial" w:eastAsia="Arial" w:hAnsi="Arial"/>
          <w:sz w:val="16"/>
          <w:szCs w:val="16"/>
          <w:u w:val="single" w:color="auto"/>
          <w:color w:val="0000EE"/>
        </w:rPr>
        <w:t xml:space="preserve"> </w:t>
      </w:r>
      <w:hyperlink r:id="rId112">
        <w:r>
          <w:rPr>
            <w:rFonts w:ascii="Arial" w:cs="Arial" w:eastAsia="Arial" w:hAnsi="Arial"/>
            <w:sz w:val="16"/>
            <w:szCs w:val="16"/>
            <w:u w:val="single" w:color="auto"/>
            <w:color w:val="0000EE"/>
          </w:rPr>
          <w:t>Associates, Inc. and Cowen and Company, LLC</w:t>
        </w:r>
      </w:hyperlink>
    </w:p>
    <w:p>
      <w:pPr>
        <w:spacing w:after="0" w:line="149" w:lineRule="exact"/>
        <w:rPr>
          <w:rFonts w:ascii="Arial" w:cs="Arial" w:eastAsia="Arial" w:hAnsi="Arial"/>
          <w:sz w:val="16"/>
          <w:szCs w:val="16"/>
          <w:u w:val="single" w:color="auto"/>
          <w:color w:val="0000EE"/>
        </w:rPr>
      </w:pPr>
    </w:p>
    <w:p>
      <w:pPr>
        <w:ind w:left="1300" w:right="280" w:hanging="76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10.19.1</w:t>
      </w:r>
      <w:r>
        <w:rPr>
          <w:sz w:val="20"/>
          <w:szCs w:val="20"/>
          <w:color w:val="auto"/>
        </w:rPr>
        <w:tab/>
      </w:r>
      <w:hyperlink r:id="rId113">
        <w:r>
          <w:rPr>
            <w:rFonts w:ascii="Arial" w:cs="Arial" w:eastAsia="Arial" w:hAnsi="Arial"/>
            <w:sz w:val="18"/>
            <w:szCs w:val="18"/>
            <w:u w:val="single" w:color="auto"/>
            <w:color w:val="0000EE"/>
          </w:rPr>
          <w:t>Third Amendment to Loan Agreement, dated March 5,</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2019, between Applied Optoelectronics, Inc. and Branch</w:t>
        </w:r>
      </w:hyperlink>
      <w:r>
        <w:rPr>
          <w:rFonts w:ascii="Arial" w:cs="Arial" w:eastAsia="Arial" w:hAnsi="Arial"/>
          <w:sz w:val="18"/>
          <w:szCs w:val="18"/>
          <w:u w:val="single" w:color="auto"/>
          <w:color w:val="0000EE"/>
        </w:rPr>
        <w:t xml:space="preserve"> </w:t>
      </w:r>
      <w:hyperlink r:id="rId113">
        <w:r>
          <w:rPr>
            <w:rFonts w:ascii="Arial" w:cs="Arial" w:eastAsia="Arial" w:hAnsi="Arial"/>
            <w:sz w:val="18"/>
            <w:szCs w:val="18"/>
            <w:u w:val="single" w:color="auto"/>
            <w:color w:val="0000EE"/>
          </w:rPr>
          <w:t>Banking and Trust Company</w:t>
        </w:r>
      </w:hyperlink>
    </w:p>
    <w:p>
      <w:pPr>
        <w:spacing w:after="0" w:line="184" w:lineRule="exact"/>
        <w:rPr>
          <w:rFonts w:ascii="Arial" w:cs="Arial" w:eastAsia="Arial" w:hAnsi="Arial"/>
          <w:sz w:val="18"/>
          <w:szCs w:val="18"/>
          <w:u w:val="single" w:color="auto"/>
          <w:color w:val="0000EE"/>
        </w:rPr>
      </w:pPr>
    </w:p>
    <w:p>
      <w:pPr>
        <w:ind w:left="1300" w:right="180" w:hanging="633"/>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14">
        <w:r>
          <w:rPr>
            <w:rFonts w:ascii="Arial" w:cs="Arial" w:eastAsia="Arial" w:hAnsi="Arial"/>
            <w:sz w:val="18"/>
            <w:szCs w:val="18"/>
            <w:u w:val="single" w:color="auto"/>
            <w:color w:val="0000EE"/>
          </w:rPr>
          <w:t>Translation of Approval Notice between, Prime World</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International Holdings, Ltd., and Far Eastern International</w:t>
        </w:r>
      </w:hyperlink>
      <w:r>
        <w:rPr>
          <w:rFonts w:ascii="Arial" w:cs="Arial" w:eastAsia="Arial" w:hAnsi="Arial"/>
          <w:sz w:val="18"/>
          <w:szCs w:val="18"/>
          <w:u w:val="single" w:color="auto"/>
          <w:color w:val="0000EE"/>
        </w:rPr>
        <w:t xml:space="preserve"> </w:t>
      </w:r>
      <w:hyperlink r:id="rId114">
        <w:r>
          <w:rPr>
            <w:rFonts w:ascii="Arial" w:cs="Arial" w:eastAsia="Arial" w:hAnsi="Arial"/>
            <w:sz w:val="18"/>
            <w:szCs w:val="18"/>
            <w:u w:val="single" w:color="auto"/>
            <w:color w:val="0000EE"/>
          </w:rPr>
          <w:t>Bank Co., Ltd., dated April 11, 2019</w:t>
        </w:r>
      </w:hyperlink>
    </w:p>
    <w:p>
      <w:pPr>
        <w:spacing w:after="0" w:line="184" w:lineRule="exact"/>
        <w:rPr>
          <w:rFonts w:ascii="Arial" w:cs="Arial" w:eastAsia="Arial" w:hAnsi="Arial"/>
          <w:sz w:val="18"/>
          <w:szCs w:val="18"/>
          <w:u w:val="single" w:color="auto"/>
          <w:color w:val="0000EE"/>
        </w:rPr>
      </w:pPr>
    </w:p>
    <w:p>
      <w:pPr>
        <w:ind w:left="1300" w:right="200" w:hanging="768"/>
        <w:spacing w:after="0" w:line="259"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10.20.1</w:t>
      </w:r>
      <w:r>
        <w:rPr>
          <w:sz w:val="20"/>
          <w:szCs w:val="20"/>
          <w:color w:val="auto"/>
        </w:rPr>
        <w:tab/>
      </w:r>
      <w:hyperlink r:id="rId115">
        <w:r>
          <w:rPr>
            <w:rFonts w:ascii="Arial" w:cs="Arial" w:eastAsia="Arial" w:hAnsi="Arial"/>
            <w:sz w:val="18"/>
            <w:szCs w:val="18"/>
            <w:u w:val="single" w:color="auto"/>
            <w:color w:val="0000EE"/>
          </w:rPr>
          <w:t>Translation of Comprehensive Credit Facilities Master</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Agreement between, Prime World International Holdings,</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Ltd., and Far Eastern International Bank Co., Ltd., dated</w:t>
        </w:r>
      </w:hyperlink>
      <w:r>
        <w:rPr>
          <w:rFonts w:ascii="Arial" w:cs="Arial" w:eastAsia="Arial" w:hAnsi="Arial"/>
          <w:sz w:val="18"/>
          <w:szCs w:val="18"/>
          <w:u w:val="single" w:color="auto"/>
          <w:color w:val="0000EE"/>
        </w:rPr>
        <w:t xml:space="preserve"> </w:t>
      </w:r>
      <w:hyperlink r:id="rId115">
        <w:r>
          <w:rPr>
            <w:rFonts w:ascii="Arial" w:cs="Arial" w:eastAsia="Arial" w:hAnsi="Arial"/>
            <w:sz w:val="18"/>
            <w:szCs w:val="18"/>
            <w:u w:val="single" w:color="auto"/>
            <w:color w:val="0000EE"/>
          </w:rPr>
          <w:t>April 11, 2019</w:t>
        </w:r>
      </w:hyperlink>
    </w:p>
    <w:p>
      <w:pPr>
        <w:spacing w:after="0" w:line="187" w:lineRule="exact"/>
        <w:rPr>
          <w:rFonts w:ascii="Arial" w:cs="Arial" w:eastAsia="Arial" w:hAnsi="Arial"/>
          <w:sz w:val="18"/>
          <w:szCs w:val="18"/>
          <w:u w:val="single" w:color="auto"/>
          <w:color w:val="0000EE"/>
        </w:rPr>
      </w:pPr>
    </w:p>
    <w:p>
      <w:pPr>
        <w:ind w:left="1300" w:right="200" w:hanging="768"/>
        <w:spacing w:after="0" w:line="259"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10.20.2</w:t>
      </w:r>
      <w:r>
        <w:rPr>
          <w:sz w:val="20"/>
          <w:szCs w:val="20"/>
          <w:color w:val="auto"/>
        </w:rPr>
        <w:tab/>
      </w:r>
      <w:hyperlink r:id="rId116">
        <w:r>
          <w:rPr>
            <w:rFonts w:ascii="Arial" w:cs="Arial" w:eastAsia="Arial" w:hAnsi="Arial"/>
            <w:sz w:val="18"/>
            <w:szCs w:val="18"/>
            <w:u w:val="single" w:color="auto"/>
            <w:color w:val="0000EE"/>
          </w:rPr>
          <w:t>Translation of Credit Terms / Financial Transaction Terms</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Agreement between, Prime World International Holdings,</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Ltd., and Far Eastern International Bank Co., Ltd., dated</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April 11, 2019</w:t>
        </w:r>
      </w:hyperlink>
    </w:p>
    <w:p>
      <w:pPr>
        <w:spacing w:after="0" w:line="187" w:lineRule="exact"/>
        <w:rPr>
          <w:rFonts w:ascii="Arial" w:cs="Arial" w:eastAsia="Arial" w:hAnsi="Arial"/>
          <w:sz w:val="18"/>
          <w:szCs w:val="18"/>
          <w:u w:val="single" w:color="auto"/>
          <w:color w:val="0000EE"/>
        </w:rPr>
      </w:pPr>
    </w:p>
    <w:p>
      <w:pPr>
        <w:ind w:left="1300" w:right="180" w:hanging="768"/>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10.20.3</w:t>
      </w:r>
      <w:r>
        <w:rPr>
          <w:sz w:val="20"/>
          <w:szCs w:val="20"/>
          <w:color w:val="auto"/>
        </w:rPr>
        <w:tab/>
      </w:r>
      <w:hyperlink r:id="rId117">
        <w:r>
          <w:rPr>
            <w:rFonts w:ascii="Arial" w:cs="Arial" w:eastAsia="Arial" w:hAnsi="Arial"/>
            <w:sz w:val="18"/>
            <w:szCs w:val="18"/>
            <w:u w:val="single" w:color="auto"/>
            <w:color w:val="0000EE"/>
          </w:rPr>
          <w:t>Translation of Promissory Note between, Prime World</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International Holdings, Ltd., and Far Eastern International</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Bank Co., Ltd., dated April 11, 2019</w:t>
        </w:r>
      </w:hyperlink>
    </w:p>
    <w:p>
      <w:pPr>
        <w:spacing w:after="0" w:line="184" w:lineRule="exact"/>
        <w:rPr>
          <w:rFonts w:ascii="Arial" w:cs="Arial" w:eastAsia="Arial" w:hAnsi="Arial"/>
          <w:sz w:val="18"/>
          <w:szCs w:val="18"/>
          <w:u w:val="single" w:color="auto"/>
          <w:color w:val="0000EE"/>
        </w:rPr>
      </w:pPr>
    </w:p>
    <w:p>
      <w:pPr>
        <w:ind w:left="1300" w:right="280" w:hanging="633"/>
        <w:spacing w:after="0" w:line="263" w:lineRule="auto"/>
        <w:tabs>
          <w:tab w:leader="none" w:pos="1280" w:val="left"/>
        </w:tabs>
        <w:rPr>
          <w:rFonts w:ascii="Arial" w:cs="Arial" w:eastAsia="Arial" w:hAnsi="Arial"/>
          <w:sz w:val="18"/>
          <w:szCs w:val="18"/>
          <w:u w:val="single" w:color="auto"/>
          <w:color w:val="0000EE"/>
        </w:rPr>
      </w:pPr>
      <w:r>
        <w:rPr>
          <w:rFonts w:ascii="Arial" w:cs="Arial" w:eastAsia="Arial" w:hAnsi="Arial"/>
          <w:sz w:val="18"/>
          <w:szCs w:val="18"/>
          <w:color w:val="auto"/>
        </w:rPr>
        <w:t>10.21</w:t>
      </w:r>
      <w:r>
        <w:rPr>
          <w:sz w:val="20"/>
          <w:szCs w:val="20"/>
          <w:color w:val="auto"/>
        </w:rPr>
        <w:tab/>
      </w:r>
      <w:hyperlink r:id="rId118">
        <w:r>
          <w:rPr>
            <w:rFonts w:ascii="Arial" w:cs="Arial" w:eastAsia="Arial" w:hAnsi="Arial"/>
            <w:sz w:val="18"/>
            <w:szCs w:val="18"/>
            <w:u w:val="single" w:color="auto"/>
            <w:color w:val="0000EE"/>
          </w:rPr>
          <w:t>Translation of the Credit Granting Agreement, between</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Global Technology, Inc. and China Merchants Bank Co.,</w:t>
        </w:r>
      </w:hyperlink>
      <w:r>
        <w:rPr>
          <w:rFonts w:ascii="Arial" w:cs="Arial" w:eastAsia="Arial" w:hAnsi="Arial"/>
          <w:sz w:val="18"/>
          <w:szCs w:val="18"/>
          <w:u w:val="single" w:color="auto"/>
          <w:color w:val="0000EE"/>
        </w:rPr>
        <w:t xml:space="preserve"> </w:t>
      </w:r>
      <w:hyperlink r:id="rId118">
        <w:r>
          <w:rPr>
            <w:rFonts w:ascii="Arial" w:cs="Arial" w:eastAsia="Arial" w:hAnsi="Arial"/>
            <w:sz w:val="18"/>
            <w:szCs w:val="18"/>
            <w:u w:val="single" w:color="auto"/>
            <w:color w:val="0000EE"/>
          </w:rPr>
          <w:t>Ltd., dated April 19, 2019</w:t>
        </w:r>
      </w:hyperlink>
    </w:p>
    <w:p>
      <w:pPr>
        <w:spacing w:after="0" w:line="184" w:lineRule="exact"/>
        <w:rPr>
          <w:rFonts w:ascii="Arial" w:cs="Arial" w:eastAsia="Arial" w:hAnsi="Arial"/>
          <w:sz w:val="18"/>
          <w:szCs w:val="18"/>
          <w:u w:val="single" w:color="auto"/>
          <w:color w:val="0000EE"/>
        </w:rPr>
      </w:pPr>
    </w:p>
    <w:p>
      <w:pPr>
        <w:jc w:val="both"/>
        <w:ind w:left="1300" w:right="20" w:hanging="633"/>
        <w:spacing w:after="0" w:line="286" w:lineRule="auto"/>
        <w:tabs>
          <w:tab w:leader="none" w:pos="1280" w:val="left"/>
        </w:tabs>
        <w:rPr>
          <w:rFonts w:ascii="Arial" w:cs="Arial" w:eastAsia="Arial" w:hAnsi="Arial"/>
          <w:sz w:val="17"/>
          <w:szCs w:val="17"/>
          <w:u w:val="single" w:color="auto"/>
          <w:color w:val="0000EE"/>
        </w:rPr>
      </w:pPr>
      <w:r>
        <w:rPr>
          <w:rFonts w:ascii="Arial" w:cs="Arial" w:eastAsia="Arial" w:hAnsi="Arial"/>
          <w:sz w:val="18"/>
          <w:szCs w:val="18"/>
          <w:color w:val="auto"/>
        </w:rPr>
        <w:t>10.22</w:t>
      </w:r>
      <w:r>
        <w:rPr>
          <w:sz w:val="20"/>
          <w:szCs w:val="20"/>
          <w:color w:val="auto"/>
        </w:rPr>
        <w:tab/>
      </w:r>
      <w:hyperlink r:id="rId119">
        <w:r>
          <w:rPr>
            <w:rFonts w:ascii="Arial" w:cs="Arial" w:eastAsia="Arial" w:hAnsi="Arial"/>
            <w:sz w:val="17"/>
            <w:szCs w:val="17"/>
            <w:u w:val="single" w:color="auto"/>
            <w:color w:val="0000EE"/>
          </w:rPr>
          <w:t>Translation of the Working Capital Loan Contract, between</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Global Technology, Inc. and Shanghai Pudong Development</w:t>
        </w:r>
      </w:hyperlink>
      <w:r>
        <w:rPr>
          <w:rFonts w:ascii="Arial" w:cs="Arial" w:eastAsia="Arial" w:hAnsi="Arial"/>
          <w:sz w:val="17"/>
          <w:szCs w:val="17"/>
          <w:u w:val="single" w:color="auto"/>
          <w:color w:val="0000EE"/>
        </w:rPr>
        <w:t xml:space="preserve"> </w:t>
      </w:r>
      <w:hyperlink r:id="rId119">
        <w:r>
          <w:rPr>
            <w:rFonts w:ascii="Arial" w:cs="Arial" w:eastAsia="Arial" w:hAnsi="Arial"/>
            <w:sz w:val="17"/>
            <w:szCs w:val="17"/>
            <w:u w:val="single" w:color="auto"/>
            <w:color w:val="0000EE"/>
          </w:rPr>
          <w:t>Bank Co., Ltd., dated April 30, 2019</w:t>
        </w:r>
      </w:hyperlink>
    </w:p>
    <w:p>
      <w:pPr>
        <w:spacing w:after="0" w:line="165" w:lineRule="exact"/>
        <w:rPr>
          <w:rFonts w:ascii="Arial" w:cs="Arial" w:eastAsia="Arial" w:hAnsi="Arial"/>
          <w:sz w:val="17"/>
          <w:szCs w:val="17"/>
          <w:u w:val="single" w:color="auto"/>
          <w:color w:val="0000EE"/>
        </w:rPr>
      </w:pPr>
    </w:p>
    <w:p>
      <w:pPr>
        <w:ind w:left="1300" w:right="20" w:hanging="633"/>
        <w:spacing w:after="0" w:line="311" w:lineRule="auto"/>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10.23</w:t>
      </w:r>
      <w:r>
        <w:rPr>
          <w:sz w:val="20"/>
          <w:szCs w:val="20"/>
          <w:color w:val="auto"/>
        </w:rPr>
        <w:tab/>
      </w:r>
      <w:hyperlink r:id="rId120">
        <w:r>
          <w:rPr>
            <w:rFonts w:ascii="Arial" w:cs="Arial" w:eastAsia="Arial" w:hAnsi="Arial"/>
            <w:sz w:val="16"/>
            <w:szCs w:val="16"/>
            <w:u w:val="single" w:color="auto"/>
            <w:color w:val="0000EE"/>
          </w:rPr>
          <w:t>Translation of the Working Capital Loan Contract (RMB</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30,000,000), between Global Technology, Inc. and Shanghai</w:t>
        </w:r>
      </w:hyperlink>
      <w:r>
        <w:rPr>
          <w:rFonts w:ascii="Arial" w:cs="Arial" w:eastAsia="Arial" w:hAnsi="Arial"/>
          <w:sz w:val="16"/>
          <w:szCs w:val="16"/>
          <w:u w:val="single" w:color="auto"/>
          <w:color w:val="0000EE"/>
        </w:rPr>
        <w:t xml:space="preserve"> </w:t>
      </w:r>
      <w:hyperlink r:id="rId120">
        <w:r>
          <w:rPr>
            <w:rFonts w:ascii="Arial" w:cs="Arial" w:eastAsia="Arial" w:hAnsi="Arial"/>
            <w:sz w:val="16"/>
            <w:szCs w:val="16"/>
            <w:u w:val="single" w:color="auto"/>
            <w:color w:val="0000EE"/>
          </w:rPr>
          <w:t>Pudong Development Bank Co., Ltd., dated May 7, 2019</w:t>
        </w:r>
      </w:hyperlink>
    </w:p>
    <w:p>
      <w:pPr>
        <w:spacing w:after="0" w:line="149" w:lineRule="exact"/>
        <w:rPr>
          <w:rFonts w:ascii="Arial" w:cs="Arial" w:eastAsia="Arial" w:hAnsi="Arial"/>
          <w:sz w:val="16"/>
          <w:szCs w:val="16"/>
          <w:u w:val="single" w:color="auto"/>
          <w:color w:val="0000EE"/>
        </w:rPr>
      </w:pPr>
    </w:p>
    <w:p>
      <w:pPr>
        <w:ind w:left="1320" w:right="140" w:hanging="768"/>
        <w:spacing w:after="0" w:line="311"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10.23.1</w:t>
      </w:r>
      <w:r>
        <w:rPr>
          <w:sz w:val="20"/>
          <w:szCs w:val="20"/>
          <w:color w:val="auto"/>
        </w:rPr>
        <w:tab/>
      </w:r>
      <w:hyperlink r:id="rId121">
        <w:r>
          <w:rPr>
            <w:rFonts w:ascii="Arial" w:cs="Arial" w:eastAsia="Arial" w:hAnsi="Arial"/>
            <w:sz w:val="16"/>
            <w:szCs w:val="16"/>
            <w:u w:val="single" w:color="auto"/>
            <w:color w:val="0000EE"/>
          </w:rPr>
          <w:t>Translation of the Working Capital Loan Contract (USD</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2,000,000),between Global Technology, Inc. and Shanghai</w:t>
        </w:r>
      </w:hyperlink>
      <w:r>
        <w:rPr>
          <w:rFonts w:ascii="Arial" w:cs="Arial" w:eastAsia="Arial" w:hAnsi="Arial"/>
          <w:sz w:val="16"/>
          <w:szCs w:val="16"/>
          <w:u w:val="single" w:color="auto"/>
          <w:color w:val="0000EE"/>
        </w:rPr>
        <w:t xml:space="preserve"> </w:t>
      </w:r>
      <w:hyperlink r:id="rId121">
        <w:r>
          <w:rPr>
            <w:rFonts w:ascii="Arial" w:cs="Arial" w:eastAsia="Arial" w:hAnsi="Arial"/>
            <w:sz w:val="16"/>
            <w:szCs w:val="16"/>
            <w:u w:val="single" w:color="auto"/>
            <w:color w:val="0000EE"/>
          </w:rPr>
          <w:t>Pudong Development Bank Co., Ltd., dated May 8, 2019</w:t>
        </w:r>
      </w:hyperlink>
    </w:p>
    <w:p>
      <w:pPr>
        <w:spacing w:after="0" w:line="149" w:lineRule="exact"/>
        <w:rPr>
          <w:rFonts w:ascii="Arial" w:cs="Arial" w:eastAsia="Arial" w:hAnsi="Arial"/>
          <w:sz w:val="16"/>
          <w:szCs w:val="16"/>
          <w:u w:val="single" w:color="auto"/>
          <w:color w:val="0000EE"/>
        </w:rPr>
      </w:pPr>
    </w:p>
    <w:p>
      <w:pPr>
        <w:ind w:left="1320" w:right="140" w:hanging="633"/>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10.24</w:t>
      </w:r>
      <w:r>
        <w:rPr>
          <w:sz w:val="20"/>
          <w:szCs w:val="20"/>
          <w:color w:val="auto"/>
        </w:rPr>
        <w:tab/>
      </w:r>
      <w:hyperlink r:id="rId122">
        <w:r>
          <w:rPr>
            <w:rFonts w:ascii="Arial" w:cs="Arial" w:eastAsia="Arial" w:hAnsi="Arial"/>
            <w:sz w:val="17"/>
            <w:szCs w:val="17"/>
            <w:u w:val="single" w:color="auto"/>
            <w:color w:val="0000EE"/>
          </w:rPr>
          <w:t>Translation of the Financing Credit Line Agreement, dated</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May 24, 2019, between Global Technology, Inc. and</w:t>
        </w:r>
      </w:hyperlink>
      <w:r>
        <w:rPr>
          <w:rFonts w:ascii="Arial" w:cs="Arial" w:eastAsia="Arial" w:hAnsi="Arial"/>
          <w:sz w:val="17"/>
          <w:szCs w:val="17"/>
          <w:u w:val="single" w:color="auto"/>
          <w:color w:val="0000EE"/>
        </w:rPr>
        <w:t xml:space="preserve"> </w:t>
      </w:r>
      <w:hyperlink r:id="rId122">
        <w:r>
          <w:rPr>
            <w:rFonts w:ascii="Arial" w:cs="Arial" w:eastAsia="Arial" w:hAnsi="Arial"/>
            <w:sz w:val="17"/>
            <w:szCs w:val="17"/>
            <w:u w:val="single" w:color="auto"/>
            <w:color w:val="0000EE"/>
          </w:rPr>
          <w:t>Shanghai Pudong Development Bank Co., Ltd.</w:t>
        </w:r>
      </w:hyperlink>
    </w:p>
    <w:p>
      <w:pPr>
        <w:spacing w:after="0" w:line="165" w:lineRule="exact"/>
        <w:rPr>
          <w:rFonts w:ascii="Arial" w:cs="Arial" w:eastAsia="Arial" w:hAnsi="Arial"/>
          <w:sz w:val="17"/>
          <w:szCs w:val="17"/>
          <w:u w:val="single" w:color="auto"/>
          <w:color w:val="0000EE"/>
        </w:rPr>
      </w:pPr>
    </w:p>
    <w:p>
      <w:pPr>
        <w:ind w:left="1320" w:right="100" w:hanging="768"/>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10.24.1</w:t>
      </w:r>
      <w:r>
        <w:rPr>
          <w:sz w:val="20"/>
          <w:szCs w:val="20"/>
          <w:color w:val="auto"/>
        </w:rPr>
        <w:tab/>
      </w:r>
      <w:hyperlink r:id="rId123">
        <w:r>
          <w:rPr>
            <w:rFonts w:ascii="Arial" w:cs="Arial" w:eastAsia="Arial" w:hAnsi="Arial"/>
            <w:sz w:val="18"/>
            <w:szCs w:val="18"/>
            <w:u w:val="single" w:color="auto"/>
            <w:color w:val="0000EE"/>
          </w:rPr>
          <w:t>Translation of the Maximum Mortgage Contract (Security</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Agreement), dated May 24, 2019, between Global</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Technology, Inc. and Shanghai Pudong Development Bank</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Co., Ltd.</w:t>
        </w:r>
      </w:hyperlink>
    </w:p>
    <w:p>
      <w:pPr>
        <w:spacing w:after="0" w:line="187" w:lineRule="exact"/>
        <w:rPr>
          <w:rFonts w:ascii="Arial" w:cs="Arial" w:eastAsia="Arial" w:hAnsi="Arial"/>
          <w:sz w:val="18"/>
          <w:szCs w:val="18"/>
          <w:u w:val="single" w:color="auto"/>
          <w:color w:val="0000EE"/>
        </w:rPr>
      </w:pPr>
    </w:p>
    <w:p>
      <w:pPr>
        <w:jc w:val="both"/>
        <w:ind w:left="1320" w:right="60" w:hanging="633"/>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4">
        <w:r>
          <w:rPr>
            <w:rFonts w:ascii="Arial" w:cs="Arial" w:eastAsia="Arial" w:hAnsi="Arial"/>
            <w:sz w:val="18"/>
            <w:szCs w:val="18"/>
            <w:u w:val="single" w:color="auto"/>
            <w:color w:val="0000EE"/>
          </w:rPr>
          <w:t>Translation of the Maximum Loan Contract (¥100M), dated</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June 21, 2019, between Global Technology, Inc. and China</w:t>
        </w:r>
      </w:hyperlink>
      <w:r>
        <w:rPr>
          <w:rFonts w:ascii="Arial" w:cs="Arial" w:eastAsia="Arial" w:hAnsi="Arial"/>
          <w:sz w:val="18"/>
          <w:szCs w:val="18"/>
          <w:u w:val="single" w:color="auto"/>
          <w:color w:val="0000EE"/>
        </w:rPr>
        <w:t xml:space="preserve"> </w:t>
      </w:r>
      <w:hyperlink r:id="rId124">
        <w:r>
          <w:rPr>
            <w:rFonts w:ascii="Arial" w:cs="Arial" w:eastAsia="Arial" w:hAnsi="Arial"/>
            <w:sz w:val="18"/>
            <w:szCs w:val="18"/>
            <w:u w:val="single" w:color="auto"/>
            <w:color w:val="0000EE"/>
          </w:rPr>
          <w:t>Zheshang Bank Co., Ltd</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8" w:lineRule="exact"/>
        <w:rPr>
          <w:rFonts w:ascii="Arial" w:cs="Arial" w:eastAsia="Arial" w:hAnsi="Arial"/>
          <w:sz w:val="18"/>
          <w:szCs w:val="18"/>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28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Incorporated By Reference</w:t>
            </w:r>
          </w:p>
        </w:tc>
        <w:tc>
          <w:tcPr>
            <w:tcW w:w="1340" w:type="dxa"/>
            <w:vAlign w:val="bottom"/>
          </w:tcPr>
          <w:p>
            <w:pPr>
              <w:spacing w:after="0"/>
              <w:rPr>
                <w:sz w:val="18"/>
                <w:szCs w:val="18"/>
                <w:color w:val="auto"/>
              </w:rPr>
            </w:pPr>
          </w:p>
        </w:tc>
      </w:tr>
      <w:tr>
        <w:trPr>
          <w:trHeight w:val="220"/>
        </w:trPr>
        <w:tc>
          <w:tcPr>
            <w:tcW w:w="740" w:type="dxa"/>
            <w:vAlign w:val="bottom"/>
          </w:tcPr>
          <w:p>
            <w:pPr>
              <w:jc w:val="center"/>
              <w:ind w:right="210"/>
              <w:spacing w:after="0"/>
              <w:rPr>
                <w:sz w:val="20"/>
                <w:szCs w:val="20"/>
                <w:color w:val="auto"/>
              </w:rPr>
            </w:pPr>
            <w:r>
              <w:rPr>
                <w:rFonts w:ascii="Arial" w:cs="Arial" w:eastAsia="Arial" w:hAnsi="Arial"/>
                <w:sz w:val="18"/>
                <w:szCs w:val="18"/>
                <w:b w:val="1"/>
                <w:bCs w:val="1"/>
                <w:color w:val="auto"/>
                <w:w w:val="97"/>
              </w:rPr>
              <w:t>Form</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2"/>
              </w:rPr>
              <w:t>File No.</w:t>
            </w: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Exhibit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3"/>
              </w:rPr>
              <w:t>Filing Date</w:t>
            </w:r>
          </w:p>
        </w:tc>
      </w:tr>
      <w:tr>
        <w:trPr>
          <w:trHeight w:val="230"/>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October 12, 2018</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December 6, 2018</w:t>
            </w:r>
          </w:p>
        </w:tc>
      </w:tr>
      <w:tr>
        <w:trPr>
          <w:trHeight w:val="1080"/>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87"/>
              </w:rPr>
              <w:t>January 25, 2019</w:t>
            </w:r>
          </w:p>
        </w:tc>
      </w:tr>
      <w:tr>
        <w:trPr>
          <w:trHeight w:val="1080"/>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February 7,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March 5,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1080"/>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10.3</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1080"/>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10.4</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April 17,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April 25,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May 6, 2019</w:t>
            </w:r>
          </w:p>
        </w:tc>
      </w:tr>
      <w:tr>
        <w:trPr>
          <w:trHeight w:val="864"/>
        </w:trPr>
        <w:tc>
          <w:tcPr>
            <w:tcW w:w="740" w:type="dxa"/>
            <w:vAlign w:val="bottom"/>
          </w:tcPr>
          <w:p>
            <w:pPr>
              <w:jc w:val="center"/>
              <w:ind w:right="17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001-36083</w:t>
            </w:r>
          </w:p>
        </w:tc>
        <w:tc>
          <w:tcPr>
            <w:tcW w:w="1480" w:type="dxa"/>
            <w:vAlign w:val="bottom"/>
          </w:tcPr>
          <w:p>
            <w:pPr>
              <w:jc w:val="right"/>
              <w:ind w:right="69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May 13, 2019</w:t>
            </w:r>
          </w:p>
        </w:tc>
      </w:tr>
      <w:tr>
        <w:trPr>
          <w:trHeight w:val="864"/>
        </w:trPr>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right"/>
              <w:ind w:right="670"/>
              <w:spacing w:after="0"/>
              <w:rPr>
                <w:sz w:val="20"/>
                <w:szCs w:val="20"/>
                <w:color w:val="auto"/>
              </w:rPr>
            </w:pPr>
            <w:r>
              <w:rPr>
                <w:rFonts w:ascii="Arial" w:cs="Arial" w:eastAsia="Arial" w:hAnsi="Arial"/>
                <w:sz w:val="18"/>
                <w:szCs w:val="18"/>
                <w:color w:val="auto"/>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May 13, 2019</w:t>
            </w:r>
          </w:p>
        </w:tc>
      </w:tr>
      <w:tr>
        <w:trPr>
          <w:trHeight w:val="864"/>
        </w:trPr>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right"/>
              <w:ind w:right="67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May 31, 2019</w:t>
            </w:r>
          </w:p>
        </w:tc>
      </w:tr>
      <w:tr>
        <w:trPr>
          <w:trHeight w:val="864"/>
        </w:trPr>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right"/>
              <w:ind w:right="670"/>
              <w:spacing w:after="0"/>
              <w:rPr>
                <w:sz w:val="20"/>
                <w:szCs w:val="20"/>
                <w:color w:val="auto"/>
              </w:rPr>
            </w:pPr>
            <w:r>
              <w:rPr>
                <w:rFonts w:ascii="Arial" w:cs="Arial" w:eastAsia="Arial" w:hAnsi="Arial"/>
                <w:sz w:val="18"/>
                <w:szCs w:val="18"/>
                <w:color w:val="auto"/>
              </w:rPr>
              <w:t>10.2</w:t>
            </w:r>
          </w:p>
        </w:tc>
        <w:tc>
          <w:tcPr>
            <w:tcW w:w="1340" w:type="dxa"/>
            <w:vAlign w:val="bottom"/>
          </w:tcPr>
          <w:p>
            <w:pPr>
              <w:jc w:val="center"/>
              <w:spacing w:after="0"/>
              <w:rPr>
                <w:sz w:val="20"/>
                <w:szCs w:val="20"/>
                <w:color w:val="auto"/>
              </w:rPr>
            </w:pPr>
            <w:r>
              <w:rPr>
                <w:rFonts w:ascii="Arial" w:cs="Arial" w:eastAsia="Arial" w:hAnsi="Arial"/>
                <w:sz w:val="18"/>
                <w:szCs w:val="18"/>
                <w:color w:val="auto"/>
                <w:w w:val="93"/>
              </w:rPr>
              <w:t>May 31, 2019</w:t>
            </w:r>
          </w:p>
        </w:tc>
      </w:tr>
      <w:tr>
        <w:trPr>
          <w:trHeight w:val="1080"/>
        </w:trPr>
        <w:tc>
          <w:tcPr>
            <w:tcW w:w="740" w:type="dxa"/>
            <w:vAlign w:val="bottom"/>
          </w:tcPr>
          <w:p>
            <w:pPr>
              <w:ind w:left="140"/>
              <w:spacing w:after="0"/>
              <w:rPr>
                <w:sz w:val="20"/>
                <w:szCs w:val="20"/>
                <w:color w:val="auto"/>
              </w:rPr>
            </w:pPr>
            <w:r>
              <w:rPr>
                <w:rFonts w:ascii="Arial" w:cs="Arial" w:eastAsia="Arial" w:hAnsi="Arial"/>
                <w:sz w:val="18"/>
                <w:szCs w:val="18"/>
                <w:color w:val="auto"/>
              </w:rPr>
              <w:t>8-K</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001-36083</w:t>
            </w:r>
          </w:p>
        </w:tc>
        <w:tc>
          <w:tcPr>
            <w:tcW w:w="1480" w:type="dxa"/>
            <w:vAlign w:val="bottom"/>
          </w:tcPr>
          <w:p>
            <w:pPr>
              <w:jc w:val="right"/>
              <w:ind w:right="670"/>
              <w:spacing w:after="0"/>
              <w:rPr>
                <w:sz w:val="20"/>
                <w:szCs w:val="20"/>
                <w:color w:val="auto"/>
              </w:rPr>
            </w:pPr>
            <w:r>
              <w:rPr>
                <w:rFonts w:ascii="Arial" w:cs="Arial" w:eastAsia="Arial" w:hAnsi="Arial"/>
                <w:sz w:val="18"/>
                <w:szCs w:val="18"/>
                <w:color w:val="auto"/>
              </w:rPr>
              <w:t>10.1</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June 27, 2019</w:t>
            </w:r>
          </w:p>
        </w:tc>
      </w:tr>
    </w:tbl>
    <w:p>
      <w:pPr>
        <w:sectPr>
          <w:pgSz w:w="11900" w:h="16838" w:orient="portrait"/>
          <w:cols w:equalWidth="0" w:num="2">
            <w:col w:w="5680" w:space="380"/>
            <w:col w:w="4900"/>
          </w:cols>
          <w:pgMar w:left="320" w:top="125" w:right="619" w:bottom="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left="1320" w:right="40" w:hanging="768"/>
        <w:spacing w:after="0" w:line="311"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10.25.1</w:t>
      </w:r>
      <w:r>
        <w:rPr>
          <w:sz w:val="20"/>
          <w:szCs w:val="20"/>
          <w:color w:val="auto"/>
        </w:rPr>
        <w:tab/>
      </w:r>
      <w:hyperlink r:id="rId126">
        <w:r>
          <w:rPr>
            <w:rFonts w:ascii="Arial" w:cs="Arial" w:eastAsia="Arial" w:hAnsi="Arial"/>
            <w:sz w:val="16"/>
            <w:szCs w:val="16"/>
            <w:u w:val="single" w:color="auto"/>
            <w:color w:val="0000EE"/>
          </w:rPr>
          <w:t>Translation of the Maximum Mortgage Contract (the “Real</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Estate Security Agreement”), dated June 21, 2019, between</w:t>
        </w:r>
      </w:hyperlink>
      <w:r>
        <w:rPr>
          <w:rFonts w:ascii="Arial" w:cs="Arial" w:eastAsia="Arial" w:hAnsi="Arial"/>
          <w:sz w:val="16"/>
          <w:szCs w:val="16"/>
          <w:u w:val="single" w:color="auto"/>
          <w:color w:val="0000EE"/>
        </w:rPr>
        <w:t xml:space="preserve"> </w:t>
      </w:r>
      <w:hyperlink r:id="rId126">
        <w:r>
          <w:rPr>
            <w:rFonts w:ascii="Arial" w:cs="Arial" w:eastAsia="Arial" w:hAnsi="Arial"/>
            <w:sz w:val="16"/>
            <w:szCs w:val="16"/>
            <w:u w:val="single" w:color="auto"/>
            <w:color w:val="0000EE"/>
          </w:rPr>
          <w:t>Global Technology, Inc. and China Zheshang Bank Co., Ltd</w:t>
        </w:r>
      </w:hyperlink>
    </w:p>
    <w:p>
      <w:pPr>
        <w:spacing w:after="0" w:line="149" w:lineRule="exact"/>
        <w:rPr>
          <w:rFonts w:ascii="Arial" w:cs="Arial" w:eastAsia="Arial" w:hAnsi="Arial"/>
          <w:sz w:val="16"/>
          <w:szCs w:val="16"/>
          <w:u w:val="single" w:color="auto"/>
          <w:color w:val="0000EE"/>
        </w:rPr>
      </w:pPr>
    </w:p>
    <w:p>
      <w:pPr>
        <w:jc w:val="both"/>
        <w:ind w:left="1320" w:right="100" w:hanging="76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10.25.2</w:t>
      </w:r>
      <w:r>
        <w:rPr>
          <w:sz w:val="20"/>
          <w:szCs w:val="20"/>
          <w:color w:val="auto"/>
        </w:rPr>
        <w:tab/>
      </w:r>
      <w:hyperlink r:id="rId127">
        <w:r>
          <w:rPr>
            <w:rFonts w:ascii="Arial" w:cs="Arial" w:eastAsia="Arial" w:hAnsi="Arial"/>
            <w:sz w:val="18"/>
            <w:szCs w:val="18"/>
            <w:u w:val="single" w:color="auto"/>
            <w:color w:val="0000EE"/>
          </w:rPr>
          <w:t>Translation of the Maximum Loan Contract (¥50M), dated</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June 21, 2019, between Global Technology, Inc. and China</w:t>
        </w:r>
      </w:hyperlink>
      <w:r>
        <w:rPr>
          <w:rFonts w:ascii="Arial" w:cs="Arial" w:eastAsia="Arial" w:hAnsi="Arial"/>
          <w:sz w:val="18"/>
          <w:szCs w:val="18"/>
          <w:u w:val="single" w:color="auto"/>
          <w:color w:val="0000EE"/>
        </w:rPr>
        <w:t xml:space="preserve"> </w:t>
      </w:r>
      <w:hyperlink r:id="rId127">
        <w:r>
          <w:rPr>
            <w:rFonts w:ascii="Arial" w:cs="Arial" w:eastAsia="Arial" w:hAnsi="Arial"/>
            <w:sz w:val="18"/>
            <w:szCs w:val="18"/>
            <w:u w:val="single" w:color="auto"/>
            <w:color w:val="0000EE"/>
          </w:rPr>
          <w:t>Zheshang Bank Co., Ltd</w:t>
        </w:r>
      </w:hyperlink>
    </w:p>
    <w:p>
      <w:pPr>
        <w:spacing w:after="0" w:line="184" w:lineRule="exact"/>
        <w:rPr>
          <w:rFonts w:ascii="Arial" w:cs="Arial" w:eastAsia="Arial" w:hAnsi="Arial"/>
          <w:sz w:val="18"/>
          <w:szCs w:val="18"/>
          <w:u w:val="single" w:color="auto"/>
          <w:color w:val="0000EE"/>
        </w:rPr>
      </w:pPr>
    </w:p>
    <w:p>
      <w:pPr>
        <w:ind w:left="1320" w:right="100" w:hanging="768"/>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10.25.3</w:t>
      </w:r>
      <w:r>
        <w:rPr>
          <w:sz w:val="20"/>
          <w:szCs w:val="20"/>
          <w:color w:val="auto"/>
        </w:rPr>
        <w:tab/>
      </w:r>
      <w:hyperlink r:id="rId128">
        <w:r>
          <w:rPr>
            <w:rFonts w:ascii="Arial" w:cs="Arial" w:eastAsia="Arial" w:hAnsi="Arial"/>
            <w:sz w:val="18"/>
            <w:szCs w:val="18"/>
            <w:u w:val="single" w:color="auto"/>
            <w:color w:val="0000EE"/>
          </w:rPr>
          <w:t>Translation of the Maximum Mortgage Contract (the</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“Machinery and Equipment Security Agreement”), dated</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June 21, 2019, between Global Technology, Inc. and China</w:t>
        </w:r>
      </w:hyperlink>
      <w:r>
        <w:rPr>
          <w:rFonts w:ascii="Arial" w:cs="Arial" w:eastAsia="Arial" w:hAnsi="Arial"/>
          <w:sz w:val="18"/>
          <w:szCs w:val="18"/>
          <w:u w:val="single" w:color="auto"/>
          <w:color w:val="0000EE"/>
        </w:rPr>
        <w:t xml:space="preserve"> </w:t>
      </w:r>
      <w:hyperlink r:id="rId128">
        <w:r>
          <w:rPr>
            <w:rFonts w:ascii="Arial" w:cs="Arial" w:eastAsia="Arial" w:hAnsi="Arial"/>
            <w:sz w:val="18"/>
            <w:szCs w:val="18"/>
            <w:u w:val="single" w:color="auto"/>
            <w:color w:val="0000EE"/>
          </w:rPr>
          <w:t>Zheshang Bank Co., Ltd</w:t>
        </w:r>
      </w:hyperlink>
    </w:p>
    <w:p>
      <w:pPr>
        <w:spacing w:after="0" w:line="187" w:lineRule="exact"/>
        <w:rPr>
          <w:rFonts w:ascii="Arial" w:cs="Arial" w:eastAsia="Arial" w:hAnsi="Arial"/>
          <w:sz w:val="18"/>
          <w:szCs w:val="18"/>
          <w:u w:val="single" w:color="auto"/>
          <w:color w:val="0000EE"/>
        </w:rPr>
      </w:pPr>
    </w:p>
    <w:p>
      <w:pPr>
        <w:ind w:left="1320" w:right="160" w:hanging="633"/>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10.26</w:t>
      </w:r>
      <w:r>
        <w:rPr>
          <w:sz w:val="20"/>
          <w:szCs w:val="20"/>
          <w:color w:val="auto"/>
        </w:rPr>
        <w:tab/>
      </w:r>
      <w:hyperlink r:id="rId129">
        <w:r>
          <w:rPr>
            <w:rFonts w:ascii="Arial" w:cs="Arial" w:eastAsia="Arial" w:hAnsi="Arial"/>
            <w:sz w:val="17"/>
            <w:szCs w:val="17"/>
            <w:u w:val="single" w:color="auto"/>
            <w:color w:val="0000EE"/>
          </w:rPr>
          <w:t>Translation of the Approval Notice of Credit Line, dated</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July 8, 2019, between Prime World International Holdings</w:t>
        </w:r>
      </w:hyperlink>
      <w:r>
        <w:rPr>
          <w:rFonts w:ascii="Arial" w:cs="Arial" w:eastAsia="Arial" w:hAnsi="Arial"/>
          <w:sz w:val="17"/>
          <w:szCs w:val="17"/>
          <w:u w:val="single" w:color="auto"/>
          <w:color w:val="0000EE"/>
        </w:rPr>
        <w:t xml:space="preserve"> </w:t>
      </w:r>
      <w:hyperlink r:id="rId129">
        <w:r>
          <w:rPr>
            <w:rFonts w:ascii="Arial" w:cs="Arial" w:eastAsia="Arial" w:hAnsi="Arial"/>
            <w:sz w:val="17"/>
            <w:szCs w:val="17"/>
            <w:u w:val="single" w:color="auto"/>
            <w:color w:val="0000EE"/>
          </w:rPr>
          <w:t>Ltd. and Taishin International Bank</w:t>
        </w:r>
      </w:hyperlink>
    </w:p>
    <w:p>
      <w:pPr>
        <w:spacing w:after="0" w:line="165" w:lineRule="exact"/>
        <w:rPr>
          <w:rFonts w:ascii="Arial" w:cs="Arial" w:eastAsia="Arial" w:hAnsi="Arial"/>
          <w:sz w:val="17"/>
          <w:szCs w:val="17"/>
          <w:u w:val="single" w:color="auto"/>
          <w:color w:val="0000EE"/>
        </w:rPr>
      </w:pPr>
    </w:p>
    <w:p>
      <w:pPr>
        <w:ind w:left="1320" w:right="140" w:hanging="768"/>
        <w:spacing w:after="0" w:line="311"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10.26.1</w:t>
      </w:r>
      <w:r>
        <w:rPr>
          <w:sz w:val="20"/>
          <w:szCs w:val="20"/>
          <w:color w:val="auto"/>
        </w:rPr>
        <w:tab/>
      </w:r>
      <w:hyperlink r:id="rId130">
        <w:r>
          <w:rPr>
            <w:rFonts w:ascii="Arial" w:cs="Arial" w:eastAsia="Arial" w:hAnsi="Arial"/>
            <w:sz w:val="16"/>
            <w:szCs w:val="16"/>
            <w:u w:val="single" w:color="auto"/>
            <w:color w:val="0000EE"/>
          </w:rPr>
          <w:t>Translation of the General Agreement for Financial</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Transaction, dated July 23, 2019, between Prime World</w:t>
        </w:r>
      </w:hyperlink>
      <w:r>
        <w:rPr>
          <w:rFonts w:ascii="Arial" w:cs="Arial" w:eastAsia="Arial" w:hAnsi="Arial"/>
          <w:sz w:val="16"/>
          <w:szCs w:val="16"/>
          <w:u w:val="single" w:color="auto"/>
          <w:color w:val="0000EE"/>
        </w:rPr>
        <w:t xml:space="preserve"> </w:t>
      </w:r>
      <w:hyperlink r:id="rId130">
        <w:r>
          <w:rPr>
            <w:rFonts w:ascii="Arial" w:cs="Arial" w:eastAsia="Arial" w:hAnsi="Arial"/>
            <w:sz w:val="16"/>
            <w:szCs w:val="16"/>
            <w:u w:val="single" w:color="auto"/>
            <w:color w:val="0000EE"/>
          </w:rPr>
          <w:t>International Holdings Ltd. and Taishin International Bank</w:t>
        </w:r>
      </w:hyperlink>
    </w:p>
    <w:p>
      <w:pPr>
        <w:spacing w:after="0" w:line="149" w:lineRule="exact"/>
        <w:rPr>
          <w:rFonts w:ascii="Arial" w:cs="Arial" w:eastAsia="Arial" w:hAnsi="Arial"/>
          <w:sz w:val="16"/>
          <w:szCs w:val="16"/>
          <w:u w:val="single" w:color="auto"/>
          <w:color w:val="0000EE"/>
        </w:rPr>
      </w:pPr>
    </w:p>
    <w:p>
      <w:pPr>
        <w:jc w:val="both"/>
        <w:ind w:left="1320" w:right="40" w:hanging="76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10.26.2</w:t>
      </w:r>
      <w:r>
        <w:rPr>
          <w:sz w:val="20"/>
          <w:szCs w:val="20"/>
          <w:color w:val="auto"/>
        </w:rPr>
        <w:tab/>
      </w:r>
      <w:hyperlink r:id="rId131">
        <w:r>
          <w:rPr>
            <w:rFonts w:ascii="Arial" w:cs="Arial" w:eastAsia="Arial" w:hAnsi="Arial"/>
            <w:sz w:val="18"/>
            <w:szCs w:val="18"/>
            <w:u w:val="single" w:color="auto"/>
            <w:color w:val="0000EE"/>
          </w:rPr>
          <w:t>Translation of the Credit Facility Agreement, dated July 23,</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2019, between Prime World International Holdings Ltd. and</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Taishin International Bank</w:t>
        </w:r>
      </w:hyperlink>
    </w:p>
    <w:p>
      <w:pPr>
        <w:spacing w:after="0" w:line="184" w:lineRule="exact"/>
        <w:rPr>
          <w:rFonts w:ascii="Arial" w:cs="Arial" w:eastAsia="Arial" w:hAnsi="Arial"/>
          <w:sz w:val="18"/>
          <w:szCs w:val="18"/>
          <w:u w:val="single" w:color="auto"/>
          <w:color w:val="0000EE"/>
        </w:rPr>
      </w:pPr>
    </w:p>
    <w:p>
      <w:pPr>
        <w:ind w:left="1320" w:right="280" w:hanging="76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10.26.3</w:t>
      </w:r>
      <w:r>
        <w:rPr>
          <w:sz w:val="20"/>
          <w:szCs w:val="20"/>
          <w:color w:val="auto"/>
        </w:rPr>
        <w:tab/>
      </w:r>
      <w:hyperlink r:id="rId132">
        <w:r>
          <w:rPr>
            <w:rFonts w:ascii="Arial" w:cs="Arial" w:eastAsia="Arial" w:hAnsi="Arial"/>
            <w:sz w:val="18"/>
            <w:szCs w:val="18"/>
            <w:u w:val="single" w:color="auto"/>
            <w:color w:val="0000EE"/>
          </w:rPr>
          <w:t>Translation of the Promissory Note, dated July 23, 2019,</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between Prime World International Holdings Ltd. and</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Taishin International Bank</w:t>
        </w:r>
      </w:hyperlink>
    </w:p>
    <w:p>
      <w:pPr>
        <w:spacing w:after="0" w:line="184" w:lineRule="exact"/>
        <w:rPr>
          <w:rFonts w:ascii="Arial" w:cs="Arial" w:eastAsia="Arial" w:hAnsi="Arial"/>
          <w:sz w:val="18"/>
          <w:szCs w:val="18"/>
          <w:u w:val="single" w:color="auto"/>
          <w:color w:val="0000EE"/>
        </w:rPr>
      </w:pPr>
    </w:p>
    <w:p>
      <w:pPr>
        <w:ind w:left="1320" w:hanging="633"/>
        <w:spacing w:after="0" w:line="286"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10.27** </w:t>
      </w:r>
      <w:hyperlink r:id="rId133">
        <w:r>
          <w:rPr>
            <w:rFonts w:ascii="Arial" w:cs="Arial" w:eastAsia="Arial" w:hAnsi="Arial"/>
            <w:sz w:val="17"/>
            <w:szCs w:val="17"/>
            <w:u w:val="single" w:color="auto"/>
            <w:color w:val="0000EE"/>
          </w:rPr>
          <w:t>Fourth Amendment to Loan Agreement, dated September</w:t>
        </w:r>
      </w:hyperlink>
      <w:r>
        <w:rPr>
          <w:rFonts w:ascii="Arial" w:cs="Arial" w:eastAsia="Arial" w:hAnsi="Arial"/>
          <w:sz w:val="17"/>
          <w:szCs w:val="17"/>
          <w:color w:val="auto"/>
        </w:rPr>
        <w:t xml:space="preserve"> </w:t>
      </w:r>
      <w:hyperlink r:id="rId133">
        <w:r>
          <w:rPr>
            <w:rFonts w:ascii="Arial" w:cs="Arial" w:eastAsia="Arial" w:hAnsi="Arial"/>
            <w:sz w:val="17"/>
            <w:szCs w:val="17"/>
            <w:u w:val="single" w:color="auto"/>
            <w:color w:val="0000EE"/>
          </w:rPr>
          <w:t>30, 2019, between Applied Optoelectronics, Inc. and Branch</w:t>
        </w:r>
      </w:hyperlink>
      <w:r>
        <w:rPr>
          <w:rFonts w:ascii="Arial" w:cs="Arial" w:eastAsia="Arial" w:hAnsi="Arial"/>
          <w:sz w:val="17"/>
          <w:szCs w:val="17"/>
          <w:u w:val="single" w:color="auto"/>
          <w:color w:val="0000EE"/>
        </w:rPr>
        <w:t xml:space="preserve"> </w:t>
      </w:r>
      <w:hyperlink r:id="rId133">
        <w:r>
          <w:rPr>
            <w:rFonts w:ascii="Arial" w:cs="Arial" w:eastAsia="Arial" w:hAnsi="Arial"/>
            <w:sz w:val="17"/>
            <w:szCs w:val="17"/>
            <w:u w:val="single" w:color="auto"/>
            <w:color w:val="0000EE"/>
          </w:rPr>
          <w:t>Banking and Trust Company</w:t>
        </w:r>
      </w:hyperlink>
    </w:p>
    <w:p>
      <w:pPr>
        <w:spacing w:after="0" w:line="165" w:lineRule="exact"/>
        <w:rPr>
          <w:rFonts w:ascii="Arial" w:cs="Arial" w:eastAsia="Arial" w:hAnsi="Arial"/>
          <w:sz w:val="17"/>
          <w:szCs w:val="17"/>
          <w:color w:val="auto"/>
        </w:rPr>
      </w:pPr>
    </w:p>
    <w:p>
      <w:pPr>
        <w:ind w:left="1320" w:right="180" w:hanging="768"/>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10.27.1</w:t>
      </w:r>
      <w:r>
        <w:rPr>
          <w:sz w:val="20"/>
          <w:szCs w:val="20"/>
          <w:color w:val="auto"/>
        </w:rPr>
        <w:tab/>
      </w:r>
      <w:hyperlink r:id="rId134">
        <w:r>
          <w:rPr>
            <w:rFonts w:ascii="Arial" w:cs="Arial" w:eastAsia="Arial" w:hAnsi="Arial"/>
            <w:sz w:val="18"/>
            <w:szCs w:val="18"/>
            <w:u w:val="single" w:color="auto"/>
            <w:color w:val="0000EE"/>
          </w:rPr>
          <w:t>Note Modification Agreement, dated September 30, 2019,</w:t>
        </w:r>
      </w:hyperlink>
      <w:r>
        <w:rPr>
          <w:rFonts w:ascii="Arial" w:cs="Arial" w:eastAsia="Arial" w:hAnsi="Arial"/>
          <w:sz w:val="18"/>
          <w:szCs w:val="18"/>
          <w:u w:val="single" w:color="auto"/>
          <w:color w:val="0000EE"/>
        </w:rPr>
        <w:t xml:space="preserve"> </w:t>
      </w:r>
      <w:hyperlink r:id="rId134">
        <w:r>
          <w:rPr>
            <w:rFonts w:ascii="Arial" w:cs="Arial" w:eastAsia="Arial" w:hAnsi="Arial"/>
            <w:sz w:val="18"/>
            <w:szCs w:val="18"/>
            <w:u w:val="single" w:color="auto"/>
            <w:color w:val="0000EE"/>
          </w:rPr>
          <w:t>executed by Applied Optoelectronics, Inc.</w:t>
        </w:r>
      </w:hyperlink>
    </w:p>
    <w:p>
      <w:pPr>
        <w:spacing w:after="0" w:line="170" w:lineRule="exact"/>
        <w:rPr>
          <w:sz w:val="20"/>
          <w:szCs w:val="20"/>
          <w:color w:val="auto"/>
        </w:rPr>
      </w:pPr>
    </w:p>
    <w:p>
      <w:pPr>
        <w:ind w:left="1320" w:right="60" w:hanging="768"/>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10.27.2</w:t>
      </w:r>
      <w:r>
        <w:rPr>
          <w:sz w:val="20"/>
          <w:szCs w:val="20"/>
          <w:color w:val="auto"/>
        </w:rPr>
        <w:tab/>
      </w:r>
      <w:hyperlink r:id="rId135">
        <w:r>
          <w:rPr>
            <w:rFonts w:ascii="Arial" w:cs="Arial" w:eastAsia="Arial" w:hAnsi="Arial"/>
            <w:sz w:val="18"/>
            <w:szCs w:val="18"/>
            <w:u w:val="single" w:color="auto"/>
            <w:color w:val="0000EE"/>
          </w:rPr>
          <w:t>Addendum To Promissory Note, dated September 30, 2019,</w:t>
        </w:r>
      </w:hyperlink>
      <w:r>
        <w:rPr>
          <w:rFonts w:ascii="Arial" w:cs="Arial" w:eastAsia="Arial" w:hAnsi="Arial"/>
          <w:sz w:val="18"/>
          <w:szCs w:val="18"/>
          <w:u w:val="single" w:color="auto"/>
          <w:color w:val="0000EE"/>
        </w:rPr>
        <w:t xml:space="preserve"> </w:t>
      </w:r>
      <w:hyperlink r:id="rId135">
        <w:r>
          <w:rPr>
            <w:rFonts w:ascii="Arial" w:cs="Arial" w:eastAsia="Arial" w:hAnsi="Arial"/>
            <w:sz w:val="18"/>
            <w:szCs w:val="18"/>
            <w:u w:val="single" w:color="auto"/>
            <w:color w:val="0000EE"/>
          </w:rPr>
          <w:t>executed by Applied Optoelectronics, Inc.</w:t>
        </w:r>
      </w:hyperlink>
    </w:p>
    <w:p>
      <w:pPr>
        <w:spacing w:after="0" w:line="170" w:lineRule="exact"/>
        <w:rPr>
          <w:sz w:val="20"/>
          <w:szCs w:val="20"/>
          <w:color w:val="auto"/>
        </w:rPr>
      </w:pPr>
    </w:p>
    <w:p>
      <w:pPr>
        <w:ind w:left="1320" w:right="260" w:hanging="633"/>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10.28</w:t>
      </w:r>
      <w:r>
        <w:rPr>
          <w:sz w:val="20"/>
          <w:szCs w:val="20"/>
          <w:color w:val="auto"/>
        </w:rPr>
        <w:tab/>
      </w:r>
      <w:hyperlink r:id="rId136">
        <w:r>
          <w:rPr>
            <w:rFonts w:ascii="Arial" w:cs="Arial" w:eastAsia="Arial" w:hAnsi="Arial"/>
            <w:sz w:val="18"/>
            <w:szCs w:val="18"/>
            <w:u w:val="single" w:color="auto"/>
            <w:color w:val="0000EE"/>
          </w:rPr>
          <w:t>Second Amendment to Lease, dated November 11, 2019,</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between Applied Optoelectronics, Inc. and ROIB2</w:t>
        </w:r>
      </w:hyperlink>
      <w:r>
        <w:rPr>
          <w:rFonts w:ascii="Arial" w:cs="Arial" w:eastAsia="Arial" w:hAnsi="Arial"/>
          <w:sz w:val="18"/>
          <w:szCs w:val="18"/>
          <w:u w:val="single" w:color="auto"/>
          <w:color w:val="0000EE"/>
        </w:rPr>
        <w:t xml:space="preserve"> </w:t>
      </w:r>
      <w:hyperlink r:id="rId136">
        <w:r>
          <w:rPr>
            <w:rFonts w:ascii="Arial" w:cs="Arial" w:eastAsia="Arial" w:hAnsi="Arial"/>
            <w:sz w:val="18"/>
            <w:szCs w:val="18"/>
            <w:u w:val="single" w:color="auto"/>
            <w:color w:val="0000EE"/>
          </w:rPr>
          <w:t>Breckinridge, LLC.</w:t>
        </w:r>
      </w:hyperlink>
    </w:p>
    <w:p>
      <w:pPr>
        <w:spacing w:after="0" w:line="184" w:lineRule="exact"/>
        <w:rPr>
          <w:rFonts w:ascii="Arial" w:cs="Arial" w:eastAsia="Arial" w:hAnsi="Arial"/>
          <w:sz w:val="18"/>
          <w:szCs w:val="18"/>
          <w:u w:val="single" w:color="auto"/>
          <w:color w:val="0000EE"/>
        </w:rPr>
      </w:pPr>
    </w:p>
    <w:p>
      <w:pPr>
        <w:ind w:left="1320" w:right="60" w:hanging="633"/>
        <w:spacing w:after="0" w:line="342"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137">
        <w:r>
          <w:rPr>
            <w:rFonts w:ascii="Arial" w:cs="Arial" w:eastAsia="Arial" w:hAnsi="Arial"/>
            <w:sz w:val="16"/>
            <w:szCs w:val="16"/>
            <w:u w:val="single" w:color="auto"/>
            <w:color w:val="0000EE"/>
          </w:rPr>
          <w:t>Paycheck Protection Program Loan Promissory Note, dated</w:t>
        </w:r>
      </w:hyperlink>
      <w:r>
        <w:rPr>
          <w:rFonts w:ascii="Arial" w:cs="Arial" w:eastAsia="Arial" w:hAnsi="Arial"/>
          <w:sz w:val="16"/>
          <w:szCs w:val="16"/>
          <w:u w:val="single" w:color="auto"/>
          <w:color w:val="0000EE"/>
        </w:rPr>
        <w:t xml:space="preserve"> </w:t>
      </w:r>
      <w:hyperlink r:id="rId137">
        <w:r>
          <w:rPr>
            <w:rFonts w:ascii="Arial" w:cs="Arial" w:eastAsia="Arial" w:hAnsi="Arial"/>
            <w:sz w:val="16"/>
            <w:szCs w:val="16"/>
            <w:u w:val="single" w:color="auto"/>
            <w:color w:val="0000EE"/>
          </w:rPr>
          <w:t>April 17, 2020, executed by Applied Optoelectronics, Inc.</w:t>
        </w:r>
      </w:hyperlink>
    </w:p>
    <w:p>
      <w:pPr>
        <w:spacing w:after="0" w:line="124" w:lineRule="exact"/>
        <w:rPr>
          <w:sz w:val="20"/>
          <w:szCs w:val="20"/>
          <w:color w:val="auto"/>
        </w:rPr>
      </w:pPr>
    </w:p>
    <w:p>
      <w:pPr>
        <w:ind w:left="1320" w:right="200" w:hanging="633"/>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10.30</w:t>
      </w:r>
      <w:r>
        <w:rPr>
          <w:sz w:val="20"/>
          <w:szCs w:val="20"/>
          <w:color w:val="auto"/>
        </w:rPr>
        <w:tab/>
      </w:r>
      <w:hyperlink r:id="rId138">
        <w:r>
          <w:rPr>
            <w:rFonts w:ascii="Arial" w:cs="Arial" w:eastAsia="Arial" w:hAnsi="Arial"/>
            <w:sz w:val="18"/>
            <w:szCs w:val="18"/>
            <w:u w:val="single" w:color="auto"/>
            <w:color w:val="0000EE"/>
          </w:rPr>
          <w:t>Translation of Amendment to the Finance Lease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Agreements, dated September 15, 2020, between Prime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World International Holdings Ltd., and Chailease Finance</w:t>
        </w:r>
      </w:hyperlink>
      <w:r>
        <w:rPr>
          <w:rFonts w:ascii="Arial" w:cs="Arial" w:eastAsia="Arial" w:hAnsi="Arial"/>
          <w:sz w:val="18"/>
          <w:szCs w:val="18"/>
          <w:u w:val="single" w:color="auto"/>
          <w:color w:val="0000EE"/>
        </w:rPr>
        <w:t xml:space="preserve"> </w:t>
      </w:r>
      <w:hyperlink r:id="rId138">
        <w:r>
          <w:rPr>
            <w:rFonts w:ascii="Arial" w:cs="Arial" w:eastAsia="Arial" w:hAnsi="Arial"/>
            <w:sz w:val="18"/>
            <w:szCs w:val="18"/>
            <w:u w:val="single" w:color="auto"/>
            <w:color w:val="0000EE"/>
          </w:rPr>
          <w:t>Co., Ltd.</w:t>
        </w:r>
      </w:hyperlink>
    </w:p>
    <w:p>
      <w:pPr>
        <w:spacing w:after="0" w:line="187" w:lineRule="exact"/>
        <w:rPr>
          <w:rFonts w:ascii="Arial" w:cs="Arial" w:eastAsia="Arial" w:hAnsi="Arial"/>
          <w:sz w:val="18"/>
          <w:szCs w:val="18"/>
          <w:u w:val="single" w:color="auto"/>
          <w:color w:val="0000EE"/>
        </w:rPr>
      </w:pPr>
    </w:p>
    <w:p>
      <w:pPr>
        <w:ind w:left="1320" w:right="60" w:hanging="633"/>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10.31</w:t>
      </w:r>
      <w:r>
        <w:rPr>
          <w:sz w:val="20"/>
          <w:szCs w:val="20"/>
          <w:color w:val="auto"/>
        </w:rPr>
        <w:tab/>
      </w:r>
      <w:hyperlink r:id="rId139">
        <w:r>
          <w:rPr>
            <w:rFonts w:ascii="Arial" w:cs="Arial" w:eastAsia="Arial" w:hAnsi="Arial"/>
            <w:sz w:val="18"/>
            <w:szCs w:val="18"/>
            <w:u w:val="single" w:color="auto"/>
            <w:color w:val="0000EE"/>
          </w:rPr>
          <w:t>Translation of the Credit Facility Agreement, dated October</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7, 2020, between Prime World International Holdings Ltd.</w:t>
        </w:r>
      </w:hyperlink>
      <w:r>
        <w:rPr>
          <w:rFonts w:ascii="Arial" w:cs="Arial" w:eastAsia="Arial" w:hAnsi="Arial"/>
          <w:sz w:val="18"/>
          <w:szCs w:val="18"/>
          <w:u w:val="single" w:color="auto"/>
          <w:color w:val="0000EE"/>
        </w:rPr>
        <w:t xml:space="preserve"> </w:t>
      </w:r>
      <w:hyperlink r:id="rId139">
        <w:r>
          <w:rPr>
            <w:rFonts w:ascii="Arial" w:cs="Arial" w:eastAsia="Arial" w:hAnsi="Arial"/>
            <w:sz w:val="18"/>
            <w:szCs w:val="18"/>
            <w:u w:val="single" w:color="auto"/>
            <w:color w:val="0000EE"/>
          </w:rPr>
          <w:t>and Taishin International Bank.</w:t>
        </w:r>
      </w:hyperlink>
    </w:p>
    <w:p>
      <w:pPr>
        <w:spacing w:after="0" w:line="184" w:lineRule="exact"/>
        <w:rPr>
          <w:rFonts w:ascii="Arial" w:cs="Arial" w:eastAsia="Arial" w:hAnsi="Arial"/>
          <w:sz w:val="18"/>
          <w:szCs w:val="18"/>
          <w:u w:val="single" w:color="auto"/>
          <w:color w:val="0000EE"/>
        </w:rPr>
      </w:pPr>
    </w:p>
    <w:p>
      <w:pPr>
        <w:ind w:left="1320" w:right="300" w:hanging="768"/>
        <w:spacing w:after="0" w:line="277"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10.31.1</w:t>
      </w:r>
      <w:r>
        <w:rPr>
          <w:sz w:val="20"/>
          <w:szCs w:val="20"/>
          <w:color w:val="auto"/>
        </w:rPr>
        <w:tab/>
      </w:r>
      <w:hyperlink r:id="rId140">
        <w:r>
          <w:rPr>
            <w:rFonts w:ascii="Arial" w:cs="Arial" w:eastAsia="Arial" w:hAnsi="Arial"/>
            <w:sz w:val="18"/>
            <w:szCs w:val="18"/>
            <w:u w:val="single" w:color="auto"/>
            <w:color w:val="0000EE"/>
          </w:rPr>
          <w:t>Translation of the Notice of Credit Line Approval, dated</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August 24, 2020.</w:t>
        </w:r>
      </w:hyperlink>
    </w:p>
    <w:p>
      <w:pPr>
        <w:spacing w:after="0" w:line="170" w:lineRule="exact"/>
        <w:rPr>
          <w:sz w:val="20"/>
          <w:szCs w:val="20"/>
          <w:color w:val="auto"/>
        </w:rPr>
      </w:pPr>
    </w:p>
    <w:p>
      <w:pPr>
        <w:jc w:val="both"/>
        <w:ind w:left="1320" w:right="300" w:hanging="633"/>
        <w:spacing w:after="0" w:line="286" w:lineRule="auto"/>
        <w:tabs>
          <w:tab w:leader="none" w:pos="1300" w:val="left"/>
        </w:tabs>
        <w:rPr>
          <w:rFonts w:ascii="Arial" w:cs="Arial" w:eastAsia="Arial" w:hAnsi="Arial"/>
          <w:sz w:val="17"/>
          <w:szCs w:val="17"/>
          <w:u w:val="single" w:color="auto"/>
          <w:color w:val="0000EE"/>
        </w:rPr>
      </w:pPr>
      <w:r>
        <w:rPr>
          <w:rFonts w:ascii="Arial" w:cs="Arial" w:eastAsia="Arial" w:hAnsi="Arial"/>
          <w:sz w:val="18"/>
          <w:szCs w:val="18"/>
          <w:color w:val="auto"/>
        </w:rPr>
        <w:t>10.32</w:t>
      </w:r>
      <w:r>
        <w:rPr>
          <w:sz w:val="20"/>
          <w:szCs w:val="20"/>
          <w:color w:val="auto"/>
        </w:rPr>
        <w:tab/>
      </w:r>
      <w:hyperlink r:id="rId141">
        <w:r>
          <w:rPr>
            <w:rFonts w:ascii="Arial" w:cs="Arial" w:eastAsia="Arial" w:hAnsi="Arial"/>
            <w:sz w:val="17"/>
            <w:szCs w:val="17"/>
            <w:u w:val="single" w:color="auto"/>
            <w:color w:val="0000EE"/>
          </w:rPr>
          <w:t>Translation of the Credit Granting Agreement, between</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Global Technology Inc. and China Merchants Bank Co.,</w:t>
        </w:r>
      </w:hyperlink>
      <w:r>
        <w:rPr>
          <w:rFonts w:ascii="Arial" w:cs="Arial" w:eastAsia="Arial" w:hAnsi="Arial"/>
          <w:sz w:val="17"/>
          <w:szCs w:val="17"/>
          <w:u w:val="single" w:color="auto"/>
          <w:color w:val="0000EE"/>
        </w:rPr>
        <w:t xml:space="preserve"> </w:t>
      </w:r>
      <w:hyperlink r:id="rId141">
        <w:r>
          <w:rPr>
            <w:rFonts w:ascii="Arial" w:cs="Arial" w:eastAsia="Arial" w:hAnsi="Arial"/>
            <w:sz w:val="17"/>
            <w:szCs w:val="17"/>
            <w:u w:val="single" w:color="auto"/>
            <w:color w:val="0000EE"/>
          </w:rPr>
          <w:t>Ltd., dated October 19, 2020.</w:t>
        </w:r>
      </w:hyperlink>
    </w:p>
    <w:p>
      <w:pPr>
        <w:spacing w:after="0" w:line="165" w:lineRule="exact"/>
        <w:rPr>
          <w:rFonts w:ascii="Arial" w:cs="Arial" w:eastAsia="Arial" w:hAnsi="Arial"/>
          <w:sz w:val="17"/>
          <w:szCs w:val="17"/>
          <w:u w:val="single" w:color="auto"/>
          <w:color w:val="0000EE"/>
        </w:rPr>
      </w:pPr>
    </w:p>
    <w:p>
      <w:pPr>
        <w:ind w:left="1320" w:hanging="633"/>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10.33</w:t>
      </w:r>
      <w:r>
        <w:rPr>
          <w:sz w:val="20"/>
          <w:szCs w:val="20"/>
          <w:color w:val="auto"/>
        </w:rPr>
        <w:tab/>
      </w:r>
      <w:hyperlink r:id="rId142">
        <w:r>
          <w:rPr>
            <w:rFonts w:ascii="Arial" w:cs="Arial" w:eastAsia="Arial" w:hAnsi="Arial"/>
            <w:sz w:val="18"/>
            <w:szCs w:val="18"/>
            <w:u w:val="single" w:color="auto"/>
            <w:color w:val="0000EE"/>
          </w:rPr>
          <w:t>Translation of the Maximum Loan Contract, between Global</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Technology, Inc. and China Zheshang Bank Co., Ltd, dated</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January 6, 2021.</w:t>
        </w:r>
      </w:hyperlink>
    </w:p>
    <w:p>
      <w:pPr>
        <w:spacing w:after="0" w:line="184" w:lineRule="exact"/>
        <w:rPr>
          <w:rFonts w:ascii="Arial" w:cs="Arial" w:eastAsia="Arial" w:hAnsi="Arial"/>
          <w:sz w:val="18"/>
          <w:szCs w:val="18"/>
          <w:u w:val="single" w:color="auto"/>
          <w:color w:val="0000EE"/>
        </w:rPr>
      </w:pPr>
    </w:p>
    <w:p>
      <w:pPr>
        <w:ind w:left="1320" w:hanging="768"/>
        <w:spacing w:after="0" w:line="263"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10.33.1</w:t>
      </w:r>
      <w:r>
        <w:rPr>
          <w:sz w:val="20"/>
          <w:szCs w:val="20"/>
          <w:color w:val="auto"/>
        </w:rPr>
        <w:tab/>
      </w:r>
      <w:hyperlink r:id="rId143">
        <w:r>
          <w:rPr>
            <w:rFonts w:ascii="Arial" w:cs="Arial" w:eastAsia="Arial" w:hAnsi="Arial"/>
            <w:sz w:val="18"/>
            <w:szCs w:val="18"/>
            <w:u w:val="single" w:color="auto"/>
            <w:color w:val="0000EE"/>
          </w:rPr>
          <w:t>Translation of the Maximum Mortgage Contract, between</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Global Technology, Inc. and China Zheshang Bank Co., Ltd,</w:t>
        </w:r>
      </w:hyperlink>
      <w:r>
        <w:rPr>
          <w:rFonts w:ascii="Arial" w:cs="Arial" w:eastAsia="Arial" w:hAnsi="Arial"/>
          <w:sz w:val="18"/>
          <w:szCs w:val="18"/>
          <w:u w:val="single" w:color="auto"/>
          <w:color w:val="0000EE"/>
        </w:rPr>
        <w:t xml:space="preserve"> </w:t>
      </w:r>
      <w:hyperlink r:id="rId143">
        <w:r>
          <w:rPr>
            <w:rFonts w:ascii="Arial" w:cs="Arial" w:eastAsia="Arial" w:hAnsi="Arial"/>
            <w:sz w:val="18"/>
            <w:szCs w:val="18"/>
            <w:u w:val="single" w:color="auto"/>
            <w:color w:val="0000EE"/>
          </w:rPr>
          <w:t>dated January 6, 2021.</w:t>
        </w:r>
      </w:hyperlink>
    </w:p>
    <w:p>
      <w:pPr>
        <w:spacing w:after="0" w:line="184" w:lineRule="exact"/>
        <w:rPr>
          <w:rFonts w:ascii="Arial" w:cs="Arial" w:eastAsia="Arial" w:hAnsi="Arial"/>
          <w:sz w:val="18"/>
          <w:szCs w:val="18"/>
          <w:u w:val="single" w:color="auto"/>
          <w:color w:val="0000EE"/>
        </w:rPr>
      </w:pPr>
    </w:p>
    <w:p>
      <w:pPr>
        <w:ind w:left="1320" w:right="120" w:hanging="633"/>
        <w:spacing w:after="0" w:line="301" w:lineRule="auto"/>
        <w:tabs>
          <w:tab w:leader="none" w:pos="130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r:id="rId144">
        <w:r>
          <w:rPr>
            <w:rFonts w:ascii="Arial" w:cs="Arial" w:eastAsia="Arial" w:hAnsi="Arial"/>
            <w:sz w:val="16"/>
            <w:szCs w:val="16"/>
            <w:u w:val="single" w:color="auto"/>
            <w:color w:val="0000EE"/>
          </w:rPr>
          <w:t>Fifth Amendment to Loan Agreement and Fourth</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Amendment to Security Agreement, dated April 5, 2021,</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between Applied Optoelectronics, Inc. and Truist Bank</w:t>
        </w:r>
      </w:hyperlink>
      <w:r>
        <w:rPr>
          <w:rFonts w:ascii="Arial" w:cs="Arial" w:eastAsia="Arial" w:hAnsi="Arial"/>
          <w:sz w:val="16"/>
          <w:szCs w:val="16"/>
          <w:u w:val="single" w:color="auto"/>
          <w:color w:val="0000EE"/>
        </w:rPr>
        <w:t xml:space="preserve"> </w:t>
      </w:r>
      <w:hyperlink r:id="rId144">
        <w:r>
          <w:rPr>
            <w:rFonts w:ascii="Arial" w:cs="Arial" w:eastAsia="Arial" w:hAnsi="Arial"/>
            <w:sz w:val="16"/>
            <w:szCs w:val="16"/>
            <w:u w:val="single" w:color="auto"/>
            <w:color w:val="0000EE"/>
          </w:rPr>
          <w:t>(included as Exhibit 10.1 to the Registrants Current Report</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12"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June 27, 2019</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June 27, 2019</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June 27, 2019</w:t>
            </w:r>
          </w:p>
        </w:tc>
      </w:tr>
      <w:tr>
        <w:trPr>
          <w:trHeight w:val="1080"/>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864"/>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864"/>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864"/>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August 8, 2019</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1"/>
              </w:rPr>
              <w:t>October 4, 2019</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1"/>
              </w:rPr>
              <w:t>October 4, 2019</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1"/>
              </w:rPr>
              <w:t>October 4, 2019</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November 18, 2019</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5"/>
              </w:rPr>
              <w:t>April 22, 2020</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9"/>
              </w:rPr>
              <w:t>September 18, 2020</w:t>
            </w:r>
          </w:p>
        </w:tc>
      </w:tr>
      <w:tr>
        <w:trPr>
          <w:trHeight w:val="1080"/>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October 13, 2020</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0"/>
              </w:rPr>
              <w:t>October 13, 2020</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ind w:left="400"/>
              <w:spacing w:after="0"/>
              <w:rPr>
                <w:sz w:val="20"/>
                <w:szCs w:val="20"/>
                <w:color w:val="auto"/>
              </w:rPr>
            </w:pPr>
            <w:r>
              <w:rPr>
                <w:rFonts w:ascii="Arial" w:cs="Arial" w:eastAsia="Arial" w:hAnsi="Arial"/>
                <w:sz w:val="18"/>
                <w:szCs w:val="18"/>
                <w:color w:val="auto"/>
                <w:w w:val="97"/>
              </w:rPr>
              <w:t>October 22, 2020</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7"/>
              </w:rPr>
              <w:t>January 11, 2021</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87"/>
              </w:rPr>
              <w:t>January 11, 2021</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001-36083</w:t>
            </w:r>
          </w:p>
        </w:tc>
        <w:tc>
          <w:tcPr>
            <w:tcW w:w="10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780" w:type="dxa"/>
            <w:vAlign w:val="bottom"/>
          </w:tcPr>
          <w:p>
            <w:pPr>
              <w:jc w:val="center"/>
              <w:ind w:left="230"/>
              <w:spacing w:after="0"/>
              <w:rPr>
                <w:sz w:val="20"/>
                <w:szCs w:val="20"/>
                <w:color w:val="auto"/>
              </w:rPr>
            </w:pPr>
            <w:r>
              <w:rPr>
                <w:rFonts w:ascii="Arial" w:cs="Arial" w:eastAsia="Arial" w:hAnsi="Arial"/>
                <w:sz w:val="18"/>
                <w:szCs w:val="18"/>
                <w:color w:val="auto"/>
                <w:w w:val="96"/>
              </w:rPr>
              <w:t>April 9, 2021</w:t>
            </w:r>
          </w:p>
        </w:tc>
      </w:tr>
    </w:tbl>
    <w:p>
      <w:pPr>
        <w:sectPr>
          <w:pgSz w:w="11900" w:h="16838" w:orient="portrait"/>
          <w:cols w:equalWidth="0" w:num="2">
            <w:col w:w="5680" w:space="460"/>
            <w:col w:w="4880"/>
          </w:cols>
          <w:pgMar w:left="320" w:top="125" w:right="559" w:bottom="0" w:gutter="0" w:footer="0" w:header="0"/>
        </w:sectPr>
      </w:pPr>
    </w:p>
    <w:bookmarkStart w:id="62" w:name="page63"/>
    <w:bookmarkEnd w:id="62"/>
    <w:p>
      <w:pPr>
        <w:ind w:left="780" w:right="640"/>
        <w:spacing w:after="0" w:line="277" w:lineRule="auto"/>
        <w:rPr>
          <w:rFonts w:ascii="Arial" w:cs="Arial" w:eastAsia="Arial" w:hAnsi="Arial"/>
          <w:sz w:val="18"/>
          <w:szCs w:val="18"/>
          <w:u w:val="single" w:color="auto"/>
          <w:color w:val="0000EE"/>
        </w:rPr>
      </w:pPr>
      <w:hyperlink r:id="rId144">
        <w:r>
          <w:rPr>
            <w:rFonts w:ascii="Arial" w:cs="Arial" w:eastAsia="Arial" w:hAnsi="Arial"/>
            <w:sz w:val="18"/>
            <w:szCs w:val="18"/>
            <w:u w:val="single" w:color="auto"/>
            <w:color w:val="0000EE"/>
          </w:rPr>
          <w:t>on Form 8-K filed with the Securities and Exchange</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Commission on April 9, 2021).</w:t>
        </w:r>
      </w:hyperlink>
    </w:p>
    <w:p>
      <w:pPr>
        <w:spacing w:after="0" w:line="170" w:lineRule="exact"/>
        <w:rPr>
          <w:sz w:val="20"/>
          <w:szCs w:val="20"/>
          <w:color w:val="auto"/>
        </w:rPr>
      </w:pPr>
    </w:p>
    <w:p>
      <w:pPr>
        <w:ind w:left="780" w:right="40" w:hanging="768"/>
        <w:spacing w:after="0" w:line="308" w:lineRule="auto"/>
        <w:tabs>
          <w:tab w:leader="none" w:pos="760" w:val="left"/>
        </w:tabs>
        <w:rPr>
          <w:rFonts w:ascii="Arial" w:cs="Arial" w:eastAsia="Arial" w:hAnsi="Arial"/>
          <w:sz w:val="17"/>
          <w:szCs w:val="17"/>
          <w:u w:val="single" w:color="auto"/>
          <w:color w:val="0000EE"/>
        </w:rPr>
      </w:pPr>
      <w:r>
        <w:rPr>
          <w:rFonts w:ascii="Arial" w:cs="Arial" w:eastAsia="Arial" w:hAnsi="Arial"/>
          <w:sz w:val="18"/>
          <w:szCs w:val="18"/>
          <w:color w:val="auto"/>
        </w:rPr>
        <w:t>10.34.1</w:t>
      </w:r>
      <w:r>
        <w:rPr>
          <w:sz w:val="20"/>
          <w:szCs w:val="20"/>
          <w:color w:val="auto"/>
        </w:rPr>
        <w:tab/>
      </w:r>
      <w:hyperlink r:id="rId145">
        <w:r>
          <w:rPr>
            <w:rFonts w:ascii="Arial" w:cs="Arial" w:eastAsia="Arial" w:hAnsi="Arial"/>
            <w:sz w:val="17"/>
            <w:szCs w:val="17"/>
            <w:u w:val="single" w:color="auto"/>
            <w:color w:val="0000EE"/>
          </w:rPr>
          <w:t>Note Modification Agreement, dated April 5, 2021, between</w:t>
        </w:r>
      </w:hyperlink>
      <w:r>
        <w:rPr>
          <w:rFonts w:ascii="Arial" w:cs="Arial" w:eastAsia="Arial" w:hAnsi="Arial"/>
          <w:sz w:val="17"/>
          <w:szCs w:val="17"/>
          <w:u w:val="single" w:color="auto"/>
          <w:color w:val="0000EE"/>
        </w:rPr>
        <w:t xml:space="preserve"> </w:t>
      </w:r>
      <w:hyperlink r:id="rId145">
        <w:r>
          <w:rPr>
            <w:rFonts w:ascii="Arial" w:cs="Arial" w:eastAsia="Arial" w:hAnsi="Arial"/>
            <w:sz w:val="17"/>
            <w:szCs w:val="17"/>
            <w:u w:val="single" w:color="auto"/>
            <w:color w:val="0000EE"/>
          </w:rPr>
          <w:t>Applied Optoelectronics, Inc. and Truist Bank.</w:t>
        </w:r>
      </w:hyperlink>
    </w:p>
    <w:p>
      <w:pPr>
        <w:spacing w:after="0" w:line="146" w:lineRule="exact"/>
        <w:rPr>
          <w:sz w:val="20"/>
          <w:szCs w:val="20"/>
          <w:color w:val="auto"/>
        </w:rPr>
      </w:pPr>
    </w:p>
    <w:p>
      <w:pPr>
        <w:ind w:left="780" w:right="3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10.34.1</w:t>
      </w:r>
      <w:r>
        <w:rPr>
          <w:sz w:val="20"/>
          <w:szCs w:val="20"/>
          <w:color w:val="auto"/>
        </w:rPr>
        <w:tab/>
      </w:r>
      <w:hyperlink r:id="rId146">
        <w:r>
          <w:rPr>
            <w:rFonts w:ascii="Arial" w:cs="Arial" w:eastAsia="Arial" w:hAnsi="Arial"/>
            <w:sz w:val="16"/>
            <w:szCs w:val="16"/>
            <w:u w:val="single" w:color="auto"/>
            <w:color w:val="0000EE"/>
          </w:rPr>
          <w:t>Addendum to Promissory Note, dated April 5, 2021,</w:t>
        </w:r>
      </w:hyperlink>
      <w:r>
        <w:rPr>
          <w:rFonts w:ascii="Arial" w:cs="Arial" w:eastAsia="Arial" w:hAnsi="Arial"/>
          <w:sz w:val="16"/>
          <w:szCs w:val="16"/>
          <w:u w:val="single" w:color="auto"/>
          <w:color w:val="0000EE"/>
        </w:rPr>
        <w:t xml:space="preserve"> </w:t>
      </w:r>
      <w:hyperlink r:id="rId146">
        <w:r>
          <w:rPr>
            <w:rFonts w:ascii="Arial" w:cs="Arial" w:eastAsia="Arial" w:hAnsi="Arial"/>
            <w:sz w:val="16"/>
            <w:szCs w:val="16"/>
            <w:u w:val="single" w:color="auto"/>
            <w:color w:val="0000EE"/>
          </w:rPr>
          <w:t>between Applied Optoelectronics, Inc. and Truist Bank.</w:t>
        </w:r>
      </w:hyperlink>
    </w:p>
    <w:p>
      <w:pPr>
        <w:spacing w:after="0" w:line="124" w:lineRule="exact"/>
        <w:rPr>
          <w:sz w:val="20"/>
          <w:szCs w:val="20"/>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 xml:space="preserve">10.35 † </w:t>
      </w:r>
      <w:hyperlink r:id="rId147">
        <w:r>
          <w:rPr>
            <w:rFonts w:ascii="Arial" w:cs="Arial" w:eastAsia="Arial" w:hAnsi="Arial"/>
            <w:sz w:val="18"/>
            <w:szCs w:val="18"/>
            <w:u w:val="single" w:color="auto"/>
            <w:color w:val="0000EE"/>
          </w:rPr>
          <w:t>2021 Stock Incentive Plan.</w:t>
        </w:r>
      </w:hyperlink>
    </w:p>
    <w:p>
      <w:pPr>
        <w:spacing w:after="0" w:line="22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10.35.1 † </w:t>
      </w:r>
      <w:hyperlink r:id="rId148">
        <w:r>
          <w:rPr>
            <w:rFonts w:ascii="Arial" w:cs="Arial" w:eastAsia="Arial" w:hAnsi="Arial"/>
            <w:sz w:val="18"/>
            <w:szCs w:val="18"/>
            <w:u w:val="single" w:color="auto"/>
            <w:color w:val="0000EE"/>
          </w:rPr>
          <w:t>Form of Restricted Stock Unit Award Agreement under</w:t>
        </w:r>
      </w:hyperlink>
    </w:p>
    <w:p>
      <w:pPr>
        <w:spacing w:after="0" w:line="23" w:lineRule="exact"/>
        <w:rPr>
          <w:sz w:val="20"/>
          <w:szCs w:val="20"/>
          <w:color w:val="auto"/>
        </w:rPr>
      </w:pPr>
    </w:p>
    <w:p>
      <w:pPr>
        <w:ind w:left="780"/>
        <w:spacing w:after="0"/>
        <w:rPr>
          <w:rFonts w:ascii="Arial" w:cs="Arial" w:eastAsia="Arial" w:hAnsi="Arial"/>
          <w:sz w:val="18"/>
          <w:szCs w:val="18"/>
          <w:u w:val="single" w:color="auto"/>
          <w:color w:val="0000EE"/>
        </w:rPr>
      </w:pPr>
      <w:hyperlink r:id="rId148">
        <w:r>
          <w:rPr>
            <w:rFonts w:ascii="Arial" w:cs="Arial" w:eastAsia="Arial" w:hAnsi="Arial"/>
            <w:sz w:val="18"/>
            <w:szCs w:val="18"/>
            <w:u w:val="single" w:color="auto"/>
            <w:color w:val="0000EE"/>
          </w:rPr>
          <w:t>2021 Equity Incentive Plan.</w:t>
        </w:r>
      </w:hyperlink>
    </w:p>
    <w:p>
      <w:pPr>
        <w:spacing w:after="0" w:line="211" w:lineRule="exact"/>
        <w:rPr>
          <w:sz w:val="20"/>
          <w:szCs w:val="20"/>
          <w:color w:val="auto"/>
        </w:rPr>
      </w:pPr>
    </w:p>
    <w:p>
      <w:pPr>
        <w:ind w:left="780" w:right="740" w:hanging="768"/>
        <w:spacing w:after="0" w:line="342" w:lineRule="auto"/>
        <w:rPr>
          <w:rFonts w:ascii="Arial" w:cs="Arial" w:eastAsia="Arial" w:hAnsi="Arial"/>
          <w:sz w:val="16"/>
          <w:szCs w:val="16"/>
          <w:u w:val="single" w:color="auto"/>
          <w:color w:val="0000EE"/>
        </w:rPr>
      </w:pPr>
      <w:r>
        <w:rPr>
          <w:rFonts w:ascii="Arial" w:cs="Arial" w:eastAsia="Arial" w:hAnsi="Arial"/>
          <w:sz w:val="16"/>
          <w:szCs w:val="16"/>
          <w:color w:val="auto"/>
        </w:rPr>
        <w:t xml:space="preserve">10.35.2 † </w:t>
      </w:r>
      <w:hyperlink r:id="rId149">
        <w:r>
          <w:rPr>
            <w:rFonts w:ascii="Arial" w:cs="Arial" w:eastAsia="Arial" w:hAnsi="Arial"/>
            <w:sz w:val="16"/>
            <w:szCs w:val="16"/>
            <w:u w:val="single" w:color="auto"/>
            <w:color w:val="0000EE"/>
          </w:rPr>
          <w:t>Form of Performance Restricted Stock Unit Award</w:t>
        </w:r>
      </w:hyperlink>
      <w:r>
        <w:rPr>
          <w:rFonts w:ascii="Arial" w:cs="Arial" w:eastAsia="Arial" w:hAnsi="Arial"/>
          <w:sz w:val="16"/>
          <w:szCs w:val="16"/>
          <w:color w:val="auto"/>
        </w:rPr>
        <w:t xml:space="preserve"> </w:t>
      </w:r>
      <w:hyperlink r:id="rId149">
        <w:r>
          <w:rPr>
            <w:rFonts w:ascii="Arial" w:cs="Arial" w:eastAsia="Arial" w:hAnsi="Arial"/>
            <w:sz w:val="16"/>
            <w:szCs w:val="16"/>
            <w:u w:val="single" w:color="auto"/>
            <w:color w:val="0000EE"/>
          </w:rPr>
          <w:t>Agreement under 2021 Equity Incentive Plan.</w:t>
        </w:r>
      </w:hyperlink>
    </w:p>
    <w:p>
      <w:pPr>
        <w:spacing w:after="0" w:line="124" w:lineRule="exact"/>
        <w:rPr>
          <w:sz w:val="20"/>
          <w:szCs w:val="20"/>
          <w:color w:val="auto"/>
        </w:rPr>
      </w:pPr>
    </w:p>
    <w:p>
      <w:pPr>
        <w:ind w:left="780" w:right="300" w:hanging="633"/>
        <w:spacing w:after="0" w:line="311"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50">
        <w:r>
          <w:rPr>
            <w:rFonts w:ascii="Arial" w:cs="Arial" w:eastAsia="Arial" w:hAnsi="Arial"/>
            <w:sz w:val="16"/>
            <w:szCs w:val="16"/>
            <w:u w:val="single" w:color="auto"/>
            <w:color w:val="0000EE"/>
          </w:rPr>
          <w:t>Sixth Amendment to Loan Agreement and Fifth</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Amendment to Security Agreement, December 29, 2021,</w:t>
        </w:r>
      </w:hyperlink>
      <w:r>
        <w:rPr>
          <w:rFonts w:ascii="Arial" w:cs="Arial" w:eastAsia="Arial" w:hAnsi="Arial"/>
          <w:sz w:val="16"/>
          <w:szCs w:val="16"/>
          <w:u w:val="single" w:color="auto"/>
          <w:color w:val="0000EE"/>
        </w:rPr>
        <w:t xml:space="preserve"> </w:t>
      </w:r>
      <w:hyperlink r:id="rId150">
        <w:r>
          <w:rPr>
            <w:rFonts w:ascii="Arial" w:cs="Arial" w:eastAsia="Arial" w:hAnsi="Arial"/>
            <w:sz w:val="16"/>
            <w:szCs w:val="16"/>
            <w:u w:val="single" w:color="auto"/>
            <w:color w:val="0000EE"/>
          </w:rPr>
          <w:t>between Applied Optoelectronics, Inc. and Truist Bank.</w:t>
        </w:r>
      </w:hyperlink>
    </w:p>
    <w:p>
      <w:pPr>
        <w:spacing w:after="0" w:line="149" w:lineRule="exact"/>
        <w:rPr>
          <w:rFonts w:ascii="Arial" w:cs="Arial" w:eastAsia="Arial" w:hAnsi="Arial"/>
          <w:sz w:val="16"/>
          <w:szCs w:val="16"/>
          <w:u w:val="single" w:color="auto"/>
          <w:color w:val="0000EE"/>
        </w:rPr>
      </w:pPr>
    </w:p>
    <w:p>
      <w:pPr>
        <w:ind w:left="780" w:right="24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10.36.1</w:t>
      </w:r>
      <w:r>
        <w:rPr>
          <w:sz w:val="20"/>
          <w:szCs w:val="20"/>
          <w:color w:val="auto"/>
        </w:rPr>
        <w:tab/>
      </w:r>
      <w:hyperlink r:id="rId151">
        <w:r>
          <w:rPr>
            <w:rFonts w:ascii="Arial" w:cs="Arial" w:eastAsia="Arial" w:hAnsi="Arial"/>
            <w:sz w:val="16"/>
            <w:szCs w:val="16"/>
            <w:u w:val="single" w:color="auto"/>
            <w:color w:val="0000EE"/>
          </w:rPr>
          <w:t>Note Modification Agreement, dated December 29, 2021,</w:t>
        </w:r>
      </w:hyperlink>
      <w:r>
        <w:rPr>
          <w:rFonts w:ascii="Arial" w:cs="Arial" w:eastAsia="Arial" w:hAnsi="Arial"/>
          <w:sz w:val="16"/>
          <w:szCs w:val="16"/>
          <w:u w:val="single" w:color="auto"/>
          <w:color w:val="0000EE"/>
        </w:rPr>
        <w:t xml:space="preserve"> </w:t>
      </w:r>
      <w:hyperlink r:id="rId151">
        <w:r>
          <w:rPr>
            <w:rFonts w:ascii="Arial" w:cs="Arial" w:eastAsia="Arial" w:hAnsi="Arial"/>
            <w:sz w:val="16"/>
            <w:szCs w:val="16"/>
            <w:u w:val="single" w:color="auto"/>
            <w:color w:val="0000EE"/>
          </w:rPr>
          <w:t>between Applied Optoelectronics, Inc. and Truist Bank.</w:t>
        </w:r>
      </w:hyperlink>
    </w:p>
    <w:p>
      <w:pPr>
        <w:spacing w:after="0" w:line="124" w:lineRule="exact"/>
        <w:rPr>
          <w:sz w:val="20"/>
          <w:szCs w:val="20"/>
          <w:color w:val="auto"/>
        </w:rPr>
      </w:pPr>
    </w:p>
    <w:p>
      <w:pPr>
        <w:ind w:left="780" w:right="180" w:hanging="768"/>
        <w:spacing w:after="0" w:line="342"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10.36.2</w:t>
      </w:r>
      <w:r>
        <w:rPr>
          <w:sz w:val="20"/>
          <w:szCs w:val="20"/>
          <w:color w:val="auto"/>
        </w:rPr>
        <w:tab/>
      </w:r>
      <w:hyperlink r:id="rId152">
        <w:r>
          <w:rPr>
            <w:rFonts w:ascii="Arial" w:cs="Arial" w:eastAsia="Arial" w:hAnsi="Arial"/>
            <w:sz w:val="16"/>
            <w:szCs w:val="16"/>
            <w:u w:val="single" w:color="auto"/>
            <w:color w:val="0000EE"/>
          </w:rPr>
          <w:t>Addendum to Promissory Note, dated December 29, 2021,</w:t>
        </w:r>
      </w:hyperlink>
      <w:r>
        <w:rPr>
          <w:rFonts w:ascii="Arial" w:cs="Arial" w:eastAsia="Arial" w:hAnsi="Arial"/>
          <w:sz w:val="16"/>
          <w:szCs w:val="16"/>
          <w:u w:val="single" w:color="auto"/>
          <w:color w:val="0000EE"/>
        </w:rPr>
        <w:t xml:space="preserve"> </w:t>
      </w:r>
      <w:hyperlink r:id="rId152">
        <w:r>
          <w:rPr>
            <w:rFonts w:ascii="Arial" w:cs="Arial" w:eastAsia="Arial" w:hAnsi="Arial"/>
            <w:sz w:val="16"/>
            <w:szCs w:val="16"/>
            <w:u w:val="single" w:color="auto"/>
            <w:color w:val="0000EE"/>
          </w:rPr>
          <w:t>between Applied Optoelectronics, Inc. and Truist Bank.</w:t>
        </w:r>
      </w:hyperlink>
    </w:p>
    <w:p>
      <w:pPr>
        <w:spacing w:after="0" w:line="124" w:lineRule="exact"/>
        <w:rPr>
          <w:sz w:val="20"/>
          <w:szCs w:val="20"/>
          <w:color w:val="auto"/>
        </w:rPr>
      </w:pPr>
    </w:p>
    <w:p>
      <w:pPr>
        <w:ind w:left="240"/>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100">
        <w:r>
          <w:rPr>
            <w:rFonts w:ascii="Arial" w:cs="Arial" w:eastAsia="Arial" w:hAnsi="Arial"/>
            <w:sz w:val="16"/>
            <w:szCs w:val="16"/>
            <w:u w:val="single" w:color="auto"/>
            <w:color w:val="0000EE"/>
          </w:rPr>
          <w:t>Consent of Grant Thornton LLP</w:t>
        </w:r>
      </w:hyperlink>
    </w:p>
    <w:p>
      <w:pPr>
        <w:spacing w:after="0" w:line="225" w:lineRule="exact"/>
        <w:rPr>
          <w:sz w:val="20"/>
          <w:szCs w:val="20"/>
          <w:color w:val="auto"/>
        </w:rPr>
      </w:pPr>
    </w:p>
    <w:p>
      <w:pPr>
        <w:ind w:left="780" w:right="320" w:hanging="543"/>
        <w:spacing w:after="0" w:line="277" w:lineRule="auto"/>
        <w:tabs>
          <w:tab w:leader="none" w:pos="760" w:val="left"/>
        </w:tabs>
        <w:rPr>
          <w:rFonts w:ascii="Arial" w:cs="Arial" w:eastAsia="Arial" w:hAnsi="Arial"/>
          <w:sz w:val="18"/>
          <w:szCs w:val="18"/>
          <w:u w:val="single" w:color="auto"/>
          <w:color w:val="0000EE"/>
        </w:rPr>
      </w:pPr>
      <w:r>
        <w:rPr>
          <w:rFonts w:ascii="Arial" w:cs="Arial" w:eastAsia="Arial" w:hAnsi="Arial"/>
          <w:sz w:val="18"/>
          <w:szCs w:val="18"/>
          <w:color w:val="auto"/>
        </w:rPr>
        <w:t>24.1</w:t>
      </w:r>
      <w:r>
        <w:rPr>
          <w:sz w:val="20"/>
          <w:szCs w:val="20"/>
          <w:color w:val="auto"/>
        </w:rPr>
        <w:tab/>
      </w:r>
      <w:hyperlink w:anchor="page65">
        <w:r>
          <w:rPr>
            <w:rFonts w:ascii="Arial" w:cs="Arial" w:eastAsia="Arial" w:hAnsi="Arial"/>
            <w:sz w:val="18"/>
            <w:szCs w:val="18"/>
            <w:u w:val="single" w:color="auto"/>
            <w:color w:val="0000EE"/>
          </w:rPr>
          <w:t>Power of Attorney (see the signature page in this Annual</w:t>
        </w:r>
      </w:hyperlink>
      <w:r>
        <w:rPr>
          <w:rFonts w:ascii="Arial" w:cs="Arial" w:eastAsia="Arial" w:hAnsi="Arial"/>
          <w:sz w:val="18"/>
          <w:szCs w:val="18"/>
          <w:u w:val="single" w:color="auto"/>
          <w:color w:val="0000EE"/>
        </w:rPr>
        <w:t xml:space="preserve"> </w:t>
      </w:r>
      <w:hyperlink w:anchor="page65">
        <w:r>
          <w:rPr>
            <w:rFonts w:ascii="Arial" w:cs="Arial" w:eastAsia="Arial" w:hAnsi="Arial"/>
            <w:sz w:val="18"/>
            <w:szCs w:val="18"/>
            <w:u w:val="single" w:color="auto"/>
            <w:color w:val="0000EE"/>
          </w:rPr>
          <w:t>Report on Form 10-K).</w:t>
        </w:r>
      </w:hyperlink>
    </w:p>
    <w:p>
      <w:pPr>
        <w:spacing w:after="0" w:line="170" w:lineRule="exact"/>
        <w:rPr>
          <w:sz w:val="20"/>
          <w:szCs w:val="20"/>
          <w:color w:val="auto"/>
        </w:rPr>
      </w:pPr>
    </w:p>
    <w:p>
      <w:pPr>
        <w:ind w:left="780" w:right="80" w:hanging="543"/>
        <w:spacing w:after="0" w:line="301"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01">
        <w:r>
          <w:rPr>
            <w:rFonts w:ascii="Arial" w:cs="Arial" w:eastAsia="Arial" w:hAnsi="Arial"/>
            <w:sz w:val="16"/>
            <w:szCs w:val="16"/>
            <w:u w:val="single" w:color="auto"/>
            <w:color w:val="0000EE"/>
          </w:rPr>
          <w:t>Certification of Principal Executive Officer Required Under</w:t>
        </w:r>
      </w:hyperlink>
      <w:r>
        <w:rPr>
          <w:rFonts w:ascii="Arial" w:cs="Arial" w:eastAsia="Arial" w:hAnsi="Arial"/>
          <w:sz w:val="16"/>
          <w:szCs w:val="16"/>
          <w:u w:val="single" w:color="auto"/>
          <w:color w:val="0000EE"/>
        </w:rPr>
        <w:t xml:space="preserve"> </w:t>
      </w:r>
      <w:hyperlink w:anchor="page101">
        <w:r>
          <w:rPr>
            <w:rFonts w:ascii="Arial" w:cs="Arial" w:eastAsia="Arial" w:hAnsi="Arial"/>
            <w:sz w:val="16"/>
            <w:szCs w:val="16"/>
            <w:u w:val="single" w:color="auto"/>
            <w:color w:val="0000EE"/>
          </w:rPr>
          <w:t>Rule 13a-14(a) and 15d-14(a) of the Securities Exchange</w:t>
        </w:r>
      </w:hyperlink>
      <w:r>
        <w:rPr>
          <w:rFonts w:ascii="Arial" w:cs="Arial" w:eastAsia="Arial" w:hAnsi="Arial"/>
          <w:sz w:val="16"/>
          <w:szCs w:val="16"/>
          <w:u w:val="single" w:color="auto"/>
          <w:color w:val="0000EE"/>
        </w:rPr>
        <w:t xml:space="preserve"> </w:t>
      </w:r>
      <w:hyperlink w:anchor="page101">
        <w:r>
          <w:rPr>
            <w:rFonts w:ascii="Arial" w:cs="Arial" w:eastAsia="Arial" w:hAnsi="Arial"/>
            <w:sz w:val="16"/>
            <w:szCs w:val="16"/>
            <w:u w:val="single" w:color="auto"/>
            <w:color w:val="0000EE"/>
          </w:rPr>
          <w:t>Act of 1934, as amended, as adopted pursuant to Section</w:t>
        </w:r>
      </w:hyperlink>
      <w:r>
        <w:rPr>
          <w:rFonts w:ascii="Arial" w:cs="Arial" w:eastAsia="Arial" w:hAnsi="Arial"/>
          <w:sz w:val="16"/>
          <w:szCs w:val="16"/>
          <w:u w:val="single" w:color="auto"/>
          <w:color w:val="0000EE"/>
        </w:rPr>
        <w:t xml:space="preserve"> </w:t>
      </w:r>
      <w:hyperlink w:anchor="page101">
        <w:r>
          <w:rPr>
            <w:rFonts w:ascii="Arial" w:cs="Arial" w:eastAsia="Arial" w:hAnsi="Arial"/>
            <w:sz w:val="16"/>
            <w:szCs w:val="16"/>
            <w:u w:val="single" w:color="auto"/>
            <w:color w:val="0000EE"/>
          </w:rPr>
          <w:t>302 of The Sarbanes-Oxley Act of 2002.</w:t>
        </w:r>
      </w:hyperlink>
    </w:p>
    <w:p>
      <w:pPr>
        <w:spacing w:after="0" w:line="157" w:lineRule="exact"/>
        <w:rPr>
          <w:rFonts w:ascii="Arial" w:cs="Arial" w:eastAsia="Arial" w:hAnsi="Arial"/>
          <w:sz w:val="16"/>
          <w:szCs w:val="16"/>
          <w:u w:val="single" w:color="auto"/>
          <w:color w:val="0000EE"/>
        </w:rPr>
      </w:pPr>
    </w:p>
    <w:p>
      <w:pPr>
        <w:ind w:left="780" w:right="120" w:hanging="543"/>
        <w:spacing w:after="0" w:line="301" w:lineRule="auto"/>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02">
        <w:r>
          <w:rPr>
            <w:rFonts w:ascii="Arial" w:cs="Arial" w:eastAsia="Arial" w:hAnsi="Arial"/>
            <w:sz w:val="16"/>
            <w:szCs w:val="16"/>
            <w:u w:val="single" w:color="auto"/>
            <w:color w:val="0000EE"/>
          </w:rPr>
          <w:t>Certification of Principal Financial Officer Required Under</w:t>
        </w:r>
      </w:hyperlink>
      <w:r>
        <w:rPr>
          <w:rFonts w:ascii="Arial" w:cs="Arial" w:eastAsia="Arial" w:hAnsi="Arial"/>
          <w:sz w:val="16"/>
          <w:szCs w:val="16"/>
          <w:u w:val="single" w:color="auto"/>
          <w:color w:val="0000EE"/>
        </w:rPr>
        <w:t xml:space="preserve"> </w:t>
      </w:r>
      <w:hyperlink w:anchor="page102">
        <w:r>
          <w:rPr>
            <w:rFonts w:ascii="Arial" w:cs="Arial" w:eastAsia="Arial" w:hAnsi="Arial"/>
            <w:sz w:val="16"/>
            <w:szCs w:val="16"/>
            <w:u w:val="single" w:color="auto"/>
            <w:color w:val="0000EE"/>
          </w:rPr>
          <w:t>Rule 13a-14(a) and 15d-14(a) of the Securities Exchange</w:t>
        </w:r>
      </w:hyperlink>
      <w:r>
        <w:rPr>
          <w:rFonts w:ascii="Arial" w:cs="Arial" w:eastAsia="Arial" w:hAnsi="Arial"/>
          <w:sz w:val="16"/>
          <w:szCs w:val="16"/>
          <w:u w:val="single" w:color="auto"/>
          <w:color w:val="0000EE"/>
        </w:rPr>
        <w:t xml:space="preserve"> </w:t>
      </w:r>
      <w:hyperlink w:anchor="page102">
        <w:r>
          <w:rPr>
            <w:rFonts w:ascii="Arial" w:cs="Arial" w:eastAsia="Arial" w:hAnsi="Arial"/>
            <w:sz w:val="16"/>
            <w:szCs w:val="16"/>
            <w:u w:val="single" w:color="auto"/>
            <w:color w:val="0000EE"/>
          </w:rPr>
          <w:t>Act of 1934, as amended, as adopted pursuant to Section</w:t>
        </w:r>
      </w:hyperlink>
      <w:r>
        <w:rPr>
          <w:rFonts w:ascii="Arial" w:cs="Arial" w:eastAsia="Arial" w:hAnsi="Arial"/>
          <w:sz w:val="16"/>
          <w:szCs w:val="16"/>
          <w:u w:val="single" w:color="auto"/>
          <w:color w:val="0000EE"/>
        </w:rPr>
        <w:t xml:space="preserve"> </w:t>
      </w:r>
      <w:hyperlink w:anchor="page102">
        <w:r>
          <w:rPr>
            <w:rFonts w:ascii="Arial" w:cs="Arial" w:eastAsia="Arial" w:hAnsi="Arial"/>
            <w:sz w:val="16"/>
            <w:szCs w:val="16"/>
            <w:u w:val="single" w:color="auto"/>
            <w:color w:val="0000EE"/>
          </w:rPr>
          <w:t>302 of The Sarbanes-Oxley Act of 2002.</w:t>
        </w:r>
      </w:hyperlink>
    </w:p>
    <w:p>
      <w:pPr>
        <w:spacing w:after="0" w:line="157" w:lineRule="exact"/>
        <w:rPr>
          <w:rFonts w:ascii="Arial" w:cs="Arial" w:eastAsia="Arial" w:hAnsi="Arial"/>
          <w:sz w:val="16"/>
          <w:szCs w:val="16"/>
          <w:u w:val="single" w:color="auto"/>
          <w:color w:val="0000EE"/>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-337185</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br w:type="column"/>
      </w:r>
    </w:p>
    <w:p>
      <w:pPr>
        <w:spacing w:after="0" w:line="200" w:lineRule="exact"/>
        <w:rPr>
          <w:rFonts w:ascii="Arial" w:cs="Arial" w:eastAsia="Arial" w:hAnsi="Arial"/>
          <w:sz w:val="16"/>
          <w:szCs w:val="16"/>
          <w:u w:val="single" w:color="auto"/>
          <w:color w:val="0000EE"/>
        </w:rPr>
      </w:pPr>
    </w:p>
    <w:p>
      <w:pPr>
        <w:spacing w:after="0" w:line="200" w:lineRule="exact"/>
        <w:rPr>
          <w:rFonts w:ascii="Arial" w:cs="Arial" w:eastAsia="Arial" w:hAnsi="Arial"/>
          <w:sz w:val="16"/>
          <w:szCs w:val="16"/>
          <w:u w:val="single" w:color="auto"/>
          <w:color w:val="0000EE"/>
        </w:rPr>
      </w:pPr>
    </w:p>
    <w:p>
      <w:pPr>
        <w:spacing w:after="0" w:line="228" w:lineRule="exact"/>
        <w:rPr>
          <w:rFonts w:ascii="Arial" w:cs="Arial" w:eastAsia="Arial" w:hAnsi="Arial"/>
          <w:sz w:val="16"/>
          <w:szCs w:val="16"/>
          <w:u w:val="single" w:color="auto"/>
          <w:color w:val="0000EE"/>
        </w:rPr>
      </w:pPr>
    </w:p>
    <w:p>
      <w:pPr>
        <w:spacing w:after="0" w:line="1" w:lineRule="exact"/>
        <w:rPr>
          <w:rFonts w:ascii="Arial" w:cs="Arial" w:eastAsia="Arial" w:hAnsi="Arial"/>
          <w:sz w:val="1"/>
          <w:szCs w:val="1"/>
          <w:u w:val="single" w:color="auto"/>
          <w:color w:val="0000EE"/>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6"/>
              </w:rPr>
              <w:t>April 9, 2021</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10.3</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6"/>
              </w:rPr>
              <w:t>April 9, 2021</w:t>
            </w:r>
          </w:p>
        </w:tc>
      </w:tr>
      <w:tr>
        <w:trPr>
          <w:trHeight w:val="64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94"/>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10.4</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0"/>
              </w:rPr>
              <w:t>August 5, 2021</w:t>
            </w:r>
          </w:p>
        </w:tc>
      </w:tr>
      <w:tr>
        <w:trPr>
          <w:trHeight w:val="432"/>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88"/>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7"/>
              </w:rPr>
              <w:t>10.4.1</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0"/>
              </w:rPr>
              <w:t>August 5, 2021</w:t>
            </w:r>
          </w:p>
        </w:tc>
      </w:tr>
      <w:tr>
        <w:trPr>
          <w:trHeight w:val="648"/>
        </w:trPr>
        <w:tc>
          <w:tcPr>
            <w:tcW w:w="680" w:type="dxa"/>
            <w:vAlign w:val="bottom"/>
          </w:tcPr>
          <w:p>
            <w:pPr>
              <w:jc w:val="center"/>
              <w:ind w:right="210"/>
              <w:spacing w:after="0"/>
              <w:rPr>
                <w:sz w:val="20"/>
                <w:szCs w:val="20"/>
                <w:color w:val="auto"/>
              </w:rPr>
            </w:pPr>
            <w:r>
              <w:rPr>
                <w:rFonts w:ascii="Arial" w:cs="Arial" w:eastAsia="Arial" w:hAnsi="Arial"/>
                <w:sz w:val="18"/>
                <w:szCs w:val="18"/>
                <w:color w:val="auto"/>
                <w:w w:val="88"/>
              </w:rPr>
              <w:t>10Q</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87"/>
              </w:rPr>
              <w:t>10.4.2</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90"/>
              </w:rPr>
              <w:t>August 5, 2021</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10.1</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88"/>
              </w:rPr>
              <w:t>January 5, 2022</w:t>
            </w:r>
          </w:p>
        </w:tc>
      </w:tr>
      <w:tr>
        <w:trPr>
          <w:trHeight w:val="864"/>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10.2</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88"/>
              </w:rPr>
              <w:t>January 5, 2022</w:t>
            </w:r>
          </w:p>
        </w:tc>
      </w:tr>
      <w:tr>
        <w:trPr>
          <w:trHeight w:val="648"/>
        </w:trPr>
        <w:tc>
          <w:tcPr>
            <w:tcW w:w="680" w:type="dxa"/>
            <w:vAlign w:val="bottom"/>
          </w:tcPr>
          <w:p>
            <w:pPr>
              <w:jc w:val="center"/>
              <w:ind w:right="190"/>
              <w:spacing w:after="0"/>
              <w:rPr>
                <w:sz w:val="20"/>
                <w:szCs w:val="20"/>
                <w:color w:val="auto"/>
              </w:rPr>
            </w:pPr>
            <w:r>
              <w:rPr>
                <w:rFonts w:ascii="Arial" w:cs="Arial" w:eastAsia="Arial" w:hAnsi="Arial"/>
                <w:sz w:val="18"/>
                <w:szCs w:val="18"/>
                <w:color w:val="auto"/>
                <w:w w:val="99"/>
              </w:rPr>
              <w:t>8-K</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001-36083</w:t>
            </w:r>
          </w:p>
        </w:tc>
        <w:tc>
          <w:tcPr>
            <w:tcW w:w="1140" w:type="dxa"/>
            <w:vAlign w:val="bottom"/>
          </w:tcPr>
          <w:p>
            <w:pPr>
              <w:jc w:val="center"/>
              <w:ind w:right="10"/>
              <w:spacing w:after="0"/>
              <w:rPr>
                <w:sz w:val="20"/>
                <w:szCs w:val="20"/>
                <w:color w:val="auto"/>
              </w:rPr>
            </w:pPr>
            <w:r>
              <w:rPr>
                <w:rFonts w:ascii="Arial" w:cs="Arial" w:eastAsia="Arial" w:hAnsi="Arial"/>
                <w:sz w:val="18"/>
                <w:szCs w:val="18"/>
                <w:color w:val="auto"/>
                <w:w w:val="91"/>
              </w:rPr>
              <w:t>10.3</w:t>
            </w:r>
          </w:p>
        </w:tc>
        <w:tc>
          <w:tcPr>
            <w:tcW w:w="1540" w:type="dxa"/>
            <w:vAlign w:val="bottom"/>
          </w:tcPr>
          <w:p>
            <w:pPr>
              <w:jc w:val="center"/>
              <w:ind w:left="310"/>
              <w:spacing w:after="0"/>
              <w:rPr>
                <w:sz w:val="20"/>
                <w:szCs w:val="20"/>
                <w:color w:val="auto"/>
              </w:rPr>
            </w:pPr>
            <w:r>
              <w:rPr>
                <w:rFonts w:ascii="Arial" w:cs="Arial" w:eastAsia="Arial" w:hAnsi="Arial"/>
                <w:sz w:val="18"/>
                <w:szCs w:val="18"/>
                <w:color w:val="auto"/>
                <w:w w:val="88"/>
              </w:rPr>
              <w:t>January 5, 2022</w:t>
            </w:r>
          </w:p>
        </w:tc>
      </w:tr>
    </w:tbl>
    <w:p>
      <w:pPr>
        <w:sectPr>
          <w:pgSz w:w="11900" w:h="16838" w:orient="portrait"/>
          <w:cols w:equalWidth="0" w:num="2">
            <w:col w:w="5180" w:space="420"/>
            <w:col w:w="4720"/>
          </w:cols>
          <w:pgMar w:left="860" w:top="125" w:right="71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34"/>
        </w:trPr>
        <w:tc>
          <w:tcPr>
            <w:tcW w:w="128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900" w:type="dxa"/>
            <w:vAlign w:val="bottom"/>
            <w:gridSpan w:val="2"/>
          </w:tcPr>
          <w:p>
            <w:pPr>
              <w:ind w:left="680"/>
              <w:spacing w:after="0"/>
              <w:rPr>
                <w:sz w:val="20"/>
                <w:szCs w:val="20"/>
                <w:color w:val="auto"/>
              </w:rPr>
            </w:pPr>
            <w:r>
              <w:rPr>
                <w:rFonts w:ascii="Arial" w:cs="Arial" w:eastAsia="Arial" w:hAnsi="Arial"/>
                <w:sz w:val="18"/>
                <w:szCs w:val="18"/>
                <w:b w:val="1"/>
                <w:bCs w:val="1"/>
                <w:color w:val="auto"/>
                <w:w w:val="95"/>
              </w:rPr>
              <w:t>Incorporated By Reference</w:t>
            </w:r>
          </w:p>
        </w:tc>
        <w:tc>
          <w:tcPr>
            <w:tcW w:w="980" w:type="dxa"/>
            <w:vAlign w:val="bottom"/>
          </w:tcPr>
          <w:p>
            <w:pPr>
              <w:spacing w:after="0"/>
              <w:rPr>
                <w:sz w:val="24"/>
                <w:szCs w:val="24"/>
                <w:color w:val="auto"/>
              </w:rPr>
            </w:pPr>
          </w:p>
        </w:tc>
      </w:tr>
      <w:tr>
        <w:trPr>
          <w:trHeight w:val="234"/>
        </w:trPr>
        <w:tc>
          <w:tcPr>
            <w:tcW w:w="2000" w:type="dxa"/>
            <w:vAlign w:val="bottom"/>
            <w:gridSpan w:val="2"/>
          </w:tcPr>
          <w:p>
            <w:pPr>
              <w:ind w:left="200"/>
              <w:spacing w:after="0"/>
              <w:rPr>
                <w:sz w:val="20"/>
                <w:szCs w:val="20"/>
                <w:color w:val="auto"/>
              </w:rPr>
            </w:pPr>
            <w:r>
              <w:rPr>
                <w:rFonts w:ascii="Arial" w:cs="Arial" w:eastAsia="Arial" w:hAnsi="Arial"/>
                <w:sz w:val="18"/>
                <w:szCs w:val="18"/>
                <w:b w:val="1"/>
                <w:bCs w:val="1"/>
                <w:color w:val="auto"/>
              </w:rPr>
              <w:t>Number</w:t>
            </w:r>
          </w:p>
        </w:tc>
        <w:tc>
          <w:tcPr>
            <w:tcW w:w="3140" w:type="dxa"/>
            <w:vAlign w:val="bottom"/>
          </w:tcPr>
          <w:p>
            <w:pPr>
              <w:ind w:left="720"/>
              <w:spacing w:after="0"/>
              <w:rPr>
                <w:sz w:val="20"/>
                <w:szCs w:val="20"/>
                <w:color w:val="auto"/>
              </w:rPr>
            </w:pPr>
            <w:r>
              <w:rPr>
                <w:rFonts w:ascii="Arial" w:cs="Arial" w:eastAsia="Arial" w:hAnsi="Arial"/>
                <w:sz w:val="18"/>
                <w:szCs w:val="18"/>
                <w:b w:val="1"/>
                <w:bCs w:val="1"/>
                <w:color w:val="auto"/>
              </w:rPr>
              <w:t>Exhibit Description</w:t>
            </w:r>
          </w:p>
        </w:tc>
        <w:tc>
          <w:tcPr>
            <w:tcW w:w="1680" w:type="dxa"/>
            <w:vAlign w:val="bottom"/>
          </w:tcPr>
          <w:p>
            <w:pPr>
              <w:ind w:left="920"/>
              <w:spacing w:after="0"/>
              <w:rPr>
                <w:sz w:val="20"/>
                <w:szCs w:val="20"/>
                <w:color w:val="auto"/>
              </w:rPr>
            </w:pPr>
            <w:r>
              <w:rPr>
                <w:rFonts w:ascii="Arial" w:cs="Arial" w:eastAsia="Arial" w:hAnsi="Arial"/>
                <w:sz w:val="18"/>
                <w:szCs w:val="18"/>
                <w:b w:val="1"/>
                <w:bCs w:val="1"/>
                <w:color w:val="auto"/>
              </w:rPr>
              <w:t>Form</w:t>
            </w:r>
          </w:p>
        </w:tc>
        <w:tc>
          <w:tcPr>
            <w:tcW w:w="1240" w:type="dxa"/>
            <w:vAlign w:val="bottom"/>
          </w:tcPr>
          <w:p>
            <w:pPr>
              <w:ind w:left="340"/>
              <w:spacing w:after="0"/>
              <w:rPr>
                <w:sz w:val="20"/>
                <w:szCs w:val="20"/>
                <w:color w:val="auto"/>
              </w:rPr>
            </w:pPr>
            <w:r>
              <w:rPr>
                <w:rFonts w:ascii="Arial" w:cs="Arial" w:eastAsia="Arial" w:hAnsi="Arial"/>
                <w:sz w:val="18"/>
                <w:szCs w:val="18"/>
                <w:b w:val="1"/>
                <w:bCs w:val="1"/>
                <w:color w:val="auto"/>
              </w:rPr>
              <w:t>File No.</w:t>
            </w:r>
          </w:p>
        </w:tc>
        <w:tc>
          <w:tcPr>
            <w:tcW w:w="1660" w:type="dxa"/>
            <w:vAlign w:val="bottom"/>
          </w:tcPr>
          <w:p>
            <w:pPr>
              <w:ind w:left="320"/>
              <w:spacing w:after="0"/>
              <w:rPr>
                <w:sz w:val="20"/>
                <w:szCs w:val="20"/>
                <w:color w:val="auto"/>
              </w:rPr>
            </w:pPr>
            <w:r>
              <w:rPr>
                <w:rFonts w:ascii="Arial" w:cs="Arial" w:eastAsia="Arial" w:hAnsi="Arial"/>
                <w:sz w:val="18"/>
                <w:szCs w:val="18"/>
                <w:b w:val="1"/>
                <w:bCs w:val="1"/>
                <w:color w:val="auto"/>
              </w:rPr>
              <w:t>Exhibit</w:t>
            </w:r>
          </w:p>
        </w:tc>
        <w:tc>
          <w:tcPr>
            <w:tcW w:w="980" w:type="dxa"/>
            <w:vAlign w:val="bottom"/>
          </w:tcPr>
          <w:p>
            <w:pPr>
              <w:ind w:left="120"/>
              <w:spacing w:after="0"/>
              <w:rPr>
                <w:sz w:val="20"/>
                <w:szCs w:val="20"/>
                <w:color w:val="auto"/>
              </w:rPr>
            </w:pPr>
            <w:r>
              <w:rPr>
                <w:rFonts w:ascii="Arial" w:cs="Arial" w:eastAsia="Arial" w:hAnsi="Arial"/>
                <w:sz w:val="18"/>
                <w:szCs w:val="18"/>
                <w:b w:val="1"/>
                <w:bCs w:val="1"/>
                <w:color w:val="auto"/>
                <w:w w:val="91"/>
              </w:rPr>
              <w:t>Filing Date</w:t>
            </w:r>
          </w:p>
        </w:tc>
      </w:tr>
    </w:tbl>
    <w:p>
      <w:pPr>
        <w:spacing w:after="0" w:line="202" w:lineRule="exact"/>
        <w:rPr>
          <w:sz w:val="20"/>
          <w:szCs w:val="20"/>
          <w:color w:val="auto"/>
        </w:rPr>
      </w:pPr>
    </w:p>
    <w:p>
      <w:pPr>
        <w:ind w:left="760"/>
        <w:spacing w:after="0"/>
        <w:tabs>
          <w:tab w:leader="none" w:pos="128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03">
        <w:r>
          <w:rPr>
            <w:rFonts w:ascii="Arial" w:cs="Arial" w:eastAsia="Arial" w:hAnsi="Arial"/>
            <w:sz w:val="16"/>
            <w:szCs w:val="16"/>
            <w:u w:val="single" w:color="auto"/>
            <w:color w:val="0000EE"/>
          </w:rPr>
          <w:t>Certification of Principal Executive Officer and Principal</w:t>
        </w:r>
      </w:hyperlink>
    </w:p>
    <w:p>
      <w:pPr>
        <w:spacing w:after="0" w:line="23" w:lineRule="exact"/>
        <w:rPr>
          <w:sz w:val="20"/>
          <w:szCs w:val="20"/>
          <w:color w:val="auto"/>
        </w:rPr>
      </w:pPr>
    </w:p>
    <w:p>
      <w:pPr>
        <w:ind w:left="13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Financial Officer Required Under Rule 13a-14(a) and 15d-</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14(a) of the Securities Exchange Act of 1934, as amended,</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and 18 U.S.C. §1350 as adopted pursuant to Section 906 of</w:t>
        </w:r>
      </w:hyperlink>
    </w:p>
    <w:p>
      <w:pPr>
        <w:spacing w:after="0" w:line="9" w:lineRule="exact"/>
        <w:rPr>
          <w:sz w:val="20"/>
          <w:szCs w:val="20"/>
          <w:color w:val="auto"/>
        </w:rPr>
      </w:pPr>
    </w:p>
    <w:p>
      <w:pPr>
        <w:ind w:left="130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The Sarbanes-Oxley Act of 2002.</w:t>
        </w:r>
      </w:hyperlink>
    </w:p>
    <w:p>
      <w:pPr>
        <w:spacing w:after="0" w:line="21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780" w:type="dxa"/>
            <w:vAlign w:val="bottom"/>
          </w:tcPr>
          <w:p>
            <w:pPr>
              <w:jc w:val="right"/>
              <w:ind w:right="10"/>
              <w:spacing w:after="0"/>
              <w:rPr>
                <w:sz w:val="20"/>
                <w:szCs w:val="20"/>
                <w:color w:val="auto"/>
              </w:rPr>
            </w:pPr>
            <w:r>
              <w:rPr>
                <w:rFonts w:ascii="Arial" w:cs="Arial" w:eastAsia="Arial" w:hAnsi="Arial"/>
                <w:sz w:val="18"/>
                <w:szCs w:val="18"/>
                <w:color w:val="auto"/>
              </w:rPr>
              <w:t>101.INS</w:t>
            </w:r>
          </w:p>
        </w:tc>
        <w:tc>
          <w:tcPr>
            <w:tcW w:w="4280" w:type="dxa"/>
            <w:vAlign w:val="bottom"/>
          </w:tcPr>
          <w:p>
            <w:pPr>
              <w:ind w:left="120"/>
              <w:spacing w:after="0"/>
              <w:rPr>
                <w:sz w:val="20"/>
                <w:szCs w:val="20"/>
                <w:color w:val="auto"/>
              </w:rPr>
            </w:pPr>
            <w:r>
              <w:rPr>
                <w:rFonts w:ascii="Arial" w:cs="Arial" w:eastAsia="Arial" w:hAnsi="Arial"/>
                <w:sz w:val="18"/>
                <w:szCs w:val="18"/>
                <w:color w:val="auto"/>
              </w:rPr>
              <w:t>Inline XBRL Instance Document</w:t>
            </w:r>
          </w:p>
        </w:tc>
      </w:tr>
      <w:tr>
        <w:trPr>
          <w:trHeight w:val="432"/>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0"/>
              </w:rPr>
              <w:t>101.SCH</w:t>
            </w:r>
          </w:p>
        </w:tc>
        <w:tc>
          <w:tcPr>
            <w:tcW w:w="4280" w:type="dxa"/>
            <w:vAlign w:val="bottom"/>
          </w:tcPr>
          <w:p>
            <w:pPr>
              <w:ind w:left="120"/>
              <w:spacing w:after="0"/>
              <w:rPr>
                <w:sz w:val="20"/>
                <w:szCs w:val="20"/>
                <w:color w:val="auto"/>
              </w:rPr>
            </w:pPr>
            <w:r>
              <w:rPr>
                <w:rFonts w:ascii="Arial" w:cs="Arial" w:eastAsia="Arial" w:hAnsi="Arial"/>
                <w:sz w:val="18"/>
                <w:szCs w:val="18"/>
                <w:color w:val="auto"/>
                <w:w w:val="97"/>
              </w:rPr>
              <w:t>Inline XBRL Taxonomy Extension Schema 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4"/>
              </w:rPr>
              <w:t>101.CAL</w:t>
            </w:r>
          </w:p>
        </w:tc>
        <w:tc>
          <w:tcPr>
            <w:tcW w:w="4280" w:type="dxa"/>
            <w:vAlign w:val="bottom"/>
          </w:tcPr>
          <w:p>
            <w:pPr>
              <w:ind w:left="120"/>
              <w:spacing w:after="0"/>
              <w:rPr>
                <w:sz w:val="20"/>
                <w:szCs w:val="20"/>
                <w:color w:val="auto"/>
              </w:rPr>
            </w:pPr>
            <w:r>
              <w:rPr>
                <w:rFonts w:ascii="Arial" w:cs="Arial" w:eastAsia="Arial" w:hAnsi="Arial"/>
                <w:sz w:val="18"/>
                <w:szCs w:val="18"/>
                <w:color w:val="auto"/>
                <w:w w:val="94"/>
              </w:rPr>
              <w:t>Inline XBRL Taxonomy Extension Calculation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2"/>
              </w:rPr>
              <w:t>101.DEF</w:t>
            </w:r>
          </w:p>
        </w:tc>
        <w:tc>
          <w:tcPr>
            <w:tcW w:w="4280" w:type="dxa"/>
            <w:vAlign w:val="bottom"/>
          </w:tcPr>
          <w:p>
            <w:pPr>
              <w:ind w:left="120"/>
              <w:spacing w:after="0"/>
              <w:rPr>
                <w:sz w:val="20"/>
                <w:szCs w:val="20"/>
                <w:color w:val="auto"/>
              </w:rPr>
            </w:pPr>
            <w:r>
              <w:rPr>
                <w:rFonts w:ascii="Arial" w:cs="Arial" w:eastAsia="Arial" w:hAnsi="Arial"/>
                <w:sz w:val="18"/>
                <w:szCs w:val="18"/>
                <w:color w:val="auto"/>
                <w:w w:val="97"/>
              </w:rPr>
              <w:t>Inline XBRL Taxonomy Extension Definition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5"/>
              </w:rPr>
              <w:t>101.LAB</w:t>
            </w:r>
          </w:p>
        </w:tc>
        <w:tc>
          <w:tcPr>
            <w:tcW w:w="4280" w:type="dxa"/>
            <w:vAlign w:val="bottom"/>
          </w:tcPr>
          <w:p>
            <w:pPr>
              <w:ind w:left="12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r>
        <w:trPr>
          <w:trHeight w:val="418"/>
        </w:trPr>
        <w:tc>
          <w:tcPr>
            <w:tcW w:w="780" w:type="dxa"/>
            <w:vAlign w:val="bottom"/>
          </w:tcPr>
          <w:p>
            <w:pPr>
              <w:jc w:val="right"/>
              <w:ind w:right="10"/>
              <w:spacing w:after="0"/>
              <w:rPr>
                <w:sz w:val="20"/>
                <w:szCs w:val="20"/>
                <w:color w:val="auto"/>
              </w:rPr>
            </w:pPr>
            <w:r>
              <w:rPr>
                <w:rFonts w:ascii="Arial" w:cs="Arial" w:eastAsia="Arial" w:hAnsi="Arial"/>
                <w:sz w:val="18"/>
                <w:szCs w:val="18"/>
                <w:color w:val="auto"/>
                <w:w w:val="91"/>
              </w:rPr>
              <w:t>101.PRE</w:t>
            </w:r>
          </w:p>
        </w:tc>
        <w:tc>
          <w:tcPr>
            <w:tcW w:w="4280" w:type="dxa"/>
            <w:vAlign w:val="bottom"/>
          </w:tcPr>
          <w:p>
            <w:pPr>
              <w:ind w:left="120"/>
              <w:spacing w:after="0"/>
              <w:rPr>
                <w:sz w:val="20"/>
                <w:szCs w:val="20"/>
                <w:color w:val="auto"/>
              </w:rPr>
            </w:pPr>
            <w:r>
              <w:rPr>
                <w:rFonts w:ascii="Arial" w:cs="Arial" w:eastAsia="Arial" w:hAnsi="Arial"/>
                <w:sz w:val="18"/>
                <w:szCs w:val="18"/>
                <w:color w:val="auto"/>
                <w:w w:val="91"/>
              </w:rPr>
              <w:t>Inline XBRL Taxonomy Extension Presentation Linkbase</w:t>
            </w:r>
          </w:p>
        </w:tc>
      </w:tr>
      <w:tr>
        <w:trPr>
          <w:trHeight w:val="230"/>
        </w:trPr>
        <w:tc>
          <w:tcPr>
            <w:tcW w:w="780" w:type="dxa"/>
            <w:vAlign w:val="bottom"/>
          </w:tcPr>
          <w:p>
            <w:pPr>
              <w:spacing w:after="0"/>
              <w:rPr>
                <w:sz w:val="20"/>
                <w:szCs w:val="20"/>
                <w:color w:val="auto"/>
              </w:rPr>
            </w:pPr>
          </w:p>
        </w:tc>
        <w:tc>
          <w:tcPr>
            <w:tcW w:w="4280" w:type="dxa"/>
            <w:vAlign w:val="bottom"/>
          </w:tcPr>
          <w:p>
            <w:pPr>
              <w:ind w:left="120"/>
              <w:spacing w:after="0"/>
              <w:rPr>
                <w:sz w:val="20"/>
                <w:szCs w:val="20"/>
                <w:color w:val="auto"/>
              </w:rPr>
            </w:pPr>
            <w:r>
              <w:rPr>
                <w:rFonts w:ascii="Arial" w:cs="Arial" w:eastAsia="Arial" w:hAnsi="Arial"/>
                <w:sz w:val="18"/>
                <w:szCs w:val="18"/>
                <w:color w:val="auto"/>
              </w:rPr>
              <w:t>Document</w:t>
            </w:r>
          </w:p>
        </w:tc>
      </w:tr>
    </w:tbl>
    <w:p>
      <w:pPr>
        <w:spacing w:after="0" w:line="202" w:lineRule="exact"/>
        <w:rPr>
          <w:sz w:val="20"/>
          <w:szCs w:val="20"/>
          <w:color w:val="auto"/>
        </w:rPr>
      </w:pPr>
    </w:p>
    <w:p>
      <w:pPr>
        <w:ind w:left="1300" w:right="5040" w:hanging="495"/>
        <w:spacing w:after="0" w:line="277" w:lineRule="auto"/>
        <w:tabs>
          <w:tab w:leader="none" w:pos="13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7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7112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Confidential Treatment has been granted for portions of this document.</w:t>
      </w:r>
    </w:p>
    <w:p>
      <w:pPr>
        <w:spacing w:after="0" w:line="211"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108" w:right="87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Form 10-K to be signed on its behalf by the undersigned, thereunto duly authorized, on February 24, 2022.</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APPLIED OPTOELECTRONICS, INC.</w:t>
      </w:r>
    </w:p>
    <w:p>
      <w:pPr>
        <w:spacing w:after="0" w:line="229" w:lineRule="exact"/>
        <w:rPr>
          <w:sz w:val="20"/>
          <w:szCs w:val="20"/>
          <w:color w:val="auto"/>
        </w:rPr>
      </w:pPr>
    </w:p>
    <w:tbl>
      <w:tblPr>
        <w:tblLayout w:type="fixed"/>
        <w:tblInd w:w="558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CHIH-HSIANG (THOMPSON) LIN</w:t>
            </w:r>
          </w:p>
        </w:tc>
      </w:tr>
      <w:tr>
        <w:trPr>
          <w:trHeight w:val="195"/>
        </w:trPr>
        <w:tc>
          <w:tcPr>
            <w:tcW w:w="320" w:type="dxa"/>
            <w:vAlign w:val="bottom"/>
          </w:tcPr>
          <w:p>
            <w:pPr>
              <w:spacing w:after="0"/>
              <w:rPr>
                <w:sz w:val="16"/>
                <w:szCs w:val="16"/>
                <w:color w:val="auto"/>
              </w:rPr>
            </w:pPr>
          </w:p>
        </w:tc>
        <w:tc>
          <w:tcPr>
            <w:tcW w:w="5340" w:type="dxa"/>
            <w:vAlign w:val="bottom"/>
          </w:tcPr>
          <w:p>
            <w:pPr>
              <w:jc w:val="center"/>
              <w:spacing w:after="0" w:line="195" w:lineRule="exact"/>
              <w:rPr>
                <w:sz w:val="20"/>
                <w:szCs w:val="20"/>
                <w:color w:val="auto"/>
              </w:rPr>
            </w:pPr>
            <w:r>
              <w:rPr>
                <w:rFonts w:ascii="Arial" w:cs="Arial" w:eastAsia="Arial" w:hAnsi="Arial"/>
                <w:sz w:val="18"/>
                <w:szCs w:val="18"/>
                <w:color w:val="auto"/>
                <w:w w:val="97"/>
              </w:rPr>
              <w:t>CHIH-HSIANG (THOMPSON) LIN,</w:t>
            </w:r>
          </w:p>
        </w:tc>
      </w:tr>
      <w:tr>
        <w:trPr>
          <w:trHeight w:val="216"/>
        </w:trPr>
        <w:tc>
          <w:tcPr>
            <w:tcW w:w="32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 and</w:t>
            </w:r>
          </w:p>
        </w:tc>
      </w:tr>
      <w:tr>
        <w:trPr>
          <w:trHeight w:val="230"/>
        </w:trPr>
        <w:tc>
          <w:tcPr>
            <w:tcW w:w="32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2"/>
              </w:rPr>
              <w:t>Chairman of the Board of Directors</w:t>
            </w:r>
          </w:p>
        </w:tc>
      </w:tr>
    </w:tbl>
    <w:p>
      <w:pPr>
        <w:spacing w:after="0"/>
        <w:rPr>
          <w:sz w:val="20"/>
          <w:szCs w:val="20"/>
          <w:color w:val="auto"/>
        </w:rPr>
      </w:pPr>
      <w:r>
        <w:rPr>
          <w:rFonts w:ascii="Arial" w:cs="Arial" w:eastAsia="Arial" w:hAnsi="Arial"/>
          <w:sz w:val="18"/>
          <w:szCs w:val="18"/>
          <w:color w:val="auto"/>
        </w:rPr>
        <w:t>February 24, 2022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Chih-Hsiang (Thompson) Lin and Stefan J. Murry, and each of them, jointly and severally, his attorneys-in-fact, each with the power of substitution, for him in any and all capacities, to sign any and all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this Form 10-K has been signed by the following persons on behalf of the registrant and in the capacities and on the dates indicated.</w:t>
      </w:r>
    </w:p>
    <w:p>
      <w:pPr>
        <w:spacing w:after="0" w:line="166" w:lineRule="exact"/>
        <w:rPr>
          <w:sz w:val="20"/>
          <w:szCs w:val="20"/>
          <w:color w:val="auto"/>
        </w:rPr>
      </w:pPr>
    </w:p>
    <w:p>
      <w:pPr>
        <w:ind w:left="2440"/>
        <w:spacing w:after="0"/>
        <w:tabs>
          <w:tab w:leader="none" w:pos="82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229"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5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CHIH-HSIANG (THOMPSON) LIN,</w:t>
      </w:r>
    </w:p>
    <w:p>
      <w:pPr>
        <w:spacing w:after="0" w:line="23" w:lineRule="exact"/>
        <w:rPr>
          <w:sz w:val="20"/>
          <w:szCs w:val="20"/>
          <w:color w:val="auto"/>
        </w:rPr>
      </w:pPr>
    </w:p>
    <w:p>
      <w:pPr>
        <w:jc w:val="center"/>
        <w:ind w:right="720"/>
        <w:spacing w:after="0"/>
        <w:tabs>
          <w:tab w:leader="none" w:pos="3540" w:val="left"/>
        </w:tabs>
        <w:rPr>
          <w:sz w:val="20"/>
          <w:szCs w:val="20"/>
          <w:color w:val="auto"/>
        </w:rPr>
      </w:pPr>
      <w:r>
        <w:rPr>
          <w:rFonts w:ascii="Arial" w:cs="Arial" w:eastAsia="Arial" w:hAnsi="Arial"/>
          <w:sz w:val="18"/>
          <w:szCs w:val="18"/>
          <w:i w:val="1"/>
          <w:iCs w:val="1"/>
          <w:color w:val="auto"/>
        </w:rPr>
        <w:t>President, Chief Executive Officer and</w:t>
      </w:r>
      <w:r>
        <w:rPr>
          <w:sz w:val="20"/>
          <w:szCs w:val="20"/>
          <w:color w:val="auto"/>
        </w:rPr>
        <w:tab/>
      </w:r>
      <w:r>
        <w:rPr>
          <w:rFonts w:ascii="Arial" w:cs="Arial" w:eastAsia="Arial" w:hAnsi="Arial"/>
          <w:sz w:val="16"/>
          <w:szCs w:val="16"/>
          <w:color w:val="auto"/>
        </w:rPr>
        <w:t>February 24, 2022</w:t>
      </w:r>
    </w:p>
    <w:p>
      <w:pPr>
        <w:spacing w:after="0" w:line="9"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Chairman of the Board of Directors</w:t>
      </w:r>
    </w:p>
    <w:p>
      <w:pPr>
        <w:spacing w:after="0" w:line="9"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STEFAN J. MURRY,</w:t>
      </w:r>
    </w:p>
    <w:p>
      <w:pPr>
        <w:spacing w:after="0" w:line="23" w:lineRule="exact"/>
        <w:rPr>
          <w:sz w:val="20"/>
          <w:szCs w:val="20"/>
          <w:color w:val="auto"/>
        </w:rPr>
      </w:pPr>
    </w:p>
    <w:p>
      <w:pPr>
        <w:ind w:left="1700" w:right="2140" w:firstLine="272"/>
        <w:spacing w:after="0" w:line="250" w:lineRule="auto"/>
        <w:rPr>
          <w:sz w:val="20"/>
          <w:szCs w:val="20"/>
          <w:color w:val="auto"/>
        </w:rPr>
      </w:pPr>
      <w:r>
        <w:rPr>
          <w:rFonts w:ascii="Arial" w:cs="Arial" w:eastAsia="Arial" w:hAnsi="Arial"/>
          <w:sz w:val="18"/>
          <w:szCs w:val="18"/>
          <w:i w:val="1"/>
          <w:iCs w:val="1"/>
          <w:color w:val="auto"/>
        </w:rPr>
        <w:t xml:space="preserve">Chief Financial Officer </w:t>
      </w:r>
      <w:r>
        <w:rPr>
          <w:rFonts w:ascii="Arial" w:cs="Arial" w:eastAsia="Arial" w:hAnsi="Arial"/>
          <w:sz w:val="18"/>
          <w:szCs w:val="18"/>
          <w:color w:val="auto"/>
        </w:rPr>
        <w:t>February 24, 2022</w:t>
      </w:r>
      <w:r>
        <w:rPr>
          <w:rFonts w:ascii="Arial" w:cs="Arial" w:eastAsia="Arial" w:hAnsi="Arial"/>
          <w:sz w:val="18"/>
          <w:szCs w:val="18"/>
          <w:i w:val="1"/>
          <w:iCs w:val="1"/>
          <w:color w:val="auto"/>
        </w:rPr>
        <w:t xml:space="preserve"> (principal financial officer and</w:t>
      </w:r>
    </w:p>
    <w:p>
      <w:pPr>
        <w:spacing w:after="0" w:line="216" w:lineRule="exact"/>
        <w:rPr>
          <w:sz w:val="20"/>
          <w:szCs w:val="20"/>
          <w:color w:val="auto"/>
        </w:rPr>
      </w:pPr>
    </w:p>
    <w:p>
      <w:pPr>
        <w:ind w:left="1780"/>
        <w:spacing w:after="0"/>
        <w:rPr>
          <w:sz w:val="20"/>
          <w:szCs w:val="20"/>
          <w:color w:val="auto"/>
        </w:rPr>
      </w:pPr>
      <w:r>
        <w:rPr>
          <w:rFonts w:ascii="Arial" w:cs="Arial" w:eastAsia="Arial" w:hAnsi="Arial"/>
          <w:sz w:val="18"/>
          <w:szCs w:val="18"/>
          <w:i w:val="1"/>
          <w:iCs w:val="1"/>
          <w:color w:val="auto"/>
        </w:rPr>
        <w:t>principal accounting officer)</w:t>
      </w:r>
    </w:p>
    <w:p>
      <w:pPr>
        <w:spacing w:after="0" w:line="207" w:lineRule="exact"/>
        <w:rPr>
          <w:sz w:val="20"/>
          <w:szCs w:val="20"/>
          <w:color w:val="auto"/>
        </w:rPr>
      </w:pPr>
    </w:p>
    <w:p>
      <w:pPr>
        <w:ind w:left="2440"/>
        <w:spacing w:after="0"/>
        <w:tabs>
          <w:tab w:leader="none" w:pos="82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Date</w:t>
      </w:r>
    </w:p>
    <w:p>
      <w:pPr>
        <w:spacing w:after="0" w:line="22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 WILLIAM H. YEH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2080"/>
        <w:spacing w:after="0"/>
        <w:tabs>
          <w:tab w:leader="none" w:pos="7740" w:val="left"/>
        </w:tabs>
        <w:rPr>
          <w:sz w:val="20"/>
          <w:szCs w:val="20"/>
          <w:color w:val="auto"/>
        </w:rPr>
      </w:pPr>
      <w:r>
        <w:rPr>
          <w:rFonts w:ascii="Arial" w:cs="Arial" w:eastAsia="Arial" w:hAnsi="Arial"/>
          <w:sz w:val="18"/>
          <w:szCs w:val="18"/>
          <w:color w:val="auto"/>
        </w:rPr>
        <w:t>WILLIAM H. YEH,</w:t>
      </w:r>
      <w:r>
        <w:rPr>
          <w:sz w:val="20"/>
          <w:szCs w:val="20"/>
          <w:color w:val="auto"/>
        </w:rPr>
        <w:tab/>
      </w:r>
      <w:r>
        <w:rPr>
          <w:rFonts w:ascii="Arial" w:cs="Arial" w:eastAsia="Arial" w:hAnsi="Arial"/>
          <w:sz w:val="16"/>
          <w:szCs w:val="16"/>
          <w:color w:val="auto"/>
        </w:rPr>
        <w:t>February 24, 2022</w:t>
      </w:r>
    </w:p>
    <w:p>
      <w:pPr>
        <w:spacing w:after="0" w:line="23"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RICHARD B.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1960"/>
        <w:spacing w:after="0"/>
        <w:tabs>
          <w:tab w:leader="none" w:pos="7740" w:val="left"/>
        </w:tabs>
        <w:rPr>
          <w:sz w:val="20"/>
          <w:szCs w:val="20"/>
          <w:color w:val="auto"/>
        </w:rPr>
      </w:pPr>
      <w:r>
        <w:rPr>
          <w:rFonts w:ascii="Arial" w:cs="Arial" w:eastAsia="Arial" w:hAnsi="Arial"/>
          <w:sz w:val="18"/>
          <w:szCs w:val="18"/>
          <w:color w:val="auto"/>
        </w:rPr>
        <w:t>RICHARD B. BLACK,</w:t>
      </w:r>
      <w:r>
        <w:rPr>
          <w:sz w:val="20"/>
          <w:szCs w:val="20"/>
          <w:color w:val="auto"/>
        </w:rPr>
        <w:tab/>
      </w:r>
      <w:r>
        <w:rPr>
          <w:rFonts w:ascii="Arial" w:cs="Arial" w:eastAsia="Arial" w:hAnsi="Arial"/>
          <w:sz w:val="16"/>
          <w:szCs w:val="16"/>
          <w:color w:val="auto"/>
        </w:rPr>
        <w:t>February 24, 2022</w:t>
      </w:r>
    </w:p>
    <w:p>
      <w:pPr>
        <w:spacing w:after="0" w:line="23"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 CHE-WEI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2240"/>
        <w:spacing w:after="0"/>
        <w:tabs>
          <w:tab w:leader="none" w:pos="7740" w:val="left"/>
        </w:tabs>
        <w:rPr>
          <w:sz w:val="20"/>
          <w:szCs w:val="20"/>
          <w:color w:val="auto"/>
        </w:rPr>
      </w:pPr>
      <w:r>
        <w:rPr>
          <w:rFonts w:ascii="Arial" w:cs="Arial" w:eastAsia="Arial" w:hAnsi="Arial"/>
          <w:sz w:val="18"/>
          <w:szCs w:val="18"/>
          <w:color w:val="auto"/>
        </w:rPr>
        <w:t>CHE-WEI LIN,</w:t>
      </w:r>
      <w:r>
        <w:rPr>
          <w:sz w:val="20"/>
          <w:szCs w:val="20"/>
          <w:color w:val="auto"/>
        </w:rPr>
        <w:tab/>
      </w:r>
      <w:r>
        <w:rPr>
          <w:rFonts w:ascii="Arial" w:cs="Arial" w:eastAsia="Arial" w:hAnsi="Arial"/>
          <w:sz w:val="16"/>
          <w:szCs w:val="16"/>
          <w:color w:val="auto"/>
        </w:rPr>
        <w:t>February 24, 2022</w:t>
      </w:r>
    </w:p>
    <w:p>
      <w:pPr>
        <w:spacing w:after="0" w:line="23"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CYNTHIA (CINDY) DELANEY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6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1580"/>
        <w:spacing w:after="0"/>
        <w:tabs>
          <w:tab w:leader="none" w:pos="7740" w:val="left"/>
        </w:tabs>
        <w:rPr>
          <w:sz w:val="20"/>
          <w:szCs w:val="20"/>
          <w:color w:val="auto"/>
        </w:rPr>
      </w:pPr>
      <w:r>
        <w:rPr>
          <w:rFonts w:ascii="Arial" w:cs="Arial" w:eastAsia="Arial" w:hAnsi="Arial"/>
          <w:sz w:val="18"/>
          <w:szCs w:val="18"/>
          <w:color w:val="auto"/>
        </w:rPr>
        <w:t>CYNTHIA (CINDY) DELANEY,</w:t>
      </w:r>
      <w:r>
        <w:rPr>
          <w:sz w:val="20"/>
          <w:szCs w:val="20"/>
          <w:color w:val="auto"/>
        </w:rPr>
        <w:tab/>
      </w:r>
      <w:r>
        <w:rPr>
          <w:rFonts w:ascii="Arial" w:cs="Arial" w:eastAsia="Arial" w:hAnsi="Arial"/>
          <w:sz w:val="16"/>
          <w:szCs w:val="16"/>
          <w:color w:val="auto"/>
        </w:rPr>
        <w:t>February 24, 2022</w:t>
      </w:r>
    </w:p>
    <w:p>
      <w:pPr>
        <w:spacing w:after="0" w:line="23"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 ELIZABETH LOBOA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 w:lineRule="exact"/>
        <w:rPr>
          <w:sz w:val="20"/>
          <w:szCs w:val="20"/>
          <w:color w:val="auto"/>
        </w:rPr>
      </w:pPr>
    </w:p>
    <w:p>
      <w:pPr>
        <w:ind w:left="1960"/>
        <w:spacing w:after="0"/>
        <w:tabs>
          <w:tab w:leader="none" w:pos="7740" w:val="left"/>
        </w:tabs>
        <w:rPr>
          <w:sz w:val="20"/>
          <w:szCs w:val="20"/>
          <w:color w:val="auto"/>
        </w:rPr>
      </w:pPr>
      <w:r>
        <w:rPr>
          <w:rFonts w:ascii="Arial" w:cs="Arial" w:eastAsia="Arial" w:hAnsi="Arial"/>
          <w:sz w:val="18"/>
          <w:szCs w:val="18"/>
          <w:color w:val="auto"/>
        </w:rPr>
        <w:t>ELIZABETH LOBOA,</w:t>
      </w:r>
      <w:r>
        <w:rPr>
          <w:sz w:val="20"/>
          <w:szCs w:val="20"/>
          <w:color w:val="auto"/>
        </w:rPr>
        <w:tab/>
      </w:r>
      <w:r>
        <w:rPr>
          <w:rFonts w:ascii="Arial" w:cs="Arial" w:eastAsia="Arial" w:hAnsi="Arial"/>
          <w:sz w:val="16"/>
          <w:szCs w:val="16"/>
          <w:color w:val="auto"/>
        </w:rPr>
        <w:t>February 24, 2022</w:t>
      </w:r>
    </w:p>
    <w:p>
      <w:pPr>
        <w:spacing w:after="0" w:line="23" w:lineRule="exact"/>
        <w:rPr>
          <w:sz w:val="20"/>
          <w:szCs w:val="20"/>
          <w:color w:val="auto"/>
        </w:rPr>
      </w:pPr>
    </w:p>
    <w:p>
      <w:pPr>
        <w:jc w:val="center"/>
        <w:ind w:right="5620"/>
        <w:spacing w:after="0"/>
        <w:rPr>
          <w:sz w:val="20"/>
          <w:szCs w:val="20"/>
          <w:color w:val="auto"/>
        </w:rPr>
      </w:pPr>
      <w:r>
        <w:rPr>
          <w:rFonts w:ascii="Arial" w:cs="Arial" w:eastAsia="Arial" w:hAnsi="Arial"/>
          <w:sz w:val="18"/>
          <w:szCs w:val="18"/>
          <w:i w:val="1"/>
          <w:iCs w:val="1"/>
          <w:color w:val="auto"/>
        </w:rPr>
        <w:t>Director</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 MIN-CHU (MIKE) CHEN</w:t>
      </w:r>
    </w:p>
    <w:p>
      <w:pPr>
        <w:spacing w:after="0" w:line="23" w:lineRule="exact"/>
        <w:rPr>
          <w:sz w:val="20"/>
          <w:szCs w:val="20"/>
          <w:color w:val="auto"/>
        </w:rPr>
      </w:pPr>
    </w:p>
    <w:p>
      <w:pPr>
        <w:ind w:left="1820"/>
        <w:spacing w:after="0"/>
        <w:tabs>
          <w:tab w:leader="none" w:pos="7740" w:val="left"/>
        </w:tabs>
        <w:rPr>
          <w:sz w:val="20"/>
          <w:szCs w:val="20"/>
          <w:color w:val="auto"/>
        </w:rPr>
      </w:pPr>
      <w:r>
        <w:rPr>
          <w:rFonts w:ascii="Arial" w:cs="Arial" w:eastAsia="Arial" w:hAnsi="Arial"/>
          <w:sz w:val="18"/>
          <w:szCs w:val="18"/>
          <w:color w:val="auto"/>
        </w:rPr>
        <w:t>MIN-CHU (MIKE) CHEN,</w:t>
      </w:r>
      <w:r>
        <w:rPr>
          <w:sz w:val="20"/>
          <w:szCs w:val="20"/>
          <w:color w:val="auto"/>
        </w:rPr>
        <w:tab/>
      </w:r>
      <w:r>
        <w:rPr>
          <w:rFonts w:ascii="Arial" w:cs="Arial" w:eastAsia="Arial" w:hAnsi="Arial"/>
          <w:sz w:val="16"/>
          <w:szCs w:val="16"/>
          <w:color w:val="auto"/>
        </w:rPr>
        <w:t>February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6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Director</w:t>
      </w:r>
    </w:p>
    <w:p>
      <w:pPr>
        <w:sectPr>
          <w:pgSz w:w="11900" w:h="16838" w:orient="portrait"/>
          <w:cols w:equalWidth="0" w:num="1">
            <w:col w:w="11240"/>
          </w:cols>
          <w:pgMar w:left="320" w:top="125" w:right="339" w:bottom="1440" w:gutter="0" w:footer="0" w:header="0"/>
        </w:sect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068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695"/>
        </w:trPr>
        <w:tc>
          <w:tcPr>
            <w:tcW w:w="10680" w:type="dxa"/>
            <w:vAlign w:val="bottom"/>
            <w:gridSpan w:val="9"/>
          </w:tcPr>
          <w:p>
            <w:pPr>
              <w:spacing w:after="0"/>
              <w:rPr>
                <w:sz w:val="20"/>
                <w:szCs w:val="20"/>
                <w:color w:val="auto"/>
              </w:rPr>
            </w:pPr>
            <w:r>
              <w:rPr>
                <w:rFonts w:ascii="Arial" w:cs="Arial" w:eastAsia="Arial" w:hAnsi="Arial"/>
                <w:sz w:val="18"/>
                <w:szCs w:val="18"/>
                <w:color w:val="auto"/>
              </w:rPr>
              <w:t>INDEX TO CONSOLIDATED FINANCIAL STATEMENTS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2"/>
              </w:rPr>
              <w:t>Pages</w:t>
            </w:r>
          </w:p>
        </w:tc>
      </w:tr>
      <w:tr>
        <w:trPr>
          <w:trHeight w:val="385"/>
        </w:trPr>
        <w:tc>
          <w:tcPr>
            <w:tcW w:w="10680" w:type="dxa"/>
            <w:vAlign w:val="bottom"/>
            <w:gridSpan w:val="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highlight w:val="white"/>
              </w:rPr>
              <w:t>(PCAOB</w:t>
            </w:r>
            <w:r>
              <w:rPr>
                <w:rFonts w:ascii="Arial" w:cs="Arial" w:eastAsia="Arial" w:hAnsi="Arial"/>
                <w:sz w:val="18"/>
                <w:szCs w:val="18"/>
                <w:color w:val="0000EE"/>
              </w:rPr>
              <w:t xml:space="preserve"> </w:t>
            </w:r>
            <w:r>
              <w:rPr>
                <w:rFonts w:ascii="Arial" w:cs="Arial" w:eastAsia="Arial" w:hAnsi="Arial"/>
                <w:sz w:val="18"/>
                <w:szCs w:val="18"/>
                <w:color w:val="000000"/>
                <w:highlight w:val="white"/>
              </w:rPr>
              <w:t>ID Number 248)</w:t>
            </w:r>
          </w:p>
        </w:tc>
        <w:tc>
          <w:tcPr>
            <w:tcW w:w="560" w:type="dxa"/>
            <w:vAlign w:val="bottom"/>
            <w:gridSpan w:val="3"/>
          </w:tcPr>
          <w:p>
            <w:pPr>
              <w:jc w:val="cente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F-2</w:t>
              </w:r>
            </w:hyperlink>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100" w:type="dxa"/>
            <w:vAlign w:val="bottom"/>
            <w:gridSpan w:val="2"/>
          </w:tcPr>
          <w:p>
            <w:pP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Consolidated Balance Sheets</w:t>
              </w:r>
            </w:hyperlink>
          </w:p>
        </w:tc>
        <w:tc>
          <w:tcPr>
            <w:tcW w:w="2120" w:type="dxa"/>
            <w:vAlign w:val="bottom"/>
            <w:gridSpan w:val="5"/>
          </w:tcPr>
          <w:p>
            <w:pPr>
              <w:spacing w:after="0"/>
              <w:rPr>
                <w:sz w:val="24"/>
                <w:szCs w:val="24"/>
                <w:color w:val="auto"/>
              </w:rPr>
            </w:pPr>
          </w:p>
        </w:tc>
        <w:tc>
          <w:tcPr>
            <w:tcW w:w="6460" w:type="dxa"/>
            <w:vAlign w:val="bottom"/>
            <w:gridSpan w:val="2"/>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69">
              <w:r>
                <w:rPr>
                  <w:rFonts w:ascii="Arial" w:cs="Arial" w:eastAsia="Arial" w:hAnsi="Arial"/>
                  <w:sz w:val="18"/>
                  <w:szCs w:val="18"/>
                  <w:color w:val="0000EE"/>
                  <w:w w:val="88"/>
                </w:rPr>
                <w:t>F-4</w:t>
              </w:r>
            </w:hyperlink>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68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Operations</w:t>
              </w:r>
            </w:hyperlink>
          </w:p>
        </w:tc>
        <w:tc>
          <w:tcPr>
            <w:tcW w:w="560" w:type="dxa"/>
            <w:vAlign w:val="bottom"/>
            <w:gridSpan w:val="3"/>
          </w:tcPr>
          <w:p>
            <w:pPr>
              <w:jc w:val="cente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F-5</w:t>
              </w:r>
            </w:hyperlink>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4260" w:type="dxa"/>
            <w:vAlign w:val="bottom"/>
            <w:gridSpan w:val="8"/>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Comprehensive Income (Loss)</w:t>
              </w:r>
            </w:hyperlink>
          </w:p>
        </w:tc>
        <w:tc>
          <w:tcPr>
            <w:tcW w:w="6420" w:type="dxa"/>
            <w:vAlign w:val="bottom"/>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F-6</w:t>
              </w:r>
            </w:hyperlink>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3560" w:type="dxa"/>
            <w:vAlign w:val="bottom"/>
            <w:gridSpan w:val="6"/>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w:t>
              </w:r>
            </w:hyperlink>
          </w:p>
        </w:tc>
        <w:tc>
          <w:tcPr>
            <w:tcW w:w="700" w:type="dxa"/>
            <w:vAlign w:val="bottom"/>
            <w:gridSpan w:val="2"/>
          </w:tcPr>
          <w:p>
            <w:pPr>
              <w:spacing w:after="0"/>
              <w:rPr>
                <w:sz w:val="24"/>
                <w:szCs w:val="24"/>
                <w:color w:val="auto"/>
              </w:rPr>
            </w:pPr>
          </w:p>
        </w:tc>
        <w:tc>
          <w:tcPr>
            <w:tcW w:w="6420" w:type="dxa"/>
            <w:vAlign w:val="bottom"/>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F-7</w:t>
              </w:r>
            </w:hyperlink>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1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2880" w:type="dxa"/>
            <w:vAlign w:val="bottom"/>
            <w:gridSpan w:val="4"/>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w:t>
              </w:r>
            </w:hyperlink>
          </w:p>
        </w:tc>
        <w:tc>
          <w:tcPr>
            <w:tcW w:w="680" w:type="dxa"/>
            <w:vAlign w:val="bottom"/>
            <w:gridSpan w:val="2"/>
          </w:tcPr>
          <w:p>
            <w:pPr>
              <w:spacing w:after="0"/>
              <w:rPr>
                <w:sz w:val="24"/>
                <w:szCs w:val="24"/>
                <w:color w:val="auto"/>
              </w:rPr>
            </w:pPr>
          </w:p>
        </w:tc>
        <w:tc>
          <w:tcPr>
            <w:tcW w:w="7120" w:type="dxa"/>
            <w:vAlign w:val="bottom"/>
            <w:gridSpan w:val="3"/>
          </w:tcPr>
          <w:p>
            <w:pPr>
              <w:spacing w:after="0"/>
              <w:rPr>
                <w:sz w:val="24"/>
                <w:szCs w:val="24"/>
                <w:color w:val="auto"/>
              </w:rPr>
            </w:pPr>
          </w:p>
        </w:tc>
        <w:tc>
          <w:tcPr>
            <w:tcW w:w="560" w:type="dxa"/>
            <w:vAlign w:val="bottom"/>
            <w:gridSpan w:val="3"/>
          </w:tcPr>
          <w:p>
            <w:pPr>
              <w:jc w:val="cente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F-8</w:t>
              </w:r>
            </w:hyperlink>
          </w:p>
        </w:tc>
      </w:tr>
      <w:tr>
        <w:trPr>
          <w:trHeight w:val="20"/>
        </w:trPr>
        <w:tc>
          <w:tcPr>
            <w:tcW w:w="288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2"/>
        </w:trPr>
        <w:tc>
          <w:tcPr>
            <w:tcW w:w="10680" w:type="dxa"/>
            <w:vAlign w:val="bottom"/>
            <w:gridSpan w:val="9"/>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Notes to Consolidated Financial Statements</w:t>
              </w:r>
            </w:hyperlink>
          </w:p>
        </w:tc>
        <w:tc>
          <w:tcPr>
            <w:tcW w:w="560" w:type="dxa"/>
            <w:vAlign w:val="bottom"/>
            <w:gridSpan w:val="3"/>
          </w:tcPr>
          <w:p>
            <w:pPr>
              <w:jc w:val="cente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F-9</w:t>
              </w:r>
            </w:hyperlink>
          </w:p>
        </w:tc>
      </w:tr>
      <w:tr>
        <w:trPr>
          <w:trHeight w:val="466"/>
        </w:trPr>
        <w:tc>
          <w:tcPr>
            <w:tcW w:w="128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20" w:type="dxa"/>
            <w:vAlign w:val="bottom"/>
          </w:tcPr>
          <w:p>
            <w:pPr>
              <w:ind w:left="1240"/>
              <w:spacing w:after="0"/>
              <w:rPr>
                <w:sz w:val="20"/>
                <w:szCs w:val="20"/>
                <w:color w:val="auto"/>
              </w:rPr>
            </w:pPr>
            <w:r>
              <w:rPr>
                <w:rFonts w:ascii="Arial" w:cs="Arial" w:eastAsia="Arial" w:hAnsi="Arial"/>
                <w:sz w:val="18"/>
                <w:szCs w:val="18"/>
                <w:color w:val="auto"/>
              </w:rPr>
              <w:t>F-1</w:t>
            </w:r>
          </w:p>
        </w:tc>
        <w:tc>
          <w:tcPr>
            <w:tcW w:w="1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Applied Optoelectronics, Inc.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Applied Optoelectronics Inc. (a Delaware corporation) and subsidiaries (the “Company”) as of December 31, 2021 and 2020, the related consolidated statements of comprehensive income (loss), changes in shareholders’ equity,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2021,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and our report dated February 24, 2022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further in Note B to the financial statements, the Company's inventories are stated at the lower of cost or market. The Company assesses the valuation of its inventory on a periodic basis and provides an allowance based on several factors including products’ life span, historical changes in valuation and write-offs, and management’s estimates of future demand. One significant estimate and assumption that impacts the financial statements is inventory reserve. We identified the accounting for inventory reserve as a critical audit matter.</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principal considerations for our determination that accounting for inventory reserve is a critical audit matter are the judgments and estimates associated with management’s determination of lower of cost or market adjustments, due to the nature of the inputs and assumptions used in the process and are subject to estimation uncertainty and require auditor subjectivity in evaluating reasonableness. Management developed certain percentages that determine the extent of any lower of cost or market adjustments based on the age of the inventory. Such percentages were determined through analysis of the inventory to determine each product's lifespan, a review historical write-offs or scrapped inventory, and an assessment by product engineers of the possibility of obsolescence for each product.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accounting for inventory reserve included the following:</w:t>
      </w:r>
    </w:p>
    <w:p>
      <w:pPr>
        <w:spacing w:after="0" w:line="225" w:lineRule="exact"/>
        <w:rPr>
          <w:sz w:val="20"/>
          <w:szCs w:val="20"/>
          <w:color w:val="auto"/>
        </w:rPr>
      </w:pPr>
    </w:p>
    <w:p>
      <w:pPr>
        <w:ind w:left="1040" w:hanging="317"/>
        <w:spacing w:after="0"/>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assessed the qualifications and competence of management and evaluated the methodologies used to determine the inventory reserve;</w:t>
      </w:r>
    </w:p>
    <w:p>
      <w:pPr>
        <w:spacing w:after="0" w:line="248" w:lineRule="exact"/>
        <w:rPr>
          <w:rFonts w:ascii="Arial" w:cs="Arial" w:eastAsia="Arial" w:hAnsi="Arial"/>
          <w:sz w:val="16"/>
          <w:szCs w:val="16"/>
          <w:color w:val="auto"/>
        </w:rPr>
      </w:pPr>
    </w:p>
    <w:p>
      <w:pPr>
        <w:ind w:left="1040" w:hanging="317"/>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tested the design and operating effectiveness of key controls related to the accounting for the inventory reserve, including controls relating to management’s development of the reserve;</w:t>
      </w:r>
    </w:p>
    <w:p>
      <w:pPr>
        <w:spacing w:after="0" w:line="170" w:lineRule="exact"/>
        <w:rPr>
          <w:rFonts w:ascii="Arial" w:cs="Arial" w:eastAsia="Arial" w:hAnsi="Arial"/>
          <w:sz w:val="18"/>
          <w:szCs w:val="18"/>
          <w:color w:val="auto"/>
        </w:rPr>
      </w:pPr>
    </w:p>
    <w:p>
      <w:pPr>
        <w:ind w:left="1040" w:right="20" w:hanging="317"/>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obtained the underlying inventory aging report and agreed the balances to the general ledger to test for completeness and recalculated the unit price and agreed such unit price to inventory details;</w:t>
      </w:r>
    </w:p>
    <w:p>
      <w:pPr>
        <w:spacing w:after="0" w:line="170" w:lineRule="exact"/>
        <w:rPr>
          <w:rFonts w:ascii="Arial" w:cs="Arial" w:eastAsia="Arial" w:hAnsi="Arial"/>
          <w:sz w:val="18"/>
          <w:szCs w:val="18"/>
          <w:color w:val="auto"/>
        </w:rPr>
      </w:pPr>
    </w:p>
    <w:p>
      <w:pPr>
        <w:ind w:left="1040" w:hanging="317"/>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obtained the underlying inventory aging report and agreed the balances to the general ledger to test for completeness and selected inventory items to re-age; and</w:t>
      </w:r>
    </w:p>
    <w:p>
      <w:pPr>
        <w:spacing w:after="0" w:line="170" w:lineRule="exact"/>
        <w:rPr>
          <w:rFonts w:ascii="Arial" w:cs="Arial" w:eastAsia="Arial" w:hAnsi="Arial"/>
          <w:sz w:val="18"/>
          <w:szCs w:val="18"/>
          <w:color w:val="auto"/>
        </w:rPr>
      </w:pPr>
    </w:p>
    <w:p>
      <w:pPr>
        <w:ind w:left="1040" w:right="20" w:hanging="317"/>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obtained the underlying inventory aging report and agreed the balances to the general ledger to test for completeness and recalculated the inventory reserve.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73"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Impairment of Long-Lived Asset</w:t>
      </w:r>
    </w:p>
    <w:p>
      <w:pPr>
        <w:spacing w:after="0" w:line="225" w:lineRule="exact"/>
        <w:rPr>
          <w:sz w:val="20"/>
          <w:szCs w:val="20"/>
          <w:color w:val="auto"/>
        </w:rPr>
      </w:pPr>
    </w:p>
    <w:p>
      <w:pPr>
        <w:jc w:val="both"/>
        <w:ind w:left="160"/>
        <w:spacing w:after="0" w:line="270" w:lineRule="auto"/>
        <w:rPr>
          <w:sz w:val="20"/>
          <w:szCs w:val="20"/>
          <w:color w:val="auto"/>
        </w:rPr>
      </w:pPr>
      <w:r>
        <w:rPr>
          <w:rFonts w:ascii="Arial" w:cs="Arial" w:eastAsia="Arial" w:hAnsi="Arial"/>
          <w:sz w:val="17"/>
          <w:szCs w:val="17"/>
          <w:color w:val="auto"/>
        </w:rPr>
        <w:t xml:space="preserve">As described further in Note B to the financial statements, the Company accounts for impairment of long-lived assets in accordance with ASC 360, </w:t>
      </w: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(“ASC 360”). Long-lived assets consist primarily of property, plant and equipment, right-of-use assets and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If assets are determined not to be recoverable, the Company performs an analysis of the fair value of the asset group and will recognize an impairment loss when the fair value is less than the carrying amounts of such assets. The undiscounted future net cash flows, and any subsequent fair value determination, are based on assumptions and projections that require subjective judgments. We identified the long-lived assets impairment assessment and testing as a critical audit matter.</w:t>
      </w:r>
    </w:p>
    <w:p>
      <w:pPr>
        <w:spacing w:after="0" w:line="181" w:lineRule="exact"/>
        <w:rPr>
          <w:sz w:val="20"/>
          <w:szCs w:val="20"/>
          <w:color w:val="auto"/>
        </w:rPr>
      </w:pPr>
    </w:p>
    <w:p>
      <w:pPr>
        <w:jc w:val="both"/>
        <w:ind w:left="160"/>
        <w:spacing w:after="0" w:line="254" w:lineRule="auto"/>
        <w:rPr>
          <w:sz w:val="20"/>
          <w:szCs w:val="20"/>
          <w:color w:val="auto"/>
        </w:rPr>
      </w:pPr>
      <w:r>
        <w:rPr>
          <w:rFonts w:ascii="Arial" w:cs="Arial" w:eastAsia="Arial" w:hAnsi="Arial"/>
          <w:sz w:val="18"/>
          <w:szCs w:val="18"/>
          <w:color w:val="auto"/>
        </w:rPr>
        <w:t>The principal consideration for our determination that the accounting for impairment of long-lived assets represents a critical audit matter is the judgments and assumptions associated with management’s determination of the recoverability of the long-lived assets including any subsequent fair value assessments. Auditing the undiscounted future net cash flows involved a high degree of subjectivity, auditor judgment and audit effort in evaluating management’s significant assumptions primarily due to the complexity of the cash flow models used, as well as the sensitivity of the underlying significant assumptions. The Company used an undiscounted cash flow model to assess the recoverability of the long-lived assets, which included assumptions such as revenue growth rates, operating expenses, earnings before interest, taxes, depreciation, and amortization (“EBITDA”) margins, capital expenditures asset grouping, forecasting period and future sales values. These significant assumptions are forward looking and could be affected by future economic and market conditions.</w:t>
      </w:r>
    </w:p>
    <w:p>
      <w:pPr>
        <w:spacing w:after="0" w:line="19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Our audit procedures related to the accounting for impairment of long-lived assets included the following:</w:t>
      </w:r>
    </w:p>
    <w:p>
      <w:pPr>
        <w:spacing w:after="0" w:line="225" w:lineRule="exact"/>
        <w:rPr>
          <w:sz w:val="20"/>
          <w:szCs w:val="20"/>
          <w:color w:val="auto"/>
        </w:rPr>
      </w:pPr>
    </w:p>
    <w:p>
      <w:pPr>
        <w:ind w:left="1040" w:hanging="317"/>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assessed the qualifications and competence of management and evaluated the methodologies used to determine the fair value of long-lived assets;</w:t>
      </w:r>
    </w:p>
    <w:p>
      <w:pPr>
        <w:spacing w:after="0" w:line="170" w:lineRule="exact"/>
        <w:rPr>
          <w:rFonts w:ascii="Arial" w:cs="Arial" w:eastAsia="Arial" w:hAnsi="Arial"/>
          <w:sz w:val="18"/>
          <w:szCs w:val="18"/>
          <w:color w:val="auto"/>
        </w:rPr>
      </w:pPr>
    </w:p>
    <w:p>
      <w:pPr>
        <w:jc w:val="both"/>
        <w:ind w:left="1040" w:hanging="317"/>
        <w:spacing w:after="0" w:line="286" w:lineRule="auto"/>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tested the design and operating effectiveness of key controls related to the accounting for possible impairment, including controls relating to management’s development of forecasts for revenue growth rates, operating expenses, earnings before interest, taxes, depreciation, and amortization (“EBITDA”) margins, capital expenditures asset grouping, forecasting period and future sales values;</w:t>
      </w:r>
    </w:p>
    <w:p>
      <w:pPr>
        <w:spacing w:after="0" w:line="165" w:lineRule="exact"/>
        <w:rPr>
          <w:rFonts w:ascii="Arial" w:cs="Arial" w:eastAsia="Arial" w:hAnsi="Arial"/>
          <w:sz w:val="17"/>
          <w:szCs w:val="17"/>
          <w:color w:val="auto"/>
        </w:rPr>
      </w:pPr>
    </w:p>
    <w:p>
      <w:pPr>
        <w:jc w:val="both"/>
        <w:ind w:left="1040" w:hanging="317"/>
        <w:spacing w:after="0" w:line="25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assumptions, including the testing of underlying source information and the mathematical accuracy of the calculations, used within the undiscounted cash flow models to estimate the recoverability of long-lived assets, which included assumptions such as revenue growth rates, operating expenses, earnings before interest, taxes, depreciation, and amortization (“EBITDA”) margins, capital expenditures asset grouping, forecasting period and future sales values;</w:t>
      </w:r>
    </w:p>
    <w:p>
      <w:pPr>
        <w:spacing w:after="0" w:line="186" w:lineRule="exact"/>
        <w:rPr>
          <w:rFonts w:ascii="Arial" w:cs="Arial" w:eastAsia="Arial" w:hAnsi="Arial"/>
          <w:sz w:val="18"/>
          <w:szCs w:val="18"/>
          <w:color w:val="auto"/>
        </w:rPr>
      </w:pPr>
    </w:p>
    <w:p>
      <w:pPr>
        <w:ind w:left="1040" w:hanging="317"/>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tested the Company’s ability to forecast future cash flows by reviewing actual results compared to amounts previously forecasted; and</w:t>
      </w:r>
    </w:p>
    <w:p>
      <w:pPr>
        <w:spacing w:after="0" w:line="248" w:lineRule="exact"/>
        <w:rPr>
          <w:rFonts w:ascii="Arial" w:cs="Arial" w:eastAsia="Arial" w:hAnsi="Arial"/>
          <w:sz w:val="16"/>
          <w:szCs w:val="16"/>
          <w:color w:val="auto"/>
        </w:rPr>
      </w:pPr>
    </w:p>
    <w:p>
      <w:pPr>
        <w:ind w:left="1040" w:hanging="317"/>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tested the sensitivity of the undiscounted cash flows utilized in the recoverability test.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3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30"/>
              <w:spacing w:after="0"/>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Arial" w:cs="Arial" w:eastAsia="Arial" w:hAnsi="Arial"/>
                <w:sz w:val="18"/>
                <w:szCs w:val="18"/>
                <w:b w:val="1"/>
                <w:bCs w:val="1"/>
                <w:color w:val="auto"/>
                <w:w w:val="87"/>
              </w:rPr>
              <w:t>(in thousands)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34,656</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Restricted cash</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6,480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 trade, net of allowance of $30 and $62, respectively</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43,042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Notes receivable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92,516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110,397</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Prepaid income tax</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194,079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209,169</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243,035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252,984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Land use rights, net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5,854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right of use asset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7,078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Financing right of use asset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Other assets, net</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r>
      <w:tr>
        <w:trPr>
          <w:trHeight w:val="249"/>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454,459</w:t>
            </w:r>
          </w:p>
        </w:tc>
        <w:tc>
          <w:tcPr>
            <w:tcW w:w="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480,805</w:t>
            </w:r>
          </w:p>
        </w:tc>
      </w:tr>
      <w:tr>
        <w:trPr>
          <w:trHeight w:val="197"/>
        </w:trPr>
        <w:tc>
          <w:tcPr>
            <w:tcW w:w="800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49,689</w:t>
            </w:r>
          </w:p>
        </w:tc>
        <w:tc>
          <w:tcPr>
            <w:tcW w:w="5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38,265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34,402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29,482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Bank acceptance payable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8,198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15,860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lease liability - operating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Current lease liability - financing</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15,587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108,957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103,148</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13,904</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Convertible senior notes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78,680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77,854</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Non-current lease liability - operating</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7,926</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Non-current lease liability - financing</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199,889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202,914</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Stockholders' equity:</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800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Preferred Stock; 5,000 shares authorized at $0.001 par value; no shares issued and outstanding at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2021 and December 31, 2020, respectively</w:t>
            </w: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6"/>
              </w:rPr>
              <w:t>Common Stock; 45,000 shares authorized at $0.001 par value; 27,323 and 25,110 shares issued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outstanding at December 31, 2021 and December 31, 2020, respectively</w:t>
            </w:r>
          </w:p>
        </w:tc>
        <w:tc>
          <w:tcPr>
            <w:tcW w:w="32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381,143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354,685</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16,071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11,690</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(142,671)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(88,509)</w:t>
            </w: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254,570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277,891</w:t>
            </w:r>
          </w:p>
        </w:tc>
        <w:tc>
          <w:tcPr>
            <w:tcW w:w="100" w:type="dxa"/>
            <w:vAlign w:val="bottom"/>
            <w:tcBorders>
              <w:top w:val="single" w:sz="8" w:color="CCEEFF"/>
            </w:tcBorders>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454,459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480,805</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29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5060" w:type="dxa"/>
            <w:vAlign w:val="bottom"/>
            <w:gridSpan w:val="4"/>
          </w:tcPr>
          <w:p>
            <w:pPr>
              <w:ind w:left="860"/>
              <w:spacing w:after="0"/>
              <w:rPr>
                <w:sz w:val="20"/>
                <w:szCs w:val="20"/>
                <w:color w:val="auto"/>
              </w:rPr>
            </w:pPr>
            <w:r>
              <w:rPr>
                <w:rFonts w:ascii="Arial" w:cs="Arial" w:eastAsia="Arial" w:hAnsi="Arial"/>
                <w:sz w:val="18"/>
                <w:szCs w:val="18"/>
                <w:b w:val="1"/>
                <w:bCs w:val="1"/>
                <w:color w:val="auto"/>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CONSOLIDATED STATEMENTS OF OPERATIONS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60" w:type="dxa"/>
            <w:vAlign w:val="bottom"/>
            <w:gridSpan w:val="4"/>
          </w:tcPr>
          <w:p>
            <w:pPr>
              <w:ind w:left="860"/>
              <w:spacing w:after="0"/>
              <w:rPr>
                <w:sz w:val="20"/>
                <w:szCs w:val="20"/>
                <w:color w:val="auto"/>
              </w:rPr>
            </w:pPr>
            <w:r>
              <w:rPr>
                <w:rFonts w:ascii="Arial" w:cs="Arial" w:eastAsia="Arial" w:hAnsi="Arial"/>
                <w:sz w:val="18"/>
                <w:szCs w:val="18"/>
                <w:b w:val="1"/>
                <w:bCs w:val="1"/>
                <w:color w:val="auto"/>
              </w:rPr>
              <w:t>(in thousands, except share and per share data)</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 net</w:t>
            </w:r>
          </w:p>
        </w:tc>
        <w:tc>
          <w:tcPr>
            <w:tcW w:w="3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211,565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234,623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190,872</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173,850</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184,082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144,671</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37,715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46,201</w:t>
            </w:r>
          </w:p>
        </w:tc>
      </w:tr>
      <w:tr>
        <w:trPr>
          <w:trHeight w:val="210"/>
        </w:trPr>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Operating expenses</w:t>
            </w: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41,220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43,393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43,399</w:t>
            </w: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10,899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14,087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10,060</w:t>
            </w: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42,362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41,489</w:t>
            </w:r>
          </w:p>
        </w:tc>
      </w:tr>
      <w:tr>
        <w:trPr>
          <w:trHeight w:val="20"/>
        </w:trPr>
        <w:tc>
          <w:tcPr>
            <w:tcW w:w="12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94,481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99,383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94,948</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(56,766)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(48,747)</w:t>
            </w:r>
          </w:p>
        </w:tc>
      </w:tr>
      <w:tr>
        <w:trPr>
          <w:trHeight w:val="209"/>
        </w:trPr>
        <w:tc>
          <w:tcPr>
            <w:tcW w:w="29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Other income (expense)</w:t>
            </w:r>
          </w:p>
        </w:tc>
        <w:tc>
          <w:tcPr>
            <w:tcW w:w="336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w:t>
            </w: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(5,620)</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(5,635)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(5,405)</w:t>
            </w: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net</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8,156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r>
      <w:tr>
        <w:trPr>
          <w:trHeight w:val="20"/>
        </w:trPr>
        <w:tc>
          <w:tcPr>
            <w:tcW w:w="12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960" w:type="dxa"/>
            <w:vAlign w:val="bottom"/>
            <w:gridSpan w:val="2"/>
          </w:tcPr>
          <w:p>
            <w:pPr>
              <w:spacing w:after="0"/>
              <w:rPr>
                <w:sz w:val="20"/>
                <w:szCs w:val="20"/>
                <w:color w:val="auto"/>
              </w:rPr>
            </w:pPr>
            <w:r>
              <w:rPr>
                <w:rFonts w:ascii="Arial" w:cs="Arial" w:eastAsia="Arial" w:hAnsi="Arial"/>
                <w:sz w:val="18"/>
                <w:szCs w:val="18"/>
                <w:color w:val="auto"/>
              </w:rPr>
              <w:t>Total other income (expense), net</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2,606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(2,382)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(2,640)</w:t>
            </w: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(54,160)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(51,224)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(51,387)</w:t>
            </w: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(7,228)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(14,662)</w:t>
            </w:r>
          </w:p>
        </w:tc>
      </w:tr>
      <w:tr>
        <w:trPr>
          <w:trHeight w:val="20"/>
        </w:trPr>
        <w:tc>
          <w:tcPr>
            <w:tcW w:w="1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(54,162)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(58,452)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(66,049)</w:t>
            </w:r>
          </w:p>
        </w:tc>
      </w:tr>
      <w:tr>
        <w:trPr>
          <w:trHeight w:val="197"/>
        </w:trPr>
        <w:tc>
          <w:tcPr>
            <w:tcW w:w="296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loss per share</w:t>
            </w:r>
          </w:p>
        </w:tc>
        <w:tc>
          <w:tcPr>
            <w:tcW w:w="33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r>
      <w:tr>
        <w:trPr>
          <w:trHeight w:val="216"/>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6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r>
      <w:tr>
        <w:trPr>
          <w:trHeight w:val="216"/>
        </w:trPr>
        <w:tc>
          <w:tcPr>
            <w:tcW w:w="1280" w:type="dxa"/>
            <w:vAlign w:val="bottom"/>
            <w:shd w:val="clear" w:color="auto" w:fill="CCEEFF"/>
          </w:tcPr>
          <w:p>
            <w:pPr>
              <w:spacing w:after="0"/>
              <w:rPr>
                <w:sz w:val="18"/>
                <w:szCs w:val="18"/>
                <w:color w:val="auto"/>
              </w:rPr>
            </w:pPr>
          </w:p>
        </w:tc>
        <w:tc>
          <w:tcPr>
            <w:tcW w:w="504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4"/>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26,912,141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21,866,630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19,982,363</w:t>
            </w:r>
          </w:p>
        </w:tc>
      </w:tr>
      <w:tr>
        <w:trPr>
          <w:trHeight w:val="230"/>
        </w:trPr>
        <w:tc>
          <w:tcPr>
            <w:tcW w:w="2960" w:type="dxa"/>
            <w:vAlign w:val="bottom"/>
            <w:gridSpan w:val="2"/>
          </w:tcPr>
          <w:p>
            <w:pPr>
              <w:ind w:left="180"/>
              <w:spacing w:after="0"/>
              <w:rPr>
                <w:sz w:val="20"/>
                <w:szCs w:val="20"/>
                <w:color w:val="auto"/>
              </w:rPr>
            </w:pPr>
            <w:r>
              <w:rPr>
                <w:rFonts w:ascii="Arial" w:cs="Arial" w:eastAsia="Arial" w:hAnsi="Arial"/>
                <w:sz w:val="18"/>
                <w:szCs w:val="18"/>
                <w:color w:val="auto"/>
              </w:rPr>
              <w:t>Diluted</w:t>
            </w:r>
          </w:p>
        </w:tc>
        <w:tc>
          <w:tcPr>
            <w:tcW w:w="3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26,912,141</w:t>
            </w:r>
          </w:p>
        </w:tc>
        <w:tc>
          <w:tcPr>
            <w:tcW w:w="32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21,866,630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19,982,363</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20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000" w:type="dxa"/>
            <w:vAlign w:val="bottom"/>
            <w:gridSpan w:val="4"/>
          </w:tcPr>
          <w:p>
            <w:pPr>
              <w:jc w:val="center"/>
              <w:ind w:left="107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580" w:type="dxa"/>
            <w:vAlign w:val="bottom"/>
            <w:gridSpan w:val="7"/>
          </w:tcPr>
          <w:p>
            <w:pPr>
              <w:jc w:val="center"/>
              <w:ind w:right="420"/>
              <w:spacing w:after="0"/>
              <w:rPr>
                <w:sz w:val="20"/>
                <w:szCs w:val="20"/>
                <w:color w:val="auto"/>
              </w:rPr>
            </w:pPr>
            <w:r>
              <w:rPr>
                <w:rFonts w:ascii="Arial" w:cs="Arial" w:eastAsia="Arial" w:hAnsi="Arial"/>
                <w:sz w:val="18"/>
                <w:szCs w:val="18"/>
                <w:b w:val="1"/>
                <w:bCs w:val="1"/>
                <w:color w:val="auto"/>
              </w:rPr>
              <w:t>CONSOLIDATED STATEMENTS OF COMPREHENSIVE INCOME (LOSS)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0" w:type="dxa"/>
            <w:vAlign w:val="bottom"/>
            <w:gridSpan w:val="2"/>
          </w:tcPr>
          <w:p>
            <w:pPr>
              <w:jc w:val="center"/>
              <w:ind w:left="1870"/>
              <w:spacing w:after="0"/>
              <w:rPr>
                <w:sz w:val="20"/>
                <w:szCs w:val="20"/>
                <w:color w:val="auto"/>
              </w:rPr>
            </w:pPr>
            <w:r>
              <w:rPr>
                <w:rFonts w:ascii="Arial" w:cs="Arial" w:eastAsia="Arial" w:hAnsi="Arial"/>
                <w:sz w:val="18"/>
                <w:szCs w:val="18"/>
                <w:b w:val="1"/>
                <w:bCs w:val="1"/>
                <w:color w:val="auto"/>
                <w:w w:val="87"/>
              </w:rPr>
              <w:t>(in thousands)</w:t>
            </w: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5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(54,162)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(58,452)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(66,049)</w:t>
            </w:r>
          </w:p>
        </w:tc>
      </w:tr>
      <w:tr>
        <w:trPr>
          <w:trHeight w:val="216"/>
        </w:trPr>
        <w:tc>
          <w:tcPr>
            <w:tcW w:w="6320" w:type="dxa"/>
            <w:vAlign w:val="bottom"/>
            <w:gridSpan w:val="3"/>
          </w:tcPr>
          <w:p>
            <w:pPr>
              <w:spacing w:after="0"/>
              <w:rPr>
                <w:sz w:val="20"/>
                <w:szCs w:val="20"/>
                <w:color w:val="auto"/>
              </w:rPr>
            </w:pPr>
            <w:r>
              <w:rPr>
                <w:rFonts w:ascii="Arial" w:cs="Arial" w:eastAsia="Arial" w:hAnsi="Arial"/>
                <w:sz w:val="18"/>
                <w:szCs w:val="18"/>
                <w:color w:val="auto"/>
              </w:rPr>
              <w:t>Gain/(Loss) on foreign currency translation adjustment</w:t>
            </w: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4,381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11,260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r>
      <w:tr>
        <w:trPr>
          <w:trHeight w:val="20"/>
        </w:trPr>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2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(49,781)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(47,192)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(66,221)</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206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20" w:type="dxa"/>
            <w:vAlign w:val="bottom"/>
            <w:gridSpan w:val="11"/>
          </w:tcPr>
          <w:p>
            <w:pPr>
              <w:ind w:left="600"/>
              <w:spacing w:after="0"/>
              <w:rPr>
                <w:sz w:val="20"/>
                <w:szCs w:val="20"/>
                <w:color w:val="auto"/>
              </w:rPr>
            </w:pPr>
            <w:r>
              <w:rPr>
                <w:rFonts w:ascii="Arial" w:cs="Arial" w:eastAsia="Arial" w:hAnsi="Arial"/>
                <w:sz w:val="18"/>
                <w:szCs w:val="18"/>
                <w:b w:val="1"/>
                <w:bCs w:val="1"/>
                <w:color w:val="auto"/>
                <w:w w:val="89"/>
              </w:rPr>
              <w:t>Applied Optoelectronics, Inc.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0" w:type="dxa"/>
            <w:vAlign w:val="bottom"/>
            <w:gridSpan w:val="16"/>
          </w:tcPr>
          <w:p>
            <w:pPr>
              <w:jc w:val="center"/>
              <w:ind w:right="40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gridSpan w:val="11"/>
          </w:tcPr>
          <w:p>
            <w:pPr>
              <w:jc w:val="center"/>
              <w:ind w:left="490"/>
              <w:spacing w:after="0"/>
              <w:rPr>
                <w:sz w:val="20"/>
                <w:szCs w:val="20"/>
                <w:color w:val="auto"/>
              </w:rPr>
            </w:pPr>
            <w:r>
              <w:rPr>
                <w:rFonts w:ascii="Arial" w:cs="Arial" w:eastAsia="Arial" w:hAnsi="Arial"/>
                <w:sz w:val="18"/>
                <w:szCs w:val="18"/>
                <w:b w:val="1"/>
                <w:bCs w:val="1"/>
                <w:color w:val="auto"/>
                <w:w w:val="89"/>
              </w:rPr>
              <w:t>Years ended December 2019, 2020 and 2021</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40" w:type="dxa"/>
            <w:vAlign w:val="bottom"/>
            <w:gridSpan w:val="5"/>
            <w:vMerge w:val="restart"/>
          </w:tcPr>
          <w:p>
            <w:pPr>
              <w:ind w:left="340"/>
              <w:spacing w:after="0"/>
              <w:rPr>
                <w:sz w:val="20"/>
                <w:szCs w:val="20"/>
                <w:color w:val="auto"/>
              </w:rPr>
            </w:pPr>
            <w:r>
              <w:rPr>
                <w:rFonts w:ascii="Arial" w:cs="Arial" w:eastAsia="Arial" w:hAnsi="Arial"/>
                <w:sz w:val="18"/>
                <w:szCs w:val="18"/>
                <w:b w:val="1"/>
                <w:bCs w:val="1"/>
                <w:color w:val="auto"/>
              </w:rPr>
              <w:t>Preferred Stock</w:t>
            </w:r>
          </w:p>
        </w:tc>
        <w:tc>
          <w:tcPr>
            <w:tcW w:w="2040" w:type="dxa"/>
            <w:vAlign w:val="bottom"/>
            <w:gridSpan w:val="5"/>
            <w:vMerge w:val="restart"/>
          </w:tcPr>
          <w:p>
            <w:pPr>
              <w:jc w:val="right"/>
              <w:ind w:right="48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140" w:type="dxa"/>
            <w:vAlign w:val="bottom"/>
            <w:gridSpan w:val="5"/>
            <w:vMerge w:val="continue"/>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3"/>
              </w:rPr>
              <w:t>Additional</w:t>
            </w:r>
          </w:p>
        </w:tc>
        <w:tc>
          <w:tcPr>
            <w:tcW w:w="140" w:type="dxa"/>
            <w:vAlign w:val="bottom"/>
          </w:tcPr>
          <w:p>
            <w:pPr>
              <w:spacing w:after="0"/>
              <w:rPr>
                <w:sz w:val="19"/>
                <w:szCs w:val="19"/>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earnings/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60" w:type="dxa"/>
            <w:vAlign w:val="bottom"/>
            <w:tcBorders>
              <w:top w:val="single" w:sz="8" w:color="auto"/>
            </w:tcBorders>
          </w:tcPr>
          <w:p>
            <w:pPr>
              <w:ind w:left="100"/>
              <w:spacing w:after="0" w:line="191" w:lineRule="exact"/>
              <w:rPr>
                <w:sz w:val="20"/>
                <w:szCs w:val="20"/>
                <w:color w:val="auto"/>
              </w:rPr>
            </w:pPr>
            <w:r>
              <w:rPr>
                <w:rFonts w:ascii="Arial" w:cs="Arial" w:eastAsia="Arial" w:hAnsi="Arial"/>
                <w:sz w:val="18"/>
                <w:szCs w:val="18"/>
                <w:b w:val="1"/>
                <w:bCs w:val="1"/>
                <w:color w:val="auto"/>
              </w:rPr>
              <w:t>Number</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rPr>
              <w:t>Number</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w w:val="91"/>
              </w:rPr>
              <w:t>paid-in</w:t>
            </w:r>
          </w:p>
        </w:tc>
        <w:tc>
          <w:tcPr>
            <w:tcW w:w="12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5"/>
              </w:rPr>
              <w:t>comprehensive</w:t>
            </w:r>
          </w:p>
        </w:tc>
        <w:tc>
          <w:tcPr>
            <w:tcW w:w="80" w:type="dxa"/>
            <w:vAlign w:val="bottom"/>
          </w:tcPr>
          <w:p>
            <w:pPr>
              <w:spacing w:after="0"/>
              <w:rPr>
                <w:sz w:val="16"/>
                <w:szCs w:val="16"/>
                <w:color w:val="auto"/>
              </w:rPr>
            </w:pPr>
          </w:p>
        </w:tc>
        <w:tc>
          <w:tcPr>
            <w:tcW w:w="122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rPr>
              <w:t>(Accumulated</w:t>
            </w:r>
          </w:p>
        </w:tc>
        <w:tc>
          <w:tcPr>
            <w:tcW w:w="1220" w:type="dxa"/>
            <w:vAlign w:val="bottom"/>
            <w:gridSpan w:val="4"/>
          </w:tcPr>
          <w:p>
            <w:pPr>
              <w:ind w:left="80"/>
              <w:spacing w:after="0" w:line="191" w:lineRule="exact"/>
              <w:rPr>
                <w:sz w:val="20"/>
                <w:szCs w:val="20"/>
                <w:color w:val="auto"/>
              </w:rPr>
            </w:pPr>
            <w:r>
              <w:rPr>
                <w:rFonts w:ascii="Arial" w:cs="Arial" w:eastAsia="Arial" w:hAnsi="Arial"/>
                <w:sz w:val="18"/>
                <w:szCs w:val="18"/>
                <w:b w:val="1"/>
                <w:bCs w:val="1"/>
                <w:color w:val="auto"/>
                <w:w w:val="94"/>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4"/>
              </w:rPr>
              <w:t>of shares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of shares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capital</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gain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deficit)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2019</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292,480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35,992</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329,094</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Stock options exercised,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employee tax</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net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withheld for employee tax</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(897)</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w w:val="92"/>
              </w:rPr>
              <w:t>Share-based compensation</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11,804</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11,804</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vMerge w:val="restart"/>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vMerge w:val="restart"/>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(66,049)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(66,221)</w:t>
            </w:r>
          </w:p>
        </w:tc>
        <w:tc>
          <w:tcPr>
            <w:tcW w:w="0" w:type="dxa"/>
            <w:vAlign w:val="bottom"/>
          </w:tcPr>
          <w:p>
            <w:pPr>
              <w:spacing w:after="0"/>
              <w:rPr>
                <w:sz w:val="1"/>
                <w:szCs w:val="1"/>
                <w:color w:val="auto"/>
              </w:rPr>
            </w:pPr>
          </w:p>
        </w:tc>
      </w:tr>
      <w:tr>
        <w:trPr>
          <w:trHeight w:val="217"/>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2"/>
          </w:tcPr>
          <w:p>
            <w:pPr>
              <w:spacing w:after="0"/>
              <w:rPr>
                <w:sz w:val="20"/>
                <w:szCs w:val="20"/>
                <w:color w:val="auto"/>
              </w:rPr>
            </w:pPr>
            <w:r>
              <w:rPr>
                <w:rFonts w:ascii="Arial" w:cs="Arial" w:eastAsia="Arial" w:hAnsi="Arial"/>
                <w:sz w:val="18"/>
                <w:szCs w:val="18"/>
                <w:color w:val="auto"/>
              </w:rPr>
              <w:t>December 31, 2019</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303,401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430</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(30,057)</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273,794</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Public offering of</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net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39,306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39,310</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Stock options exercised,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employee tax</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restricted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net of shares</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withheld for employee tax</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w w:val="92"/>
              </w:rPr>
              <w:t>Share-based compensation</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13,046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13,046</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11,260</w:t>
            </w: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(58,452)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(58,452)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354,685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11,690</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(88,509)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277,891</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Public offering of</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common stock, net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1,552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15,288</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15,289</w:t>
            </w:r>
          </w:p>
        </w:tc>
        <w:tc>
          <w:tcPr>
            <w:tcW w:w="0" w:type="dxa"/>
            <w:vAlign w:val="bottom"/>
          </w:tcPr>
          <w:p>
            <w:pPr>
              <w:spacing w:after="0"/>
              <w:rPr>
                <w:sz w:val="1"/>
                <w:szCs w:val="1"/>
                <w:color w:val="auto"/>
              </w:rPr>
            </w:pPr>
          </w:p>
        </w:tc>
      </w:tr>
      <w:tr>
        <w:trPr>
          <w:trHeight w:val="202"/>
        </w:trPr>
        <w:tc>
          <w:tcPr>
            <w:tcW w:w="2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Stock options exercised,</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of shares withheld for</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tax</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Issuance of restricted</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spacing w:after="0"/>
              <w:rPr>
                <w:sz w:val="20"/>
                <w:szCs w:val="20"/>
                <w:color w:val="auto"/>
              </w:rPr>
            </w:pPr>
            <w:r>
              <w:rPr>
                <w:rFonts w:ascii="Arial" w:cs="Arial" w:eastAsia="Arial" w:hAnsi="Arial"/>
                <w:sz w:val="18"/>
                <w:szCs w:val="18"/>
                <w:color w:val="auto"/>
              </w:rPr>
              <w:t>stock, net of shares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w w:val="99"/>
              </w:rPr>
              <w:t>withheld for employee tax</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Share-based compensation</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12,121</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12,121</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60" w:type="dxa"/>
            <w:vAlign w:val="bottom"/>
            <w:gridSpan w:val="2"/>
          </w:tcPr>
          <w:p>
            <w:pPr>
              <w:spacing w:after="0"/>
              <w:rPr>
                <w:sz w:val="20"/>
                <w:szCs w:val="20"/>
                <w:color w:val="auto"/>
              </w:rPr>
            </w:pPr>
            <w:r>
              <w:rPr>
                <w:rFonts w:ascii="Arial" w:cs="Arial" w:eastAsia="Arial" w:hAnsi="Arial"/>
                <w:sz w:val="18"/>
                <w:szCs w:val="18"/>
                <w:color w:val="auto"/>
              </w:rPr>
              <w:t>translation adjustment</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4,381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4,381</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(54,162)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(54,162)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gridSpan w:val="2"/>
          </w:tcPr>
          <w:p>
            <w:pPr>
              <w:spacing w:after="0"/>
              <w:rPr>
                <w:sz w:val="20"/>
                <w:szCs w:val="20"/>
                <w:color w:val="auto"/>
              </w:rPr>
            </w:pPr>
            <w:r>
              <w:rPr>
                <w:rFonts w:ascii="Arial" w:cs="Arial" w:eastAsia="Arial" w:hAnsi="Arial"/>
                <w:sz w:val="18"/>
                <w:szCs w:val="18"/>
                <w:color w:val="auto"/>
              </w:rPr>
              <w:t>December 31, 2021</w:t>
            </w:r>
          </w:p>
        </w:tc>
        <w:tc>
          <w:tcPr>
            <w:tcW w:w="860" w:type="dxa"/>
            <w:vAlign w:val="bottom"/>
          </w:tcPr>
          <w:p>
            <w:pPr>
              <w:ind w:left="68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381,143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16,071</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(142,671)</w:t>
            </w: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254,570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4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Applied Optoelectronics, Inc. and Subsidiaries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40" w:type="dxa"/>
            <w:vAlign w:val="bottom"/>
            <w:gridSpan w:val="5"/>
          </w:tcPr>
          <w:p>
            <w:pPr>
              <w:jc w:val="center"/>
              <w:ind w:left="18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4960" w:type="dxa"/>
            <w:vAlign w:val="bottom"/>
          </w:tcPr>
          <w:p>
            <w:pPr>
              <w:jc w:val="center"/>
              <w:ind w:left="3590"/>
              <w:spacing w:after="0"/>
              <w:rPr>
                <w:sz w:val="20"/>
                <w:szCs w:val="20"/>
                <w:color w:val="auto"/>
              </w:rPr>
            </w:pPr>
            <w:r>
              <w:rPr>
                <w:rFonts w:ascii="Arial" w:cs="Arial" w:eastAsia="Arial" w:hAnsi="Arial"/>
                <w:sz w:val="18"/>
                <w:szCs w:val="18"/>
                <w:b w:val="1"/>
                <w:bCs w:val="1"/>
                <w:color w:val="auto"/>
                <w:w w:val="87"/>
              </w:rPr>
              <w:t>(in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Net loss</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(54,162)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(58,452)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(66,049)</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Adjustments to reconcile net loss to net cash provided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Allowance of bad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Lower of cost or market reserve adjustment to inventory</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3,889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6,774</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25,371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24,733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24,014</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Deferred income taxes, net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14,570</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Share-based compensation</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12,121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13,046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11,804</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for extinguishment of debt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Extinguishment of debt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(6,229)</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foreign exchange gain (loss)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 trade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(7,020)</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(4,351)</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Notes receivable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(7,585)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income tax</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15,786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(23,674)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5,514</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Operating right of use asset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848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7,069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Accrued income taxes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Lease liability</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(918)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(896)</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by operating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(11,644)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(44,009)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(1,754)</w:t>
            </w:r>
          </w:p>
        </w:tc>
      </w:tr>
      <w:tr>
        <w:trPr>
          <w:trHeight w:val="210"/>
        </w:trPr>
        <w:tc>
          <w:tcPr>
            <w:tcW w:w="62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Investing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of property, plant and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(7,981)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(15,795)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(28,789)</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Proceeds from disposal of equipment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Deposits and prepaid for equipment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(2,688)</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Purchase of intangible assets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(457)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(640)</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(10,546)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(32,116)</w:t>
            </w:r>
          </w:p>
        </w:tc>
      </w:tr>
      <w:tr>
        <w:trPr>
          <w:trHeight w:val="209"/>
        </w:trPr>
        <w:tc>
          <w:tcPr>
            <w:tcW w:w="62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Financing activities:</w:t>
            </w: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62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Proceeds from issuance of notes payable and long-term debt, net of debt issuance</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13,661</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Principal payments of long-term debt and notes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(4,144)</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(5,233)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(43,363)</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line of credit borrowings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122,935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95,730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83,434</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Repayments of line of credit borrowings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(111,287)</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(96,006)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(88,299)</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bank acceptance payable</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24,622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39,958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13,638</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Repayments of bank acceptance payable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(32,465)</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(31,338)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(11,952)</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6"/>
              </w:rPr>
              <w:t>Proceeds from issuance of convertible senior notes, net of debt issuance costs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76,362</w:t>
            </w: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Principal payments of financing lease</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 of stock options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02"/>
        </w:trPr>
        <w:tc>
          <w:tcPr>
            <w:tcW w:w="624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Payments of tax withholding on behalf of employees related to share-based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compensation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(960)</w:t>
            </w:r>
          </w:p>
        </w:tc>
        <w:tc>
          <w:tcPr>
            <w:tcW w:w="32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(1,080)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(897)</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common stock offering, net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39,203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2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14,088</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47,441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42,596</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(8,978)</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(16,914)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9,025</w:t>
            </w:r>
          </w:p>
        </w:tc>
      </w:tr>
      <w:tr>
        <w:trPr>
          <w:trHeight w:val="216"/>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50,115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67,029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58,004</w:t>
            </w:r>
          </w:p>
        </w:tc>
      </w:tr>
      <w:tr>
        <w:trPr>
          <w:trHeight w:val="20"/>
        </w:trPr>
        <w:tc>
          <w:tcPr>
            <w:tcW w:w="1280" w:type="dxa"/>
            <w:vAlign w:val="bottom"/>
            <w:shd w:val="clear" w:color="auto" w:fill="CCEEFF"/>
          </w:tcPr>
          <w:p>
            <w:pPr>
              <w:spacing w:after="0" w:line="20" w:lineRule="exact"/>
              <w:rPr>
                <w:sz w:val="1"/>
                <w:szCs w:val="1"/>
                <w:color w:val="auto"/>
              </w:rPr>
            </w:pPr>
          </w:p>
        </w:tc>
        <w:tc>
          <w:tcPr>
            <w:tcW w:w="49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24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41,137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50,115</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67,029</w:t>
            </w:r>
          </w:p>
        </w:tc>
      </w:tr>
      <w:tr>
        <w:trPr>
          <w:trHeight w:val="20"/>
        </w:trPr>
        <w:tc>
          <w:tcPr>
            <w:tcW w:w="12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gridSpan w:val="2"/>
          </w:tcPr>
          <w:p>
            <w:pPr>
              <w:ind w:left="180"/>
              <w:spacing w:after="0"/>
              <w:rPr>
                <w:sz w:val="20"/>
                <w:szCs w:val="20"/>
                <w:color w:val="auto"/>
              </w:rPr>
            </w:pPr>
            <w:r>
              <w:rPr>
                <w:rFonts w:ascii="Arial" w:cs="Arial" w:eastAsia="Arial" w:hAnsi="Arial"/>
                <w:sz w:val="18"/>
                <w:szCs w:val="18"/>
                <w:color w:val="auto"/>
              </w:rPr>
              <w:t>Cash paid (received) for:</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w:t>
            </w: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rPr>
              <w:t>Income taxes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(890)</w:t>
            </w:r>
          </w:p>
        </w:tc>
      </w:tr>
      <w:tr>
        <w:trPr>
          <w:trHeight w:val="216"/>
        </w:trPr>
        <w:tc>
          <w:tcPr>
            <w:tcW w:w="62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Non-cash investing and financing activities:</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ind w:left="340"/>
              <w:spacing w:after="0"/>
              <w:rPr>
                <w:sz w:val="20"/>
                <w:szCs w:val="20"/>
                <w:color w:val="auto"/>
              </w:rPr>
            </w:pPr>
            <w:r>
              <w:rPr>
                <w:rFonts w:ascii="Arial" w:cs="Arial" w:eastAsia="Arial" w:hAnsi="Arial"/>
                <w:sz w:val="18"/>
                <w:szCs w:val="18"/>
                <w:color w:val="auto"/>
                <w:w w:val="96"/>
              </w:rPr>
              <w:t>Net change in accounts payable related to property and equipment additions</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(4,027)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(2,326)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3,869</w:t>
            </w:r>
          </w:p>
        </w:tc>
      </w:tr>
      <w:tr>
        <w:trPr>
          <w:trHeight w:val="202"/>
        </w:trPr>
        <w:tc>
          <w:tcPr>
            <w:tcW w:w="62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Net change in deposits and prepaid for equipment related to property and</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equipment additions</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3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632"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A—ORGANIZATION AND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Applied Optoelectronics, Inc. (“AOI” or the “Company”) was incorporated in the State of Texas on February 28, 1997. In March 2013, the Company converted into a Delaware corporation. The Company is a leading, vertically integrated provider of fiber-optic networking products, primarily for four networking end-markets: internet data center, CATV, telecom and FTTH. The Company designs and manufactures a wide range of optical communications products at varying levels of integration, from components, subassemblies and modules to complete turn-key equipment.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manufacturing and research and development facilities located in the U.S., Taiwan and China. At its corporate headquarters and manufacturing facilities in Sugar Land, Texas, the Company primarily manufactures lasers and laser components and performs research and development activities for laser component and optical module products. The Company operates in Taipei, Taiwan and Ningbo, China through its wholly-owned subsidiary Prime World International Holdings, Ltd. (“Prime World”, incorporated in the British Virgin Islands). Prime World is the parent of Global Technology, Inc. (“Global”, incorporated in the People’s Republic of China). Through Global, the Company primarily manufactures certain of its data center transceiver products, including subassemblies and transceivers, as well as Cable TV Broadband (“CATV”) systems and equipment, and performs research and development activities for the CATV products. Prime World also operates a branch in Taiwan, which primarily manufactures transceivers. The Company also has a research and development center in Duluth, Georgia.</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B—SUMMARY OF SIGNIFICANT ACCOUNTING POLICIES</w:t>
      </w:r>
    </w:p>
    <w:p>
      <w:pPr>
        <w:spacing w:after="0" w:line="229" w:lineRule="exact"/>
        <w:rPr>
          <w:sz w:val="20"/>
          <w:szCs w:val="20"/>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consolidated financial statements include the accounts of the Company and all of its wholly-owned subsidiaries and are prepared in accordance with accounting principles generally accepted in the United States of America (GAAP). All intercompany balances and transactions have been eliminated in consolidation.</w:t>
      </w:r>
    </w:p>
    <w:p>
      <w:pPr>
        <w:spacing w:after="0" w:line="184" w:lineRule="exact"/>
        <w:rPr>
          <w:sz w:val="20"/>
          <w:szCs w:val="20"/>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relate to, among other things, allowance for doubtful accounts, inventory reserve, product warranty costs, share-based compensation expense, estimated useful lives of property and equipment, and taxes.</w:t>
      </w:r>
    </w:p>
    <w:p>
      <w:pPr>
        <w:spacing w:after="0" w:line="171"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Foreign Currency Translation</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functional currency for the Company’s foreign operations is the local currency. The assets and liabilities of these operations are translated at the rate of exchange in effect on the balance sheet date and sales and expenses are translated at monthly average rates. The resulting gains or losses from translation are included in a separate component of other comprehensive income. There is no tax effect on the foreign currency translation because it is management’s intent to reinvest the undistributed earnings of its foreign subsidiaries indefinitely. Transaction gains and losses resulting from re-measuring monetary asset and liability accounts that are denominated in a currency other than a subsidiary’s functional currency are included in net foreign exchange gain and loss and are included in net income except for those intercompany balances that are long-term investments in nature. The translation gain or losses from the long-term investment nature of intercompany balances are treated as translation adjustments and included in comprehensive income.</w:t>
      </w:r>
    </w:p>
    <w:p>
      <w:pPr>
        <w:spacing w:after="0" w:line="166"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Fair Value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cash, cash equivalents and short-term investments, accounts receivable, accounts payable, and note receivable approximate their historical fair values due to their short-term maturities. The carrying value of the debt approximates its fair value due to the short-term nature of the debt since it renews frequently at current interest rates. Management believes that the interest rates in effect at each year end represent the current market rates for similar borrowings.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measurement standard defines fair value as the price that would be received to sell an asset or paid to transfer a liability in an orderly transaction between market participants at the measurement date. The standard characterizes inputs used in determining fair value according to a hierarchy that prioritized inputs based on the degree to which they are observable. The three levels of the fair value hierarchy are as follows:</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Level 1—Inputs represent quoted prices in active markets for identical assets or liabilities.</w:t>
      </w:r>
    </w:p>
    <w:p>
      <w:pPr>
        <w:spacing w:after="0" w:line="225" w:lineRule="exact"/>
        <w:rPr>
          <w:sz w:val="20"/>
          <w:szCs w:val="20"/>
          <w:color w:val="auto"/>
        </w:rPr>
      </w:pPr>
    </w:p>
    <w:p>
      <w:pPr>
        <w:jc w:val="both"/>
        <w:ind w:left="660" w:firstLine="648"/>
        <w:spacing w:after="0" w:line="263" w:lineRule="auto"/>
        <w:rPr>
          <w:sz w:val="20"/>
          <w:szCs w:val="20"/>
          <w:color w:val="auto"/>
        </w:rPr>
      </w:pPr>
      <w:r>
        <w:rPr>
          <w:rFonts w:ascii="Arial" w:cs="Arial" w:eastAsia="Arial" w:hAnsi="Arial"/>
          <w:sz w:val="18"/>
          <w:szCs w:val="18"/>
          <w:color w:val="auto"/>
        </w:rPr>
        <w:t>Level 2—Inputs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84"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Level 3—Inputs that are not observable from objective sources, such as management’s internally developed assumptions used in pricing an asset or liability.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Assets and liabilities that are required to be fair valued on a recurring basis include money market funds, marketable securities, equity instruments and contingent consideration.</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Money market funds are valued with Level 1 inputs, using quoted market prices, and are included in cash and cash equivalents on the Company’s consolidated balance sheets.</w:t>
      </w:r>
    </w:p>
    <w:p>
      <w:pPr>
        <w:spacing w:after="0" w:line="170" w:lineRule="exact"/>
        <w:rPr>
          <w:sz w:val="20"/>
          <w:szCs w:val="20"/>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considers all highly liquid securities with an original maturity of ninety days or less from the date of purchase to be cash equivalents. Cash in foreign accounts was approximately $17.3 million and $10.7 million at December 31, 2021 and 2020, respectively.</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maintains cash and cash equivalents at U.S. financial institutions for which the combined account balances in individual institutions may exceed Federal Deposit Insurance Corporation (“FDIC”) insurance coverage and, as a result, there is a concentration of credit risk related to amounts on deposit in excess of FDIC insurance coverage. As of December 31, 2021, approximately $23.1 million of U.S. deposits were not covered by FDIC insurance. The Company has not experienced any losses and believes it is not exposed to any significant risk with such accounts.</w:t>
      </w:r>
    </w:p>
    <w:p>
      <w:pPr>
        <w:spacing w:after="0" w:line="15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Restricted Cash/Compensating Balances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Restricted cash includes guarantee deposits for customs duties and compensating balances associated with credit facilities.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Accounts Receivable/Allowance for Doubtful Accounts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carries its accounts receivable at the net amount that it estimates to be collectible. An allowance for uncollectable accounts is maintained through a charge against operations. The allowance is determined by management review of outstanding amounts per customer, historical payments and the aging of accounts.</w:t>
      </w:r>
    </w:p>
    <w:p>
      <w:pPr>
        <w:spacing w:after="0" w:line="184"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Concentration of Credit Risk and Significant Customers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instruments which potentially subject the Company to concentrations of credit risk include cash, cash equivalents and accounts receivable. The Company places all cash and cash equivalents with high-credit quality financial institutions.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Company performs ongoing credit valuations of its customers’ financial condition whenever deemed necessary and generally does not require deposits or collateral to support customer receivables. The historical amount of losses on uncollectible accounts has been within the Company’s estimates. The Company generates much of its revenue from a limited number of customers. In 2021, 2020 and 2019, its top five customers represented 67.0%, 73.3%, and 80.7% of its revenue, respectively. In 2021, ATX, Microsoft and Cisco represented 25.6%, 14.1% and 11.9% of its revenue, respectively. In 2020, Microsoft and Amazon represented 38.3% and 11.5% of its revenue, respectively. The five largest receivable balances for customers represented an aggregate of 70.6% and 64.6% of total accounts receivable at December 31, 2021 and 2020, respectively. As of December 31, 2021, ATX, Microsoft and Cisco represented 41.7%, 13.3% and 3.5% of total accounts receivable, respectively. As of December 31, 2020, Microsoft and Amazon represented 20.9%, and 8.5% of total accounts receivable, respectively. No other customer represented greater than ten percent of revenue in 2021, 2020, or 2019 had greater than ten percent of total accounts receivable at December 31, 2021 or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Inventories are stated at the lower of cost (average-cost method) or market. Work in process and finished goods includes materials, labor and allocated overhead. The Company assesses the valuation of its inventory on a periodic basis and provides write-offs for the value of estimated excess and obsolete inventory based on estimates of future demand.</w:t>
      </w:r>
    </w:p>
    <w:p>
      <w:pPr>
        <w:spacing w:after="0" w:line="184"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Property, Plant and Equipment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Property, plant and equipment are stated at cost, net of accumulated depreciation and amortization. The Company calculates depreciation using the straight-line method over the following estimated useful lives: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20" w:type="dxa"/>
            <w:vAlign w:val="bottom"/>
            <w:gridSpan w:val="2"/>
          </w:tcPr>
          <w:p>
            <w:pPr>
              <w:ind w:left="1820"/>
              <w:spacing w:after="0"/>
              <w:rPr>
                <w:sz w:val="20"/>
                <w:szCs w:val="20"/>
                <w:color w:val="auto"/>
              </w:rPr>
            </w:pPr>
            <w:r>
              <w:rPr>
                <w:rFonts w:ascii="Arial" w:cs="Arial" w:eastAsia="Arial" w:hAnsi="Arial"/>
                <w:sz w:val="18"/>
                <w:szCs w:val="18"/>
                <w:b w:val="1"/>
                <w:bCs w:val="1"/>
                <w:color w:val="auto"/>
              </w:rPr>
              <w:t>Useful lives (in years)</w:t>
            </w:r>
          </w:p>
        </w:tc>
      </w:tr>
      <w:tr>
        <w:trPr>
          <w:trHeight w:val="210"/>
        </w:trPr>
        <w:tc>
          <w:tcPr>
            <w:tcW w:w="5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20 - 42</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Land improvements</w:t>
            </w:r>
          </w:p>
        </w:tc>
        <w:tc>
          <w:tcPr>
            <w:tcW w:w="5740" w:type="dxa"/>
            <w:vAlign w:val="bottom"/>
            <w:gridSpan w:val="2"/>
          </w:tcPr>
          <w:p>
            <w:pPr>
              <w:ind w:left="1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2</w:t>
            </w:r>
          </w:p>
        </w:tc>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- 20</w:t>
            </w:r>
          </w:p>
        </w:tc>
        <w:tc>
          <w:tcPr>
            <w:tcW w:w="10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3</w:t>
            </w:r>
          </w:p>
        </w:tc>
        <w:tc>
          <w:tcPr>
            <w:tcW w:w="5520" w:type="dxa"/>
            <w:vAlign w:val="bottom"/>
          </w:tcPr>
          <w:p>
            <w:pPr>
              <w:ind w:left="40"/>
              <w:spacing w:after="0"/>
              <w:rPr>
                <w:sz w:val="20"/>
                <w:szCs w:val="20"/>
                <w:color w:val="auto"/>
              </w:rPr>
            </w:pPr>
            <w:r>
              <w:rPr>
                <w:rFonts w:ascii="Arial" w:cs="Arial" w:eastAsia="Arial" w:hAnsi="Arial"/>
                <w:sz w:val="18"/>
                <w:szCs w:val="18"/>
                <w:color w:val="auto"/>
              </w:rPr>
              <w:t>- 7</w:t>
            </w: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3</w:t>
            </w:r>
          </w:p>
        </w:tc>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w:t>
            </w:r>
          </w:p>
        </w:tc>
        <w:tc>
          <w:tcPr>
            <w:tcW w:w="100" w:type="dxa"/>
            <w:vAlign w:val="bottom"/>
            <w:shd w:val="clear" w:color="auto" w:fill="CCEEFF"/>
          </w:tcPr>
          <w:p>
            <w:pPr>
              <w:spacing w:after="0"/>
              <w:rPr>
                <w:sz w:val="18"/>
                <w:szCs w:val="18"/>
                <w:color w:val="auto"/>
              </w:rPr>
            </w:pPr>
          </w:p>
        </w:tc>
      </w:tr>
      <w:tr>
        <w:trPr>
          <w:trHeight w:val="202"/>
        </w:trPr>
        <w:tc>
          <w:tcPr>
            <w:tcW w:w="5400" w:type="dxa"/>
            <w:vAlign w:val="bottom"/>
          </w:tcPr>
          <w:p>
            <w:pPr>
              <w:spacing w:after="0"/>
              <w:rPr>
                <w:sz w:val="17"/>
                <w:szCs w:val="17"/>
                <w:color w:val="auto"/>
              </w:rPr>
            </w:pPr>
          </w:p>
        </w:tc>
        <w:tc>
          <w:tcPr>
            <w:tcW w:w="584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The shorter of the life of the applicable lease or the useful life of the</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840" w:type="dxa"/>
            <w:vAlign w:val="bottom"/>
            <w:gridSpan w:val="3"/>
          </w:tcPr>
          <w:p>
            <w:pPr>
              <w:ind w:left="120"/>
              <w:spacing w:after="0"/>
              <w:rPr>
                <w:sz w:val="20"/>
                <w:szCs w:val="20"/>
                <w:color w:val="auto"/>
              </w:rPr>
            </w:pPr>
            <w:r>
              <w:rPr>
                <w:rFonts w:ascii="Arial" w:cs="Arial" w:eastAsia="Arial" w:hAnsi="Arial"/>
                <w:sz w:val="18"/>
                <w:szCs w:val="18"/>
                <w:color w:val="auto"/>
              </w:rPr>
              <w:t>improvement</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5</w:t>
            </w:r>
          </w:p>
        </w:tc>
        <w:tc>
          <w:tcPr>
            <w:tcW w:w="5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Major improvements are capitalized and expenditures for maintenance and repairs are expensed as incurred. Construction in progress represents property, plant and equipment under construction or being installed. Costs include original cost, installation, construction and other direct costs which include interest on borrowings used to finance the asset. Construction in progress is transferred to the appropriate fixed asset account and depreciation commences when the asset has been substantially completed and placed in service.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Land use rights allow the Company rights for 50 years to certain land in Ningbo, China on which the Company built a facility that included office space, manufacturing operations and employee dormitories. The land use rights are recorded at cost and are amortized on the straight-line basis over the useful life of the related contract. The land use rights expire on October 7, 2054 and December 28, 2067.</w:t>
      </w:r>
    </w:p>
    <w:p>
      <w:pPr>
        <w:spacing w:after="0" w:line="184"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Intangible assets consist of intellectual property that is stated at cost less accumulated amortization. As of December 31, 2021, the Company had 328 total patents issued. The costs incurred to obtain such patents have been capitalized and are being amortized over an estimated life between 10 and 20 years. The Company periodically evaluates its intangible assets to determine whether events or changes in circumstances indicate that a patent or trademark may not be applicable to the Company’s current products or is no longer in use. If such a determination is made, the intangible asset is impaired and the remaining value of the patent or trademark will be expensed at that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The Company accounts for impairment of long-lived assets in accordance with Accounting Standards Codification (“ASC”) 360, </w:t>
      </w:r>
      <w:r>
        <w:rPr>
          <w:rFonts w:ascii="Arial" w:cs="Arial" w:eastAsia="Arial" w:hAnsi="Arial"/>
          <w:sz w:val="16"/>
          <w:szCs w:val="16"/>
          <w:i w:val="1"/>
          <w:iCs w:val="1"/>
          <w:color w:val="auto"/>
        </w:rPr>
        <w:t>Property, Plant</w:t>
      </w:r>
      <w:r>
        <w:rPr>
          <w:rFonts w:ascii="Arial" w:cs="Arial" w:eastAsia="Arial" w:hAnsi="Arial"/>
          <w:sz w:val="16"/>
          <w:szCs w:val="16"/>
          <w:color w:val="auto"/>
        </w:rPr>
        <w:t xml:space="preserve"> </w:t>
      </w:r>
      <w:r>
        <w:rPr>
          <w:rFonts w:ascii="Arial" w:cs="Arial" w:eastAsia="Arial" w:hAnsi="Arial"/>
          <w:sz w:val="16"/>
          <w:szCs w:val="16"/>
          <w:i w:val="1"/>
          <w:iCs w:val="1"/>
          <w:color w:val="auto"/>
        </w:rPr>
        <w:t>and Equipment</w:t>
      </w:r>
      <w:r>
        <w:rPr>
          <w:rFonts w:ascii="Arial" w:cs="Arial" w:eastAsia="Arial" w:hAnsi="Arial"/>
          <w:sz w:val="16"/>
          <w:szCs w:val="16"/>
          <w:color w:val="auto"/>
        </w:rPr>
        <w:t>, (“ASC 360”). Long-lived assets consist primarily of property, plant and equipment, right-of-use assets and intangible assets.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ASC 360, the Company evaluates the carrying value of long-lived assets when it determines a triggering event has occurred, or whenever events or changes in circumstances indicate that the carrying amount of an asset may not be recoverable. When indicators exist, recoverability of assets is measured by a comparison of the carrying value of the asset group to the estimated undiscounted future net cash flows expected to be generated by the asset. Examples of such triggering events include a significant disposal of a portion of such assets, an adverse change in the market involving the business employing the related asset, a significant decrease in the benefits realized from an acquired business, difficulties or delays in integrating the business, and a significant change in the operations of an acquired business. If such assets are determined not to be recoverable, the Company performs an analysis of the fair value of the asset group and will recognize an impairment loss when the fair value is less than the carrying amounts of such assets. The fair value, based on reasonable and supportable assumptions and projections, require subjective judgments. Depending on the assumptions and estimates used, the appraised fair value projected in the evaluation of long-lived assets can vary within a range of outcomes. The Company considers the likelihood of possible outcomes in determining the best estimate for the fair value of the assets. The Company did not record any asset impairment charges in 2021, 2020 or 2019.</w:t>
      </w:r>
    </w:p>
    <w:p>
      <w:pPr>
        <w:spacing w:after="0" w:line="168" w:lineRule="exact"/>
        <w:rPr>
          <w:sz w:val="20"/>
          <w:szCs w:val="20"/>
          <w:color w:val="auto"/>
        </w:rPr>
      </w:pPr>
    </w:p>
    <w:p>
      <w:pPr>
        <w:ind w:left="660" w:hanging="652"/>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Comprehensive Income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(“ASC 220”) establishes rules for reporting and display of comprehensive income and its components.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ASC 220 requires that unrealized gains and losses on the Company’s foreign currency translation adjustments be included in comprehensive income (loss).</w:t>
      </w:r>
    </w:p>
    <w:p>
      <w:pPr>
        <w:spacing w:after="0" w:line="234"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The Company accounts for share-based compensation in accordance with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Share-based compensation expense is recognized based on the grant date fair value in order to recognize compensation cost for those shares expected to vest. Compensation cost is recognized on a straight-line basis over the vesting period of the restricted stock units and adjusted as forfeitures occur.</w:t>
      </w:r>
    </w:p>
    <w:p>
      <w:pPr>
        <w:spacing w:after="0" w:line="149"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Company derives revenue from the manufacture and sale of fiber optic networking products. Revenue recognition follows the criteria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Specifically, the Company recognizes revenue when obligations under the terms of a contract with its customer are satisfied; generally this occurs with the transfer of control of products or services.</w:t>
      </w:r>
    </w:p>
    <w:p>
      <w:pPr>
        <w:spacing w:after="0" w:line="184" w:lineRule="exact"/>
        <w:rPr>
          <w:sz w:val="20"/>
          <w:szCs w:val="20"/>
          <w:color w:val="auto"/>
        </w:rPr>
      </w:pPr>
    </w:p>
    <w:p>
      <w:pPr>
        <w:ind w:left="660" w:hanging="652"/>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Product Warranty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generally offers a one-year limited warranty for its products but it can extend for longer periods of three to five years for certain products sold to certain customers. The Company estimates the costs that may be incurred under its basic limited warranty and records a liability for the amount of such costs at the time when product defects occur. Factors that affect the Company’s warranty liability include the historical and anticipated rates of warranty claims and cost to repair. While the Company believes that its warranty accrual is adequate, the actual warranty costs may exceed the accrual, in which case the cost of sales will increase in the future. As of December 31, 2021 and 2020, the amount of accrued warranty was $0.3 million and $0.7 million, respectively. Changes in products warranty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308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Warranty costs incurred</w:t>
            </w:r>
          </w:p>
        </w:tc>
        <w:tc>
          <w:tcPr>
            <w:tcW w:w="2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(826)</w:t>
            </w:r>
          </w:p>
        </w:tc>
        <w:tc>
          <w:tcPr>
            <w:tcW w:w="32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(1,261)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warranty</w:t>
            </w:r>
          </w:p>
        </w:tc>
        <w:tc>
          <w:tcPr>
            <w:tcW w:w="2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w:t>
            </w:r>
          </w:p>
        </w:tc>
        <w:tc>
          <w:tcPr>
            <w:tcW w:w="0" w:type="dxa"/>
            <w:vAlign w:val="bottom"/>
          </w:tcPr>
          <w:p>
            <w:pPr>
              <w:spacing w:after="0"/>
              <w:rPr>
                <w:sz w:val="1"/>
                <w:szCs w:val="1"/>
                <w:color w:val="auto"/>
              </w:rPr>
            </w:pPr>
          </w:p>
        </w:tc>
      </w:tr>
      <w:tr>
        <w:trPr>
          <w:trHeight w:val="20"/>
        </w:trPr>
        <w:tc>
          <w:tcPr>
            <w:tcW w:w="440" w:type="dxa"/>
            <w:vAlign w:val="bottom"/>
            <w:shd w:val="clear" w:color="auto" w:fill="CCEEFF"/>
          </w:tcPr>
          <w:p>
            <w:pPr>
              <w:spacing w:after="0" w:line="20" w:lineRule="exact"/>
              <w:rPr>
                <w:sz w:val="1"/>
                <w:szCs w:val="1"/>
                <w:color w:val="auto"/>
              </w:rPr>
            </w:pPr>
          </w:p>
        </w:tc>
        <w:tc>
          <w:tcPr>
            <w:tcW w:w="3820" w:type="dxa"/>
            <w:vAlign w:val="bottom"/>
            <w:shd w:val="clear" w:color="auto" w:fill="CCEEFF"/>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60" w:type="dxa"/>
            <w:vAlign w:val="bottom"/>
            <w:gridSpan w:val="2"/>
          </w:tcPr>
          <w:p>
            <w:pPr>
              <w:spacing w:after="0"/>
              <w:rPr>
                <w:sz w:val="20"/>
                <w:szCs w:val="20"/>
                <w:color w:val="auto"/>
              </w:rPr>
            </w:pPr>
            <w:r>
              <w:rPr>
                <w:rFonts w:ascii="Arial" w:cs="Arial" w:eastAsia="Arial" w:hAnsi="Arial"/>
                <w:sz w:val="18"/>
                <w:szCs w:val="18"/>
                <w:color w:val="auto"/>
              </w:rPr>
              <w:t>Ending Balance, December 31</w:t>
            </w:r>
          </w:p>
        </w:tc>
        <w:tc>
          <w:tcPr>
            <w:tcW w:w="3080" w:type="dxa"/>
            <w:vAlign w:val="bottom"/>
            <w:gridSpan w:val="2"/>
          </w:tcPr>
          <w:p>
            <w:pPr>
              <w:jc w:val="right"/>
              <w:ind w:right="85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263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703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Arial" w:cs="Arial" w:eastAsia="Arial" w:hAnsi="Arial"/>
                <w:sz w:val="18"/>
                <w:szCs w:val="18"/>
                <w:color w:val="auto"/>
              </w:rPr>
              <w:t>17.</w:t>
            </w:r>
          </w:p>
        </w:tc>
        <w:tc>
          <w:tcPr>
            <w:tcW w:w="3820" w:type="dxa"/>
            <w:vAlign w:val="bottom"/>
            <w:vMerge w:val="restart"/>
          </w:tcPr>
          <w:p>
            <w:pPr>
              <w:ind w:left="220"/>
              <w:spacing w:after="0"/>
              <w:rPr>
                <w:sz w:val="20"/>
                <w:szCs w:val="20"/>
                <w:color w:val="auto"/>
              </w:rPr>
            </w:pPr>
            <w:r>
              <w:rPr>
                <w:rFonts w:ascii="Arial" w:cs="Arial" w:eastAsia="Arial" w:hAnsi="Arial"/>
                <w:sz w:val="18"/>
                <w:szCs w:val="18"/>
                <w:i w:val="1"/>
                <w:iCs w:val="1"/>
                <w:color w:val="auto"/>
              </w:rPr>
              <w:t>Advertising Costs</w:t>
            </w:r>
          </w:p>
        </w:tc>
        <w:tc>
          <w:tcPr>
            <w:tcW w:w="20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0" w:type="dxa"/>
            <w:vAlign w:val="bottom"/>
            <w:vMerge w:val="continue"/>
          </w:tcPr>
          <w:p>
            <w:pPr>
              <w:spacing w:after="0"/>
              <w:rPr>
                <w:sz w:val="24"/>
                <w:szCs w:val="24"/>
                <w:color w:val="auto"/>
              </w:rPr>
            </w:pPr>
          </w:p>
        </w:tc>
        <w:tc>
          <w:tcPr>
            <w:tcW w:w="3820" w:type="dxa"/>
            <w:vAlign w:val="bottom"/>
            <w:vMerge w:val="continue"/>
          </w:tcPr>
          <w:p>
            <w:pPr>
              <w:spacing w:after="0"/>
              <w:rPr>
                <w:sz w:val="24"/>
                <w:szCs w:val="24"/>
                <w:color w:val="auto"/>
              </w:rPr>
            </w:pPr>
          </w:p>
        </w:tc>
        <w:tc>
          <w:tcPr>
            <w:tcW w:w="2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Advertising costs are charged to operations as incurred and amounted to approximately $0.1 million, $0.4 million, and $0.5 million for the years ended December 31, 2021,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652"/>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Research and development costs are charged to operations as incurred. The Company receives reimbursement for certain development costs, which offset with expense up to the reimbursable amount.</w:t>
      </w:r>
    </w:p>
    <w:p>
      <w:pPr>
        <w:spacing w:after="0" w:line="170"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Shipping and Handling Costs</w:t>
      </w:r>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Shipping and handling costs are included in operating expenses as fulfillment costs unless we bill our customers for shipping and handling charges, which are included in net sales for the applicable period, and the corresponding shipping and handling expense is reported in cost of sales.</w:t>
      </w:r>
    </w:p>
    <w:p>
      <w:pPr>
        <w:spacing w:after="0" w:line="146"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The Company accounts for income taxes in accordance with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is used to account for deferred income taxes. Under the liability method, deferred tax assets and liabilities are measured using the enacted tax rates and laws that will be in effect when the differences are expected to reverse. The ability to realize deferred tax assets is evaluated annually and a valuation allowance is provided if it is unlikely that the deferred tax assets will not give rise to future benefits in the Company’s tax returns.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records uncertain tax positions in accordance with ASC 740 on the basis of a two-step process in which (1) it determines whether it is more likely than not that the tax positions will be sustained on the basis of the technical merits of the position and (2) for those tax positions that meet the more-likely-than-not recognition threshold, it recognizes the largest amount of tax benefit that is more than 50 percent likely to be realized upon ultimate settlement with the related tax authority.</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recognizes interest and penalties related to unrecognized tax benefits on the income tax expense line in the accompanying consolidated statement of operations. Accrued interest and penalties are included on the related tax liability line in the consolidated balance sheet.</w:t>
      </w:r>
    </w:p>
    <w:p>
      <w:pPr>
        <w:spacing w:after="0" w:line="146"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Global Intangible Low-taxed Income Provisions ("GILTI")</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of the base broadening provisions of the U.S. Tax Cuts and Jobs Act of 2017 (“the 2017 Act”) is the global intangible low-taxed income provisions ("GILTI"). In accordance with guidance issued by the FASB staff, the Company has adopted an accounting policy to treat any GILTI inclusions as a period cost if and when incurred. Thus, for the fiscal years ended December 31, 2021, December 31, 2020, and December 31, 2019, deferred taxes were computed without consideration of the possible future impact of the GILTI provisions, and any current year impact was recorded as a part of the current portion of income tax expense.</w:t>
      </w:r>
    </w:p>
    <w:p>
      <w:pPr>
        <w:spacing w:after="0" w:line="188"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Recent Accounting Pronouncements</w:t>
      </w:r>
    </w:p>
    <w:p>
      <w:pPr>
        <w:spacing w:after="0" w:line="22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Recent Accounting Pronouncements Adopted in 2021</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2020</w:t>
      </w:r>
      <w:r>
        <w:rPr>
          <w:rFonts w:ascii="Arial" w:cs="Arial" w:eastAsia="Arial" w:hAnsi="Arial"/>
          <w:sz w:val="18"/>
          <w:szCs w:val="18"/>
          <w:color w:val="auto"/>
        </w:rPr>
        <w:t>-</w:t>
      </w:r>
      <w:r>
        <w:rPr>
          <w:rFonts w:ascii="Arial" w:cs="Arial" w:eastAsia="Arial" w:hAnsi="Arial"/>
          <w:sz w:val="18"/>
          <w:szCs w:val="18"/>
          <w:i w:val="1"/>
          <w:iCs w:val="1"/>
          <w:color w:val="auto"/>
        </w:rPr>
        <w:t>04,</w:t>
      </w:r>
      <w:r>
        <w:rPr>
          <w:rFonts w:ascii="Arial" w:cs="Arial" w:eastAsia="Arial" w:hAnsi="Arial"/>
          <w:sz w:val="18"/>
          <w:szCs w:val="18"/>
          <w:color w:val="auto"/>
        </w:rPr>
        <w:t xml:space="preserve"> “Reference Rate Reform (Topic </w:t>
      </w:r>
      <w:r>
        <w:rPr>
          <w:rFonts w:ascii="Arial" w:cs="Arial" w:eastAsia="Arial" w:hAnsi="Arial"/>
          <w:sz w:val="18"/>
          <w:szCs w:val="18"/>
          <w:i w:val="1"/>
          <w:iCs w:val="1"/>
          <w:color w:val="auto"/>
        </w:rPr>
        <w:t>848</w:t>
      </w:r>
      <w:r>
        <w:rPr>
          <w:rFonts w:ascii="Arial" w:cs="Arial" w:eastAsia="Arial" w:hAnsi="Arial"/>
          <w:sz w:val="18"/>
          <w:szCs w:val="18"/>
          <w:color w:val="auto"/>
        </w:rPr>
        <w:t>): Facilitation of the Effects of Reference Rate Reform on Financial Reporting”, which provides temporary optional expedients and exceptions to the GAAP guidance on contract modifications and hedge accounting to ease the financial reporting burdens related to the expected market transition from the London Interbank Offered Rate (“LIBOR”) and other interbank offered rates to alternative reference rates. This ASU is effective beginning on March 12, 2020,and the Company may elect to apply the amendments prospectively through December 31, 2022.The Company adopted this ASU on January 1, 2021, with no impact on its consolidated financial statements.</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August 2020</w:t>
      </w:r>
      <w:r>
        <w:rPr>
          <w:rFonts w:ascii="Arial" w:cs="Arial" w:eastAsia="Arial" w:hAnsi="Arial"/>
          <w:sz w:val="18"/>
          <w:szCs w:val="18"/>
          <w:i w:val="1"/>
          <w:iCs w:val="1"/>
          <w:color w:val="auto"/>
        </w:rPr>
        <w:t>,</w:t>
      </w:r>
      <w:r>
        <w:rPr>
          <w:rFonts w:ascii="Arial" w:cs="Arial" w:eastAsia="Arial" w:hAnsi="Arial"/>
          <w:sz w:val="18"/>
          <w:szCs w:val="18"/>
          <w:color w:val="auto"/>
        </w:rPr>
        <w:t xml:space="preserve"> the FASB issued ASU </w:t>
      </w:r>
      <w:r>
        <w:rPr>
          <w:rFonts w:ascii="Arial" w:cs="Arial" w:eastAsia="Arial" w:hAnsi="Arial"/>
          <w:sz w:val="18"/>
          <w:szCs w:val="18"/>
          <w:i w:val="1"/>
          <w:iCs w:val="1"/>
          <w:color w:val="auto"/>
        </w:rPr>
        <w:t>2020</w:t>
      </w:r>
      <w:r>
        <w:rPr>
          <w:rFonts w:ascii="Arial" w:cs="Arial" w:eastAsia="Arial" w:hAnsi="Arial"/>
          <w:sz w:val="18"/>
          <w:szCs w:val="18"/>
          <w:color w:val="auto"/>
        </w:rPr>
        <w:t>-</w:t>
      </w:r>
      <w:r>
        <w:rPr>
          <w:rFonts w:ascii="Arial" w:cs="Arial" w:eastAsia="Arial" w:hAnsi="Arial"/>
          <w:sz w:val="18"/>
          <w:szCs w:val="18"/>
          <w:i w:val="1"/>
          <w:iCs w:val="1"/>
          <w:color w:val="auto"/>
        </w:rPr>
        <w:t>06,</w:t>
      </w:r>
      <w:r>
        <w:rPr>
          <w:rFonts w:ascii="Arial" w:cs="Arial" w:eastAsia="Arial" w:hAnsi="Arial"/>
          <w:sz w:val="18"/>
          <w:szCs w:val="18"/>
          <w:color w:val="auto"/>
        </w:rPr>
        <w:t xml:space="preserve"> “Debt - Debt with Conversion and Other Options (Subtopic </w:t>
      </w:r>
      <w:r>
        <w:rPr>
          <w:rFonts w:ascii="Arial" w:cs="Arial" w:eastAsia="Arial" w:hAnsi="Arial"/>
          <w:sz w:val="18"/>
          <w:szCs w:val="18"/>
          <w:i w:val="1"/>
          <w:iCs w:val="1"/>
          <w:color w:val="auto"/>
        </w:rPr>
        <w:t>470</w:t>
      </w:r>
      <w:r>
        <w:rPr>
          <w:rFonts w:ascii="Arial" w:cs="Arial" w:eastAsia="Arial" w:hAnsi="Arial"/>
          <w:sz w:val="18"/>
          <w:szCs w:val="18"/>
          <w:color w:val="auto"/>
        </w:rPr>
        <w:t>-</w:t>
      </w:r>
      <w:r>
        <w:rPr>
          <w:rFonts w:ascii="Arial" w:cs="Arial" w:eastAsia="Arial" w:hAnsi="Arial"/>
          <w:sz w:val="18"/>
          <w:szCs w:val="18"/>
          <w:i w:val="1"/>
          <w:iCs w:val="1"/>
          <w:color w:val="auto"/>
        </w:rPr>
        <w:t>20</w:t>
      </w:r>
      <w:r>
        <w:rPr>
          <w:rFonts w:ascii="Arial" w:cs="Arial" w:eastAsia="Arial" w:hAnsi="Arial"/>
          <w:sz w:val="18"/>
          <w:szCs w:val="18"/>
          <w:color w:val="auto"/>
        </w:rPr>
        <w:t xml:space="preserve">)” and “Derivatives and Hedging - Contracts in Entities Own Equity” (Subtopic </w:t>
      </w:r>
      <w:r>
        <w:rPr>
          <w:rFonts w:ascii="Arial" w:cs="Arial" w:eastAsia="Arial" w:hAnsi="Arial"/>
          <w:sz w:val="18"/>
          <w:szCs w:val="18"/>
          <w:i w:val="1"/>
          <w:iCs w:val="1"/>
          <w:color w:val="auto"/>
        </w:rPr>
        <w:t>815</w:t>
      </w:r>
      <w:r>
        <w:rPr>
          <w:rFonts w:ascii="Arial" w:cs="Arial" w:eastAsia="Arial" w:hAnsi="Arial"/>
          <w:sz w:val="18"/>
          <w:szCs w:val="18"/>
          <w:color w:val="auto"/>
        </w:rPr>
        <w:t>-</w:t>
      </w:r>
      <w:r>
        <w:rPr>
          <w:rFonts w:ascii="Arial" w:cs="Arial" w:eastAsia="Arial" w:hAnsi="Arial"/>
          <w:sz w:val="18"/>
          <w:szCs w:val="18"/>
          <w:i w:val="1"/>
          <w:iCs w:val="1"/>
          <w:color w:val="auto"/>
        </w:rPr>
        <w:t>40</w:t>
      </w:r>
      <w:r>
        <w:rPr>
          <w:rFonts w:ascii="Arial" w:cs="Arial" w:eastAsia="Arial" w:hAnsi="Arial"/>
          <w:sz w:val="18"/>
          <w:szCs w:val="18"/>
          <w:color w:val="auto"/>
        </w:rPr>
        <w:t xml:space="preserve">). This ASU simplifies accounting for convertible instruments by eliminating two of the three models in ASC </w:t>
      </w:r>
      <w:r>
        <w:rPr>
          <w:rFonts w:ascii="Arial" w:cs="Arial" w:eastAsia="Arial" w:hAnsi="Arial"/>
          <w:sz w:val="18"/>
          <w:szCs w:val="18"/>
          <w:i w:val="1"/>
          <w:iCs w:val="1"/>
          <w:color w:val="auto"/>
        </w:rPr>
        <w:t>470</w:t>
      </w:r>
      <w:r>
        <w:rPr>
          <w:rFonts w:ascii="Arial" w:cs="Arial" w:eastAsia="Arial" w:hAnsi="Arial"/>
          <w:sz w:val="18"/>
          <w:szCs w:val="18"/>
          <w:color w:val="auto"/>
        </w:rPr>
        <w:t>-</w:t>
      </w:r>
      <w:r>
        <w:rPr>
          <w:rFonts w:ascii="Arial" w:cs="Arial" w:eastAsia="Arial" w:hAnsi="Arial"/>
          <w:sz w:val="18"/>
          <w:szCs w:val="18"/>
          <w:i w:val="1"/>
          <w:iCs w:val="1"/>
          <w:color w:val="auto"/>
        </w:rPr>
        <w:t>20</w:t>
      </w:r>
      <w:r>
        <w:rPr>
          <w:rFonts w:ascii="Arial" w:cs="Arial" w:eastAsia="Arial" w:hAnsi="Arial"/>
          <w:sz w:val="18"/>
          <w:szCs w:val="18"/>
          <w:color w:val="auto"/>
        </w:rPr>
        <w:t xml:space="preserve"> that requires separating embedded conversion features from convertible instruments. The Company adopted this ASU on January 1, 2021, with no impact on its consolidated financial statements.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In November 2020, the SEC issued a new rule that modernizes and simplifies various aspects and financial disclosure requirements in Regulation S-K, specifically related to </w:t>
      </w:r>
      <w:r>
        <w:rPr>
          <w:rFonts w:ascii="Arial" w:cs="Arial" w:eastAsia="Arial" w:hAnsi="Arial"/>
          <w:sz w:val="17"/>
          <w:szCs w:val="17"/>
          <w:i w:val="1"/>
          <w:iCs w:val="1"/>
          <w:color w:val="auto"/>
        </w:rPr>
        <w:t>Item 301 “Selected Financial Data”</w:t>
      </w:r>
      <w:r>
        <w:rPr>
          <w:rFonts w:ascii="Arial" w:cs="Arial" w:eastAsia="Arial" w:hAnsi="Arial"/>
          <w:sz w:val="17"/>
          <w:szCs w:val="17"/>
          <w:color w:val="auto"/>
        </w:rPr>
        <w:t xml:space="preserve">, </w:t>
      </w:r>
      <w:r>
        <w:rPr>
          <w:rFonts w:ascii="Arial" w:cs="Arial" w:eastAsia="Arial" w:hAnsi="Arial"/>
          <w:sz w:val="17"/>
          <w:szCs w:val="17"/>
          <w:i w:val="1"/>
          <w:iCs w:val="1"/>
          <w:color w:val="auto"/>
        </w:rPr>
        <w:t>Item 302 “Supplementary Financial Information”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Item 303 “Management’s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(“MD&amp;A”). The intent of this new rule is to (i) eliminate duplicative</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disclosures, (ii) enhance and promote more principles-based MD&amp;A disclosures with the objective of making them more meaningful for investors, all while (iii) simplifying the compliance requirements and efforts for registrants, by providing them with the flexibility to present management’s perspective on the registrant’s financial condition and results of operations. While most of the changes involve reducing or eliminating previously required information and disclosures, the rule does expand the disclosure requirements surrounding certain aspects of the various items in Regulation S-K discussed above. The final rule was published in the Federal Register on January 11, 2021, is effective thirty days after its publication date, or February 10, 2021, and registrants are required to comply with this final rule in the registrant’s first fiscal year ending on or after the date that is 210 days after the publication date. The Company evaluated this SEC final rule, which was adopted and incorporated in this filing, and it did not have a material impact on this current SEC filing nor is it expected to have a material impact on future SEC filings.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 Yet to be Adopted</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 date, there have been no recent accounting pronouncement not yet effective that have significance, or potential significance, to our Consolidated Financial Statements.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derives revenue from the manufacture and sale of fiber optic networking products. Revenue is recognized when obligations under the terms of a contract with its customer are satisfied; generally this occurs with the transfer of control of products or services. Revenue is measured as the amount of consideration the Company expects to receive in exchange for transferring products or providing services. Certain customers may receive cash and/or non-cash incentives, which are accounted for as variable consideration. To achieve this core principle, the Company applies the following five steps: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1. Identify the contract with a customer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 contract with a customer exists when (i) the Company enters into an agreement with a customer that defines each party's rights regarding the products or services to be transferred and identifies the payment terms related to these products or services, (ii) both parties to the contract are committed to perform their respective obligations, (iii) the contract has commercial substance, and (iv) the Company determines that collection of substantially all consideration for products or services that are transferred is probable based on the customer's intent and ability to pay the promised consideration. The Company applies judgment in determining the customer's ability and intention to pay, which is based on a variety of factors including the customer's payment history or, in the case of a new customer, published credit and financial information pertaining to the customer.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 Identify the performance obligations in the contract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Performance obligations promised in a contract are identified based on the products or services that will be transferred to the customer that are both capable of being distinct, whereby the customer can benefit from the product or service either on its own or together with other resources that are readily available from third parties or from the Company, and are distinct in the context of the contract, whereby the transfer of the products or services is separately identifiable from other promises in the contract. To the extent a contract includes multiple promised products or services, the Company must apply judgment to determine whether promised products or services are capable of being distinct and distinct in the context of the contract. If these criteria are not met, the promised products or services are accounted for as a combined performance obligation. The Company has elected to account for shipping and handling activities as a fulfillment cost as permitted by the standard.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3. Determine the transaction price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transaction price is determined based on the consideration to which the Company will be entitled in exchange for transferring products or services to the customer. To the extent the transaction price is variable, revenue is recognized at an amount equal to the consideration to which the Company expects to be entitled. This estimate includes customer sales incentives which are accounted for as a reduction to revenue and estimated using either the expected value method or the most likely amount method, depending on the nature of the program. The Company will adjust its consideration for any rebates if it is more likely than not that the rebate conditions will be met.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 Allocate the transaction price to performance obligations in the contract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basis unless a portion of the variable consideration related to the contract is allocated entirely to a performance obligation. The Company determines standalone selling price based on the price at which the performance obligation is sold separately.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 Recognize revenue when or as the Company satisfies a performance obligation</w:t>
      </w:r>
      <w:r>
        <w:rPr>
          <w:sz w:val="1"/>
          <w:szCs w:val="1"/>
          <w:color w:val="auto"/>
        </w:rPr>
        <w:drawing>
          <wp:inline distT="0" distB="0" distL="0" distR="0">
            <wp:extent cx="34290" cy="12890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78">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generally satisfies performance obligations at a point in time. Revenue is recognized based on the transaction price at the time the related performance obligation is satisfied by transferring a promised product or service to a customer.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is classified based on the location of where the product is manufactured. For additional information on the disaggregated revenues by geographical region, see Note R, "Segments and Geographic Information.”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is also classified by major product category and is presented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8"/>
                <w:szCs w:val="18"/>
                <w:b w:val="1"/>
                <w:bCs w:val="1"/>
                <w:color w:val="auto"/>
                <w:w w:val="91"/>
              </w:rPr>
              <w:t>Years ended December 31,</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91"/>
        </w:trPr>
        <w:tc>
          <w:tcPr>
            <w:tcW w:w="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9"/>
              </w:rPr>
              <w:t>% of</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80"/>
              <w:spacing w:after="0" w:line="191"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34"/>
        </w:trPr>
        <w:tc>
          <w:tcPr>
            <w:tcW w:w="5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Revenue</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Data Center</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97,461</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173,437</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73.9%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143,562</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75.2%</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CATV</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94,266</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37,944</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16.2%</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37,328</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Telecom</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16,247</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21,092</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8,429</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420" w:type="dxa"/>
            <w:vAlign w:val="bottom"/>
          </w:tcPr>
          <w:p>
            <w:pPr>
              <w:spacing w:after="0"/>
              <w:rPr>
                <w:sz w:val="20"/>
                <w:szCs w:val="20"/>
                <w:color w:val="auto"/>
              </w:rPr>
            </w:pPr>
            <w:r>
              <w:rPr>
                <w:rFonts w:ascii="Arial" w:cs="Arial" w:eastAsia="Arial" w:hAnsi="Arial"/>
                <w:sz w:val="18"/>
                <w:szCs w:val="18"/>
                <w:color w:val="auto"/>
              </w:rPr>
              <w:t>FTTH</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957</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w:t>
            </w:r>
          </w:p>
        </w:tc>
        <w:tc>
          <w:tcPr>
            <w:tcW w:w="180" w:type="dxa"/>
            <w:vAlign w:val="bottom"/>
            <w:shd w:val="clear" w:color="auto" w:fill="CCEEFF"/>
          </w:tcPr>
          <w:p>
            <w:pPr>
              <w:spacing w:after="0"/>
              <w:rPr>
                <w:sz w:val="18"/>
                <w:szCs w:val="18"/>
                <w:color w:val="auto"/>
              </w:rPr>
            </w:pPr>
          </w:p>
        </w:tc>
        <w:tc>
          <w:tcPr>
            <w:tcW w:w="14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c>
          <w:tcPr>
            <w:tcW w:w="164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1420" w:type="dxa"/>
            <w:vAlign w:val="bottom"/>
          </w:tcPr>
          <w:p>
            <w:pPr>
              <w:ind w:left="16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211,565</w:t>
            </w:r>
          </w:p>
        </w:tc>
        <w:tc>
          <w:tcPr>
            <w:tcW w:w="18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234,623</w:t>
            </w:r>
          </w:p>
        </w:tc>
        <w:tc>
          <w:tcPr>
            <w:tcW w:w="1640" w:type="dxa"/>
            <w:vAlign w:val="bottom"/>
            <w:gridSpan w:val="3"/>
          </w:tcPr>
          <w:p>
            <w:pPr>
              <w:jc w:val="right"/>
              <w:ind w:right="120"/>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190,872</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100.0%</w:t>
            </w: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F- 15</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LEASES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leases space under non-cancellable operating leases for manufacturing facilities, research and development offices and certain storage facilities and apartments. These leases do not contain contingent rent provisions. The Company also leases certain machinery, office equipment and a vehicle under operating leases.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one or more options to renew which have been assessed and either includes or excludes from the calculation of the lease liability of the ROU asset based on management’s intentions and individual fact patterns. Several warehouses and apartments have non-cancellable lease terms of less than one-year and therefore, the Company has elected the practical expedient to exclude these short-term leases from its ROU asset and lease liabilities.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most of the Company’s leases do not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 for the periods indicated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Year ended</w:t>
            </w:r>
          </w:p>
        </w:tc>
        <w:tc>
          <w:tcPr>
            <w:tcW w:w="16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Year ended</w:t>
            </w:r>
          </w:p>
        </w:tc>
      </w:tr>
      <w:tr>
        <w:trPr>
          <w:trHeight w:val="216"/>
        </w:trPr>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w:t>
            </w:r>
          </w:p>
        </w:tc>
        <w:tc>
          <w:tcPr>
            <w:tcW w:w="16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5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Financing lease expense</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expense</w:t>
            </w: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r>
      <w:tr>
        <w:trPr>
          <w:trHeight w:val="20"/>
        </w:trPr>
        <w:tc>
          <w:tcPr>
            <w:tcW w:w="56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Arial" w:cs="Arial" w:eastAsia="Arial" w:hAnsi="Arial"/>
                <w:sz w:val="18"/>
                <w:szCs w:val="18"/>
                <w:color w:val="auto"/>
              </w:rPr>
              <w:t>Total lease expense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1,281</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1,368</w:t>
            </w: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are as follows for the future one-year periods ending December 31,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Financing</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1,327</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66</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1,231</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2025</w:t>
            </w: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1,257</w:t>
            </w: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1,197</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2027 and thereafter</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24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2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56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weighted average remaining lease term and discount rate for operating leases were as follows for the periods indicated:</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(Years) - operating leases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Weighted Average Remaining Lease Term (Years) - financing leases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1.83</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Discount Rate - operating leases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r>
      <w:tr>
        <w:trPr>
          <w:trHeight w:val="230"/>
        </w:trPr>
        <w:tc>
          <w:tcPr>
            <w:tcW w:w="5680" w:type="dxa"/>
            <w:vAlign w:val="bottom"/>
          </w:tcPr>
          <w:p>
            <w:pPr>
              <w:ind w:left="20"/>
              <w:spacing w:after="0"/>
              <w:rPr>
                <w:sz w:val="20"/>
                <w:szCs w:val="20"/>
                <w:color w:val="auto"/>
              </w:rPr>
            </w:pPr>
            <w:r>
              <w:rPr>
                <w:rFonts w:ascii="Arial" w:cs="Arial" w:eastAsia="Arial" w:hAnsi="Arial"/>
                <w:sz w:val="18"/>
                <w:szCs w:val="18"/>
                <w:color w:val="auto"/>
              </w:rPr>
              <w:t>Weighted Average Discount Rate - financing leases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5.00%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operating leases was as follows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Year ended</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Year ended</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Pr>
          <w:p>
            <w:pPr>
              <w:spacing w:after="0"/>
              <w:rPr>
                <w:sz w:val="18"/>
                <w:szCs w:val="18"/>
                <w:color w:val="auto"/>
              </w:rPr>
            </w:pP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0"/>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1,287</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1,351</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cash flows from financing lease</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Arial" w:cs="Arial" w:eastAsia="Arial" w:hAnsi="Arial"/>
                <w:sz w:val="18"/>
                <w:szCs w:val="18"/>
                <w:color w:val="auto"/>
              </w:rPr>
              <w:t>Financing cash flows from financing lease</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18</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1140" w:type="dxa"/>
            <w:vAlign w:val="bottom"/>
          </w:tcPr>
          <w:p>
            <w:pPr>
              <w:spacing w:after="0"/>
              <w:rPr>
                <w:sz w:val="18"/>
                <w:szCs w:val="18"/>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Right-of-use assets obtained in exchange for new operating lease liabilities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w:t>
            </w:r>
          </w:p>
        </w:tc>
        <w:tc>
          <w:tcPr>
            <w:tcW w:w="1140" w:type="dxa"/>
            <w:vAlign w:val="bottom"/>
          </w:tcPr>
          <w:p>
            <w:pPr>
              <w:spacing w:after="0"/>
              <w:rPr>
                <w:sz w:val="18"/>
                <w:szCs w:val="18"/>
                <w:color w:val="auto"/>
              </w:rPr>
            </w:pPr>
          </w:p>
        </w:tc>
      </w:tr>
      <w:tr>
        <w:trPr>
          <w:trHeight w:val="459"/>
        </w:trPr>
        <w:tc>
          <w:tcPr>
            <w:tcW w:w="1120" w:type="dxa"/>
            <w:vAlign w:val="bottom"/>
          </w:tcPr>
          <w:p>
            <w:pPr>
              <w:spacing w:after="0"/>
              <w:rPr>
                <w:sz w:val="24"/>
                <w:szCs w:val="24"/>
                <w:color w:val="auto"/>
              </w:rPr>
            </w:pPr>
          </w:p>
        </w:tc>
        <w:tc>
          <w:tcPr>
            <w:tcW w:w="5680" w:type="dxa"/>
            <w:vAlign w:val="bottom"/>
          </w:tcPr>
          <w:p>
            <w:pPr>
              <w:ind w:left="4320"/>
              <w:spacing w:after="0"/>
              <w:rPr>
                <w:sz w:val="20"/>
                <w:szCs w:val="20"/>
                <w:color w:val="auto"/>
              </w:rPr>
            </w:pPr>
            <w:r>
              <w:rPr>
                <w:rFonts w:ascii="Arial" w:cs="Arial" w:eastAsia="Arial" w:hAnsi="Arial"/>
                <w:sz w:val="18"/>
                <w:szCs w:val="18"/>
                <w:color w:val="auto"/>
              </w:rPr>
              <w:t>F- 16</w:t>
            </w: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20" w:type="dxa"/>
            <w:vAlign w:val="bottom"/>
            <w:tcBorders>
              <w:bottom w:val="single" w:sz="8" w:color="auto"/>
            </w:tcBorders>
          </w:tcPr>
          <w:p>
            <w:pPr>
              <w:spacing w:after="0"/>
              <w:rPr>
                <w:sz w:val="10"/>
                <w:szCs w:val="10"/>
                <w:color w:val="auto"/>
              </w:rPr>
            </w:pPr>
          </w:p>
        </w:tc>
        <w:tc>
          <w:tcPr>
            <w:tcW w:w="56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E—CASH, CASH EQUIVALENTS AND RESTRICTED CASH</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statement of financial position that sum to the total of the same such amounts in the statement of cash flows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43,425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Restricted cash</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6,689</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cash, cash equivalents and restricted cash shown in the statement of cash flows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50,114</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Restricted cash includes guarantee deposits for customs duties, China government subsidy fund, and compensating balances associated with certain credit facilities. As of December 31, 2021 and 2020, there was $3.0 million and $4.9 million of restricted cash required for bank acceptance notes issued to vendors, respectively. There was $2.4 million and $0.5 million certificate of deposit associated with credit facilities with a bank in China as of December 31, 2021 and 2020 respectively. There was $1.0 million guarantee deposits for customs duties as of December 31, 2021 and December 31, 2020.</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F—EARNINGS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loss per share has been computed using the weighted-average number of shares of common stock outstanding during the period. Diluted net loss per share has been computed using the weighted-average number of shares of common stock and dilutive potential common shares from options and restricted stock units outstanding during the period. In periods with net losses, normally dilutive shares become anti-dilutive. Therefore, basic and dilutive earnings per share are the same.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computation of the basic and diluted net loss per share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loss</w:t>
            </w:r>
          </w:p>
        </w:tc>
        <w:tc>
          <w:tcPr>
            <w:tcW w:w="19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(54,162)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(58,452)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(66,049)</w:t>
            </w: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Weighted average shares used to compute net loss 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26,912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w:t>
            </w:r>
          </w:p>
        </w:tc>
      </w:tr>
      <w:tr>
        <w:trPr>
          <w:trHeight w:val="216"/>
        </w:trPr>
        <w:tc>
          <w:tcPr>
            <w:tcW w:w="5300" w:type="dxa"/>
            <w:vAlign w:val="bottom"/>
          </w:tcPr>
          <w:p>
            <w:pPr>
              <w:ind w:left="180"/>
              <w:spacing w:after="0"/>
              <w:rPr>
                <w:sz w:val="20"/>
                <w:szCs w:val="20"/>
                <w:color w:val="auto"/>
              </w:rPr>
            </w:pPr>
            <w:r>
              <w:rPr>
                <w:rFonts w:ascii="Arial" w:cs="Arial" w:eastAsia="Arial" w:hAnsi="Arial"/>
                <w:sz w:val="18"/>
                <w:szCs w:val="18"/>
                <w:color w:val="auto"/>
              </w:rPr>
              <w:t>Effect of dilutive options and restricted stock units</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26,912</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19,982</w:t>
            </w: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Net loss per share</w:t>
            </w: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92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w:t>
            </w:r>
          </w:p>
        </w:tc>
      </w:tr>
      <w:tr>
        <w:trPr>
          <w:trHeight w:val="230"/>
        </w:trPr>
        <w:tc>
          <w:tcPr>
            <w:tcW w:w="53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92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(3.31)</w:t>
            </w:r>
          </w:p>
        </w:tc>
      </w:tr>
    </w:tbl>
    <w:p>
      <w:pPr>
        <w:spacing w:after="0" w:line="200" w:lineRule="exact"/>
        <w:rPr>
          <w:sz w:val="20"/>
          <w:szCs w:val="20"/>
          <w:color w:val="auto"/>
        </w:rPr>
      </w:pPr>
    </w:p>
    <w:p>
      <w:pPr>
        <w:spacing w:after="0" w:line="20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diluted net loss per share as their effect would have been antidilutive (in thousands):</w:t>
      </w:r>
    </w:p>
    <w:p>
      <w:pPr>
        <w:spacing w:after="0" w:line="166" w:lineRule="exact"/>
        <w:rPr>
          <w:sz w:val="20"/>
          <w:szCs w:val="20"/>
          <w:color w:val="auto"/>
        </w:rPr>
      </w:pPr>
    </w:p>
    <w:p>
      <w:pPr>
        <w:ind w:left="822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60" w:type="dxa"/>
            <w:vAlign w:val="bottom"/>
            <w:gridSpan w:val="2"/>
          </w:tcPr>
          <w:p>
            <w:pPr>
              <w:spacing w:after="0"/>
              <w:rPr>
                <w:sz w:val="18"/>
                <w:szCs w:val="18"/>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7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for convertible senior notes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4,587</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09"/>
        </w:trPr>
        <w:tc>
          <w:tcPr>
            <w:tcW w:w="7360" w:type="dxa"/>
            <w:vAlign w:val="bottom"/>
            <w:gridSpan w:val="2"/>
          </w:tcPr>
          <w:p>
            <w:pPr>
              <w:ind w:left="560"/>
              <w:spacing w:after="0"/>
              <w:rPr>
                <w:sz w:val="20"/>
                <w:szCs w:val="20"/>
                <w:color w:val="auto"/>
              </w:rPr>
            </w:pPr>
            <w:r>
              <w:rPr>
                <w:rFonts w:ascii="Arial" w:cs="Arial" w:eastAsia="Arial" w:hAnsi="Arial"/>
                <w:sz w:val="18"/>
                <w:szCs w:val="18"/>
                <w:color w:val="auto"/>
              </w:rPr>
              <w:t>Total antidilutive shares</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4,593</w:t>
            </w:r>
          </w:p>
        </w:tc>
        <w:tc>
          <w:tcPr>
            <w:tcW w:w="20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7800" w:type="dxa"/>
            <w:vAlign w:val="bottom"/>
            <w:gridSpan w:val="2"/>
          </w:tcPr>
          <w:p>
            <w:pPr>
              <w:ind w:left="4860"/>
              <w:spacing w:after="0"/>
              <w:rPr>
                <w:sz w:val="20"/>
                <w:szCs w:val="20"/>
                <w:color w:val="auto"/>
              </w:rPr>
            </w:pPr>
            <w:r>
              <w:rPr>
                <w:rFonts w:ascii="Arial" w:cs="Arial" w:eastAsia="Arial" w:hAnsi="Arial"/>
                <w:sz w:val="18"/>
                <w:szCs w:val="18"/>
                <w:color w:val="auto"/>
              </w:rPr>
              <w:t>F- 17</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678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G—INVENTORIES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2021 and 2020, inventories consisted of the following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220" w:type="dxa"/>
            <w:vAlign w:val="bottom"/>
          </w:tcPr>
          <w:p>
            <w:pPr>
              <w:spacing w:after="0"/>
              <w:rPr>
                <w:sz w:val="20"/>
                <w:szCs w:val="20"/>
                <w:color w:val="auto"/>
              </w:rPr>
            </w:pPr>
          </w:p>
        </w:tc>
        <w:tc>
          <w:tcPr>
            <w:tcW w:w="266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As of December 31,</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29,469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25,555</w:t>
            </w:r>
          </w:p>
        </w:tc>
      </w:tr>
      <w:tr>
        <w:trPr>
          <w:trHeight w:val="216"/>
        </w:trPr>
        <w:tc>
          <w:tcPr>
            <w:tcW w:w="6220" w:type="dxa"/>
            <w:vAlign w:val="bottom"/>
          </w:tcPr>
          <w:p>
            <w:pPr>
              <w:ind w:left="20"/>
              <w:spacing w:after="0"/>
              <w:rPr>
                <w:sz w:val="20"/>
                <w:szCs w:val="20"/>
                <w:color w:val="auto"/>
              </w:rPr>
            </w:pPr>
            <w:r>
              <w:rPr>
                <w:rFonts w:ascii="Arial" w:cs="Arial" w:eastAsia="Arial" w:hAnsi="Arial"/>
                <w:sz w:val="18"/>
                <w:szCs w:val="18"/>
                <w:color w:val="auto"/>
              </w:rPr>
              <w:t>Work in process and sub-assemblies</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41,528</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52,544</w:t>
            </w: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21,519</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32,298</w:t>
            </w:r>
          </w:p>
        </w:tc>
      </w:tr>
      <w:tr>
        <w:trPr>
          <w:trHeight w:val="20"/>
        </w:trPr>
        <w:tc>
          <w:tcPr>
            <w:tcW w:w="622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6220" w:type="dxa"/>
            <w:vAlign w:val="bottom"/>
          </w:tcPr>
          <w:p>
            <w:pPr>
              <w:ind w:left="20"/>
              <w:spacing w:after="0"/>
              <w:rPr>
                <w:sz w:val="20"/>
                <w:szCs w:val="20"/>
                <w:color w:val="auto"/>
              </w:rPr>
            </w:pPr>
            <w:r>
              <w:rPr>
                <w:rFonts w:ascii="Arial" w:cs="Arial" w:eastAsia="Arial" w:hAnsi="Arial"/>
                <w:sz w:val="18"/>
                <w:szCs w:val="18"/>
                <w:color w:val="auto"/>
              </w:rPr>
              <w:t>Total inventory</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92,516</w:t>
            </w:r>
          </w:p>
        </w:tc>
        <w:tc>
          <w:tcPr>
            <w:tcW w:w="18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110,397</w:t>
            </w:r>
          </w:p>
        </w:tc>
      </w:tr>
      <w:tr>
        <w:trPr>
          <w:trHeight w:val="20"/>
        </w:trPr>
        <w:tc>
          <w:tcPr>
            <w:tcW w:w="6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For the years ended December 31, 2021, 2020 and 2019, the lower of cost or market reserve adjustment expensed for inventory was $3.9 million, $3.9 million, and $6.8 million, respectively. For the years December 31, 2021, 2020 and 2019, the direct inventory write-offs related to scrap, discontinued products, and damaged inventories were $16.8 million, $20.4 million, and $13.4 million, respectively.</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H—PROPERTY, PLANT AND EQUIPMENT</w:t>
            </w: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ind w:left="660"/>
              <w:spacing w:after="0"/>
              <w:rPr>
                <w:sz w:val="20"/>
                <w:szCs w:val="20"/>
                <w:color w:val="auto"/>
              </w:rPr>
            </w:pPr>
            <w:r>
              <w:rPr>
                <w:rFonts w:ascii="Arial" w:cs="Arial" w:eastAsia="Arial" w:hAnsi="Arial"/>
                <w:sz w:val="18"/>
                <w:szCs w:val="18"/>
                <w:color w:val="auto"/>
                <w:w w:val="95"/>
              </w:rPr>
              <w:t>Property, plant and equipment consisted of the following for the periods indicated (in thousands):</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88,280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253,738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5,658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5,540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360,975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4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(167,772)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(142,434)</w:t>
            </w:r>
          </w:p>
        </w:tc>
      </w:tr>
      <w:tr>
        <w:trPr>
          <w:trHeight w:val="209"/>
        </w:trPr>
        <w:tc>
          <w:tcPr>
            <w:tcW w:w="80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218,541</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33,342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w:t>
            </w:r>
          </w:p>
        </w:tc>
        <w:tc>
          <w:tcPr>
            <w:tcW w:w="4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Total property, plant and equipment, net</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243,035</w:t>
            </w:r>
          </w:p>
        </w:tc>
        <w:tc>
          <w:tcPr>
            <w:tcW w:w="12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252,984</w:t>
            </w:r>
          </w:p>
        </w:tc>
      </w:tr>
      <w:tr>
        <w:trPr>
          <w:trHeight w:val="20"/>
        </w:trPr>
        <w:tc>
          <w:tcPr>
            <w:tcW w:w="80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years ended December 31, 2021, 2020 and 2019, depreciation expense of property, plant and equipment was $24.8 million, $24.2 million, and $23.5 million, respectively. For the years December 31, 2021, 2020 and 2019, the capitalized interest was $0.9 million, $0.4 million, and $0.2 million, respectively.</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As of December 31, 2021, the Company concluded that its continued loss history constitutes a triggering event as described in ASC 360-10-35-21,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The Company performed a recoverability test and concluded that future undiscounted cash flows exceed the carrying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Company’s long-lived assets and therefore no impairment charge was recorded.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2021</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assets, net</w:t>
            </w:r>
          </w:p>
        </w:tc>
        <w:tc>
          <w:tcPr>
            <w:tcW w:w="100" w:type="dxa"/>
            <w:vAlign w:val="bottom"/>
          </w:tcPr>
          <w:p>
            <w:pPr>
              <w:spacing w:after="0"/>
              <w:rPr>
                <w:sz w:val="20"/>
                <w:szCs w:val="20"/>
                <w:color w:val="auto"/>
              </w:rPr>
            </w:pPr>
          </w:p>
        </w:tc>
      </w:tr>
      <w:tr>
        <w:trPr>
          <w:trHeight w:val="20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8,597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(4,779)</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3,818</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8,632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(4,796)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3,836</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4"/>
              </w:rPr>
              <w:t>December 31, 2020</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9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Gross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right"/>
              <w:ind w:right="340"/>
              <w:spacing w:after="0" w:line="191" w:lineRule="exact"/>
              <w:rPr>
                <w:sz w:val="20"/>
                <w:szCs w:val="20"/>
                <w:color w:val="auto"/>
              </w:rPr>
            </w:pPr>
            <w:r>
              <w:rPr>
                <w:rFonts w:ascii="Arial" w:cs="Arial" w:eastAsia="Arial" w:hAnsi="Arial"/>
                <w:sz w:val="18"/>
                <w:szCs w:val="18"/>
                <w:b w:val="1"/>
                <w:bCs w:val="1"/>
                <w:color w:val="auto"/>
                <w:w w:val="93"/>
              </w:rPr>
              <w:t>Accumulated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Intangible</w:t>
            </w:r>
          </w:p>
        </w:tc>
        <w:tc>
          <w:tcPr>
            <w:tcW w:w="100" w:type="dxa"/>
            <w:vAlign w:val="bottom"/>
          </w:tcPr>
          <w:p>
            <w:pPr>
              <w:spacing w:after="0"/>
              <w:rPr>
                <w:sz w:val="16"/>
                <w:szCs w:val="16"/>
                <w:color w:val="auto"/>
              </w:rPr>
            </w:pPr>
          </w:p>
        </w:tc>
      </w:tr>
      <w:tr>
        <w:trPr>
          <w:trHeight w:val="234"/>
        </w:trPr>
        <w:tc>
          <w:tcPr>
            <w:tcW w:w="3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amortization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assets, net</w:t>
            </w:r>
          </w:p>
        </w:tc>
        <w:tc>
          <w:tcPr>
            <w:tcW w:w="100" w:type="dxa"/>
            <w:vAlign w:val="bottom"/>
          </w:tcPr>
          <w:p>
            <w:pPr>
              <w:spacing w:after="0"/>
              <w:rPr>
                <w:sz w:val="20"/>
                <w:szCs w:val="20"/>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8,158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(4,165)</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Trademarks</w:t>
            </w:r>
          </w:p>
        </w:tc>
        <w:tc>
          <w:tcPr>
            <w:tcW w:w="2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39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342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8,179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3,999</w:t>
            </w:r>
          </w:p>
        </w:tc>
      </w:tr>
      <w:tr>
        <w:trPr>
          <w:trHeight w:val="20"/>
        </w:trPr>
        <w:tc>
          <w:tcPr>
            <w:tcW w:w="396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years ended December 31, 2021, 2020 and 2019, amortization expense for intangible assets, included in general and administrative expenses on the income statement, was $0.5 million each year. The remaining weighted average amortization period for intangible assets is approximately six years.</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w w:val="95"/>
              </w:rPr>
              <w:t>At December 31, 2021, future amortization expense for intangible assets is estimated to be (in thousands):</w:t>
            </w:r>
          </w:p>
        </w:tc>
        <w:tc>
          <w:tcPr>
            <w:tcW w:w="6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vMerge w:val="restart"/>
          </w:tcPr>
          <w:p>
            <w:pPr>
              <w:spacing w:after="0"/>
              <w:rPr>
                <w:sz w:val="18"/>
                <w:szCs w:val="18"/>
                <w:color w:val="auto"/>
              </w:rPr>
            </w:pPr>
          </w:p>
        </w:tc>
        <w:tc>
          <w:tcPr>
            <w:tcW w:w="7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vMerge w:val="continue"/>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79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9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J—FAIR VALUE OF FINANCIAL INSTRUMENTS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2021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Quoted prices</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active</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markets for</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remaining</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assets (Level</w:t>
            </w: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inputs (Level</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34,656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34,656</w:t>
            </w: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6,480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6,480</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Note receivable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8,148</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8,148</w:t>
            </w: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49,284</w:t>
            </w:r>
          </w:p>
        </w:tc>
      </w:tr>
      <w:tr>
        <w:trPr>
          <w:trHeight w:val="196"/>
        </w:trPr>
        <w:tc>
          <w:tcPr>
            <w:tcW w:w="37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Liabilities:</w:t>
            </w:r>
          </w:p>
        </w:tc>
        <w:tc>
          <w:tcPr>
            <w:tcW w:w="2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3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acceptance payable</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8,198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8,198</w:t>
            </w:r>
          </w:p>
        </w:tc>
      </w:tr>
      <w:tr>
        <w:trPr>
          <w:trHeight w:val="216"/>
        </w:trPr>
        <w:tc>
          <w:tcPr>
            <w:tcW w:w="3740" w:type="dxa"/>
            <w:vAlign w:val="bottom"/>
          </w:tcPr>
          <w:p>
            <w:pPr>
              <w:ind w:left="180"/>
              <w:spacing w:after="0"/>
              <w:rPr>
                <w:sz w:val="20"/>
                <w:szCs w:val="20"/>
                <w:color w:val="auto"/>
              </w:rPr>
            </w:pPr>
            <w:r>
              <w:rPr>
                <w:rFonts w:ascii="Arial" w:cs="Arial" w:eastAsia="Arial" w:hAnsi="Arial"/>
                <w:sz w:val="18"/>
                <w:szCs w:val="18"/>
                <w:color w:val="auto"/>
              </w:rPr>
              <w:t>Convertible senior notes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67,588</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67,588</w:t>
            </w:r>
          </w:p>
        </w:tc>
      </w:tr>
      <w:tr>
        <w:trPr>
          <w:trHeight w:val="20"/>
        </w:trPr>
        <w:tc>
          <w:tcPr>
            <w:tcW w:w="3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75,786</w:t>
            </w:r>
          </w:p>
        </w:tc>
      </w:tr>
      <w:tr>
        <w:trPr>
          <w:trHeight w:val="412"/>
        </w:trPr>
        <w:tc>
          <w:tcPr>
            <w:tcW w:w="3740" w:type="dxa"/>
            <w:vAlign w:val="bottom"/>
            <w:tcBorders>
              <w:top w:val="single" w:sz="8" w:color="CCEEFF"/>
            </w:tcBorders>
          </w:tcPr>
          <w:p>
            <w:pPr>
              <w:spacing w:after="0"/>
              <w:rPr>
                <w:sz w:val="24"/>
                <w:szCs w:val="24"/>
                <w:color w:val="auto"/>
              </w:rPr>
            </w:pPr>
          </w:p>
        </w:tc>
        <w:tc>
          <w:tcPr>
            <w:tcW w:w="2240" w:type="dxa"/>
            <w:vAlign w:val="bottom"/>
            <w:tcBorders>
              <w:top w:val="single" w:sz="8" w:color="CCEEFF"/>
            </w:tcBorders>
          </w:tcPr>
          <w:p>
            <w:pPr>
              <w:ind w:left="1700"/>
              <w:spacing w:after="0"/>
              <w:rPr>
                <w:sz w:val="20"/>
                <w:szCs w:val="20"/>
                <w:color w:val="auto"/>
              </w:rPr>
            </w:pPr>
            <w:r>
              <w:rPr>
                <w:rFonts w:ascii="Arial" w:cs="Arial" w:eastAsia="Arial" w:hAnsi="Arial"/>
                <w:sz w:val="18"/>
                <w:szCs w:val="18"/>
                <w:color w:val="auto"/>
              </w:rPr>
              <w:t>F- 19</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74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as of December 31,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7"/>
              </w:rPr>
              <w:t>Quoted prices</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in active</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markets for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observable</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Significant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identical</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remaining</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unobservable</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assets (Level</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inputs (Level</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0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Arial" w:cs="Arial" w:eastAsia="Arial" w:hAnsi="Arial"/>
                <w:sz w:val="18"/>
                <w:szCs w:val="18"/>
                <w:b w:val="1"/>
                <w:bCs w:val="1"/>
                <w:color w:val="auto"/>
                <w:w w:val="99"/>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9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43,425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43,425</w:t>
            </w: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r>
      <w:tr>
        <w:trPr>
          <w:trHeight w:val="216"/>
        </w:trPr>
        <w:tc>
          <w:tcPr>
            <w:tcW w:w="4040" w:type="dxa"/>
            <w:vAlign w:val="bottom"/>
          </w:tcPr>
          <w:p>
            <w:pPr>
              <w:ind w:left="180"/>
              <w:spacing w:after="0"/>
              <w:rPr>
                <w:sz w:val="20"/>
                <w:szCs w:val="20"/>
                <w:color w:val="auto"/>
              </w:rPr>
            </w:pPr>
            <w:r>
              <w:rPr>
                <w:rFonts w:ascii="Arial" w:cs="Arial" w:eastAsia="Arial" w:hAnsi="Arial"/>
                <w:sz w:val="18"/>
                <w:szCs w:val="18"/>
                <w:color w:val="auto"/>
              </w:rPr>
              <w:t>Note receivable</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r>
      <w:tr>
        <w:trPr>
          <w:trHeight w:val="20"/>
        </w:trPr>
        <w:tc>
          <w:tcPr>
            <w:tcW w:w="4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50,515</w:t>
            </w:r>
          </w:p>
        </w:tc>
      </w:tr>
      <w:tr>
        <w:trPr>
          <w:trHeight w:val="197"/>
        </w:trPr>
        <w:tc>
          <w:tcPr>
            <w:tcW w:w="40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Liabilities:</w:t>
            </w:r>
          </w:p>
        </w:tc>
        <w:tc>
          <w:tcPr>
            <w:tcW w:w="19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acceptance payable</w:t>
            </w:r>
          </w:p>
        </w:tc>
        <w:tc>
          <w:tcPr>
            <w:tcW w:w="1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15,860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Convertible senior notes</w:t>
            </w:r>
          </w:p>
        </w:tc>
        <w:tc>
          <w:tcPr>
            <w:tcW w:w="1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70,225</w:t>
            </w:r>
          </w:p>
        </w:tc>
        <w:tc>
          <w:tcPr>
            <w:tcW w:w="120" w:type="dxa"/>
            <w:vAlign w:val="bottom"/>
          </w:tcPr>
          <w:p>
            <w:pPr>
              <w:spacing w:after="0"/>
              <w:rPr>
                <w:sz w:val="18"/>
                <w:szCs w:val="18"/>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70,225</w:t>
            </w:r>
          </w:p>
        </w:tc>
      </w:tr>
      <w:tr>
        <w:trPr>
          <w:trHeight w:val="20"/>
        </w:trPr>
        <w:tc>
          <w:tcPr>
            <w:tcW w:w="40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86,085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86,085</w:t>
            </w:r>
          </w:p>
        </w:tc>
      </w:tr>
      <w:tr>
        <w:trPr>
          <w:trHeight w:val="20"/>
        </w:trPr>
        <w:tc>
          <w:tcPr>
            <w:tcW w:w="40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K—NOTES PAYABLE AND LONG-TERM DEBT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 payable and long-term debt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w w:val="94"/>
              </w:rPr>
              <w:t>Revolving line of credit with a U.S. bank up to $20,000 with interest at LIBOR plus 1.5% , maturing April 2,</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18,700</w:t>
            </w: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Revolving line of credit with a U.S. bank up to $20,000 with interest at SOFR plus 1.56% , maturing April</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15, 2023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14,373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Paycheck Protection Program Term Note with interest at fixed rate 1.0%, maturing April 16, 2022</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6,229</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w w:val="97"/>
              </w:rPr>
              <w:t>Revolving line of credit with a Taiwan bank up to $3,436 with 2.2% interest, maturing January 31, 2021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w:t>
            </w: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3.5% interest, maturing January 21,</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1,941</w:t>
            </w: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Notes payable to a finance company due in monthly installments with 3.1% interest, maturing January 21,</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2,149</w:t>
            </w:r>
          </w:p>
        </w:tc>
      </w:tr>
      <w:tr>
        <w:trPr>
          <w:trHeight w:val="202"/>
        </w:trPr>
        <w:tc>
          <w:tcPr>
            <w:tcW w:w="8020" w:type="dxa"/>
            <w:vAlign w:val="bottom"/>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$8,917 with interest ranging from 4.5%, maturing October</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15, 2021</w:t>
            </w:r>
          </w:p>
        </w:tc>
        <w:tc>
          <w:tcPr>
            <w:tcW w:w="16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2,299</w:t>
            </w:r>
          </w:p>
        </w:tc>
      </w:tr>
      <w:tr>
        <w:trPr>
          <w:trHeight w:val="202"/>
        </w:trPr>
        <w:tc>
          <w:tcPr>
            <w:tcW w:w="8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Revolving line of credit with a China bank up to $25,449 with interest from 3.01% to 4.57%, maturing May</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24, 2024</w:t>
            </w: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19,595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11,603</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Credit facility with a China bank up to $14,125 with interest of 3.5%, maturing January 1, 2024</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13,044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with a China bank up to $7,167 with interest of 5.7%, maturing from June 20, 2022</w:t>
            </w: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Sub-total</w:t>
            </w: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54,711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52,187</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debt issuance costs, net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r>
      <w:tr>
        <w:trPr>
          <w:trHeight w:val="210"/>
        </w:trPr>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Grand total</w:t>
            </w: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54,689</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52,169</w:t>
            </w:r>
          </w:p>
        </w:tc>
        <w:tc>
          <w:tcPr>
            <w:tcW w:w="100" w:type="dxa"/>
            <w:vAlign w:val="bottom"/>
            <w:tcBorders>
              <w:top w:val="single" w:sz="8" w:color="CCEEFF"/>
            </w:tcBorders>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(49,689)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(38,265)</w:t>
            </w:r>
          </w:p>
        </w:tc>
      </w:tr>
      <w:tr>
        <w:trPr>
          <w:trHeight w:val="210"/>
        </w:trPr>
        <w:tc>
          <w:tcPr>
            <w:tcW w:w="8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Non-current portion</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13,904</w:t>
            </w:r>
          </w:p>
        </w:tc>
        <w:tc>
          <w:tcPr>
            <w:tcW w:w="100" w:type="dxa"/>
            <w:vAlign w:val="bottom"/>
            <w:tcBorders>
              <w:top w:val="single" w:sz="8" w:color="CCEEFF"/>
            </w:tcBorders>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rPr>
          <w:sz w:val="20"/>
          <w:szCs w:val="20"/>
          <w:color w:val="auto"/>
        </w:rPr>
      </w:pPr>
      <w:r>
        <w:rPr>
          <w:rFonts w:ascii="Arial" w:cs="Arial" w:eastAsia="Arial" w:hAnsi="Arial"/>
          <w:sz w:val="18"/>
          <w:szCs w:val="18"/>
          <w:b w:val="1"/>
          <w:bCs w:val="1"/>
          <w:color w:val="auto"/>
        </w:rPr>
        <w:t>Bank Acceptance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2348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left="660" w:right="100" w:hanging="647"/>
        <w:spacing w:after="0" w:line="500" w:lineRule="auto"/>
        <w:rPr>
          <w:sz w:val="20"/>
          <w:szCs w:val="20"/>
          <w:color w:val="auto"/>
        </w:rPr>
      </w:pPr>
      <w:r>
        <w:rPr>
          <w:rFonts w:ascii="Arial" w:cs="Arial" w:eastAsia="Arial" w:hAnsi="Arial"/>
          <w:sz w:val="18"/>
          <w:szCs w:val="18"/>
          <w:color w:val="auto"/>
        </w:rPr>
        <w:t>Bank acceptance notes issued to vendors with a zero percent interest rate</w:t>
      </w:r>
      <w:r>
        <w:rPr>
          <w:sz w:val="20"/>
          <w:szCs w:val="20"/>
          <w:color w:val="auto"/>
        </w:rPr>
        <w:t xml:space="preserve"> </w:t>
      </w:r>
      <w:r>
        <w:rPr>
          <w:rFonts w:ascii="Arial" w:cs="Arial" w:eastAsia="Arial" w:hAnsi="Arial"/>
          <w:sz w:val="18"/>
          <w:szCs w:val="18"/>
          <w:color w:val="auto"/>
        </w:rPr>
        <w:t>$ 8,198 $ 15,860 The current portion of long-term debt is the amount payable within one year of the balance sheet date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-538480</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F- 20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notes payable and long-term debt are as follows for the future years ending December 31 (in thousands):</w:t>
      </w:r>
    </w:p>
    <w:p>
      <w:pPr>
        <w:spacing w:after="0" w:line="239"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49,689</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5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5,000</w:t>
            </w:r>
          </w:p>
        </w:tc>
      </w:tr>
      <w:tr>
        <w:trPr>
          <w:trHeight w:val="23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outstanding</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54,689</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September 28, 2017, the Company entered into a Loan Agreement (“Loan Agreement”), a Promissory Note, an Addendum to the Promissory Note, a Security Agreement, a Trademark Security Agreement, and a Patent Security Agreement (together the “Credit Facility”) with Truist Bank (which acquired Branch Banking and Trust Company or BB&amp;T in connection with a merger in December 2019)</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Company’s obligations under the Credit Facility are secured by the Company’s accounts receivable, inventory, intellectual property, and all business assets with the exception of real estate and equipment.</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September 30, 2019, the Company executed a Fourth Amendment to Loan Agreement (the “Fourth Amendment”) with Truist Bank. Under the terms of the Fourth Amendment (i) the maximum commitment under the line of credit was reduced from $25,000,000 to $20,000,000; (ii) the maturity date of the line of credit was extended to April 2, 2021; </w:t>
      </w:r>
      <w:r>
        <w:rPr>
          <w:rFonts w:ascii="Arial" w:cs="Arial" w:eastAsia="Arial" w:hAnsi="Arial"/>
          <w:sz w:val="17"/>
          <w:szCs w:val="17"/>
          <w:i w:val="1"/>
          <w:iCs w:val="1"/>
          <w:color w:val="auto"/>
        </w:rPr>
        <w:t>(</w:t>
      </w:r>
      <w:r>
        <w:rPr>
          <w:rFonts w:ascii="Arial" w:cs="Arial" w:eastAsia="Arial" w:hAnsi="Arial"/>
          <w:sz w:val="17"/>
          <w:szCs w:val="17"/>
          <w:color w:val="auto"/>
        </w:rPr>
        <w:t>iii) pricing of the unused line fee was adjusted to 0.30% per annum; and (iv) the Fourth Amendment established the requirement that if, at any time during any reporting period and pursuant to the most recent loan base report received by Truist Bank, the principal balance outstanding under the line of credit exceeds the lesser of the approved maximum amount of the line of credit commitment amount or the collateral loan value reduced by the reserves, the Company shall immediately prepay the line of credit to the extent necessary to eliminate such excess. Such reserves shall, at any time that the fixed charge coverage ratio for the loan is less than 1.5 to 1.0, tested for the period of twelve months ended on the applicable covenant measurement date, equal to an amount equal to seventy-five percent (75%) of the lesser of the line of credit commitment amount or collateral loan value reduced by the sum of (i) the principal balance outstanding under the line of credit, (ii) the letter of credit exposure reserve, and (iii) the availability reserve as determined by Truist Bank from the most recent loan base report and otherwise in the sole discretion of Truist Bank after consideration of collections.</w:t>
      </w:r>
    </w:p>
    <w:p>
      <w:pPr>
        <w:spacing w:after="0" w:line="18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April 5, 2021, the Company executed a Fifth Amendment to the Loan Agreement (the "Fifth Amendment") and a Fourth Amendment to a Security Agreement, a Note Modification Agreement, and an Addendum to a Promissory Note (together with the Fifth Amendment, the “Fifth Amended Credit Facility”) with Truist Bank. The Amended Credit Facility renews the $20 million line of credit with Truist Bank originally entered into on September 28, 2017. Under the terms of the Fifth Amended Credit Facility, the maturity date of the line of credit is extended from April 2, 2021 to October 15, 2022. Borrowings will bear interest at a rate equal to LIBOR plus 1.5%, with a LIBOR floor of 0.75%.</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December 29, 2021, the Company executed a Sixth Amendment to the Loan Agreement (the "Sixth Amendment") and a Fifth Amendment to Security Agreement, a Note Modification Agreement, and an Addendum to Promissory Note (together the "Sixth Amended Credit Facility") with Truist Bank. The Sixth Amended Credit Facility extends the $20 million line of credit, originally entered into on September 28, 2017, until April 15, 2023. Borrowings will bear interest at a rate equal to the Secured Overnight Financing Rate (SOFR) plus 1.56%, with a SOFR floor of 0.75%. As of December 31, 2021, the Company had $14.4 million outstanding and was in compliance with all covenants under the Sixth Amended Credit Facility.</w:t>
      </w:r>
    </w:p>
    <w:p>
      <w:pPr>
        <w:spacing w:after="0" w:line="16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April 17, 2020, the Company entered into a term note ("PPP Term Note") with Truist Bank, with a principal amount of $6.23 million pursuant to the Paycheck Protection Program (“PPP”) under the Coronavirus Aid, Relief, and Economic Security Act (the “CARES Act”). The PPP loan is evidenced by a promissory note. The PPP Term Note bears interest at a fixed annual rate of 1.00%, with the first six months of interest deferred. Beginning in November 2020, the Company is required to make 18 equal monthly payments of principal and interest with the final payment due in April 2022. The</w:t>
      </w:r>
    </w:p>
    <w:p>
      <w:pPr>
        <w:spacing w:after="0" w:line="1" w:lineRule="exact"/>
        <w:rPr>
          <w:sz w:val="20"/>
          <w:szCs w:val="20"/>
          <w:color w:val="auto"/>
        </w:rPr>
      </w:pPr>
    </w:p>
    <w:p>
      <w:pPr>
        <w:jc w:val="both"/>
        <w:ind w:firstLine="8"/>
        <w:spacing w:after="0" w:line="273" w:lineRule="auto"/>
        <w:tabs>
          <w:tab w:leader="none" w:pos="359" w:val="left"/>
        </w:tabs>
        <w:numPr>
          <w:ilvl w:val="0"/>
          <w:numId w:val="55"/>
        </w:numPr>
        <w:rPr>
          <w:rFonts w:ascii="Arial" w:cs="Arial" w:eastAsia="Arial" w:hAnsi="Arial"/>
          <w:sz w:val="17"/>
          <w:szCs w:val="17"/>
          <w:color w:val="auto"/>
        </w:rPr>
      </w:pPr>
      <w:r>
        <w:rPr>
          <w:rFonts w:ascii="Arial" w:cs="Arial" w:eastAsia="Arial" w:hAnsi="Arial"/>
          <w:sz w:val="17"/>
          <w:szCs w:val="17"/>
          <w:color w:val="auto"/>
        </w:rPr>
        <w:t>Term Note may be accelerated upon the occurrence of an event of default. The PPP Term Note is unsecured and guaranteed by the United States Small Business Administration ("SBA"). On June 14, 2021, the Company received notification from Truist Bank that the SBA approved the Company's application for forgiveness of the entire principal amount of the PPP Term Note, plus all accrued interest. The forgiveness of the PPP Term Note has been recognized as other income for the year ended December 31, 2021</w:t>
      </w:r>
      <w:r>
        <w:rPr>
          <w:rFonts w:ascii="Arial" w:cs="Arial" w:eastAsia="Arial" w:hAnsi="Arial"/>
          <w:sz w:val="17"/>
          <w:szCs w:val="17"/>
          <w:i w:val="1"/>
          <w:iCs w:val="1"/>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On September 15, 2020, Prime World entered into an Amendment to the Finance Lease Agreements dated November 29, 2018 and January 21, 2019 </w:t>
      </w:r>
      <w:r>
        <w:rPr>
          <w:rFonts w:ascii="Arial" w:cs="Arial" w:eastAsia="Arial" w:hAnsi="Arial"/>
          <w:sz w:val="17"/>
          <w:szCs w:val="17"/>
          <w:i w:val="1"/>
          <w:iCs w:val="1"/>
          <w:color w:val="auto"/>
        </w:rPr>
        <w:t>(</w:t>
      </w:r>
      <w:r>
        <w:rPr>
          <w:rFonts w:ascii="Arial" w:cs="Arial" w:eastAsia="Arial" w:hAnsi="Arial"/>
          <w:sz w:val="17"/>
          <w:szCs w:val="17"/>
          <w:color w:val="auto"/>
        </w:rPr>
        <w:t xml:space="preserve">the “Amendment”) with Chailease Finance Co., Ltd. (“Chailease”). The Amendment amends the Finance Lease Agreements, dated November 29, 2018 and January 21, 2019 </w:t>
      </w:r>
      <w:r>
        <w:rPr>
          <w:rFonts w:ascii="Arial" w:cs="Arial" w:eastAsia="Arial" w:hAnsi="Arial"/>
          <w:sz w:val="17"/>
          <w:szCs w:val="17"/>
          <w:i w:val="1"/>
          <w:iCs w:val="1"/>
          <w:color w:val="auto"/>
        </w:rPr>
        <w:t>(</w:t>
      </w:r>
      <w:r>
        <w:rPr>
          <w:rFonts w:ascii="Arial" w:cs="Arial" w:eastAsia="Arial" w:hAnsi="Arial"/>
          <w:sz w:val="17"/>
          <w:szCs w:val="17"/>
          <w:color w:val="auto"/>
        </w:rPr>
        <w:t>hereafter collectively referred to as the “Original Finance Agreements”). Pursuant to the Amendment, Prime World agrees to pay Chailease NT$22,311,381, or approximately $0.8 million for certain leased equipment listed in the Amendment (the “Leased Equipment”). This payment will include all outstanding lease payments, costs and expenses; simultaneously, Chailease agrees to transfer title of such Leased Equipment back to Prime World. Regarding all other equipment contemplated in the Original Finance Agreements but not listed in the Amendment, pursuant to the terms and conditions made under the Original Finance Agreements, Prime World is obligated to pay Chailease monthly lease payments which total NT$159,027,448, or approximately $5.5 million (the “Lease Payments”). The Lease Payments will begin on September 21, 2020 with the last lease payment due on January 21, 2022, title of all other equipment contemplated under the Original Finance Agreements but not listed in the Amendment will transfer to Prime World upon completion of the lease payments and expiration of the Original Finance Agreements. As of December 31, 2021, the Company has fully repaid the November 29, 2018 Finance Lease Agreement, and the Company had $0.2 million outstanding under the January 21, 2019 Finance Lease Agreement.</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7, 2020</w:t>
      </w:r>
      <w:r>
        <w:rPr>
          <w:rFonts w:ascii="Arial" w:cs="Arial" w:eastAsia="Arial" w:hAnsi="Arial"/>
          <w:sz w:val="17"/>
          <w:szCs w:val="17"/>
          <w:i w:val="1"/>
          <w:iCs w:val="1"/>
          <w:color w:val="auto"/>
        </w:rPr>
        <w:t>,</w:t>
      </w:r>
      <w:r>
        <w:rPr>
          <w:rFonts w:ascii="Arial" w:cs="Arial" w:eastAsia="Arial" w:hAnsi="Arial"/>
          <w:sz w:val="17"/>
          <w:szCs w:val="17"/>
          <w:color w:val="auto"/>
        </w:rPr>
        <w:t xml:space="preserve"> Prime World entered into a revolving credit facility totaling NT$100 million, or approximately $3.44 million (the “NT$100M Credit Line”) and a $1 million USD credit line (the “US$1M Credit Line”) with Taishin International Bank in Taiwan ("Taishin"). Borrowing under the NT$100M Credit Line will be used for short-term working capital; borrowing under the US$1M Credit Line will be strictly used for spot transactions in the foreign exchange market. The NT$100M Credit Line and the US$1M Credit Line are collectively referred to as the “Taishin Credit Facility”. On January 14, 2021, the NT$100M Credit Line with Taishin was extended for three (3) months until April 14, 2021. Prime World may draw upon the Taishin Credit Facility from October 7, 2020 through April 14, 2021. The term of each draw under the NT$100M Credit Line shall be either 90 or 120 days and will bear interest at a rate of 2.15% for each draw; borrowings under the US$1M Credit Line will bear interest equal to Taishin’s foreign exchange rate effective on the day of the applicable draw. At the end of the draw term Prime World will make payment for all principal and accrued interest. Prime World’s obligations under the Taishin Credit Facility will be secured by a promissory note between Prime World and Taishin. As of December 31, 2021, the Company has fully repaid the Taishin Credit Facility.</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April 19, 2019, the Company’s China subsidiary, Global, entered into a twelve (12) month revolving line of credit agreement, totaling 60,000,000 RMB, or approximately $8.9 million, (the “China Merchants Credit Line”), with China Merchants Bank Co., Ltd., in Ningbo, China (“China Merchants”). The China Merchants Credit Line will be used by Global for general corporate purposes, including the issuance of bank acceptance notes to Global’s vendors. On April 14, 2020, the China Merchants Credit Line was extended for twelve (12) months. Global may draw upon the China Merchants Credit Line from April 19, 2019 until October 14, 2020 (the “Credit Period”). During the Credit Period, Global may request to draw upon the China Merchants Credit Line on an as-needed basis; however, the amount of available credit under the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China Merchants’ commercial banking interest rate effective on the day of the applicable draw. Global’s obligations under the China Merchants Credit Line are unsecured. The China Merchants Credit Line has been replaced by the Replacement China Merchants Credit Line on October 19, 2020.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May 24, 2019, the Company’s China subsidiary, Global, entered into a five-year revolving credit line agreement, totaling 180,000,000 RMB (the “SPD Credit Line”), or approximately $25.4 million, and a mortgage security agreement, with Shanghai Pudong Development Bank Co., Ltd ("SPD"). Borrowing under the SPD Credit Line will be used for general corporate and capital investment purposes, including the issuance of bank acceptance notes to Global’s vendors. The total SPD Credit Line of 180 million RMB is inclusive of all credit facilities previously entered into with SPD including: a 30 million RMB credit facility entered into on May 7, 2019; and a 9.9 million RMB credit facility entered into on April 30, 2019. Global may draw upon the SPD Credit Line on an as-needed basis at any time during the 5-year term; however, draws under the SPD Credit Line may 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mortgage security agreement. As of December 31, 2021, $19.6 million was outstanding under the SPD Credit Line and the outstanding balance of bank acceptance notes issued to vendors was $5.4 million.</w:t>
      </w:r>
    </w:p>
    <w:p>
      <w:pPr>
        <w:spacing w:after="0" w:line="16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On June 21, 2019, the Company’s China subsidiary, Global, entered into an 18 month credit facility totaling 100,000,000 RMB (the “¥100M Credit Facility”), or approximately $14.1 million, with China Zheshang Bank Co., Ltd., in Ningbo City, China (“CZB”). Borrowing under the ¥100M Credit Facility will be used by Global for general corporate purposes. On January 6, 2021, the ¥100M Credit Facility with CZB was extended for three (3) years until January 5, 2024. Global may draw upon the ¥100M Credit Facility from June 21, 2019 until January 5, 2024 </w:t>
      </w:r>
      <w:r>
        <w:rPr>
          <w:rFonts w:ascii="Arial" w:cs="Arial" w:eastAsia="Arial" w:hAnsi="Arial"/>
          <w:sz w:val="18"/>
          <w:szCs w:val="18"/>
          <w:i w:val="1"/>
          <w:iCs w:val="1"/>
          <w:color w:val="auto"/>
        </w:rPr>
        <w:t>(</w:t>
      </w:r>
      <w:r>
        <w:rPr>
          <w:rFonts w:ascii="Arial" w:cs="Arial" w:eastAsia="Arial" w:hAnsi="Arial"/>
          <w:sz w:val="18"/>
          <w:szCs w:val="18"/>
          <w:color w:val="auto"/>
        </w:rPr>
        <w:t>the “¥100M Credit Period”). During the ¥100M Credit Period, Global may request to draw upon the ¥100M Credit Facility on an as-needed basis; however, draws under the ¥100M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¥100M Credit Facility will be secured by real property owned by Global and mortgaged to CZB under the terms of the Real Estate Security Agreement. The agreements for the ¥100M Credit Facility and the Real Estate Security Agreement also contain rights and obligations, representations and warranties, and events of default applicable to the Company that are customary for agreements of this type. As of December 31, 2021, $13.0 million was outstanding under the ¥100M Credit Facility and the outstanding balance of bank acceptance notes issued to vendors was $2.7 million.</w:t>
      </w:r>
    </w:p>
    <w:p>
      <w:pPr>
        <w:spacing w:after="0" w:line="20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On June 21, 2019, the Company’s China subsidiary, Global, entered into a three-year credit facility totaling 50,000,000 RMB (the “¥50M Credit Facility”), or approximately $7.1 million, with CZB. Borrowing under the ¥50M Credit Facility will be used by Global for general corporate purposes. Global may draw upon the ¥50M Credit Facility from June 21, 2019 until June 20, 2022 </w:t>
      </w:r>
      <w:r>
        <w:rPr>
          <w:rFonts w:ascii="Arial" w:cs="Arial" w:eastAsia="Arial" w:hAnsi="Arial"/>
          <w:sz w:val="17"/>
          <w:szCs w:val="17"/>
          <w:i w:val="1"/>
          <w:iCs w:val="1"/>
          <w:color w:val="auto"/>
        </w:rPr>
        <w:t>(</w:t>
      </w:r>
      <w:r>
        <w:rPr>
          <w:rFonts w:ascii="Arial" w:cs="Arial" w:eastAsia="Arial" w:hAnsi="Arial"/>
          <w:sz w:val="17"/>
          <w:szCs w:val="17"/>
          <w:color w:val="auto"/>
        </w:rPr>
        <w:t>the “¥50M Credit Period”). During the ¥50M Credit Period, Global may request to draw upon the ¥50M Credit Facility on an as-needed basis; however, draws under the ¥50M Credit Facility may become due and repayable to CZB at CZB’s discretion due to changes in Chinese government regulations and/or changes in Global’s financial and operational condition. Each draw will bear interest equal to CZB’s commercial banking interest rate effective on the day of the applicable draw. Global’s obligations under the ¥50M Credit Facility will be secured by machinery and equipment owned by Global and mortgaged to CZB under the terms of the Machinery and Equipment Security Agreement. As of December 31, 2021, $7.5 million was outstanding under the ¥50M Credit Facility.</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19, 2020, the Company’s China subsidiary, Global entered into a new twelve (12) month revolving line of credit agreement, totaling 60,000,000 RMB, or approximately $8.9 million (the “Replacement China Merchants Credit Line”), with China Merchants, to replace the original China Merchants Credit Line. The Replacement China Merchants Credit Line will be used by Global for general corporate purposes. Global may draw upon the Replacement China Merchants Credit Line during the period from October 16, 2020 until October 15, 2021. During such period, Global may request to draw upon the Replacement China Merchants Credit Line on an as-needed basis; however, the amount of available credit under the Replacement China Merchants Credit Line and the approval of each draw may be reduced or declined by China Merchants due to changes in Chinese government regulations and/or changes in Global’s financial and operational condition at the time of each requested draw. Each draw will bear interest equal to the China Merchants’ commercial banking interest rate effective on the day of the applicable draw. Global’s obligations under the Replacement China Merchants Credit Line is unsecured. As of December 31, 2021, there was no outstanding amount under the Replacement China Merchants Credit Line and the outstanding balance of bank acceptance notes issued to vendors was $0.1 million.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and 2020, the Company had $7.4 million and $28.7 million of unused borrowing capacity, respectively.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and 2020, there was each $5.4 million restricted cash, investments or security deposit associated mainly with the loan facilities,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L—CONVERTIBLE SENIOR NOTES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March 5, 2019, the Company issued $80.5 million of 5% convertible senior notes due 2024 (the “Notes”). The Notes were issued pursuant to an indenture, dated as of March 5, 2019 (the “Indenture”), between the Company and Wells Fargo Bank, National Association, as trustee, paying agent, and conversion agent (the “Trustee”). The Notes bear interest at a rate of 5.00% per year, payable in cash semi-annually in arrears on March 15 and September 15 of each year, beginning on September 15, 2019. The Notes will mature on March 15, 2024, unless earlier repurchased, redeemed or converted in accordance with their terms.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sale of the Notes generated net proceeds of $76.4 million, after deducting the Initial Purchasers’ discounts and offering expenses payable by the Company. The Company used approximately $37.8 million of the net proceeds from the offering to fully repay the CapEx Loan and Term Loan with BB&amp;T and the remainder will be used for general corporate purposes.</w:t>
      </w:r>
    </w:p>
    <w:p>
      <w:pPr>
        <w:spacing w:after="0" w:line="184"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w w:val="95"/>
              </w:rPr>
              <w:t>The following table presents the carrying value of the Notes for the periods indicated (in thousands):</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26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26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r>
      <w:tr>
        <w:trPr>
          <w:trHeight w:val="209"/>
        </w:trPr>
        <w:tc>
          <w:tcPr>
            <w:tcW w:w="26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Principal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80,500</w:t>
            </w:r>
          </w:p>
        </w:tc>
      </w:tr>
      <w:tr>
        <w:trPr>
          <w:trHeight w:val="216"/>
        </w:trPr>
        <w:tc>
          <w:tcPr>
            <w:tcW w:w="260" w:type="dxa"/>
            <w:vAlign w:val="bottom"/>
          </w:tcPr>
          <w:p>
            <w:pPr>
              <w:spacing w:after="0"/>
              <w:rPr>
                <w:sz w:val="18"/>
                <w:szCs w:val="18"/>
                <w:color w:val="auto"/>
              </w:rPr>
            </w:pPr>
          </w:p>
        </w:tc>
        <w:tc>
          <w:tcPr>
            <w:tcW w:w="738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1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(1,820)</w:t>
            </w:r>
          </w:p>
        </w:tc>
      </w:tr>
      <w:tr>
        <w:trPr>
          <w:trHeight w:val="20"/>
        </w:trPr>
        <w:tc>
          <w:tcPr>
            <w:tcW w:w="2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260" w:type="dxa"/>
            <w:vAlign w:val="bottom"/>
          </w:tcPr>
          <w:p>
            <w:pPr>
              <w:spacing w:after="0"/>
              <w:rPr>
                <w:sz w:val="19"/>
                <w:szCs w:val="19"/>
                <w:color w:val="auto"/>
              </w:rPr>
            </w:pPr>
          </w:p>
        </w:tc>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carrying amount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78,680</w:t>
            </w:r>
          </w:p>
        </w:tc>
      </w:tr>
      <w:tr>
        <w:trPr>
          <w:trHeight w:val="20"/>
        </w:trPr>
        <w:tc>
          <w:tcPr>
            <w:tcW w:w="260" w:type="dxa"/>
            <w:vAlign w:val="bottom"/>
          </w:tcPr>
          <w:p>
            <w:pPr>
              <w:spacing w:after="0" w:line="20" w:lineRule="exact"/>
              <w:rPr>
                <w:sz w:val="1"/>
                <w:szCs w:val="1"/>
                <w:color w:val="auto"/>
              </w:rPr>
            </w:pPr>
          </w:p>
        </w:tc>
        <w:tc>
          <w:tcPr>
            <w:tcW w:w="7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Notes are convertible at the option of holders of the Notes at any time until the close of business on the scheduled trading day immediately preceding the maturity date. Upon conversion, holders of the Notes will receive shares of the Company’s common stock, together, if applicable, with cash in lieu of any fractional share, at the then-applicable conversion rate. The initial conversion rate is 56.9801 shares of the Company’s common stock per $1,000 principal amount of Notes (representing an initial conversion price of approximately $17.55 per share of common stock, which represents an initial conversion premium of approximately 30% above the closing price of $13.50 per share of the Company’s common stock on February 28, 2019), subject to customary adjustments. If a make-whole fundamental change (as defined in the Indenture) occurs, and in connection with certain other conversions before March 15, 2022, the Company will in certain circumstances increase the conversion rate for a specified period of time.</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Initially there are no guarantors of the Notes, but the Notes will be fully and unconditionally guaranteed, on a senior, unsecured basis by certain of the Company’s future domestic subsidiaries. The Notes are the Company’s senior, unsecured obligations and are equal in right of payment with existing and future senior, unsecured indebtedness, senior in right of payment to the Company’s existing and future indebtedness that is expressly subordinated to the Notes and effectively subordinated to the Company’s existing and future secured indebtedness, to the extent of the value of the collateral securing that indebtedness. The Note Guarantee (as defined in the Indenture) of each future guarantor, if any, will be such guarantor’s senior, unsecured obligations and are equal in right of payment with existing and future senior, unsecured indebtedness, senior in right of payment to such future guarantor’s existing and future indebtedness that is expressly subordinated to the Notes and effectively subordinated to such future guarantor’s existing and future secured indebtedness, to the extent of the value of the collateral securing that indebtedness.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Holders may require the Company to repurchase their Notes upon the occurrence of a fundamental change (as defined in the Indenture) at a cash purchase price equal to the principal amount thereof plus accrued and unpaid interest, if any.</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may not redeem the Notes prior to March 15, 2022. On or after March 15, 2022, the Company may redeem for cash all or part of the Notes if the last reported sale price per share of the Company’s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redemption notice. The redemption price is equal to 100% of the principal amount of the notes to be redeemed, plus accrued and unpaid interest to, but excluding, the redemption date. In addition, calling any Note for redemption will constitute a “make-whole fundamental change” with respect to that Note, in which case the conversion rate applicable to the conversion of that Note will be increased in certain circumstances if it is converted after it is called for redemption.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 contains covenants that limit the Company’s ability and the ability of our subsidiaries to, among other things: (i) incur or guarantee additional indebtedness or issue disqualified stock; and (ii) create or incur liens.</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Pursuant to the guidance in ASC 815-40, </w:t>
      </w:r>
      <w:r>
        <w:rPr>
          <w:rFonts w:ascii="Arial" w:cs="Arial" w:eastAsia="Arial" w:hAnsi="Arial"/>
          <w:sz w:val="16"/>
          <w:szCs w:val="16"/>
          <w:i w:val="1"/>
          <w:iCs w:val="1"/>
          <w:color w:val="auto"/>
        </w:rPr>
        <w:t>Contracts in Entity’s Own Equity</w:t>
      </w:r>
      <w:r>
        <w:rPr>
          <w:rFonts w:ascii="Arial" w:cs="Arial" w:eastAsia="Arial" w:hAnsi="Arial"/>
          <w:sz w:val="16"/>
          <w:szCs w:val="16"/>
          <w:color w:val="auto"/>
        </w:rPr>
        <w:t xml:space="preserve">, the Company evaluated whether the conversion feature of the note needed to be bifurcated from the host instrument as a freestanding financial instrument. Under ASC 815-40, to qualify for equity classification (or non-bifurcation, if embedded) the instrument (or embedded feature) must be both (1) indexed to the issuer’s own stock and (2) meet the requirements of the equity classification guidance. Based upon the Company’s analysis, it was determined the conversion option is indexed to its own stock and also met all the criteria for equity classification contained in ASC 815-40-25-7 and 815-40-25-10. Accordingly, the conversion option is not required to be bifurcated from the host instrument as a freestanding financial instrument. Since the conversion feature meets the equity scope exception from derivative accounting, the Company then evaluated whether the conversion feature needed to be separately accounted for as an equity component under ASC 470-20, </w:t>
      </w:r>
      <w:r>
        <w:rPr>
          <w:rFonts w:ascii="Arial" w:cs="Arial" w:eastAsia="Arial" w:hAnsi="Arial"/>
          <w:sz w:val="16"/>
          <w:szCs w:val="16"/>
          <w:i w:val="1"/>
          <w:iCs w:val="1"/>
          <w:color w:val="auto"/>
        </w:rPr>
        <w:t>Debt with</w:t>
      </w:r>
      <w:r>
        <w:rPr>
          <w:rFonts w:ascii="Arial" w:cs="Arial" w:eastAsia="Arial" w:hAnsi="Arial"/>
          <w:sz w:val="16"/>
          <w:szCs w:val="16"/>
          <w:color w:val="auto"/>
        </w:rPr>
        <w:t xml:space="preserve"> </w:t>
      </w:r>
      <w:r>
        <w:rPr>
          <w:rFonts w:ascii="Arial" w:cs="Arial" w:eastAsia="Arial" w:hAnsi="Arial"/>
          <w:sz w:val="16"/>
          <w:szCs w:val="16"/>
          <w:i w:val="1"/>
          <w:iCs w:val="1"/>
          <w:color w:val="auto"/>
        </w:rPr>
        <w:t>Conversion and Other Options</w:t>
      </w:r>
      <w:r>
        <w:rPr>
          <w:rFonts w:ascii="Arial" w:cs="Arial" w:eastAsia="Arial" w:hAnsi="Arial"/>
          <w:sz w:val="16"/>
          <w:szCs w:val="16"/>
          <w:color w:val="auto"/>
        </w:rPr>
        <w:t>. The Company determined that notes should be accounted for in their entirety as a liability.</w:t>
      </w:r>
    </w:p>
    <w:p>
      <w:pPr>
        <w:spacing w:after="0" w:line="165" w:lineRule="exact"/>
        <w:rPr>
          <w:sz w:val="20"/>
          <w:szCs w:val="20"/>
          <w:color w:val="auto"/>
        </w:rPr>
      </w:pPr>
    </w:p>
    <w:p>
      <w:pPr>
        <w:ind w:left="180" w:right="20" w:firstLine="495"/>
        <w:spacing w:after="0" w:line="342" w:lineRule="auto"/>
        <w:rPr>
          <w:sz w:val="20"/>
          <w:szCs w:val="20"/>
          <w:color w:val="auto"/>
        </w:rPr>
      </w:pPr>
      <w:r>
        <w:rPr>
          <w:rFonts w:ascii="Arial" w:cs="Arial" w:eastAsia="Arial" w:hAnsi="Arial"/>
          <w:sz w:val="16"/>
          <w:szCs w:val="16"/>
          <w:color w:val="auto"/>
        </w:rPr>
        <w:t>The Company incurred approximately $4.1 million in transaction costs in connection with the issuance of the Notes. These costs were recognized as a reduction of the carrying amount of the Notes utilizing the effective interest method and are being amortized over the term of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interest expense information related to the Notes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81"/>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56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4,025</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4,025</w:t>
            </w: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831</w:t>
            </w:r>
          </w:p>
        </w:tc>
      </w:tr>
      <w:tr>
        <w:trPr>
          <w:trHeight w:val="20"/>
        </w:trPr>
        <w:tc>
          <w:tcPr>
            <w:tcW w:w="55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interest cost</w:t>
            </w:r>
          </w:p>
        </w:tc>
        <w:tc>
          <w:tcPr>
            <w:tcW w:w="1020" w:type="dxa"/>
            <w:vAlign w:val="bottom"/>
            <w:shd w:val="clear" w:color="auto" w:fill="CCEEFF"/>
          </w:tcPr>
          <w:p>
            <w:pPr>
              <w:jc w:val="right"/>
              <w:ind w:right="858"/>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4,851</w:t>
            </w:r>
          </w:p>
        </w:tc>
        <w:tc>
          <w:tcPr>
            <w:tcW w:w="1020" w:type="dxa"/>
            <w:vAlign w:val="bottom"/>
            <w:shd w:val="clear" w:color="auto" w:fill="CCEEFF"/>
          </w:tcPr>
          <w:p>
            <w:pPr>
              <w:jc w:val="right"/>
              <w:ind w:right="86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4,856</w:t>
            </w: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560" w:type="dxa"/>
            <w:vAlign w:val="bottom"/>
          </w:tcPr>
          <w:p>
            <w:pPr>
              <w:ind w:left="20"/>
              <w:spacing w:after="0"/>
              <w:rPr>
                <w:sz w:val="20"/>
                <w:szCs w:val="20"/>
                <w:color w:val="auto"/>
              </w:rPr>
            </w:pPr>
            <w:r>
              <w:rPr>
                <w:rFonts w:ascii="Arial" w:cs="Arial" w:eastAsia="Arial" w:hAnsi="Arial"/>
                <w:sz w:val="18"/>
                <w:szCs w:val="18"/>
                <w:color w:val="auto"/>
              </w:rPr>
              <w:t>Effective interest rate</w:t>
            </w:r>
          </w:p>
        </w:tc>
        <w:tc>
          <w:tcPr>
            <w:tcW w:w="10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0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w:t>
            </w: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8"/>
              </w:rPr>
              <w:t>December 31, 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6,516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state and local taxes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interest</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1,256</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Advance payments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product warranty</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703</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commission expenses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shipping and tariff expenses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Accrued other</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8"/>
                <w:szCs w:val="18"/>
                <w:color w:val="auto"/>
              </w:rPr>
            </w:pPr>
          </w:p>
        </w:tc>
      </w:tr>
      <w:tr>
        <w:trPr>
          <w:trHeight w:val="249"/>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9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40" w:type="dxa"/>
            <w:vAlign w:val="bottom"/>
            <w:tcBorders>
              <w:right w:val="single" w:sz="8" w:color="CCEEFF"/>
            </w:tcBorders>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15,587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18,511</w:t>
            </w:r>
          </w:p>
        </w:tc>
      </w:tr>
      <w:tr>
        <w:trPr>
          <w:trHeight w:val="656"/>
        </w:trPr>
        <w:tc>
          <w:tcPr>
            <w:tcW w:w="63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NOTE N—OTHER INCOME AND EXPENSE</w:t>
            </w:r>
          </w:p>
        </w:tc>
        <w:tc>
          <w:tcPr>
            <w:tcW w:w="96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8020" w:type="dxa"/>
            <w:vAlign w:val="bottom"/>
            <w:gridSpan w:val="4"/>
          </w:tcPr>
          <w:p>
            <w:pPr>
              <w:ind w:left="660"/>
              <w:spacing w:after="0"/>
              <w:rPr>
                <w:sz w:val="20"/>
                <w:szCs w:val="20"/>
                <w:color w:val="auto"/>
              </w:rPr>
            </w:pPr>
            <w:r>
              <w:rPr>
                <w:rFonts w:ascii="Arial" w:cs="Arial" w:eastAsia="Arial" w:hAnsi="Arial"/>
                <w:sz w:val="18"/>
                <w:szCs w:val="18"/>
                <w:color w:val="auto"/>
                <w:w w:val="98"/>
              </w:rPr>
              <w:t>Other income and expense consisted of the following for the periods indicated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3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 ended December 31,</w:t>
            </w: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340" w:type="dxa"/>
            <w:vAlign w:val="bottom"/>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transaction gain</w:t>
            </w:r>
          </w:p>
        </w:tc>
        <w:tc>
          <w:tcPr>
            <w:tcW w:w="960" w:type="dxa"/>
            <w:vAlign w:val="bottom"/>
            <w:shd w:val="clear" w:color="auto" w:fill="CCEEFF"/>
          </w:tcPr>
          <w:p>
            <w:pPr>
              <w:jc w:val="right"/>
              <w:ind w:right="836"/>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Government subsidy income</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1,345</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2,708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1,614</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non-operating gain</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Loan forgiveness</w:t>
            </w:r>
          </w:p>
        </w:tc>
        <w:tc>
          <w:tcPr>
            <w:tcW w:w="9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6,229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on disposal of assets</w:t>
            </w:r>
          </w:p>
        </w:tc>
        <w:tc>
          <w:tcPr>
            <w:tcW w:w="96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 other income, net</w:t>
            </w:r>
          </w:p>
        </w:tc>
        <w:tc>
          <w:tcPr>
            <w:tcW w:w="960" w:type="dxa"/>
            <w:vAlign w:val="bottom"/>
          </w:tcPr>
          <w:p>
            <w:pPr>
              <w:jc w:val="right"/>
              <w:ind w:right="836"/>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8,156</w:t>
            </w:r>
          </w:p>
        </w:tc>
        <w:tc>
          <w:tcPr>
            <w:tcW w:w="2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2,998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1,840</w:t>
            </w:r>
          </w:p>
        </w:tc>
      </w:tr>
      <w:tr>
        <w:trPr>
          <w:trHeight w:val="20"/>
        </w:trPr>
        <w:tc>
          <w:tcPr>
            <w:tcW w:w="6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O—INCOME TAXES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sources of the Company’s loss from operations before income taxes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ind w:left="480"/>
              <w:spacing w:after="0"/>
              <w:rPr>
                <w:sz w:val="20"/>
                <w:szCs w:val="20"/>
                <w:color w:val="auto"/>
              </w:rPr>
            </w:pPr>
            <w:r>
              <w:rPr>
                <w:rFonts w:ascii="Arial" w:cs="Arial" w:eastAsia="Arial" w:hAnsi="Arial"/>
                <w:sz w:val="18"/>
                <w:szCs w:val="18"/>
                <w:b w:val="1"/>
                <w:bCs w:val="1"/>
                <w:color w:val="auto"/>
                <w:w w:val="98"/>
              </w:rPr>
              <w:t>Years ended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8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4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(21,229)</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(20,288)</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(35,279)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Foreign</w:t>
            </w: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(32,931)</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(30,936)</w:t>
            </w:r>
          </w:p>
        </w:tc>
        <w:tc>
          <w:tcPr>
            <w:tcW w:w="30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(16,108)</w:t>
            </w:r>
          </w:p>
        </w:tc>
      </w:tr>
      <w:tr>
        <w:trPr>
          <w:trHeight w:val="20"/>
        </w:trPr>
        <w:tc>
          <w:tcPr>
            <w:tcW w:w="38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loss before income taxes</w:t>
            </w:r>
          </w:p>
        </w:tc>
        <w:tc>
          <w:tcPr>
            <w:tcW w:w="340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(54,160)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(51,224)</w:t>
            </w: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(51,387)</w:t>
            </w:r>
          </w:p>
        </w:tc>
      </w:tr>
      <w:tr>
        <w:trPr>
          <w:trHeight w:val="412"/>
        </w:trPr>
        <w:tc>
          <w:tcPr>
            <w:tcW w:w="3820" w:type="dxa"/>
            <w:vAlign w:val="bottom"/>
            <w:tcBorders>
              <w:top w:val="single" w:sz="8" w:color="CCEEFF"/>
            </w:tcBorders>
          </w:tcPr>
          <w:p>
            <w:pPr>
              <w:spacing w:after="0"/>
              <w:rPr>
                <w:sz w:val="24"/>
                <w:szCs w:val="24"/>
                <w:color w:val="auto"/>
              </w:rPr>
            </w:pPr>
          </w:p>
        </w:tc>
        <w:tc>
          <w:tcPr>
            <w:tcW w:w="2500" w:type="dxa"/>
            <w:vAlign w:val="bottom"/>
            <w:tcBorders>
              <w:top w:val="single" w:sz="8" w:color="CCEEFF"/>
            </w:tcBorders>
          </w:tcPr>
          <w:p>
            <w:pPr>
              <w:ind w:left="1620"/>
              <w:spacing w:after="0"/>
              <w:rPr>
                <w:sz w:val="20"/>
                <w:szCs w:val="20"/>
                <w:color w:val="auto"/>
              </w:rPr>
            </w:pPr>
            <w:r>
              <w:rPr>
                <w:rFonts w:ascii="Arial" w:cs="Arial" w:eastAsia="Arial" w:hAnsi="Arial"/>
                <w:sz w:val="18"/>
                <w:szCs w:val="18"/>
                <w:color w:val="auto"/>
              </w:rPr>
              <w:t>F- 25</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38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2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32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9600" w:type="dxa"/>
            <w:vAlign w:val="bottom"/>
            <w:gridSpan w:val="9"/>
          </w:tcPr>
          <w:p>
            <w:pPr>
              <w:ind w:left="660"/>
              <w:spacing w:after="0"/>
              <w:rPr>
                <w:sz w:val="20"/>
                <w:szCs w:val="20"/>
                <w:color w:val="auto"/>
              </w:rPr>
            </w:pPr>
            <w:r>
              <w:rPr>
                <w:rFonts w:ascii="Arial" w:cs="Arial" w:eastAsia="Arial" w:hAnsi="Arial"/>
                <w:sz w:val="18"/>
                <w:szCs w:val="18"/>
                <w:color w:val="auto"/>
                <w:w w:val="99"/>
              </w:rPr>
              <w:t>The provision for income tax expense (benefit) for the years ended December 31, was as follows (in thousands):</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420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0"/>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State</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0"/>
        </w:trPr>
        <w:tc>
          <w:tcPr>
            <w:tcW w:w="1280" w:type="dxa"/>
            <w:vAlign w:val="bottom"/>
            <w:shd w:val="clear" w:color="auto" w:fill="CCEEFF"/>
          </w:tcPr>
          <w:p>
            <w:pPr>
              <w:spacing w:after="0" w:line="20" w:lineRule="exact"/>
              <w:rPr>
                <w:sz w:val="1"/>
                <w:szCs w:val="1"/>
                <w:color w:val="auto"/>
              </w:rPr>
            </w:pPr>
          </w:p>
        </w:tc>
        <w:tc>
          <w:tcPr>
            <w:tcW w:w="29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Federal</w:t>
            </w:r>
          </w:p>
        </w:tc>
        <w:tc>
          <w:tcPr>
            <w:tcW w:w="2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16,375</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w:t>
            </w:r>
          </w:p>
        </w:tc>
        <w:tc>
          <w:tcPr>
            <w:tcW w:w="2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Foreign</w:t>
            </w:r>
          </w:p>
        </w:tc>
        <w:tc>
          <w:tcPr>
            <w:tcW w:w="2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(3,542)</w:t>
            </w:r>
          </w:p>
        </w:tc>
      </w:tr>
      <w:tr>
        <w:trPr>
          <w:trHeight w:val="20"/>
        </w:trPr>
        <w:tc>
          <w:tcPr>
            <w:tcW w:w="12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14,549</w:t>
            </w:r>
          </w:p>
        </w:tc>
      </w:tr>
      <w:tr>
        <w:trPr>
          <w:trHeight w:val="216"/>
        </w:trPr>
        <w:tc>
          <w:tcPr>
            <w:tcW w:w="12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7,228</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Deferred income tax assets and liabilities result principally from net operating losses, different methods of recognizing depreciation, reserves for doubtful accounts and inventory, research and development credits and foreign tax credits. At December 31, the net deferred tax assets and liabilities are comprised of the following approximate amounts (in thousands):</w:t>
      </w:r>
    </w:p>
    <w:p>
      <w:pPr>
        <w:spacing w:after="0" w:line="180"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NOL carryforward</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44,448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31,526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Inventory reserves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2,872</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2,241</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and losses</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tax credit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4,599</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9,879</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9,008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9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1,784</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ASC 842 Assets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1,740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1,671</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784</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67,820</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52,290</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(57,721)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(43,462)</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9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10,099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8,828</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(7,402)</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ASC 842 Liabilities</w:t>
            </w:r>
          </w:p>
        </w:tc>
        <w:tc>
          <w:tcPr>
            <w:tcW w:w="9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(1,499)</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(1,426)</w:t>
            </w:r>
          </w:p>
        </w:tc>
      </w:tr>
      <w:tr>
        <w:trPr>
          <w:trHeight w:val="20"/>
        </w:trPr>
        <w:tc>
          <w:tcPr>
            <w:tcW w:w="56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(10,099)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(8,828)</w:t>
            </w:r>
          </w:p>
        </w:tc>
      </w:tr>
      <w:tr>
        <w:trPr>
          <w:trHeight w:val="20"/>
        </w:trPr>
        <w:tc>
          <w:tcPr>
            <w:tcW w:w="56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has a U.S. net operating loss carry forward of approximately $104.8 million, $32.7 million of which, if unused, expires between 2026 and 2032 and $72.1 million of which, can be carried forward indefinitely. The Company has U.S. and state research and development tax credits of $9.9 million, which, if unused, expire between 2028 and 2041. In addition, the Company has foreign tax credits of $4.6 million, which, if unused, will expire in 2028. Utilization of U.S. net operating losses and tax credit carry forwards are subject to an annual limitation due to the ownership change limitations set forth in Internal Revenue Code Section 382. As of December 31, 2021, the Company had Taiwan net operating loss carry forwards of approximately $71.5 million and China net operating loss carry forwards of approximately $48.1 million. The carryforward period for the Taiwan net operating loss carry forwards is ten years, and the expiration period begins 2028. The carryforward period for China net operating loss carry forwards is five years, and the expiration period begins 2024.</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use of the existing deferred tax assets. A significant piece of objective negative evidence evaluated was the cumulative loss incurred over the three-year period ended December 31, 2021. Such objective evidence limits the ability to consider other subjective evidence, such as our projections for future growth.</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the basis of this evaluation, as of December 31, 2021 and December 31, 2020, a valuation allowance of $57.7 million and $43.5 million, respectively, has been recorded to recognize only the portion of the deferred tax asset that is more likely than not to be realized. During the years ended December 31, 2021 and 2020, the valuation allowance increased by $14.3 million and $17.7 million, respectively, primarily due to an increase in deferred tax assets with a full valuation allowance and recording a valuation allowance in certain jurisdictions. The amount of the deferred tax asset considered realizable, however, could be adjusted if estimates of future taxable income during the carryforward period are reduced or increased or if objective negative evidence in the form of cumulative losses is no longer present and additional weight is given to subjective evidence such as our projections for growth.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 in the deferred tax valuation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January 1</w:t>
            </w:r>
          </w:p>
        </w:tc>
        <w:tc>
          <w:tcPr>
            <w:tcW w:w="980" w:type="dxa"/>
            <w:vAlign w:val="bottom"/>
            <w:shd w:val="clear" w:color="auto" w:fill="CCEEFF"/>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43,462</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25,736</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Change charged to expense/(income)</w:t>
            </w:r>
          </w:p>
        </w:tc>
        <w:tc>
          <w:tcPr>
            <w:tcW w:w="9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13,822</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17,137</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25,736</w:t>
            </w:r>
          </w:p>
        </w:tc>
      </w:tr>
      <w:tr>
        <w:trPr>
          <w:trHeight w:val="216"/>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charged to currency translation adjustment</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Ending Balance, December 31</w:t>
            </w:r>
          </w:p>
        </w:tc>
        <w:tc>
          <w:tcPr>
            <w:tcW w:w="980" w:type="dxa"/>
            <w:vAlign w:val="bottom"/>
          </w:tcPr>
          <w:p>
            <w:pPr>
              <w:jc w:val="right"/>
              <w:ind w:right="821"/>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57,721</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43,462</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25,736</w:t>
            </w:r>
          </w:p>
        </w:tc>
      </w:tr>
      <w:tr>
        <w:trPr>
          <w:trHeight w:val="20"/>
        </w:trPr>
        <w:tc>
          <w:tcPr>
            <w:tcW w:w="50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reconciliation of the U.S. federal income tax rate of 21% for the years ended December 31, 2021, 2020 and 2019, respectively,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effective income tax rate follows (in thousands):</w:t>
      </w:r>
    </w:p>
    <w:p>
      <w:pPr>
        <w:spacing w:after="0" w:line="207"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taxes at statutory rate</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(11,374)</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(10,791)</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PPP loan forgiveness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(1,308)</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Non-deductible/non-taxable items</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962</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Foreign rate differences</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1,153</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590</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permanent differences</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(1,320)</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(671)</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Changes in valuation allowance</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13,822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17,137</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25,736</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9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607</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9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(872)</w:t>
            </w: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(744)</w:t>
            </w: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(1,616)</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Alternative Minimum Tax</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Foreign other</w:t>
            </w:r>
          </w:p>
        </w:tc>
        <w:tc>
          <w:tcPr>
            <w:tcW w:w="98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9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r>
      <w:tr>
        <w:trPr>
          <w:trHeight w:val="20"/>
        </w:trPr>
        <w:tc>
          <w:tcPr>
            <w:tcW w:w="39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960" w:type="dxa"/>
            <w:vAlign w:val="bottom"/>
          </w:tcPr>
          <w:p>
            <w:pPr>
              <w:ind w:left="20"/>
              <w:spacing w:after="0"/>
              <w:rPr>
                <w:sz w:val="20"/>
                <w:szCs w:val="20"/>
                <w:color w:val="auto"/>
              </w:rPr>
            </w:pPr>
            <w:r>
              <w:rPr>
                <w:rFonts w:ascii="Arial" w:cs="Arial" w:eastAsia="Arial" w:hAnsi="Arial"/>
                <w:sz w:val="18"/>
                <w:szCs w:val="18"/>
                <w:color w:val="auto"/>
              </w:rPr>
              <w:t>Tax (benefit) expense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7,228</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14,662</w:t>
            </w:r>
          </w:p>
        </w:tc>
      </w:tr>
      <w:tr>
        <w:trPr>
          <w:trHeight w:val="20"/>
        </w:trPr>
        <w:tc>
          <w:tcPr>
            <w:tcW w:w="3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provision for income taxes in 2021 was lower than 2020 primarily due to the change of the valuation allowance on the deferred tax assets.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provision for income taxes in 2020 was lower than 2019 due to the recognition of a valuation allowance on the deferred tax assets, along with excess tax expense from stock-based compensation, partially offset by differences in pre-tax income and recording research and development credits.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wholly owned subsidiary, Prime World is a tax-exempt entity under the Income Tax Code of the British Virgin Islands.</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wholly owned subsidiary, Global Technology, Inc., has enjoyed preferential tax concessions in China as a national high-tech enterprise. In March 2007, China’s parliament enacted the PRC Enterprise Income Tax Law, or the EIT Law, under which, effective January 1, 2008, China adopted a uniform income tax rate of 25% for all enterprises including foreign invested enterprises. Global Technology, Inc. was recognized as a National high-tech enterprise in 2008 and was entitled to a 15% tax rate for a three year period from November 2008 to November 2011. In 2011, 2014, and 2017, Global Technology, Inc. renewed its National high-tech enterprise certificate and therefore extended its three-year tax preferential status through November 2020. In December 2020, Global Technology, Inc. again renewed its National high-tech enterprise certificate and therefore extended its three-year tax preferential status from December 2020 until December 2023. This tax holiday reduced its 2021, 2020 and 2019 income tax provision by approximately $0.0 million, $1.4 million, and $1.0 million, respectively. This tax holiday reduced its fiscal 2021, 2020, and 2019 diluted earnings per share by approximately $0.00, $0.05, and $0.05 respectively. Effective January 1, 2016, China expanded the scope of the National high-tech enterprise to include additional deductions for qualifying research and development.</w:t>
      </w:r>
    </w:p>
    <w:p>
      <w:pPr>
        <w:spacing w:after="0" w:line="18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2021, 2020 and 2019, the total amount of unrecognized tax benefit was $0.2 million, $0.2 million, and $0.2 million, respectively. The following is a tabular reconciliation of the total amounts of unrecognized tax benefits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 January 1</w:t>
            </w:r>
          </w:p>
        </w:tc>
        <w:tc>
          <w:tcPr>
            <w:tcW w:w="29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Gross increases — tax positions in prior period</w:t>
            </w:r>
          </w:p>
        </w:tc>
        <w:tc>
          <w:tcPr>
            <w:tcW w:w="18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decreases — tax positions in prior period</w:t>
            </w:r>
          </w:p>
        </w:tc>
        <w:tc>
          <w:tcPr>
            <w:tcW w:w="1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440" w:type="dxa"/>
            <w:vAlign w:val="bottom"/>
            <w:shd w:val="clear" w:color="auto" w:fill="CCEEFF"/>
          </w:tcPr>
          <w:p>
            <w:pPr>
              <w:spacing w:after="0" w:line="20" w:lineRule="exact"/>
              <w:rPr>
                <w:sz w:val="1"/>
                <w:szCs w:val="1"/>
                <w:color w:val="auto"/>
              </w:rPr>
            </w:pPr>
          </w:p>
        </w:tc>
        <w:tc>
          <w:tcPr>
            <w:tcW w:w="18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440" w:type="dxa"/>
            <w:vAlign w:val="bottom"/>
          </w:tcPr>
          <w:p>
            <w:pPr>
              <w:spacing w:after="0"/>
              <w:rPr>
                <w:sz w:val="20"/>
                <w:szCs w:val="20"/>
                <w:color w:val="auto"/>
              </w:rPr>
            </w:pPr>
            <w:r>
              <w:rPr>
                <w:rFonts w:ascii="Arial" w:cs="Arial" w:eastAsia="Arial" w:hAnsi="Arial"/>
                <w:sz w:val="18"/>
                <w:szCs w:val="18"/>
                <w:color w:val="auto"/>
              </w:rPr>
              <w:t>Unrecognized tax benefits — December 31</w:t>
            </w:r>
          </w:p>
        </w:tc>
        <w:tc>
          <w:tcPr>
            <w:tcW w:w="294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181</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0"/>
        </w:trPr>
        <w:tc>
          <w:tcPr>
            <w:tcW w:w="4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40" w:type="dxa"/>
            <w:vAlign w:val="bottom"/>
          </w:tcPr>
          <w:p>
            <w:pPr>
              <w:spacing w:after="0"/>
              <w:rPr>
                <w:sz w:val="24"/>
                <w:szCs w:val="24"/>
                <w:color w:val="auto"/>
              </w:rPr>
            </w:pPr>
          </w:p>
        </w:tc>
        <w:tc>
          <w:tcPr>
            <w:tcW w:w="2940" w:type="dxa"/>
            <w:vAlign w:val="bottom"/>
            <w:gridSpan w:val="2"/>
          </w:tcPr>
          <w:p>
            <w:pPr>
              <w:jc w:val="right"/>
              <w:ind w:right="1470"/>
              <w:spacing w:after="0"/>
              <w:rPr>
                <w:sz w:val="20"/>
                <w:szCs w:val="20"/>
                <w:color w:val="auto"/>
              </w:rPr>
            </w:pPr>
            <w:r>
              <w:rPr>
                <w:rFonts w:ascii="Arial" w:cs="Arial" w:eastAsia="Arial" w:hAnsi="Arial"/>
                <w:sz w:val="18"/>
                <w:szCs w:val="18"/>
                <w:color w:val="auto"/>
              </w:rPr>
              <w:t>F- 27</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4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 recognizes interest accrued related to unrecognized tax benefits and penalties as income tax expense. Related to the unrecognized tax benefits noted above, it has not accrued penalties or interest during 2021 as a result of net operating losses. During 2020 or 2019, the Company also accrued no penalties or interest.</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is subject to taxation in the United States and various states and foreign jurisdictions. The Company’s open tax years subject to examination in the U.S. federal and state jurisdictions are 2018 through 2020. To the extent allowed by law, the taxing authorities may have the right to examine prior periods where net operating losses or tax credits were generated and carried forward, and make adjustments up to the amount of the net operating loss or tax credit carryforward. The Company is subject to examination for tax years 2011 forward for various foreign jurisdictions.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U.S. Tax Act significantly changed how the U.S. taxes corporations. The U.S. Tax Act requires complex computations to be performed that were not previously required by U.S. tax law, significant judgments to be made in interpretation of the provisions of the U.S. Tax Act, significant estimates in calculations, and the preparation and analysis of information not previously relevant or regularly produced. The U.S. Treasury Department, the IRS, and other standard-setting bodies will continue to interpret or issue guidance on how provisions of the U.S. Tax Act will be applied or otherwise administered. As future guidance is issued, the Company may make adjustments to amounts that we have previously recorded that may materially impact our provision for income taxes in the period in which the adjustments are made.</w:t>
      </w:r>
    </w:p>
    <w:p>
      <w:pPr>
        <w:spacing w:after="0" w:line="19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response to the COVID-19 pandemic, the CARES Act was signed into law on March 27, 2020. The CARES Act, among other things, includes tax provisions relating to refundable payroll tax credits, deferment of employer social security payments, net operating loss utilization and carryback periods, modifications to the net interest deduction limitations and technical corrections to tax depreciation methods for qualified improvement property (“QIP”). On December 27, 2020, the Taxpayer Certainty and Disaster Tax Relief Act of 2020 was enacted as part of the Consolidated Appropriations Act, 2021, followed by the American Rescue Plan Act on March 1, 2021. These recent laws, among many other provisions, expand and extend the Paycheck Protection Program (“PPP”), refundable employee retention tax credits previously made available under the CARES Act and allow a full deduction for business meals for the 2021 and 2022 tax years. During 2021, the Company recognized a tax benefit of $1.3 million on the non-taxable forgiveness of the</w:t>
      </w:r>
    </w:p>
    <w:p>
      <w:pPr>
        <w:spacing w:after="0" w:line="2" w:lineRule="exact"/>
        <w:rPr>
          <w:sz w:val="20"/>
          <w:szCs w:val="20"/>
          <w:color w:val="auto"/>
        </w:rPr>
      </w:pPr>
    </w:p>
    <w:p>
      <w:pPr>
        <w:ind w:firstLine="8"/>
        <w:spacing w:after="0" w:line="323" w:lineRule="auto"/>
        <w:tabs>
          <w:tab w:leader="none" w:pos="3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loan (see also Note K). However, the legislation had no material impact to income tax expense on the Company’s financial statements as a result of our valuation allowance.</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December 31, 2021, the Company does not have any accumulated undistributed earnings generated by foreign subsidiaries. The Company expects any earnings of foreign subsidiaries to be indefinitely invested outside the United States on the basis of estimates that future domestic cash generation will be sufficient to meet future domestic cash needs.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P—SHARE-BASED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Plans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board of directors and stockholders approved the following equity plans:</w:t>
      </w:r>
    </w:p>
    <w:p>
      <w:pPr>
        <w:spacing w:after="0" w:line="225" w:lineRule="exact"/>
        <w:rPr>
          <w:sz w:val="20"/>
          <w:szCs w:val="20"/>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2006 Share Incentive Plan</w:t>
      </w:r>
    </w:p>
    <w:p>
      <w:pPr>
        <w:spacing w:after="0" w:line="258" w:lineRule="exact"/>
        <w:rPr>
          <w:rFonts w:ascii="MS PGothic" w:cs="MS PGothic" w:eastAsia="MS PGothic" w:hAnsi="MS PGothic"/>
          <w:sz w:val="22"/>
          <w:szCs w:val="22"/>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2013 Equity Incentive Plan (“2013 Plan”)</w:t>
      </w:r>
    </w:p>
    <w:p>
      <w:pPr>
        <w:spacing w:after="0" w:line="231" w:lineRule="exact"/>
        <w:rPr>
          <w:rFonts w:ascii="MS PGothic" w:cs="MS PGothic" w:eastAsia="MS PGothic" w:hAnsi="MS PGothic"/>
          <w:sz w:val="22"/>
          <w:szCs w:val="22"/>
          <w:color w:val="auto"/>
        </w:rPr>
      </w:pPr>
    </w:p>
    <w:p>
      <w:pPr>
        <w:ind w:left="1300" w:hanging="320"/>
        <w:spacing w:after="0"/>
        <w:tabs>
          <w:tab w:leader="none" w:pos="1300" w:val="left"/>
        </w:tabs>
        <w:numPr>
          <w:ilvl w:val="0"/>
          <w:numId w:val="57"/>
        </w:numPr>
        <w:rPr>
          <w:rFonts w:ascii="MS PGothic" w:cs="MS PGothic" w:eastAsia="MS PGothic" w:hAnsi="MS PGothic"/>
          <w:sz w:val="22"/>
          <w:szCs w:val="22"/>
          <w:color w:val="auto"/>
        </w:rPr>
      </w:pPr>
      <w:r>
        <w:rPr>
          <w:rFonts w:ascii="Arial" w:cs="Arial" w:eastAsia="Arial" w:hAnsi="Arial"/>
          <w:sz w:val="18"/>
          <w:szCs w:val="18"/>
          <w:color w:val="auto"/>
        </w:rPr>
        <w:t>the 2021 Equity Incentive Plan (“2021 Plan”)</w:t>
      </w:r>
    </w:p>
    <w:p>
      <w:pPr>
        <w:spacing w:after="0" w:line="23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issued stock options, restricted stock awards (“RSAs”) and restricted stock units (“RSUs”) to employees, consultants and non-employee directors. Stock option awards generally vest over a four year period and have a maximum term of ten years. Stock options under these plans have been granted with an exercise price equal to the fair market value on the date of the grant. Nonqualified and Incentive Stock Options, RSAs and RSUs may be granted from these plans. Prior to the Company’s initial public offering in September 2013, the fair market value of the Company’s stock had been historically determined by the board of directors and from time to time with the assistance of third party valuation specialists.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Options have been granted to the Company’s employees under the five incentive plans and generally become exercisable as to 25% of the shares on the first anniversary date following the date of grant and semi-annually thereafter. All options expire ten years after the date of grant.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option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Weighted</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60"/>
              <w:spacing w:after="0"/>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88"/>
              </w:rPr>
              <w:t>Share Price</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328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Exercise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8"/>
                <w:szCs w:val="18"/>
                <w:b w:val="1"/>
                <w:bCs w:val="1"/>
                <w:color w:val="auto"/>
                <w:w w:val="90"/>
              </w:rPr>
              <w:t>on Date of</w:t>
            </w: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32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Exercise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Life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80"/>
              <w:spacing w:after="0"/>
              <w:rPr>
                <w:sz w:val="20"/>
                <w:szCs w:val="20"/>
                <w:color w:val="auto"/>
              </w:rPr>
            </w:pPr>
            <w:r>
              <w:rPr>
                <w:rFonts w:ascii="Arial" w:cs="Arial" w:eastAsia="Arial" w:hAnsi="Arial"/>
                <w:sz w:val="18"/>
                <w:szCs w:val="18"/>
                <w:b w:val="1"/>
                <w:bCs w:val="1"/>
                <w:color w:val="auto"/>
                <w:w w:val="95"/>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5.64</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32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December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10.32</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5.44</w:t>
            </w:r>
          </w:p>
        </w:tc>
        <w:tc>
          <w:tcPr>
            <w:tcW w:w="13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1.69</w:t>
            </w: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32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December 31, 2021</w:t>
            </w:r>
          </w:p>
        </w:tc>
        <w:tc>
          <w:tcPr>
            <w:tcW w:w="1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10.32</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5.44</w:t>
            </w:r>
          </w:p>
        </w:tc>
        <w:tc>
          <w:tcPr>
            <w:tcW w:w="1320" w:type="dxa"/>
            <w:vAlign w:val="bottom"/>
            <w:tcBorders>
              <w:bottom w:val="single" w:sz="8" w:color="CCEEFF"/>
            </w:tcBorders>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1.69</w:t>
            </w:r>
          </w:p>
        </w:tc>
        <w:tc>
          <w:tcPr>
            <w:tcW w:w="1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196"/>
        </w:trPr>
        <w:tc>
          <w:tcPr>
            <w:tcW w:w="32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10.32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5.44</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1.69</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r>
      <w:tr>
        <w:trPr>
          <w:trHeight w:val="20"/>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2021, there was no unrecognized stock option expense.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Unit/Awards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RSU/RSA activity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5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Average Share</w:t>
            </w: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0"/>
              </w:rPr>
              <w:t>Price on Date</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Average Fair</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of Release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Value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b w:val="1"/>
                <w:bCs w:val="1"/>
                <w:color w:val="auto"/>
                <w:w w:val="89"/>
              </w:rPr>
              <w:t>(in thousands,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84"/>
              </w:rPr>
              <w:t>except price data)</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11,279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1,733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16,016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Released</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8.28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Cancelled/Forfeited</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12.28</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December 31, 2021</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11,156</w:t>
            </w:r>
          </w:p>
        </w:tc>
      </w:tr>
      <w:tr>
        <w:trPr>
          <w:trHeight w:val="196"/>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2,170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11.15</w:t>
            </w:r>
          </w:p>
        </w:tc>
        <w:tc>
          <w:tcPr>
            <w:tcW w:w="14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11,156</w:t>
            </w: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2021, there was $20.9 million of unrecognized compensation expense related to these RSUs and RSAs. This expense is expected to be recognized over 2.52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Based Incentive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June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 approved to grant performance stock units (“PSUs”) to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the performance of our stock price and the Total Shareholder Return (“TSR”) for the performance period compared with the TSR of certain peer companies or index for the performance period. PSUs granted vest 100% on the third anniversary of their grant, assuming achievement of the applicable performance criteria. We estimated the fair value of the PSUs using a Monte Carlo simulation model on the date of grant. Compensation expense is recognized ratably over the explicit service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recognizes compensation expense on a straight-line basis over the applicable vesting term of the award and expense is adjusted as forfeitures occur.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2014, the Company ceased issuing stock options and began issuing RSUs and RSAs as share-based compensation to employees. The Company estimates the fair value of RSUs and RSAs at the fair market value on the grant date.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share-based compensation expenses recognized for the years ended December 31, were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Share-Based compensation - by expense type:</w:t>
            </w:r>
          </w:p>
        </w:tc>
        <w:tc>
          <w:tcPr>
            <w:tcW w:w="1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3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4"/>
                <w:szCs w:val="24"/>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885</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2,173</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2,557</w:t>
            </w: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9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1,115</w:t>
            </w: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7,948</w:t>
            </w: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7,405</w:t>
            </w:r>
          </w:p>
        </w:tc>
      </w:tr>
      <w:tr>
        <w:trPr>
          <w:trHeight w:val="20"/>
        </w:trPr>
        <w:tc>
          <w:tcPr>
            <w:tcW w:w="43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288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12,121</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13,046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11,804</w:t>
            </w:r>
          </w:p>
        </w:tc>
      </w:tr>
      <w:tr>
        <w:trPr>
          <w:trHeight w:val="629"/>
        </w:trPr>
        <w:tc>
          <w:tcPr>
            <w:tcW w:w="4380" w:type="dxa"/>
            <w:vAlign w:val="bottom"/>
            <w:tcBorders>
              <w:top w:val="single" w:sz="8" w:color="CCEEFF"/>
            </w:tcBorders>
          </w:tcPr>
          <w:p>
            <w:pPr>
              <w:spacing w:after="0"/>
              <w:rPr>
                <w:sz w:val="24"/>
                <w:szCs w:val="24"/>
                <w:color w:val="auto"/>
              </w:rPr>
            </w:pPr>
          </w:p>
        </w:tc>
        <w:tc>
          <w:tcPr>
            <w:tcW w:w="1940" w:type="dxa"/>
            <w:vAlign w:val="bottom"/>
            <w:tcBorders>
              <w:top w:val="single" w:sz="8" w:color="CCEEFF"/>
            </w:tcBorders>
          </w:tcPr>
          <w:p>
            <w:pPr>
              <w:ind w:left="1060"/>
              <w:spacing w:after="0"/>
              <w:rPr>
                <w:sz w:val="20"/>
                <w:szCs w:val="20"/>
                <w:color w:val="auto"/>
              </w:rPr>
            </w:pPr>
            <w:r>
              <w:rPr>
                <w:rFonts w:ascii="Arial" w:cs="Arial" w:eastAsia="Arial" w:hAnsi="Arial"/>
                <w:sz w:val="18"/>
                <w:szCs w:val="18"/>
                <w:color w:val="auto"/>
              </w:rPr>
              <w:t>F- 30</w:t>
            </w: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9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Amended and Restated Certificate of Incorporation authorizes the issuance of up to 45,000,000 shares of common stock, all of which have been designated voting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Amended and Restated Certificate of Incorporation authorizes the issuance of up to 5,000,000 shares of preferred stock.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October 24, 2019, the Company filed a Registration Statement on Form S-3 with the Securities and Exchange Commission effective January 9, 2020, providing for the public offer and sale of certain securities of the Company from time to time, at its discretion, up to an aggregate amount of $250 million. In connection with such Form S-3, on February 28, 2020, the Company entered into an Equity Distribution Agreement with Raymond James &amp; Associates, Inc. pursuant to which the Company may issue and sell shares of the Company’s stock having an aggregate offering price of up to $55.0 million (the “Initial ATM Offering”) from time to time through Raymond James &amp; Associates, Inc. The Company completed its Initial ATM Offering in January 2021 and sold 5.9 million shares of common stock at a weighted average price of $9.12 per share, providing proceeds of $53.9 million, net of expenses and underwriting discounts and commissions. On February 26, 2021, the Company entered into another Equity Distribution Agreement with Raymond James &amp; Associates, Inc. pursuant to which the Company may issue and sell shares of the Company’s stock having an aggregate offering price of up to $35 million (the “Second ATM Offering”) from time to time through the Raymond James &amp; Associates, Inc. As of December 31, 2021, the Company sold 0.1 million shares of common stock under the Second ATM Offering at a weighted average price of $9.08 per share, providing proceeds of $1.0 million, net of expenses and underwriting discounts and commissions.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R—SEGMENT AND GEOGRAPHIC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where the product is manufactured. Long-lived assets in the tables below comprise only property, plant, equipment and intangible assets (in thousands):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b w:val="1"/>
                <w:bCs w:val="1"/>
                <w:color w:val="auto"/>
                <w:w w:val="89"/>
              </w:rPr>
              <w:t>Year ended December 31,</w:t>
            </w: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45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10"/>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14,633</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18,380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9,795</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9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99,201</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131,076</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97,776</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China</w:t>
            </w:r>
          </w:p>
        </w:tc>
        <w:tc>
          <w:tcPr>
            <w:tcW w:w="96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97,731</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85,167</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83,301</w:t>
            </w:r>
          </w:p>
        </w:tc>
      </w:tr>
      <w:tr>
        <w:trPr>
          <w:trHeight w:val="20"/>
        </w:trPr>
        <w:tc>
          <w:tcPr>
            <w:tcW w:w="45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211,565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234,623</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190,872</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9"/>
              </w:rPr>
              <w:t>As of 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5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18"/>
                <w:szCs w:val="18"/>
                <w:color w:val="auto"/>
              </w:rPr>
            </w:pPr>
          </w:p>
        </w:tc>
      </w:tr>
      <w:tr>
        <w:trPr>
          <w:trHeight w:val="209"/>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Long-lived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87,709</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90,999</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94,507</w:t>
            </w: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Taiwan</w:t>
            </w:r>
          </w:p>
        </w:tc>
        <w:tc>
          <w:tcPr>
            <w:tcW w:w="9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63,644</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71,080</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73,816</w:t>
            </w: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China</w:t>
            </w:r>
          </w:p>
        </w:tc>
        <w:tc>
          <w:tcPr>
            <w:tcW w:w="9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108,509</w:t>
            </w:r>
          </w:p>
        </w:tc>
        <w:tc>
          <w:tcPr>
            <w:tcW w:w="34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108,575</w:t>
            </w:r>
          </w:p>
        </w:tc>
        <w:tc>
          <w:tcPr>
            <w:tcW w:w="3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97,687</w:t>
            </w:r>
          </w:p>
        </w:tc>
      </w:tr>
      <w:tr>
        <w:trPr>
          <w:trHeight w:val="20"/>
        </w:trPr>
        <w:tc>
          <w:tcPr>
            <w:tcW w:w="4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5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259,862</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270,654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266,010</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serves four primary markets, the internet data center, CATV, telecom and FTTH markets. Of the Company’s total revenues in 2021, the Company earned $97.5 million, or 46.1%, from the internet data center market, $94.3 million, or 44.6%, from the CATV market, $16.2 million, or 7.7%, from the telecom market and $1.0 million, or 0.5%, from the FTTH market. Of the Company’s total revenues in 2020, the Company earned $173.4 million, or 73.9%, from the internet data center market, $37.9 million, or 16.2%, from the CATV market, $21.1 million, or 9.0%, from the telecom market and $0.1 million, or 0.0%, from the FTTH market. Of the Company’s total revenues in 2019, the Company earned $143.6 million, or 75.2%, from the internet data center market, $37.3 million, or 19.6%, from the CATV market, $8.4 million, or 4.4%, from the telecom market and $0.2 million, or 0.1%, from the FTTH market.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S—EMPLOYEE BENEFIT PLANS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August 1, 2000, the Company established a 401(k) profit sharing plan covering employees meeting certain age and service requirements. The plan provides for discretionary Company contributions to be allocated based on the employee’s eligible contributions. The Company made contributions of $1.0 million, $0.8 million, and $0.8 million to the 401(k) plan for each of the years ended December 31, 2021, 2020 and 2019, respectively.</w:t>
      </w:r>
    </w:p>
    <w:p>
      <w:pPr>
        <w:spacing w:after="0" w:line="14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Employees of Global participate in a state-mandated social security program in China. Under this program, pension costs are recorded on the basis of required monthly contributions to employees’ individual accounts during their service periods. Under the regulations of the People’s Republic of China, Global is required to make fixed contributions to a fund, which is under the administration of the local labor departments. Pension expense for Global was $1.0 million, $1.2 million, and $0.7 million for the years ended December 31, 2021, 2020 and 2019, respectively.</w:t>
      </w:r>
    </w:p>
    <w:p>
      <w:pPr>
        <w:spacing w:after="0" w:line="17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Employees Prime World’s Taiwan branch participate in a pension program under the Taiwan Labor Pension Act. Pension expense for the Prime World’s Taiwan branch was $0.7 million, $0.8 million, and $0.8 million for the years ended December 31, 2021, 2020 and 2019,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conducts part of its operations from leased facilities and also leases equipment. Rent expense was $1.3 million, $1.4 million, and $1.3 million, respectively, for the years ended December 31, 2021, 2020 and 2019, respectively.</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At December 31, 2021, the approximate minimum rental commitments under noncancellable leases in excess of one year that expire at varying dates through 2029 were as follows (in thousands):</w:t>
      </w:r>
    </w:p>
    <w:p>
      <w:pPr>
        <w:spacing w:after="0" w:line="166"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7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1,334</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1,231</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1,257</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r>
      <w:tr>
        <w:trPr>
          <w:trHeight w:val="216"/>
        </w:trPr>
        <w:tc>
          <w:tcPr>
            <w:tcW w:w="78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2,923</w:t>
            </w:r>
          </w:p>
        </w:tc>
      </w:tr>
      <w:tr>
        <w:trPr>
          <w:trHeight w:val="20"/>
        </w:trPr>
        <w:tc>
          <w:tcPr>
            <w:tcW w:w="7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9,335</w:t>
            </w:r>
          </w:p>
        </w:tc>
      </w:tr>
      <w:tr>
        <w:trPr>
          <w:trHeight w:val="20"/>
        </w:trPr>
        <w:tc>
          <w:tcPr>
            <w:tcW w:w="7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Consultancy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entered into employment and indemnification agreements with three executive officers. These agreements provide that if their employment is terminated as a result of a change of control of the Company, or if their employment is terminated for certain other reasons set forth in the agreements, the Company will be required to pay a severance payment in an amount equal to their annual base salary, and other additional compensation due under the terms of the agreements.</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has also entered into employment and indemnification agreements with one other executive officer. This agreement provides that if his employment is terminated as a result of a change of control of the Company, the Company will be required to pay a severance payment in an amount equal to six months of his annual base salary and other additional compensation due under the terms of the agreements.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From time to time, the Company may be subject to legal proceedings and litigation arising in the ordinary course of business, including, but not limited to, inquiries, investigations, audits and other regulatory proceedings, such as described below. The Company records a loss provision when it believes it is both probable that a liability has been incurred and the amount can be reasonably estimated. Unless otherwise disclosed, the Company is unable to estimate the possible loss or range of loss for the legal proceeding described below.</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for the lawsuits described below, the Company believes that there are no claims or actions pending or threatened against it, the ultimate disposition of which would have a material adverse effect on 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Action and Shareholder Derivative Litigation</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On August 7, 2018, a derivative lawsuit was filed in the United States District Court for the Southern District of Texas styled </w:t>
      </w:r>
      <w:r>
        <w:rPr>
          <w:rFonts w:ascii="Arial" w:cs="Arial" w:eastAsia="Arial" w:hAnsi="Arial"/>
          <w:sz w:val="16"/>
          <w:szCs w:val="16"/>
          <w:i w:val="1"/>
          <w:iCs w:val="1"/>
          <w:color w:val="auto"/>
        </w:rPr>
        <w:t>Lei Jin, derivatively</w:t>
      </w:r>
      <w:r>
        <w:rPr>
          <w:rFonts w:ascii="Arial" w:cs="Arial" w:eastAsia="Arial" w:hAnsi="Arial"/>
          <w:sz w:val="16"/>
          <w:szCs w:val="16"/>
          <w:color w:val="auto"/>
        </w:rPr>
        <w:t xml:space="preserve"> </w:t>
      </w:r>
      <w:r>
        <w:rPr>
          <w:rFonts w:ascii="Arial" w:cs="Arial" w:eastAsia="Arial" w:hAnsi="Arial"/>
          <w:sz w:val="16"/>
          <w:szCs w:val="16"/>
          <w:i w:val="1"/>
          <w:iCs w:val="1"/>
          <w:color w:val="auto"/>
        </w:rPr>
        <w:t>on behalf of Applied Optoelectronics, Inc. v. 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4:18-cv-02713 alleging breaches of fiduciary duties, unjust enrichment,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violations of Section 14(a) of the Exchange Act based on similar factual allegations as in the securities class action captioned </w:t>
      </w:r>
      <w:r>
        <w:rPr>
          <w:rFonts w:ascii="Arial" w:cs="Arial" w:eastAsia="Arial" w:hAnsi="Arial"/>
          <w:sz w:val="16"/>
          <w:szCs w:val="16"/>
          <w:i w:val="1"/>
          <w:iCs w:val="1"/>
          <w:color w:val="auto"/>
        </w:rPr>
        <w:t>Mona Abouzied v. Applied</w:t>
      </w:r>
      <w:r>
        <w:rPr>
          <w:rFonts w:ascii="Arial" w:cs="Arial" w:eastAsia="Arial" w:hAnsi="Arial"/>
          <w:sz w:val="16"/>
          <w:szCs w:val="16"/>
          <w:color w:val="auto"/>
        </w:rPr>
        <w:t xml:space="preserve"> </w:t>
      </w:r>
      <w:r>
        <w:rPr>
          <w:rFonts w:ascii="Arial" w:cs="Arial" w:eastAsia="Arial" w:hAnsi="Arial"/>
          <w:sz w:val="16"/>
          <w:szCs w:val="16"/>
          <w:i w:val="1"/>
          <w:iCs w:val="1"/>
          <w:color w:val="auto"/>
        </w:rPr>
        <w:t>Optoelectronics, Inc., Chih-Hsiang (Thompson) Lin, and Stefan J. Murry, et al.</w:t>
      </w:r>
      <w:r>
        <w:rPr>
          <w:rFonts w:ascii="Arial" w:cs="Arial" w:eastAsia="Arial" w:hAnsi="Arial"/>
          <w:sz w:val="16"/>
          <w:szCs w:val="16"/>
          <w:color w:val="auto"/>
        </w:rPr>
        <w:t>, Case No. 4:17-cv-02399, which had been previously filed against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was dismissed following a settlement in 2020</w:t>
      </w:r>
      <w:r>
        <w:rPr>
          <w:rFonts w:ascii="Arial" w:cs="Arial" w:eastAsia="Arial" w:hAnsi="Arial"/>
          <w:sz w:val="16"/>
          <w:szCs w:val="16"/>
          <w:i w:val="1"/>
          <w:iCs w:val="1"/>
          <w:color w:val="auto"/>
        </w:rPr>
        <w:t>.</w:t>
      </w:r>
      <w:r>
        <w:rPr>
          <w:rFonts w:ascii="Arial" w:cs="Arial" w:eastAsia="Arial" w:hAnsi="Arial"/>
          <w:sz w:val="16"/>
          <w:szCs w:val="16"/>
          <w:color w:val="auto"/>
        </w:rPr>
        <w:t xml:space="preserve"> On December 18, 2018, a second derivative complaint was filed styled </w:t>
      </w:r>
      <w:r>
        <w:rPr>
          <w:rFonts w:ascii="Arial" w:cs="Arial" w:eastAsia="Arial" w:hAnsi="Arial"/>
          <w:sz w:val="16"/>
          <w:szCs w:val="16"/>
          <w:i w:val="1"/>
          <w:iCs w:val="1"/>
          <w:color w:val="auto"/>
        </w:rPr>
        <w:t>Yiu Kwong Ng</w:t>
      </w:r>
      <w:r>
        <w:rPr>
          <w:rFonts w:ascii="Arial" w:cs="Arial" w:eastAsia="Arial" w:hAnsi="Arial"/>
          <w:sz w:val="16"/>
          <w:szCs w:val="16"/>
          <w:color w:val="auto"/>
        </w:rPr>
        <w:t xml:space="preserve"> </w:t>
      </w:r>
      <w:r>
        <w:rPr>
          <w:rFonts w:ascii="Arial" w:cs="Arial" w:eastAsia="Arial" w:hAnsi="Arial"/>
          <w:sz w:val="16"/>
          <w:szCs w:val="16"/>
          <w:i w:val="1"/>
          <w:iCs w:val="1"/>
          <w:color w:val="auto"/>
        </w:rPr>
        <w:t>v.Chih-Hsiang (</w:t>
      </w:r>
      <w:r>
        <w:rPr>
          <w:rFonts w:ascii="Arial" w:cs="Arial" w:eastAsia="Arial" w:hAnsi="Arial"/>
          <w:sz w:val="16"/>
          <w:szCs w:val="16"/>
          <w:color w:val="auto"/>
        </w:rPr>
        <w:t>“</w:t>
      </w:r>
      <w:r>
        <w:rPr>
          <w:rFonts w:ascii="Arial" w:cs="Arial" w:eastAsia="Arial" w:hAnsi="Arial"/>
          <w:sz w:val="16"/>
          <w:szCs w:val="16"/>
          <w:i w:val="1"/>
          <w:iCs w:val="1"/>
          <w:color w:val="auto"/>
        </w:rPr>
        <w:t>Thompson</w:t>
      </w:r>
      <w:r>
        <w:rPr>
          <w:rFonts w:ascii="Arial" w:cs="Arial" w:eastAsia="Arial" w:hAnsi="Arial"/>
          <w:sz w:val="16"/>
          <w:szCs w:val="16"/>
          <w:color w:val="auto"/>
        </w:rPr>
        <w:t>”</w:t>
      </w:r>
      <w:r>
        <w:rPr>
          <w:rFonts w:ascii="Arial" w:cs="Arial" w:eastAsia="Arial" w:hAnsi="Arial"/>
          <w:sz w:val="16"/>
          <w:szCs w:val="16"/>
          <w:i w:val="1"/>
          <w:iCs w:val="1"/>
          <w:color w:val="auto"/>
        </w:rPr>
        <w:t>) Lin, Stefan J. Murry, William H. Yeh, Alex Ignatiev, Richard B. Black, Min-Chu Chen, Alan Moore, and Che-Wei Lin and Applied Optoelectronics, Inc.</w:t>
      </w:r>
      <w:r>
        <w:rPr>
          <w:rFonts w:ascii="Arial" w:cs="Arial" w:eastAsia="Arial" w:hAnsi="Arial"/>
          <w:sz w:val="16"/>
          <w:szCs w:val="16"/>
          <w:color w:val="auto"/>
        </w:rPr>
        <w:t>, No. 4:18-cv-4751 alleging the same causes of actions as the</w:t>
      </w:r>
      <w:r>
        <w:rPr>
          <w:rFonts w:ascii="Arial" w:cs="Arial" w:eastAsia="Arial" w:hAnsi="Arial"/>
          <w:sz w:val="16"/>
          <w:szCs w:val="16"/>
          <w:i w:val="1"/>
          <w:iCs w:val="1"/>
          <w:color w:val="auto"/>
        </w:rPr>
        <w:t xml:space="preserve"> Jin </w:t>
      </w:r>
      <w:r>
        <w:rPr>
          <w:rFonts w:ascii="Arial" w:cs="Arial" w:eastAsia="Arial" w:hAnsi="Arial"/>
          <w:sz w:val="16"/>
          <w:szCs w:val="16"/>
          <w:color w:val="auto"/>
        </w:rPr>
        <w:t>complaint and additional factual allegations regarding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announcement on September 28, 2018 that the Company had “identified an issue with a small percentage of 25G lasers within a specific customer environment.” On January 11, 2019, the Court consolidated these two derivative actions, and on January 15, 2019, the Court entered an order staying the actions pending the resolution of the securities class actions. On June 24, 2020, the plaintiffs filed a notice that the stay of proceedings had been terminated, and on July 2, 2020, the parties filed a Joint Stipulation and Proposed Scheduling Order. The Court entered the stipulated scheduling order on the same date, under which Defendants were required to file and serve their response or responsive pleading to the complaint by August 3, 2020. By agreement of the parties, the Court subsequently extended the deadline for Defendants to file and serve their response or responsive pleading to December 2, 2020. On December 2, 2020, Defendants filed their motion to dismiss the consolidated derivative complaint. On December 7, 2020, Plaintiffs filed a notice alerting the Court that they were intending to file an amended complaint, which was subsequently filed by Plaintiffs on January 13, 2021. Defendants filed a motion to dismiss all claims on March 1, 2021. On June 25, 2021, the parties filed a stipulation indicating that they had reached a settlement-in-principle of the action. In the stipulation, the Company agreed to implement various corporate governance reforms as specified in the Settlement Agreement in addition to having its D&amp;O insurance carrier make a payment to the Plaintiffs in exchange for a full dismissal of all claims and customary releases. On June 28, 2021, the Court stayed all deadlines in the action for 30 days to allow the parties to finalize the settlement. The deadline was extended to late August. On August 30, 2021, the Plaintiffs filed an unopposed Motion for Preliminary Approval of the Settlement agreed to by the parties. On November 2, 2021, the Court granted final approval of the settlement and closed the case. The deadline to appeal has now passed with no party appealing final judgement. This motion was granted on August 31, 2021 and the Court set the Settlement Hearing date for November 4, 2021. The Company has complied with all requirements of the Settlement Agreement and the Settlement Hearing is on schedule to take place on November 4, 2021. The Company has agreed to implement various corporate governance reforms as specified in the Settlement Agreement in addition to having its D&amp;O insurance carrier make a payment to the Plaintiffs in exchange for a full dismissal of all claims and customary releases.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21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On August 9, 2021, the Company has received a Taxes Notification of Audit Result (“Notice”) from the Texas Comptroller’s Office (the “Comptroller”), for fiscal years between 2016 and 2019, informing the Company that the Comptroller believes the Company did not qualify for certain sales and use tax exemptions on various Research and Development purchases and accordingly the Company is liable for Sale and Use Tax in the amount of approximately $1.0 million including interest charges. The Company paid $0.4 million for the tax notice but challenged the remaining tax assessments and vigorously defended its position. The Comptroller’s office has not made final assessments after the Company’s defenses. However, the management estimated the additional tax assessment will be in the range of $0.2 million to $0.4 million including interest charges.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U—SUBSEQUENT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has evaluated subsequent events through the date the financial statements were issued.</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2022, the Company repaid its revolving bank line of credit of $14.4 million.</w:t>
      </w:r>
    </w:p>
    <w:p>
      <w:pPr>
        <w:sectPr>
          <w:pgSz w:w="11900" w:h="16838" w:orient="portrait"/>
          <w:cols w:equalWidth="0" w:num="1">
            <w:col w:w="10139"/>
          </w:cols>
          <w:pgMar w:left="320" w:top="125"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issued our reports dated February 24, 2022, with respect to the consolidated financial statements and internal control over financial reporting included in the Annual Report of Applied Optoelectronics, Inc. on Form 10-K for the year ended December 31, 2021. We consent to the incorporation by reference of said reports in the Registration Statements of Applied Optoelectronics, Inc. on Form S-3 (File No. 333-234310) and on Forms S-8 (File No. 333-192407, File No. 333-217871, File No. 333-223347, File No. 333-230243, and File No. 333-236831).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600" w:hanging="176"/>
        <w:spacing w:after="0"/>
        <w:tabs>
          <w:tab w:leader="none" w:pos="6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160" w:firstLine="424"/>
        <w:spacing w:after="0" w:line="342" w:lineRule="auto"/>
        <w:tabs>
          <w:tab w:leader="none" w:pos="5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24"/>
        <w:spacing w:after="0" w:line="277" w:lineRule="auto"/>
        <w:tabs>
          <w:tab w:leader="none" w:pos="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24"/>
        <w:spacing w:after="0" w:line="263" w:lineRule="auto"/>
        <w:tabs>
          <w:tab w:leader="none" w:pos="5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ind w:left="420" w:right="80" w:hanging="7"/>
        <w:spacing w:after="0" w:line="263" w:lineRule="auto"/>
        <w:tabs>
          <w:tab w:leader="none" w:pos="65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420" w:right="300" w:hanging="7"/>
        <w:spacing w:after="0" w:line="263" w:lineRule="auto"/>
        <w:tabs>
          <w:tab w:leader="none" w:pos="6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right="880" w:hanging="7"/>
        <w:spacing w:after="0" w:line="342" w:lineRule="auto"/>
        <w:tabs>
          <w:tab w:leader="none" w:pos="654" w:val="left"/>
        </w:tabs>
        <w:numPr>
          <w:ilvl w:val="0"/>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420" w:right="320" w:hanging="7"/>
        <w:spacing w:after="0" w:line="263" w:lineRule="auto"/>
        <w:tabs>
          <w:tab w:leader="none" w:pos="664" w:val="left"/>
        </w:tabs>
        <w:numPr>
          <w:ilvl w:val="0"/>
          <w:numId w:val="5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60" w:firstLine="424"/>
        <w:spacing w:after="0" w:line="308" w:lineRule="auto"/>
        <w:tabs>
          <w:tab w:leader="none" w:pos="596"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left="420" w:right="280" w:hanging="7"/>
        <w:spacing w:after="0" w:line="277" w:lineRule="auto"/>
        <w:tabs>
          <w:tab w:leader="none" w:pos="6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right="220" w:hanging="7"/>
        <w:spacing w:after="0" w:line="277"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CHIH-HSIANG (THOMPSON)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w:t>
      </w:r>
    </w:p>
    <w:p>
      <w:pPr>
        <w:sectPr>
          <w:pgSz w:w="11900" w:h="16838" w:orient="portrait"/>
          <w:cols w:equalWidth="0" w:num="1">
            <w:col w:w="11240"/>
          </w:cols>
          <w:pgMar w:left="320" w:top="12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Stefan J. Murry, certify that:</w:t>
      </w:r>
    </w:p>
    <w:p>
      <w:pPr>
        <w:spacing w:after="0" w:line="225" w:lineRule="exact"/>
        <w:rPr>
          <w:sz w:val="20"/>
          <w:szCs w:val="20"/>
          <w:color w:val="auto"/>
        </w:rPr>
      </w:pPr>
    </w:p>
    <w:p>
      <w:pPr>
        <w:ind w:left="600" w:hanging="176"/>
        <w:spacing w:after="0"/>
        <w:tabs>
          <w:tab w:leader="none" w:pos="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Applied Optoelectronics, Inc.;</w:t>
      </w:r>
    </w:p>
    <w:p>
      <w:pPr>
        <w:spacing w:after="0" w:line="225" w:lineRule="exact"/>
        <w:rPr>
          <w:rFonts w:ascii="Arial" w:cs="Arial" w:eastAsia="Arial" w:hAnsi="Arial"/>
          <w:sz w:val="18"/>
          <w:szCs w:val="18"/>
          <w:color w:val="auto"/>
        </w:rPr>
      </w:pPr>
    </w:p>
    <w:p>
      <w:pPr>
        <w:ind w:right="160" w:firstLine="424"/>
        <w:spacing w:after="0" w:line="342" w:lineRule="auto"/>
        <w:tabs>
          <w:tab w:leader="none" w:pos="596" w:val="left"/>
        </w:tabs>
        <w:numPr>
          <w:ilvl w:val="0"/>
          <w:numId w:val="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140" w:firstLine="424"/>
        <w:spacing w:after="0" w:line="277" w:lineRule="auto"/>
        <w:tabs>
          <w:tab w:leader="none" w:pos="5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80" w:firstLine="424"/>
        <w:spacing w:after="0" w:line="263" w:lineRule="auto"/>
        <w:tabs>
          <w:tab w:leader="none" w:pos="596"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500" w:right="20" w:hanging="6"/>
        <w:spacing w:after="0" w:line="263" w:lineRule="auto"/>
        <w:tabs>
          <w:tab w:leader="none" w:pos="7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500" w:right="220" w:hanging="6"/>
        <w:spacing w:after="0" w:line="263" w:lineRule="auto"/>
        <w:tabs>
          <w:tab w:leader="none" w:pos="7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500" w:right="800" w:hanging="6"/>
        <w:spacing w:after="0" w:line="342" w:lineRule="auto"/>
        <w:tabs>
          <w:tab w:leader="none" w:pos="745"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500" w:right="240" w:hanging="6"/>
        <w:spacing w:after="0" w:line="263" w:lineRule="auto"/>
        <w:tabs>
          <w:tab w:leader="none" w:pos="7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60" w:firstLine="424"/>
        <w:spacing w:after="0" w:line="308" w:lineRule="auto"/>
        <w:tabs>
          <w:tab w:leader="none" w:pos="596"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200" w:hanging="6"/>
        <w:spacing w:after="0" w:line="277" w:lineRule="auto"/>
        <w:tabs>
          <w:tab w:leader="none" w:pos="7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140" w:hanging="6"/>
        <w:spacing w:after="0" w:line="277" w:lineRule="auto"/>
        <w:tabs>
          <w:tab w:leader="none" w:pos="755"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Stefan J. Murry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00" w:firstLine="416"/>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of the Company, each hereby certifies that, to the best of his knowledge:</w:t>
      </w:r>
    </w:p>
    <w:p>
      <w:pPr>
        <w:spacing w:after="0" w:line="187" w:lineRule="exact"/>
        <w:rPr>
          <w:sz w:val="20"/>
          <w:szCs w:val="20"/>
          <w:color w:val="auto"/>
        </w:rPr>
      </w:pPr>
    </w:p>
    <w:p>
      <w:pPr>
        <w:ind w:right="120" w:firstLine="424"/>
        <w:spacing w:after="0" w:line="277" w:lineRule="auto"/>
        <w:tabs>
          <w:tab w:leader="none" w:pos="5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2021, to which this Certification is attached as Exhibit 32.1 (the “Annual Report”) fully complies with the requirements of Section 13(a) or Section 15(d) of the Exchange Act; and</w:t>
      </w:r>
    </w:p>
    <w:p>
      <w:pPr>
        <w:spacing w:after="0" w:line="170" w:lineRule="exact"/>
        <w:rPr>
          <w:rFonts w:ascii="Arial" w:cs="Arial" w:eastAsia="Arial" w:hAnsi="Arial"/>
          <w:sz w:val="18"/>
          <w:szCs w:val="18"/>
          <w:color w:val="auto"/>
        </w:rPr>
      </w:pPr>
    </w:p>
    <w:p>
      <w:pPr>
        <w:ind w:right="400" w:firstLine="424"/>
        <w:spacing w:after="0" w:line="277" w:lineRule="auto"/>
        <w:tabs>
          <w:tab w:leader="none" w:pos="596"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24 day of February, 2022.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/s/ Chih-Hsiang (Thompson) Lin</w:t>
            </w: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rPr>
              <w:t>/s/ Stefan J. Murry</w:t>
            </w:r>
          </w:p>
        </w:tc>
      </w:tr>
      <w:tr>
        <w:trPr>
          <w:trHeight w:val="195"/>
        </w:trPr>
        <w:tc>
          <w:tcPr>
            <w:tcW w:w="5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HIH</w:t>
            </w:r>
            <w:r>
              <w:rPr>
                <w:rFonts w:ascii="Arial" w:cs="Arial" w:eastAsia="Arial" w:hAnsi="Arial"/>
                <w:sz w:val="18"/>
                <w:szCs w:val="18"/>
                <w:color w:val="auto"/>
              </w:rPr>
              <w:t>-H</w:t>
            </w:r>
            <w:r>
              <w:rPr>
                <w:rFonts w:ascii="Arial" w:cs="Arial" w:eastAsia="Arial" w:hAnsi="Arial"/>
                <w:sz w:val="12"/>
                <w:szCs w:val="12"/>
                <w:color w:val="auto"/>
              </w:rPr>
              <w:t>SIANG</w:t>
            </w:r>
            <w:r>
              <w:rPr>
                <w:rFonts w:ascii="Arial" w:cs="Arial" w:eastAsia="Arial" w:hAnsi="Arial"/>
                <w:sz w:val="18"/>
                <w:szCs w:val="18"/>
                <w:color w:val="auto"/>
              </w:rPr>
              <w:t xml:space="preserve"> (T</w:t>
            </w:r>
            <w:r>
              <w:rPr>
                <w:rFonts w:ascii="Arial" w:cs="Arial" w:eastAsia="Arial" w:hAnsi="Arial"/>
                <w:sz w:val="12"/>
                <w:szCs w:val="12"/>
                <w:color w:val="auto"/>
              </w:rPr>
              <w:t>HOMPSON</w:t>
            </w:r>
            <w:r>
              <w:rPr>
                <w:rFonts w:ascii="Arial" w:cs="Arial" w:eastAsia="Arial" w:hAnsi="Arial"/>
                <w:sz w:val="18"/>
                <w:szCs w:val="18"/>
                <w:color w:val="auto"/>
              </w:rPr>
              <w:t>) L</w:t>
            </w:r>
            <w:r>
              <w:rPr>
                <w:rFonts w:ascii="Arial" w:cs="Arial" w:eastAsia="Arial" w:hAnsi="Arial"/>
                <w:sz w:val="12"/>
                <w:szCs w:val="12"/>
                <w:color w:val="auto"/>
              </w:rPr>
              <w:t>IN</w:t>
            </w:r>
          </w:p>
        </w:tc>
        <w:tc>
          <w:tcPr>
            <w:tcW w:w="300" w:type="dxa"/>
            <w:vAlign w:val="bottom"/>
          </w:tcPr>
          <w:p>
            <w:pPr>
              <w:spacing w:after="0"/>
              <w:rPr>
                <w:sz w:val="16"/>
                <w:szCs w:val="16"/>
                <w:color w:val="auto"/>
              </w:rPr>
            </w:pPr>
          </w:p>
        </w:tc>
        <w:tc>
          <w:tcPr>
            <w:tcW w:w="5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TEFAN</w:t>
            </w:r>
            <w:r>
              <w:rPr>
                <w:rFonts w:ascii="Arial" w:cs="Arial" w:eastAsia="Arial" w:hAnsi="Arial"/>
                <w:sz w:val="18"/>
                <w:szCs w:val="18"/>
                <w:color w:val="auto"/>
              </w:rPr>
              <w:t xml:space="preserve"> J. M</w:t>
            </w:r>
            <w:r>
              <w:rPr>
                <w:rFonts w:ascii="Arial" w:cs="Arial" w:eastAsia="Arial" w:hAnsi="Arial"/>
                <w:sz w:val="12"/>
                <w:szCs w:val="12"/>
                <w:color w:val="auto"/>
              </w:rPr>
              <w:t>URRY</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5760" w:type="dxa"/>
            <w:vAlign w:val="bottom"/>
            <w:gridSpan w:val="2"/>
          </w:tcPr>
          <w:p>
            <w:pPr>
              <w:ind w:left="30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This certification accompanies the Annual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Annual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28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lvl w:ilvl="1">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1)"/>
      <w:numFmt w:val="decimal"/>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1"/>
      <w:numFmt w:val="upperLetter"/>
      <w:start w:val="68"/>
    </w:lvl>
  </w:abstractNum>
  <w:abstractNum w:abstractNumId="26">
    <w:nsid w:val="57E4CCAF"/>
    <w:multiLevelType w:val="hybridMultilevel"/>
    <w:lvl w:ilvl="0">
      <w:lvlJc w:val="left"/>
      <w:lvlText w:val="%1."/>
      <w:numFmt w:val="lowerLetter"/>
      <w:start w:val="1"/>
    </w:lvl>
  </w:abstractNum>
  <w:abstractNum w:abstractNumId="27">
    <w:nsid w:val="7A6D8D3C"/>
    <w:multiLevelType w:val="hybridMultilevel"/>
    <w:lvl w:ilvl="0">
      <w:lvlJc w:val="left"/>
      <w:lvlText w:val="%1."/>
      <w:numFmt w:val="lowerLetter"/>
      <w:start w:val="2"/>
    </w:lvl>
  </w:abstractNum>
  <w:abstractNum w:abstractNumId="28">
    <w:nsid w:val="4B588F54"/>
    <w:multiLevelType w:val="hybridMultilevel"/>
    <w:lvl w:ilvl="0">
      <w:lvlJc w:val="left"/>
      <w:lvlText w:val="(%1)"/>
      <w:numFmt w:val="lowerRoman"/>
      <w:start w:val="2"/>
    </w:lvl>
  </w:abstractNum>
  <w:abstractNum w:abstractNumId="29">
    <w:nsid w:val="542289EC"/>
    <w:multiLevelType w:val="hybridMultilevel"/>
    <w:lvl w:ilvl="0">
      <w:lvlJc w:val="left"/>
      <w:lvlText w:val="%1."/>
      <w:numFmt w:val="lowerLetter"/>
      <w:start w:val="3"/>
    </w:lvl>
  </w:abstractNum>
  <w:abstractNum w:abstractNumId="30">
    <w:nsid w:val="6DE91B18"/>
    <w:multiLevelType w:val="hybridMultilevel"/>
    <w:lvl w:ilvl="0">
      <w:lvlJc w:val="left"/>
      <w:lvlText w:val="*"/>
      <w:numFmt w:val="bullet"/>
      <w:start w:val="1"/>
    </w:lvl>
    <w:lvl w:ilvl="1">
      <w:lvlJc w:val="left"/>
      <w:lvlText w:val="%2"/>
      <w:numFmt w:val="decimal"/>
      <w:start w:val="104"/>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2"/>
    </w:lvl>
  </w:abstractNum>
  <w:abstractNum w:abstractNumId="36">
    <w:nsid w:val="749ABB43"/>
    <w:multiLevelType w:val="hybridMultilevel"/>
    <w:lvl w:ilvl="0">
      <w:lvlJc w:val="left"/>
      <w:lvlText w:val="%1."/>
      <w:numFmt w:val="decimal"/>
      <w:start w:val="3"/>
    </w:lvl>
  </w:abstractNum>
  <w:abstractNum w:abstractNumId="37">
    <w:nsid w:val="3DC240FB"/>
    <w:multiLevelType w:val="hybridMultilevel"/>
    <w:lvl w:ilvl="0">
      <w:lvlJc w:val="left"/>
      <w:lvlText w:val="%1."/>
      <w:numFmt w:val="decimal"/>
      <w:start w:val="4"/>
    </w:lvl>
  </w:abstractNum>
  <w:abstractNum w:abstractNumId="38">
    <w:nsid w:val="1BA026FA"/>
    <w:multiLevelType w:val="hybridMultilevel"/>
    <w:lvl w:ilvl="0">
      <w:lvlJc w:val="left"/>
      <w:lvlText w:val="%1."/>
      <w:numFmt w:val="decimal"/>
      <w:start w:val="5"/>
    </w:lvl>
  </w:abstractNum>
  <w:abstractNum w:abstractNumId="39">
    <w:nsid w:val="79A1DEAA"/>
    <w:multiLevelType w:val="hybridMultilevel"/>
    <w:lvl w:ilvl="0">
      <w:lvlJc w:val="left"/>
      <w:lvlText w:val="%1."/>
      <w:numFmt w:val="decimal"/>
      <w:start w:val="6"/>
    </w:lvl>
  </w:abstractNum>
  <w:abstractNum w:abstractNumId="40">
    <w:nsid w:val="75C6C33A"/>
    <w:multiLevelType w:val="hybridMultilevel"/>
    <w:lvl w:ilvl="0">
      <w:lvlJc w:val="left"/>
      <w:lvlText w:val="%1."/>
      <w:numFmt w:val="decimal"/>
      <w:start w:val="8"/>
    </w:lvl>
  </w:abstractNum>
  <w:abstractNum w:abstractNumId="41">
    <w:nsid w:val="12E685FB"/>
    <w:multiLevelType w:val="hybridMultilevel"/>
    <w:lvl w:ilvl="0">
      <w:lvlJc w:val="left"/>
      <w:lvlText w:val="%1."/>
      <w:numFmt w:val="decimal"/>
      <w:start w:val="9"/>
    </w:lvl>
  </w:abstractNum>
  <w:abstractNum w:abstractNumId="42">
    <w:nsid w:val="70C6A529"/>
    <w:multiLevelType w:val="hybridMultilevel"/>
    <w:lvl w:ilvl="0">
      <w:lvlJc w:val="left"/>
      <w:lvlText w:val="%1."/>
      <w:numFmt w:val="decimal"/>
      <w:start w:val="10"/>
    </w:lvl>
  </w:abstractNum>
  <w:abstractNum w:abstractNumId="43">
    <w:nsid w:val="520EEDD1"/>
    <w:multiLevelType w:val="hybridMultilevel"/>
    <w:lvl w:ilvl="0">
      <w:lvlJc w:val="left"/>
      <w:lvlText w:val="%1."/>
      <w:numFmt w:val="decimal"/>
      <w:start w:val="11"/>
    </w:lvl>
  </w:abstractNum>
  <w:abstractNum w:abstractNumId="44">
    <w:nsid w:val="374A3FE6"/>
    <w:multiLevelType w:val="hybridMultilevel"/>
    <w:lvl w:ilvl="0">
      <w:lvlJc w:val="left"/>
      <w:lvlText w:val="%1."/>
      <w:numFmt w:val="decimal"/>
      <w:start w:val="12"/>
    </w:lvl>
  </w:abstractNum>
  <w:abstractNum w:abstractNumId="45">
    <w:nsid w:val="4F4EF005"/>
    <w:multiLevelType w:val="hybridMultilevel"/>
    <w:lvl w:ilvl="0">
      <w:lvlJc w:val="left"/>
      <w:lvlText w:val="%1."/>
      <w:numFmt w:val="decimal"/>
      <w:start w:val="13"/>
    </w:lvl>
  </w:abstractNum>
  <w:abstractNum w:abstractNumId="46">
    <w:nsid w:val="23F9C13C"/>
    <w:multiLevelType w:val="hybridMultilevel"/>
    <w:lvl w:ilvl="0">
      <w:lvlJc w:val="left"/>
      <w:lvlText w:val="%1."/>
      <w:numFmt w:val="decimal"/>
      <w:start w:val="14"/>
    </w:lvl>
  </w:abstractNum>
  <w:abstractNum w:abstractNumId="47">
    <w:nsid w:val="649BB77C"/>
    <w:multiLevelType w:val="hybridMultilevel"/>
    <w:lvl w:ilvl="0">
      <w:lvlJc w:val="left"/>
      <w:lvlText w:val="%1."/>
      <w:numFmt w:val="decimal"/>
      <w:start w:val="15"/>
    </w:lvl>
  </w:abstractNum>
  <w:abstractNum w:abstractNumId="48">
    <w:nsid w:val="275AC794"/>
    <w:multiLevelType w:val="hybridMultilevel"/>
    <w:lvl w:ilvl="0">
      <w:lvlJc w:val="left"/>
      <w:lvlText w:val="%1."/>
      <w:numFmt w:val="decimal"/>
      <w:start w:val="16"/>
    </w:lvl>
  </w:abstractNum>
  <w:abstractNum w:abstractNumId="49">
    <w:nsid w:val="39386575"/>
    <w:multiLevelType w:val="hybridMultilevel"/>
    <w:lvl w:ilvl="0">
      <w:lvlJc w:val="left"/>
      <w:lvlText w:val="%1."/>
      <w:numFmt w:val="decimal"/>
      <w:start w:val="18"/>
    </w:lvl>
  </w:abstractNum>
  <w:abstractNum w:abstractNumId="50">
    <w:nsid w:val="1CF10FD8"/>
    <w:multiLevelType w:val="hybridMultilevel"/>
    <w:lvl w:ilvl="0">
      <w:lvlJc w:val="left"/>
      <w:lvlText w:val="%1."/>
      <w:numFmt w:val="decimal"/>
      <w:start w:val="19"/>
    </w:lvl>
  </w:abstractNum>
  <w:abstractNum w:abstractNumId="51">
    <w:nsid w:val="180115BE"/>
    <w:multiLevelType w:val="hybridMultilevel"/>
    <w:lvl w:ilvl="0">
      <w:lvlJc w:val="left"/>
      <w:lvlText w:val="%1."/>
      <w:numFmt w:val="decimal"/>
      <w:start w:val="20"/>
    </w:lvl>
  </w:abstractNum>
  <w:abstractNum w:abstractNumId="52">
    <w:nsid w:val="235BA861"/>
    <w:multiLevelType w:val="hybridMultilevel"/>
    <w:lvl w:ilvl="0">
      <w:lvlJc w:val="left"/>
      <w:lvlText w:val="%1."/>
      <w:numFmt w:val="decimal"/>
      <w:start w:val="21"/>
    </w:lvl>
  </w:abstractNum>
  <w:abstractNum w:abstractNumId="53">
    <w:nsid w:val="47398C89"/>
    <w:multiLevelType w:val="hybridMultilevel"/>
    <w:lvl w:ilvl="0">
      <w:lvlJc w:val="left"/>
      <w:lvlText w:val="%1."/>
      <w:numFmt w:val="decimal"/>
      <w:start w:val="22"/>
    </w:lvl>
  </w:abstractNum>
  <w:abstractNum w:abstractNumId="54">
    <w:nsid w:val="354FE9F9"/>
    <w:multiLevelType w:val="hybridMultilevel"/>
    <w:lvl w:ilvl="0">
      <w:lvlJc w:val="left"/>
      <w:lvlText w:val="%1"/>
      <w:numFmt w:val="upperLetter"/>
      <w:start w:val="68"/>
    </w:lvl>
  </w:abstractNum>
  <w:abstractNum w:abstractNumId="55">
    <w:nsid w:val="15B5AF5C"/>
    <w:multiLevelType w:val="hybridMultilevel"/>
    <w:lvl w:ilvl="0">
      <w:lvlJc w:val="left"/>
      <w:lvlText w:val="%1"/>
      <w:numFmt w:val="upperLetter"/>
      <w:start w:val="68"/>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1."/>
      <w:numFmt w:val="decimal"/>
      <w:start w:val="1"/>
    </w:lvl>
  </w:abstractNum>
  <w:abstractNum w:abstractNumId="58">
    <w:nsid w:val="10233C99"/>
    <w:multiLevelType w:val="hybridMultilevel"/>
    <w:lvl w:ilvl="0">
      <w:lvlJc w:val="left"/>
      <w:lvlText w:val="(%1)"/>
      <w:numFmt w:val="lowerLetter"/>
      <w:start w:val="1"/>
    </w:lvl>
  </w:abstractNum>
  <w:abstractNum w:abstractNumId="59">
    <w:nsid w:val="3F6AB60F"/>
    <w:multiLevelType w:val="hybridMultilevel"/>
    <w:lvl w:ilvl="0">
      <w:lvlJc w:val="left"/>
      <w:lvlText w:val="%1."/>
      <w:numFmt w:val="decimal"/>
      <w:start w:val="5"/>
    </w:lvl>
  </w:abstractNum>
  <w:abstractNum w:abstractNumId="60">
    <w:nsid w:val="61574095"/>
    <w:multiLevelType w:val="hybridMultilevel"/>
    <w:lvl w:ilvl="0">
      <w:lvlJc w:val="left"/>
      <w:lvlText w:val="(%1)"/>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84" Type="http://schemas.openxmlformats.org/officeDocument/2006/relationships/image" Target="media/image58.png"/><Relationship Id="rId101" Type="http://schemas.openxmlformats.org/officeDocument/2006/relationships/image" Target="media/image59.png"/><Relationship Id="rId107" Type="http://schemas.openxmlformats.org/officeDocument/2006/relationships/image" Target="media/image60.png"/><Relationship Id="rId125" Type="http://schemas.openxmlformats.org/officeDocument/2006/relationships/image" Target="media/image61.png"/><Relationship Id="rId153" Type="http://schemas.openxmlformats.org/officeDocument/2006/relationships/image" Target="media/image62.png"/><Relationship Id="rId154" Type="http://schemas.openxmlformats.org/officeDocument/2006/relationships/image" Target="media/image63.png"/><Relationship Id="rId155" Type="http://schemas.openxmlformats.org/officeDocument/2006/relationships/image" Target="media/image64.png"/><Relationship Id="rId156" Type="http://schemas.openxmlformats.org/officeDocument/2006/relationships/image" Target="media/image65.png"/><Relationship Id="rId157" Type="http://schemas.openxmlformats.org/officeDocument/2006/relationships/image" Target="media/image66.png"/><Relationship Id="rId158" Type="http://schemas.openxmlformats.org/officeDocument/2006/relationships/image" Target="media/image67.png"/><Relationship Id="rId159" Type="http://schemas.openxmlformats.org/officeDocument/2006/relationships/image" Target="media/image68.png"/><Relationship Id="rId160" Type="http://schemas.openxmlformats.org/officeDocument/2006/relationships/image" Target="media/image69.png"/><Relationship Id="rId161" Type="http://schemas.openxmlformats.org/officeDocument/2006/relationships/image" Target="media/image70.png"/><Relationship Id="rId162" Type="http://schemas.openxmlformats.org/officeDocument/2006/relationships/image" Target="media/image71.png"/><Relationship Id="rId163" Type="http://schemas.openxmlformats.org/officeDocument/2006/relationships/image" Target="media/image72.png"/><Relationship Id="rId164" Type="http://schemas.openxmlformats.org/officeDocument/2006/relationships/image" Target="media/image73.png"/><Relationship Id="rId165" Type="http://schemas.openxmlformats.org/officeDocument/2006/relationships/image" Target="media/image74.png"/><Relationship Id="rId166" Type="http://schemas.openxmlformats.org/officeDocument/2006/relationships/image" Target="media/image75.png"/><Relationship Id="rId167" Type="http://schemas.openxmlformats.org/officeDocument/2006/relationships/image" Target="media/image76.png"/><Relationship Id="rId168" Type="http://schemas.openxmlformats.org/officeDocument/2006/relationships/image" Target="media/image77.png"/><Relationship Id="rId169" Type="http://schemas.openxmlformats.org/officeDocument/2006/relationships/image" Target="media/image78.png"/><Relationship Id="rId170" Type="http://schemas.openxmlformats.org/officeDocument/2006/relationships/image" Target="media/image79.png"/><Relationship Id="rId171" Type="http://schemas.openxmlformats.org/officeDocument/2006/relationships/image" Target="media/image80.png"/><Relationship Id="rId172" Type="http://schemas.openxmlformats.org/officeDocument/2006/relationships/image" Target="media/image81.png"/><Relationship Id="rId173" Type="http://schemas.openxmlformats.org/officeDocument/2006/relationships/image" Target="media/image82.png"/><Relationship Id="rId174" Type="http://schemas.openxmlformats.org/officeDocument/2006/relationships/image" Target="media/image83.png"/><Relationship Id="rId175" Type="http://schemas.openxmlformats.org/officeDocument/2006/relationships/image" Target="media/image84.png"/><Relationship Id="rId176" Type="http://schemas.openxmlformats.org/officeDocument/2006/relationships/image" Target="media/image85.png"/><Relationship Id="rId177" Type="http://schemas.openxmlformats.org/officeDocument/2006/relationships/image" Target="media/image86.png"/><Relationship Id="rId178" Type="http://schemas.openxmlformats.org/officeDocument/2006/relationships/image" Target="media/image87.png"/><Relationship Id="rId179" Type="http://schemas.openxmlformats.org/officeDocument/2006/relationships/image" Target="media/image88.png"/><Relationship Id="rId180" Type="http://schemas.openxmlformats.org/officeDocument/2006/relationships/image" Target="media/image89.png"/><Relationship Id="rId181" Type="http://schemas.openxmlformats.org/officeDocument/2006/relationships/image" Target="media/image90.png"/><Relationship Id="rId182" Type="http://schemas.openxmlformats.org/officeDocument/2006/relationships/image" Target="media/image91.png"/><Relationship Id="rId183" Type="http://schemas.openxmlformats.org/officeDocument/2006/relationships/image" Target="media/image92.png"/><Relationship Id="rId184" Type="http://schemas.openxmlformats.org/officeDocument/2006/relationships/image" Target="media/image93.png"/><Relationship Id="rId185" Type="http://schemas.openxmlformats.org/officeDocument/2006/relationships/image" Target="media/image94.png"/><Relationship Id="rId186" Type="http://schemas.openxmlformats.org/officeDocument/2006/relationships/image" Target="media/image95.png"/><Relationship Id="rId187" Type="http://schemas.openxmlformats.org/officeDocument/2006/relationships/image" Target="media/image96.png"/><Relationship Id="rId188" Type="http://schemas.openxmlformats.org/officeDocument/2006/relationships/image" Target="media/image97.png"/><Relationship Id="rId189" Type="http://schemas.openxmlformats.org/officeDocument/2006/relationships/image" Target="media/image98.png"/><Relationship Id="rId190" Type="http://schemas.openxmlformats.org/officeDocument/2006/relationships/image" Target="media/image99.png"/><Relationship Id="rId191" Type="http://schemas.openxmlformats.org/officeDocument/2006/relationships/image" Target="media/image100.png"/><Relationship Id="rId192" Type="http://schemas.openxmlformats.org/officeDocument/2006/relationships/image" Target="media/image101.png"/><Relationship Id="rId193" Type="http://schemas.openxmlformats.org/officeDocument/2006/relationships/image" Target="media/image102.png"/><Relationship Id="rId194" Type="http://schemas.openxmlformats.org/officeDocument/2006/relationships/image" Target="media/image103.png"/><Relationship Id="rId65" Type="http://schemas.openxmlformats.org/officeDocument/2006/relationships/hyperlink" Target="http://www.sec.gov/Archives/edgar/data/1158114/000101968713004306/aaoi_10q-ex0301.htm" TargetMode="External"/><Relationship Id="rId66" Type="http://schemas.openxmlformats.org/officeDocument/2006/relationships/hyperlink" Target="http://www.sec.gov/Archives/edgar/data/1158114/000101968713004306/aaoi_10q-ex0302.htm" TargetMode="External"/><Relationship Id="rId67" Type="http://schemas.openxmlformats.org/officeDocument/2006/relationships/hyperlink" Target="http://www.sec.gov/Archives/edgar/data/1158114/000110465916157015/a16-21428_1ex4d1.htm" TargetMode="External"/><Relationship Id="rId68" Type="http://schemas.openxmlformats.org/officeDocument/2006/relationships/hyperlink" Target="http://www.sec.gov/Archives/edgar/data/1158114/000110465919012900/a19-4821_4ex4d1.htm" TargetMode="External"/><Relationship Id="rId69" Type="http://schemas.openxmlformats.org/officeDocument/2006/relationships/hyperlink" Target="http://www.sec.gov/Archives/edgar/data/1158114/000143774920003909/ex_173490.htm" TargetMode="External"/><Relationship Id="rId70" Type="http://schemas.openxmlformats.org/officeDocument/2006/relationships/hyperlink" Target="http://www.sec.gov/Archives/edgar/data/1158114/000104746913008409/a2216044zex-10_1.htm" TargetMode="External"/><Relationship Id="rId71" Type="http://schemas.openxmlformats.org/officeDocument/2006/relationships/hyperlink" Target="http://www.sec.gov/Archives/edgar/data/1158114/000104746913008409/a2216044zex-10_6.htm" TargetMode="External"/><Relationship Id="rId72" Type="http://schemas.openxmlformats.org/officeDocument/2006/relationships/hyperlink" Target="http://www.sec.gov/Archives/edgar/data/1158114/000104746913008695/a2216477zex-10_51.htm" TargetMode="External"/><Relationship Id="rId73" Type="http://schemas.openxmlformats.org/officeDocument/2006/relationships/hyperlink" Target="http://www.sec.gov/Archives/edgar/data/1158114/000104746913008409/a2216044zex-10_52.htm" TargetMode="External"/><Relationship Id="rId74" Type="http://schemas.openxmlformats.org/officeDocument/2006/relationships/hyperlink" Target="http://www.sec.gov/Archives/edgar/data/1158114/000155837017001556/aaoi-20161231ex10640a0a4.htm" TargetMode="External"/><Relationship Id="rId75" Type="http://schemas.openxmlformats.org/officeDocument/2006/relationships/hyperlink" Target="http://www.sec.gov/Archives/edgar/data/1158114/000104746913008409/a2216044zex-10_61.htm" TargetMode="External"/><Relationship Id="rId76" Type="http://schemas.openxmlformats.org/officeDocument/2006/relationships/hyperlink" Target="http://www.sec.gov/Archives/edgar/data/1158114/000104746913008409/a2216044zex-10_62.htm" TargetMode="External"/><Relationship Id="rId77" Type="http://schemas.openxmlformats.org/officeDocument/2006/relationships/hyperlink" Target="http://www.sec.gov/Archives/edgar/data/1158114/000104746913008409/a2216044zex-10_63.htm" TargetMode="External"/><Relationship Id="rId78" Type="http://schemas.openxmlformats.org/officeDocument/2006/relationships/hyperlink" Target="http://www.sec.gov/Archives/edgar/data/1158114/000104746913008409/a2216044zex-10_64.htm" TargetMode="External"/><Relationship Id="rId79" Type="http://schemas.openxmlformats.org/officeDocument/2006/relationships/hyperlink" Target="http://www.sec.gov/Archives/edgar/data/1158114/000104746913008409/a2216044zex-10_121.htm" TargetMode="External"/><Relationship Id="rId80" Type="http://schemas.openxmlformats.org/officeDocument/2006/relationships/hyperlink" Target="http://www.sec.gov/Archives/edgar/data/1158114/000101968716007125/applied_ex1020.htm" TargetMode="External"/><Relationship Id="rId81" Type="http://schemas.openxmlformats.org/officeDocument/2006/relationships/hyperlink" Target="http://www.sec.gov/Archives/edgar/data/1158114/000101968716007125/applied_ex1021.htm" TargetMode="External"/><Relationship Id="rId82" Type="http://schemas.openxmlformats.org/officeDocument/2006/relationships/hyperlink" Target="http://www.sec.gov/Archives/edgar/data/1158114/000101968716007125/applied_ex1022.htm" TargetMode="External"/><Relationship Id="rId83" Type="http://schemas.openxmlformats.org/officeDocument/2006/relationships/hyperlink" Target="http://www.sec.gov/Archives/edgar/data/1158114/000155837018001271/aaoi-20171231ex1098811b1.htm" TargetMode="External"/><Relationship Id="rId85" Type="http://schemas.openxmlformats.org/officeDocument/2006/relationships/hyperlink" Target="http://www.sec.gov/Archives/edgar/data/1158114/000168316817002573/ao_ex1001.htm" TargetMode="External"/><Relationship Id="rId86" Type="http://schemas.openxmlformats.org/officeDocument/2006/relationships/hyperlink" Target="http://www.sec.gov/Archives/edgar/data/1158114/000168316817002573/ao_ex1002.htm" TargetMode="External"/><Relationship Id="rId87" Type="http://schemas.openxmlformats.org/officeDocument/2006/relationships/hyperlink" Target="http://www.sec.gov/Archives/edgar/data/1158114/000168316817002573/ao_ex1003.htm" TargetMode="External"/><Relationship Id="rId88" Type="http://schemas.openxmlformats.org/officeDocument/2006/relationships/hyperlink" Target="http://www.sec.gov/Archives/edgar/data/1158114/000168316817002573/ao_ex1004.htm" TargetMode="External"/><Relationship Id="rId89" Type="http://schemas.openxmlformats.org/officeDocument/2006/relationships/hyperlink" Target="http://www.sec.gov/Archives/edgar/data/1158114/000168316817002573/ao_ex1005.htm" TargetMode="External"/><Relationship Id="rId90" Type="http://schemas.openxmlformats.org/officeDocument/2006/relationships/hyperlink" Target="http://www.sec.gov/Archives/edgar/data/1158114/000168316817002573/ao_ex1006.htm" TargetMode="External"/><Relationship Id="rId91" Type="http://schemas.openxmlformats.org/officeDocument/2006/relationships/hyperlink" Target="http://www.sec.gov/Archives/edgar/data/1158114/000168316818000488/appliedopto_ex1001.htm" TargetMode="External"/><Relationship Id="rId92" Type="http://schemas.openxmlformats.org/officeDocument/2006/relationships/hyperlink" Target="http://www.sec.gov/Archives/edgar/data/1158114/000168316818000488/appliedopto_ex1002.htm" TargetMode="External"/><Relationship Id="rId93" Type="http://schemas.openxmlformats.org/officeDocument/2006/relationships/hyperlink" Target="http://www.sec.gov/Archives/edgar/data/1158114/000155837018001271/aaoi-20171231ex10309e615.htm" TargetMode="External"/><Relationship Id="rId94" Type="http://schemas.openxmlformats.org/officeDocument/2006/relationships/hyperlink" Target="http://www.sec.gov/Archives/edgar/data/1158114/000155837018001271/aaoi-20171231ex103012e87.htm" TargetMode="External"/><Relationship Id="rId95" Type="http://schemas.openxmlformats.org/officeDocument/2006/relationships/hyperlink" Target="http://www.sec.gov/Archives/edgar/data/1158114/000155837018004322/aaoi-20180331ex105416272.htm" TargetMode="External"/><Relationship Id="rId96" Type="http://schemas.openxmlformats.org/officeDocument/2006/relationships/hyperlink" Target="http://www.sec.gov/Archives/edgar/data/1158114/000168316818000934/appliedopto_8k-ex1001.htm" TargetMode="External"/><Relationship Id="rId97" Type="http://schemas.openxmlformats.org/officeDocument/2006/relationships/hyperlink" Target="http://www.sec.gov/Archives/edgar/data/1158114/000168316818000934/appliedopto_8k-ex1002.htm" TargetMode="External"/><Relationship Id="rId98" Type="http://schemas.openxmlformats.org/officeDocument/2006/relationships/hyperlink" Target="http://www.sec.gov/Archives/edgar/data/1158114/000168316818000934/appliedopto_8k-ex1003.htm" TargetMode="External"/><Relationship Id="rId99" Type="http://schemas.openxmlformats.org/officeDocument/2006/relationships/hyperlink" Target="http://www.sec.gov/Archives/edgar/data/1158114/000168316818000934/appliedopto_8k-ex1004.htm" TargetMode="External"/><Relationship Id="rId100" Type="http://schemas.openxmlformats.org/officeDocument/2006/relationships/hyperlink" Target="http://www.sec.gov/Archives/edgar/data/1158114/000168316818000934/appliedopto_8k-ex1005.htm" TargetMode="External"/><Relationship Id="rId102" Type="http://schemas.openxmlformats.org/officeDocument/2006/relationships/hyperlink" Target="http://www.sec.gov/Archives/edgar/data/1158114/000168316818000934/appliedopto_8k-ex1006.htm" TargetMode="External"/><Relationship Id="rId103" Type="http://schemas.openxmlformats.org/officeDocument/2006/relationships/hyperlink" Target="http://www.sec.gov/Archives/edgar/data/1158114/000168316818000934/appliedopto_8k-ex1007.htm" TargetMode="External"/><Relationship Id="rId104" Type="http://schemas.openxmlformats.org/officeDocument/2006/relationships/hyperlink" Target="http://www.sec.gov/Archives/edgar/data/1158114/000168316818000934/appliedopto_8k-ex1008.htm" TargetMode="External"/><Relationship Id="rId105" Type="http://schemas.openxmlformats.org/officeDocument/2006/relationships/hyperlink" Target="http://www.sec.gov/Archives/edgar/data/1158114/000168316818000934/appliedopto_8k-ex1009.htm" TargetMode="External"/><Relationship Id="rId106" Type="http://schemas.openxmlformats.org/officeDocument/2006/relationships/hyperlink" Target="http://www.sec.gov/Archives/edgar/data/1158114/000168316818000934/appliedopto_8k-ex1010.htm" TargetMode="External"/><Relationship Id="rId108" Type="http://schemas.openxmlformats.org/officeDocument/2006/relationships/hyperlink" Target="http://www.sec.gov/Archives/edgar/data/1158114/000168316818003035/appliedopto_ex1001.htm" TargetMode="External"/><Relationship Id="rId109" Type="http://schemas.openxmlformats.org/officeDocument/2006/relationships/hyperlink" Target="http://www.sec.gov/Archives/edgar/data/1158114/000168316818003627/applied_8k-ex1001.htm" TargetMode="External"/><Relationship Id="rId110" Type="http://schemas.openxmlformats.org/officeDocument/2006/relationships/hyperlink" Target="http://www.sec.gov/Archives/edgar/data/1158114/000168316819000203/applied_ex1001.htm" TargetMode="External"/><Relationship Id="rId111" Type="http://schemas.openxmlformats.org/officeDocument/2006/relationships/hyperlink" Target="http://www.sec.gov/Archives/edgar/data/1158114/000168316819000287/applied_ex1001.htm" TargetMode="External"/><Relationship Id="rId112" Type="http://schemas.openxmlformats.org/officeDocument/2006/relationships/hyperlink" Target="http://www.sec.gov/Archives/edgar/data/1158114/000110465919012900/a19-4821_4ex10d1.htm" TargetMode="External"/><Relationship Id="rId113" Type="http://schemas.openxmlformats.org/officeDocument/2006/relationships/hyperlink" Target="http://www.sec.gov/Archives/edgar/data/1158114/000110465919012900/a19-4821_4ex10d2.htm" TargetMode="External"/><Relationship Id="rId114" Type="http://schemas.openxmlformats.org/officeDocument/2006/relationships/hyperlink" Target="http://www.sec.gov/Archives/edgar/data/1158114/000168316819001100/aaoi_8k-ex1001.htm" TargetMode="External"/><Relationship Id="rId115" Type="http://schemas.openxmlformats.org/officeDocument/2006/relationships/hyperlink" Target="http://www.sec.gov/Archives/edgar/data/1158114/000168316819001100/aaoi_8k-ex1002.htm" TargetMode="External"/><Relationship Id="rId116" Type="http://schemas.openxmlformats.org/officeDocument/2006/relationships/hyperlink" Target="http://www.sec.gov/Archives/edgar/data/1158114/000168316819001100/aaoi_8k-ex1003.htm" TargetMode="External"/><Relationship Id="rId117" Type="http://schemas.openxmlformats.org/officeDocument/2006/relationships/hyperlink" Target="http://www.sec.gov/Archives/edgar/data/1158114/000168316819001100/aaoi_8k-ex1004.htm" TargetMode="External"/><Relationship Id="rId118" Type="http://schemas.openxmlformats.org/officeDocument/2006/relationships/hyperlink" Target="http://www.sec.gov/Archives/edgar/data/1158114/000168316819001188/aaoi_ex1001.htm" TargetMode="External"/><Relationship Id="rId119" Type="http://schemas.openxmlformats.org/officeDocument/2006/relationships/hyperlink" Target="http://www.sec.gov/Archives/edgar/data/1158114/000168316819001379/applied_8k-1001.htm" TargetMode="External"/><Relationship Id="rId120" Type="http://schemas.openxmlformats.org/officeDocument/2006/relationships/hyperlink" Target="http://www.sec.gov/Archives/edgar/data/1158114/000168316819001485/aaoi_8k-ex1001.htm" TargetMode="External"/><Relationship Id="rId121" Type="http://schemas.openxmlformats.org/officeDocument/2006/relationships/hyperlink" Target="http://www.sec.gov/Archives/edgar/data/1158114/000168316819001485/aaoi_8k-ex1002.htm" TargetMode="External"/><Relationship Id="rId122" Type="http://schemas.openxmlformats.org/officeDocument/2006/relationships/hyperlink" Target="http://www.sec.gov/Archives/edgar/data/1158114/000168316819001761/appliedopto_ex1001.htm" TargetMode="External"/><Relationship Id="rId123" Type="http://schemas.openxmlformats.org/officeDocument/2006/relationships/hyperlink" Target="http://www.sec.gov/Archives/edgar/data/1158114/000168316819001761/appliedopto_ex1002.htm" TargetMode="External"/><Relationship Id="rId124" Type="http://schemas.openxmlformats.org/officeDocument/2006/relationships/hyperlink" Target="http://www.sec.gov/Archives/edgar/data/1158114/000168316819002034/appliedopto_ex1001.htm" TargetMode="External"/><Relationship Id="rId126" Type="http://schemas.openxmlformats.org/officeDocument/2006/relationships/hyperlink" Target="http://www.sec.gov/Archives/edgar/data/1158114/000168316819002034/appliedopto_ex1002.htm" TargetMode="External"/><Relationship Id="rId127" Type="http://schemas.openxmlformats.org/officeDocument/2006/relationships/hyperlink" Target="http://www.sec.gov/Archives/edgar/data/1158114/000168316819002034/appliedopto_ex1003.htm" TargetMode="External"/><Relationship Id="rId128" Type="http://schemas.openxmlformats.org/officeDocument/2006/relationships/hyperlink" Target="http://www.sec.gov/Archives/edgar/data/1158114/000168316819002034/appliedopto_ex1004.htm" TargetMode="External"/><Relationship Id="rId129" Type="http://schemas.openxmlformats.org/officeDocument/2006/relationships/hyperlink" Target="http://www.sec.gov/Archives/edgar/data/1158114/000155837019007685/aaoi-20190630ex1011018df.htm" TargetMode="External"/><Relationship Id="rId130" Type="http://schemas.openxmlformats.org/officeDocument/2006/relationships/hyperlink" Target="http://www.sec.gov/Archives/edgar/data/1158114/000155837019007685/aaoi-20190630ex1012c18ae.htm" TargetMode="External"/><Relationship Id="rId131" Type="http://schemas.openxmlformats.org/officeDocument/2006/relationships/hyperlink" Target="http://www.sec.gov/Archives/edgar/data/1158114/000155837019007685/aaoi-20190630ex10135090a.htm" TargetMode="External"/><Relationship Id="rId132" Type="http://schemas.openxmlformats.org/officeDocument/2006/relationships/hyperlink" Target="http://www.sec.gov/Archives/edgar/data/1158114/000155837019007685/aaoi-20190630ex10144a251.htm" TargetMode="External"/><Relationship Id="rId133" Type="http://schemas.openxmlformats.org/officeDocument/2006/relationships/hyperlink" Target="http://www.sec.gov/Archives/edgar/data/1158114/000168316819003174/appliedopto_ex1001.htm" TargetMode="External"/><Relationship Id="rId134" Type="http://schemas.openxmlformats.org/officeDocument/2006/relationships/hyperlink" Target="http://www.sec.gov/Archives/edgar/data/1158114/000168316819003174/appliedopto_ex1002.htm" TargetMode="External"/><Relationship Id="rId135" Type="http://schemas.openxmlformats.org/officeDocument/2006/relationships/hyperlink" Target="http://www.sec.gov/Archives/edgar/data/1158114/000168316819003174/appliedopto_ex1003.htm" TargetMode="External"/><Relationship Id="rId136" Type="http://schemas.openxmlformats.org/officeDocument/2006/relationships/hyperlink" Target="http://www.sec.gov/Archives/edgar/data/1158114/000168316819003720/aaoi_ex1001.htm" TargetMode="External"/><Relationship Id="rId137" Type="http://schemas.openxmlformats.org/officeDocument/2006/relationships/hyperlink" Target="http://www.sec.gov/Archives/edgar/data/1158114/000168316820001257/appliedopto_ex1001.htm" TargetMode="External"/><Relationship Id="rId138" Type="http://schemas.openxmlformats.org/officeDocument/2006/relationships/hyperlink" Target="http://www.sec.gov/Archives/edgar/data/1158114/000168316820003194/appliedopto_ex1001.htm" TargetMode="External"/><Relationship Id="rId139" Type="http://schemas.openxmlformats.org/officeDocument/2006/relationships/hyperlink" Target="http://www.sec.gov/Archives/edgar/data/1158114/000168316820003426/appliedopto_ex1001.htm" TargetMode="External"/><Relationship Id="rId140" Type="http://schemas.openxmlformats.org/officeDocument/2006/relationships/hyperlink" Target="http://www.sec.gov/Archives/edgar/data/1158114/000168316820003426/appliedopto_ex1002.htm" TargetMode="External"/><Relationship Id="rId141" Type="http://schemas.openxmlformats.org/officeDocument/2006/relationships/hyperlink" Target="http://www.sec.gov/Archives/edgar/data/1158114/000168316820003515/appliedopto_ex1001.htm" TargetMode="External"/><Relationship Id="rId142" Type="http://schemas.openxmlformats.org/officeDocument/2006/relationships/hyperlink" Target="http://www.sec.gov/Archives/edgar/data/0001158114/000168316821000098/appliedopto_ex1001.htm" TargetMode="External"/><Relationship Id="rId143" Type="http://schemas.openxmlformats.org/officeDocument/2006/relationships/hyperlink" Target="http://www.sec.gov/Archives/edgar/data/0001158114/000168316821000098/appliedopto_ex1002.htm" TargetMode="External"/><Relationship Id="rId144" Type="http://schemas.openxmlformats.org/officeDocument/2006/relationships/hyperlink" Target="http://www.sec.gov/Archives/edgar/data/0001158114/000168316821001304/appliedopto_ex1001.htm" TargetMode="External"/><Relationship Id="rId145" Type="http://schemas.openxmlformats.org/officeDocument/2006/relationships/hyperlink" Target="http://www.sec.gov/Archives/edgar/data/0001158114/000168316821001304/appliedopto_ex1002.htm" TargetMode="External"/><Relationship Id="rId146" Type="http://schemas.openxmlformats.org/officeDocument/2006/relationships/hyperlink" Target="http://www.sec.gov/Archives/edgar/data/0001158114/000168316821001304/appliedopto_ex1003.htm" TargetMode="External"/><Relationship Id="rId147" Type="http://schemas.openxmlformats.org/officeDocument/2006/relationships/hyperlink" Target="http://www.sec.gov/Archives/edgar/data/0001158114/000168316821002352/aaoi_ex1001.htm" TargetMode="External"/><Relationship Id="rId148" Type="http://schemas.openxmlformats.org/officeDocument/2006/relationships/hyperlink" Target="http://www.sec.gov/Archives/edgar/data/1158114/000143774921018786/ex_270779.htm" TargetMode="External"/><Relationship Id="rId149" Type="http://schemas.openxmlformats.org/officeDocument/2006/relationships/hyperlink" Target="http://www.sec.gov/Archives/edgar/data/1158114/000143774921018786/ex_270780.htm" TargetMode="External"/><Relationship Id="rId150" Type="http://schemas.openxmlformats.org/officeDocument/2006/relationships/hyperlink" Target="http://www.sec.gov/Archives/edgar/data/0001158114/000168316822000083/applied_ex1001.htm" TargetMode="External"/><Relationship Id="rId151" Type="http://schemas.openxmlformats.org/officeDocument/2006/relationships/hyperlink" Target="http://www.sec.gov/Archives/edgar/data/0001158114/000168316822000083/applied_ex1002.htm" TargetMode="External"/><Relationship Id="rId152" Type="http://schemas.openxmlformats.org/officeDocument/2006/relationships/hyperlink" Target="http://www.sec.gov/Archives/edgar/data/0001158114/000168316822000083/applied_ex10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2022-02-24T16:07:05Z</dcterms:created>
  <dcterms:modified xsi:type="dcterms:W3CDTF">2022-02-24T16:07:05Z</dcterms:modified>
</cp:coreProperties>
</file>