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0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28" w:lineRule="exact"/>
        <w:rPr>
          <w:sz w:val="24"/>
          <w:szCs w:val="24"/>
          <w:color w:val="auto"/>
        </w:rPr>
      </w:pPr>
    </w:p>
    <w:p>
      <w:pPr>
        <w:ind w:left="3680" w:right="2160" w:hanging="3669"/>
        <w:spacing w:after="0" w:line="365" w:lineRule="auto"/>
        <w:tabs>
          <w:tab w:leader="none" w:pos="332"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2016</w:t>
      </w:r>
    </w:p>
    <w:p>
      <w:pPr>
        <w:ind w:left="51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95" w:lineRule="exact"/>
        <w:rPr>
          <w:sz w:val="24"/>
          <w:szCs w:val="24"/>
          <w:color w:val="auto"/>
        </w:rPr>
      </w:pPr>
    </w:p>
    <w:p>
      <w:pPr>
        <w:ind w:left="340" w:hanging="329"/>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380" w:type="dxa"/>
            <w:vAlign w:val="bottom"/>
            <w:gridSpan w:val="3"/>
          </w:tcPr>
          <w:p>
            <w:pPr>
              <w:ind w:left="3240"/>
              <w:spacing w:after="0"/>
              <w:rPr>
                <w:sz w:val="20"/>
                <w:szCs w:val="20"/>
                <w:color w:val="auto"/>
              </w:rPr>
            </w:pPr>
            <w:r>
              <w:rPr>
                <w:rFonts w:ascii="Arial" w:cs="Arial" w:eastAsia="Arial" w:hAnsi="Arial"/>
                <w:sz w:val="16"/>
                <w:szCs w:val="16"/>
                <w:b w:val="1"/>
                <w:bCs w:val="1"/>
                <w:color w:val="auto"/>
                <w:w w:val="94"/>
              </w:rPr>
              <w:t>For the transition period from</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6"/>
                <w:szCs w:val="16"/>
                <w:b w:val="1"/>
                <w:bCs w:val="1"/>
                <w:color w:val="auto"/>
                <w:w w:val="92"/>
              </w:rPr>
              <w:t>to</w:t>
            </w:r>
          </w:p>
        </w:tc>
        <w:tc>
          <w:tcPr>
            <w:tcW w:w="780" w:type="dxa"/>
            <w:vAlign w:val="bottom"/>
            <w:tcBorders>
              <w:bottom w:val="single" w:sz="8" w:color="auto"/>
            </w:tcBorders>
          </w:tcPr>
          <w:p>
            <w:pPr>
              <w:spacing w:after="0"/>
              <w:rPr>
                <w:sz w:val="16"/>
                <w:szCs w:val="16"/>
                <w:color w:val="auto"/>
              </w:rPr>
            </w:pPr>
          </w:p>
        </w:tc>
        <w:tc>
          <w:tcPr>
            <w:tcW w:w="3220" w:type="dxa"/>
            <w:vAlign w:val="bottom"/>
          </w:tcPr>
          <w:p>
            <w:pPr>
              <w:spacing w:after="0"/>
              <w:rPr>
                <w:sz w:val="16"/>
                <w:szCs w:val="16"/>
                <w:color w:val="auto"/>
              </w:rPr>
            </w:pPr>
          </w:p>
        </w:tc>
      </w:tr>
      <w:tr>
        <w:trPr>
          <w:trHeight w:val="298"/>
        </w:trPr>
        <w:tc>
          <w:tcPr>
            <w:tcW w:w="104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2"/>
              </w:rPr>
              <w:t>Commission File Number: 001-36083</w:t>
            </w:r>
          </w:p>
        </w:tc>
      </w:tr>
      <w:tr>
        <w:trPr>
          <w:trHeight w:val="276"/>
        </w:trPr>
        <w:tc>
          <w:tcPr>
            <w:tcW w:w="6220" w:type="dxa"/>
            <w:vAlign w:val="bottom"/>
            <w:gridSpan w:val="5"/>
          </w:tcPr>
          <w:p>
            <w:pPr>
              <w:jc w:val="center"/>
              <w:ind w:left="4119"/>
              <w:spacing w:after="0"/>
              <w:rPr>
                <w:sz w:val="20"/>
                <w:szCs w:val="20"/>
                <w:color w:val="auto"/>
              </w:rPr>
            </w:pPr>
            <w:r>
              <w:rPr>
                <w:rFonts w:ascii="Arial" w:cs="Arial" w:eastAsia="Arial" w:hAnsi="Arial"/>
                <w:sz w:val="16"/>
                <w:szCs w:val="16"/>
                <w:b w:val="1"/>
                <w:bCs w:val="1"/>
                <w:color w:val="auto"/>
                <w:w w:val="91"/>
              </w:rPr>
              <w:t>Applied Optoelectronics, Inc.</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210"/>
        </w:trPr>
        <w:tc>
          <w:tcPr>
            <w:tcW w:w="104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76"/>
        </w:trPr>
        <w:tc>
          <w:tcPr>
            <w:tcW w:w="6220" w:type="dxa"/>
            <w:vAlign w:val="bottom"/>
            <w:gridSpan w:val="5"/>
          </w:tcPr>
          <w:p>
            <w:pPr>
              <w:jc w:val="center"/>
              <w:ind w:right="1000"/>
              <w:spacing w:after="0"/>
              <w:rPr>
                <w:sz w:val="20"/>
                <w:szCs w:val="20"/>
                <w:color w:val="auto"/>
              </w:rPr>
            </w:pPr>
            <w:r>
              <w:rPr>
                <w:rFonts w:ascii="Arial" w:cs="Arial" w:eastAsia="Arial" w:hAnsi="Arial"/>
                <w:sz w:val="16"/>
                <w:szCs w:val="16"/>
                <w:b w:val="1"/>
                <w:bCs w:val="1"/>
                <w:color w:val="auto"/>
                <w:w w:val="93"/>
              </w:rPr>
              <w:t>Delaware</w:t>
            </w:r>
          </w:p>
        </w:tc>
        <w:tc>
          <w:tcPr>
            <w:tcW w:w="418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76-0533927</w:t>
            </w:r>
          </w:p>
        </w:tc>
      </w:tr>
      <w:tr>
        <w:trPr>
          <w:trHeight w:val="210"/>
        </w:trPr>
        <w:tc>
          <w:tcPr>
            <w:tcW w:w="6220" w:type="dxa"/>
            <w:vAlign w:val="bottom"/>
            <w:gridSpan w:val="5"/>
          </w:tcPr>
          <w:p>
            <w:pPr>
              <w:jc w:val="center"/>
              <w:ind w:right="100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180" w:type="dxa"/>
            <w:vAlign w:val="bottom"/>
          </w:tcPr>
          <w:p>
            <w:pPr>
              <w:spacing w:after="0"/>
              <w:rPr>
                <w:sz w:val="18"/>
                <w:szCs w:val="18"/>
                <w:color w:val="auto"/>
              </w:rPr>
            </w:pPr>
          </w:p>
        </w:tc>
        <w:tc>
          <w:tcPr>
            <w:tcW w:w="4000" w:type="dxa"/>
            <w:vAlign w:val="bottom"/>
            <w:gridSpan w:val="2"/>
          </w:tcPr>
          <w:p>
            <w:pPr>
              <w:jc w:val="center"/>
              <w:ind w:right="1160"/>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76"/>
        </w:trPr>
        <w:tc>
          <w:tcPr>
            <w:tcW w:w="6220" w:type="dxa"/>
            <w:vAlign w:val="bottom"/>
            <w:gridSpan w:val="5"/>
          </w:tcPr>
          <w:p>
            <w:pPr>
              <w:jc w:val="center"/>
              <w:ind w:left="4139"/>
              <w:spacing w:after="0"/>
              <w:rPr>
                <w:sz w:val="20"/>
                <w:szCs w:val="20"/>
                <w:color w:val="auto"/>
              </w:rPr>
            </w:pPr>
            <w:r>
              <w:rPr>
                <w:rFonts w:ascii="Arial" w:cs="Arial" w:eastAsia="Arial" w:hAnsi="Arial"/>
                <w:sz w:val="16"/>
                <w:szCs w:val="16"/>
                <w:b w:val="1"/>
                <w:bCs w:val="1"/>
                <w:color w:val="auto"/>
                <w:w w:val="90"/>
              </w:rPr>
              <w:t>13139 Jess Pirtle Blvd.</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203"/>
        </w:trPr>
        <w:tc>
          <w:tcPr>
            <w:tcW w:w="6220" w:type="dxa"/>
            <w:vAlign w:val="bottom"/>
            <w:gridSpan w:val="5"/>
          </w:tcPr>
          <w:p>
            <w:pPr>
              <w:jc w:val="center"/>
              <w:ind w:left="4119"/>
              <w:spacing w:after="0"/>
              <w:rPr>
                <w:sz w:val="20"/>
                <w:szCs w:val="20"/>
                <w:color w:val="auto"/>
              </w:rPr>
            </w:pPr>
            <w:r>
              <w:rPr>
                <w:rFonts w:ascii="Arial" w:cs="Arial" w:eastAsia="Arial" w:hAnsi="Arial"/>
                <w:sz w:val="16"/>
                <w:szCs w:val="16"/>
                <w:b w:val="1"/>
                <w:bCs w:val="1"/>
                <w:color w:val="auto"/>
                <w:w w:val="94"/>
              </w:rPr>
              <w:t>Sugar Land, TX 77478</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10"/>
        </w:trPr>
        <w:tc>
          <w:tcPr>
            <w:tcW w:w="10400" w:type="dxa"/>
            <w:vAlign w:val="bottom"/>
            <w:gridSpan w:val="8"/>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offices)</w:t>
            </w:r>
          </w:p>
        </w:tc>
      </w:tr>
      <w:tr>
        <w:trPr>
          <w:trHeight w:val="276"/>
        </w:trPr>
        <w:tc>
          <w:tcPr>
            <w:tcW w:w="6200" w:type="dxa"/>
            <w:vAlign w:val="bottom"/>
            <w:gridSpan w:val="4"/>
          </w:tcPr>
          <w:p>
            <w:pPr>
              <w:jc w:val="center"/>
              <w:ind w:left="4139"/>
              <w:spacing w:after="0"/>
              <w:rPr>
                <w:sz w:val="20"/>
                <w:szCs w:val="20"/>
                <w:color w:val="auto"/>
              </w:rPr>
            </w:pPr>
            <w:r>
              <w:rPr>
                <w:rFonts w:ascii="Arial" w:cs="Arial" w:eastAsia="Arial" w:hAnsi="Arial"/>
                <w:sz w:val="16"/>
                <w:szCs w:val="16"/>
                <w:b w:val="1"/>
                <w:bCs w:val="1"/>
                <w:color w:val="auto"/>
                <w:w w:val="93"/>
              </w:rPr>
              <w:t>(281) 295-1800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210"/>
        </w:trPr>
        <w:tc>
          <w:tcPr>
            <w:tcW w:w="104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0"/>
              </w:rPr>
              <w:t>(Registrant’s telephone number)</w:t>
            </w:r>
          </w:p>
        </w:tc>
      </w:tr>
      <w:tr>
        <w:trPr>
          <w:trHeight w:val="284"/>
        </w:trPr>
        <w:tc>
          <w:tcPr>
            <w:tcW w:w="6220" w:type="dxa"/>
            <w:vAlign w:val="bottom"/>
            <w:gridSpan w:val="5"/>
          </w:tcPr>
          <w:p>
            <w:pPr>
              <w:jc w:val="right"/>
              <w:ind w:right="2080"/>
              <w:spacing w:after="0"/>
              <w:rPr>
                <w:sz w:val="20"/>
                <w:szCs w:val="20"/>
                <w:color w:val="auto"/>
              </w:rPr>
            </w:pPr>
            <w:r>
              <w:rPr>
                <w:rFonts w:ascii="Arial" w:cs="Arial" w:eastAsia="Arial" w:hAnsi="Arial"/>
                <w:sz w:val="16"/>
                <w:szCs w:val="16"/>
                <w:color w:val="auto"/>
              </w:rPr>
              <w:t>Securities registered pursuant to Section 12(b) of the Act: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87"/>
        </w:trPr>
        <w:tc>
          <w:tcPr>
            <w:tcW w:w="6220" w:type="dxa"/>
            <w:vAlign w:val="bottom"/>
            <w:gridSpan w:val="5"/>
          </w:tcPr>
          <w:p>
            <w:pPr>
              <w:ind w:left="1920"/>
              <w:spacing w:after="0"/>
              <w:rPr>
                <w:sz w:val="20"/>
                <w:szCs w:val="20"/>
                <w:color w:val="auto"/>
              </w:rPr>
            </w:pPr>
            <w:r>
              <w:rPr>
                <w:rFonts w:ascii="Arial" w:cs="Arial" w:eastAsia="Arial" w:hAnsi="Arial"/>
                <w:sz w:val="16"/>
                <w:szCs w:val="16"/>
                <w:color w:val="auto"/>
              </w:rPr>
              <w:t>(Title of each class)</w:t>
            </w:r>
          </w:p>
        </w:tc>
        <w:tc>
          <w:tcPr>
            <w:tcW w:w="4180" w:type="dxa"/>
            <w:vAlign w:val="bottom"/>
            <w:gridSpan w:val="3"/>
          </w:tcPr>
          <w:p>
            <w:pPr>
              <w:jc w:val="center"/>
              <w:ind w:right="880"/>
              <w:spacing w:after="0"/>
              <w:rPr>
                <w:sz w:val="20"/>
                <w:szCs w:val="20"/>
                <w:color w:val="auto"/>
              </w:rPr>
            </w:pPr>
            <w:r>
              <w:rPr>
                <w:rFonts w:ascii="Arial" w:cs="Arial" w:eastAsia="Arial" w:hAnsi="Arial"/>
                <w:sz w:val="16"/>
                <w:szCs w:val="16"/>
                <w:color w:val="auto"/>
                <w:w w:val="91"/>
              </w:rPr>
              <w:t>(Name of each exchange on which registered)</w:t>
            </w:r>
          </w:p>
        </w:tc>
      </w:tr>
      <w:tr>
        <w:trPr>
          <w:trHeight w:val="203"/>
        </w:trPr>
        <w:tc>
          <w:tcPr>
            <w:tcW w:w="5120" w:type="dxa"/>
            <w:vAlign w:val="bottom"/>
            <w:tcBorders>
              <w:top w:val="single" w:sz="8" w:color="auto"/>
            </w:tcBorders>
          </w:tcPr>
          <w:p>
            <w:pPr>
              <w:jc w:val="right"/>
              <w:ind w:right="1379"/>
              <w:spacing w:after="0"/>
              <w:rPr>
                <w:sz w:val="20"/>
                <w:szCs w:val="20"/>
                <w:color w:val="auto"/>
              </w:rPr>
            </w:pPr>
            <w:r>
              <w:rPr>
                <w:rFonts w:ascii="Arial" w:cs="Arial" w:eastAsia="Arial" w:hAnsi="Arial"/>
                <w:sz w:val="16"/>
                <w:szCs w:val="16"/>
                <w:color w:val="auto"/>
              </w:rPr>
              <w:t>Common Stock, Par value $0.001</w:t>
            </w:r>
          </w:p>
        </w:tc>
        <w:tc>
          <w:tcPr>
            <w:tcW w:w="2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0" w:type="dxa"/>
            <w:vAlign w:val="bottom"/>
            <w:tcBorders>
              <w:top w:val="single" w:sz="8" w:color="auto"/>
            </w:tcBorders>
            <w:gridSpan w:val="2"/>
          </w:tcPr>
          <w:p>
            <w:pPr>
              <w:jc w:val="center"/>
              <w:ind w:right="1060"/>
              <w:spacing w:after="0"/>
              <w:rPr>
                <w:sz w:val="20"/>
                <w:szCs w:val="20"/>
                <w:color w:val="auto"/>
              </w:rPr>
            </w:pPr>
            <w:r>
              <w:rPr>
                <w:rFonts w:ascii="Arial" w:cs="Arial" w:eastAsia="Arial" w:hAnsi="Arial"/>
                <w:sz w:val="16"/>
                <w:szCs w:val="16"/>
                <w:color w:val="auto"/>
                <w:w w:val="96"/>
              </w:rPr>
              <w:t>NASDAQ Global Market</w:t>
            </w:r>
          </w:p>
        </w:tc>
      </w:tr>
      <w:tr>
        <w:trPr>
          <w:trHeight w:val="274"/>
        </w:trPr>
        <w:tc>
          <w:tcPr>
            <w:tcW w:w="6220" w:type="dxa"/>
            <w:vAlign w:val="bottom"/>
            <w:gridSpan w:val="5"/>
          </w:tcPr>
          <w:p>
            <w:pPr>
              <w:jc w:val="right"/>
              <w:ind w:right="2080"/>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323"/>
        </w:trPr>
        <w:tc>
          <w:tcPr>
            <w:tcW w:w="10400" w:type="dxa"/>
            <w:vAlign w:val="bottom"/>
            <w:gridSpan w:val="8"/>
          </w:tcPr>
          <w:p>
            <w:pPr>
              <w:ind w:left="400"/>
              <w:spacing w:after="0" w:line="20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of 1933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tc>
      </w:tr>
    </w:tbl>
    <w:p>
      <w:pPr>
        <w:spacing w:after="0" w:line="14" w:lineRule="exact"/>
        <w:rPr>
          <w:sz w:val="24"/>
          <w:szCs w:val="24"/>
          <w:color w:val="auto"/>
        </w:rPr>
      </w:pPr>
    </w:p>
    <w:p>
      <w:pPr>
        <w:ind w:left="400"/>
        <w:spacing w:after="0" w:line="207"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27" w:lineRule="exact"/>
        <w:rPr>
          <w:sz w:val="24"/>
          <w:szCs w:val="24"/>
          <w:color w:val="auto"/>
        </w:rPr>
      </w:pPr>
    </w:p>
    <w:p>
      <w:pPr>
        <w:ind w:left="20" w:firstLine="389"/>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53" w:lineRule="exact"/>
        <w:rPr>
          <w:sz w:val="24"/>
          <w:szCs w:val="24"/>
          <w:color w:val="auto"/>
        </w:rPr>
      </w:pPr>
    </w:p>
    <w:p>
      <w:pPr>
        <w:ind w:left="20" w:right="340" w:firstLine="389"/>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53" w:lineRule="exact"/>
        <w:rPr>
          <w:sz w:val="24"/>
          <w:szCs w:val="24"/>
          <w:color w:val="auto"/>
        </w:rPr>
      </w:pPr>
    </w:p>
    <w:p>
      <w:pPr>
        <w:jc w:val="both"/>
        <w:ind w:left="20" w:right="100" w:firstLine="389"/>
        <w:spacing w:after="0" w:line="217"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3" w:lineRule="exact"/>
        <w:rPr>
          <w:sz w:val="24"/>
          <w:szCs w:val="24"/>
          <w:color w:val="auto"/>
        </w:rPr>
      </w:pPr>
    </w:p>
    <w:p>
      <w:pPr>
        <w:ind w:left="40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9840" w:type="dxa"/>
            <w:vAlign w:val="bottom"/>
            <w:gridSpan w:val="3"/>
          </w:tcPr>
          <w:p>
            <w:pPr>
              <w:spacing w:after="0"/>
              <w:rPr>
                <w:sz w:val="20"/>
                <w:szCs w:val="20"/>
                <w:color w:val="auto"/>
              </w:rPr>
            </w:pPr>
            <w:r>
              <w:rPr>
                <w:rFonts w:ascii="Arial" w:cs="Arial" w:eastAsia="Arial" w:hAnsi="Arial"/>
                <w:sz w:val="16"/>
                <w:szCs w:val="16"/>
                <w:color w:val="auto"/>
              </w:rPr>
              <w:t>the definitions of “large accelerated filer,” “accelerated filer” and “smaller reporting company” in Rule 12b-2 of the Exchange Act.</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600" w:type="dxa"/>
            <w:vAlign w:val="bottom"/>
          </w:tcPr>
          <w:p>
            <w:pPr>
              <w:spacing w:after="0"/>
              <w:rPr>
                <w:sz w:val="20"/>
                <w:szCs w:val="20"/>
                <w:color w:val="auto"/>
              </w:rPr>
            </w:pPr>
            <w:r>
              <w:rPr>
                <w:rFonts w:ascii="Arial" w:cs="Arial" w:eastAsia="Arial" w:hAnsi="Arial"/>
                <w:sz w:val="16"/>
                <w:szCs w:val="16"/>
                <w:color w:val="auto"/>
              </w:rPr>
              <w:t>(Check one):</w:t>
            </w:r>
          </w:p>
        </w:tc>
        <w:tc>
          <w:tcPr>
            <w:tcW w:w="50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160" w:type="dxa"/>
            <w:vAlign w:val="bottom"/>
          </w:tcPr>
          <w:p>
            <w:pPr>
              <w:spacing w:after="0"/>
              <w:rPr>
                <w:sz w:val="22"/>
                <w:szCs w:val="22"/>
                <w:color w:val="auto"/>
              </w:rPr>
            </w:pPr>
          </w:p>
        </w:tc>
        <w:tc>
          <w:tcPr>
            <w:tcW w:w="54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8"/>
        </w:trPr>
        <w:tc>
          <w:tcPr>
            <w:tcW w:w="1600" w:type="dxa"/>
            <w:vAlign w:val="bottom"/>
          </w:tcPr>
          <w:p>
            <w:pPr>
              <w:spacing w:after="0" w:line="158" w:lineRule="exact"/>
              <w:rPr>
                <w:sz w:val="20"/>
                <w:szCs w:val="20"/>
                <w:color w:val="auto"/>
              </w:rPr>
            </w:pPr>
            <w:r>
              <w:rPr>
                <w:rFonts w:ascii="Arial" w:cs="Arial" w:eastAsia="Arial" w:hAnsi="Arial"/>
                <w:sz w:val="16"/>
                <w:szCs w:val="16"/>
                <w:color w:val="auto"/>
                <w:w w:val="99"/>
              </w:rPr>
              <w:t>Large accelerated filer</w:t>
            </w:r>
          </w:p>
        </w:tc>
        <w:tc>
          <w:tcPr>
            <w:tcW w:w="5080" w:type="dxa"/>
            <w:vAlign w:val="bottom"/>
            <w:vMerge w:val="continue"/>
          </w:tcPr>
          <w:p>
            <w:pPr>
              <w:spacing w:after="0"/>
              <w:rPr>
                <w:sz w:val="13"/>
                <w:szCs w:val="13"/>
                <w:color w:val="auto"/>
              </w:rPr>
            </w:pPr>
          </w:p>
        </w:tc>
        <w:tc>
          <w:tcPr>
            <w:tcW w:w="3160" w:type="dxa"/>
            <w:vAlign w:val="bottom"/>
          </w:tcPr>
          <w:p>
            <w:pPr>
              <w:ind w:left="1700"/>
              <w:spacing w:after="0" w:line="158" w:lineRule="exact"/>
              <w:rPr>
                <w:sz w:val="20"/>
                <w:szCs w:val="20"/>
                <w:color w:val="auto"/>
              </w:rPr>
            </w:pPr>
            <w:r>
              <w:rPr>
                <w:rFonts w:ascii="Arial" w:cs="Arial" w:eastAsia="Arial" w:hAnsi="Arial"/>
                <w:sz w:val="16"/>
                <w:szCs w:val="16"/>
                <w:color w:val="auto"/>
              </w:rPr>
              <w:t>Accelerated filer</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50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(Do not check if a smaller reporting company)</w:t>
            </w:r>
          </w:p>
        </w:tc>
        <w:tc>
          <w:tcPr>
            <w:tcW w:w="3700" w:type="dxa"/>
            <w:vAlign w:val="bottom"/>
            <w:gridSpan w:val="2"/>
          </w:tcPr>
          <w:p>
            <w:pPr>
              <w:jc w:val="right"/>
              <w:spacing w:after="0" w:line="207"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400"/>
        <w:spacing w:after="0" w:line="2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left="20" w:right="80" w:firstLine="389"/>
        <w:spacing w:after="0" w:line="324" w:lineRule="auto"/>
        <w:rPr>
          <w:sz w:val="20"/>
          <w:szCs w:val="20"/>
          <w:color w:val="auto"/>
        </w:rPr>
      </w:pPr>
      <w:r>
        <w:rPr>
          <w:rFonts w:ascii="Arial" w:cs="Arial" w:eastAsia="Arial" w:hAnsi="Arial"/>
          <w:sz w:val="14"/>
          <w:szCs w:val="14"/>
          <w:color w:val="auto"/>
        </w:rPr>
        <w:t>As of June 30, 2016, the aggregate market value of the voting common stock held by non-affiliates of the Registrant was approximately $180.9 million based upon the closing sales price of the Registrant’s common stock as reported on the NASDAQ Global Markets on June 30, 2016 of $11.15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spacing w:after="0" w:line="22" w:lineRule="exact"/>
        <w:rPr>
          <w:sz w:val="24"/>
          <w:szCs w:val="24"/>
          <w:color w:val="auto"/>
        </w:rPr>
      </w:pPr>
    </w:p>
    <w:p>
      <w:pPr>
        <w:ind w:left="400"/>
        <w:spacing w:after="0"/>
        <w:rPr>
          <w:sz w:val="20"/>
          <w:szCs w:val="20"/>
          <w:color w:val="auto"/>
        </w:rPr>
      </w:pPr>
      <w:r>
        <w:rPr>
          <w:rFonts w:ascii="Arial" w:cs="Arial" w:eastAsia="Arial" w:hAnsi="Arial"/>
          <w:sz w:val="16"/>
          <w:szCs w:val="16"/>
          <w:color w:val="auto"/>
        </w:rPr>
        <w:t>As of March 6, 2017, the Registrant had 18,677,878 outstanding shares of Common Stock.</w:t>
      </w:r>
    </w:p>
    <w:p>
      <w:pPr>
        <w:spacing w:after="0" w:line="86"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DOCUMENTS INCORPORATED BY REFERENCE</w:t>
      </w:r>
    </w:p>
    <w:p>
      <w:pPr>
        <w:spacing w:after="0" w:line="22" w:lineRule="exact"/>
        <w:rPr>
          <w:sz w:val="24"/>
          <w:szCs w:val="24"/>
          <w:color w:val="auto"/>
        </w:rPr>
      </w:pPr>
    </w:p>
    <w:p>
      <w:pPr>
        <w:ind w:left="20" w:right="140" w:firstLine="129"/>
        <w:spacing w:after="0" w:line="276" w:lineRule="auto"/>
        <w:rPr>
          <w:sz w:val="20"/>
          <w:szCs w:val="20"/>
          <w:color w:val="auto"/>
        </w:rPr>
      </w:pPr>
      <w:r>
        <w:rPr>
          <w:rFonts w:ascii="Arial" w:cs="Arial" w:eastAsia="Arial" w:hAnsi="Arial"/>
          <w:sz w:val="16"/>
          <w:szCs w:val="16"/>
          <w:color w:val="auto"/>
        </w:rPr>
        <w:t>Portions of the Registrant’s definitive Proxy Statement for the Registrant’s 2017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698500</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233"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89"/>
              </w:rPr>
              <w:t>Applied Optoelectronics, Inc.</w:t>
            </w:r>
          </w:p>
        </w:tc>
        <w:tc>
          <w:tcPr>
            <w:tcW w:w="56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r>
      <w:tr>
        <w:trPr>
          <w:trHeight w:val="393"/>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4"/>
                <w:szCs w:val="14"/>
                <w:color w:val="auto"/>
              </w:rPr>
              <w:t>Page</w:t>
            </w:r>
          </w:p>
        </w:tc>
      </w:tr>
      <w:tr>
        <w:trPr>
          <w:trHeight w:val="363"/>
        </w:trPr>
        <w:tc>
          <w:tcPr>
            <w:tcW w:w="40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62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500" w:type="dxa"/>
            <w:vAlign w:val="bottom"/>
            <w:gridSpan w:val="6"/>
          </w:tcPr>
          <w:p>
            <w:pPr>
              <w:spacing w:after="0"/>
              <w:rPr>
                <w:sz w:val="24"/>
                <w:szCs w:val="24"/>
                <w:color w:val="auto"/>
              </w:rPr>
            </w:pPr>
          </w:p>
        </w:tc>
        <w:tc>
          <w:tcPr>
            <w:tcW w:w="74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Item 1A.</w:t>
              </w:r>
            </w:hyperlink>
          </w:p>
        </w:tc>
        <w:tc>
          <w:tcPr>
            <w:tcW w:w="360" w:type="dxa"/>
            <w:vAlign w:val="bottom"/>
            <w:gridSpan w:val="2"/>
          </w:tcPr>
          <w:p>
            <w:pPr>
              <w:spacing w:after="0"/>
              <w:rPr>
                <w:sz w:val="24"/>
                <w:szCs w:val="24"/>
                <w:color w:val="auto"/>
              </w:rPr>
            </w:pP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Risk Factors</w:t>
              </w:r>
            </w:hyperlink>
          </w:p>
        </w:tc>
        <w:tc>
          <w:tcPr>
            <w:tcW w:w="6560" w:type="dxa"/>
            <w:vAlign w:val="bottom"/>
            <w:gridSpan w:val="1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358"/>
        </w:trPr>
        <w:tc>
          <w:tcPr>
            <w:tcW w:w="6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1B.</w:t>
              </w:r>
            </w:hyperlink>
          </w:p>
        </w:tc>
        <w:tc>
          <w:tcPr>
            <w:tcW w:w="380" w:type="dxa"/>
            <w:vAlign w:val="bottom"/>
            <w:gridSpan w:val="3"/>
          </w:tcPr>
          <w:p>
            <w:pPr>
              <w:spacing w:after="0"/>
              <w:rPr>
                <w:sz w:val="24"/>
                <w:szCs w:val="24"/>
                <w:color w:val="auto"/>
              </w:rPr>
            </w:pPr>
          </w:p>
        </w:tc>
        <w:tc>
          <w:tcPr>
            <w:tcW w:w="20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Unresolved Staff Comments</w:t>
              </w:r>
            </w:hyperlink>
          </w:p>
        </w:tc>
        <w:tc>
          <w:tcPr>
            <w:tcW w:w="542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358"/>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2.</w:t>
              </w:r>
            </w:hyperlink>
          </w:p>
        </w:tc>
        <w:tc>
          <w:tcPr>
            <w:tcW w:w="500" w:type="dxa"/>
            <w:vAlign w:val="bottom"/>
            <w:gridSpan w:val="6"/>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Properties</w:t>
              </w:r>
            </w:hyperlink>
          </w:p>
        </w:tc>
        <w:tc>
          <w:tcPr>
            <w:tcW w:w="6740" w:type="dxa"/>
            <w:vAlign w:val="bottom"/>
            <w:gridSpan w:val="1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3.</w:t>
              </w:r>
            </w:hyperlink>
          </w:p>
        </w:tc>
        <w:tc>
          <w:tcPr>
            <w:tcW w:w="500" w:type="dxa"/>
            <w:vAlign w:val="bottom"/>
            <w:gridSpan w:val="6"/>
          </w:tcPr>
          <w:p>
            <w:pPr>
              <w:spacing w:after="0"/>
              <w:rPr>
                <w:sz w:val="24"/>
                <w:szCs w:val="24"/>
                <w:color w:val="auto"/>
              </w:rPr>
            </w:pPr>
          </w:p>
        </w:tc>
        <w:tc>
          <w:tcPr>
            <w:tcW w:w="748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4.</w:t>
              </w:r>
            </w:hyperlink>
          </w:p>
        </w:tc>
        <w:tc>
          <w:tcPr>
            <w:tcW w:w="500" w:type="dxa"/>
            <w:vAlign w:val="bottom"/>
            <w:gridSpan w:val="6"/>
          </w:tcPr>
          <w:p>
            <w:pPr>
              <w:spacing w:after="0"/>
              <w:rPr>
                <w:sz w:val="24"/>
                <w:szCs w:val="24"/>
                <w:color w:val="auto"/>
              </w:rPr>
            </w:pPr>
          </w:p>
        </w:tc>
        <w:tc>
          <w:tcPr>
            <w:tcW w:w="74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358"/>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Part II</w:t>
              </w:r>
            </w:hyperlink>
          </w:p>
        </w:tc>
        <w:tc>
          <w:tcPr>
            <w:tcW w:w="500" w:type="dxa"/>
            <w:vAlign w:val="bottom"/>
            <w:gridSpan w:val="6"/>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358"/>
        </w:trPr>
        <w:tc>
          <w:tcPr>
            <w:tcW w:w="1020" w:type="dxa"/>
            <w:vAlign w:val="bottom"/>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5.</w:t>
              </w:r>
            </w:hyperlink>
          </w:p>
        </w:tc>
        <w:tc>
          <w:tcPr>
            <w:tcW w:w="7480" w:type="dxa"/>
            <w:vAlign w:val="bottom"/>
            <w:gridSpan w:val="21"/>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Market for Registrant’s Common Equity, Related Stockholder Matters and Issuer Purchases of Equity</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169"/>
        </w:trPr>
        <w:tc>
          <w:tcPr>
            <w:tcW w:w="4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Securities</w:t>
              </w:r>
            </w:hyperlink>
          </w:p>
        </w:tc>
        <w:tc>
          <w:tcPr>
            <w:tcW w:w="6620" w:type="dxa"/>
            <w:vAlign w:val="bottom"/>
            <w:tcBorders>
              <w:top w:val="single" w:sz="8" w:color="0000EE"/>
            </w:tcBorders>
            <w:gridSpan w:val="18"/>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58"/>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6.</w:t>
              </w:r>
            </w:hyperlink>
          </w:p>
        </w:tc>
        <w:tc>
          <w:tcPr>
            <w:tcW w:w="500" w:type="dxa"/>
            <w:vAlign w:val="bottom"/>
            <w:gridSpan w:val="6"/>
          </w:tcPr>
          <w:p>
            <w:pPr>
              <w:spacing w:after="0"/>
              <w:rPr>
                <w:sz w:val="24"/>
                <w:szCs w:val="24"/>
                <w:color w:val="auto"/>
              </w:rPr>
            </w:pP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Selected Financial Data</w:t>
              </w:r>
            </w:hyperlink>
          </w:p>
        </w:tc>
        <w:tc>
          <w:tcPr>
            <w:tcW w:w="576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7.</w:t>
              </w:r>
            </w:hyperlink>
          </w:p>
        </w:tc>
        <w:tc>
          <w:tcPr>
            <w:tcW w:w="500" w:type="dxa"/>
            <w:vAlign w:val="bottom"/>
            <w:gridSpan w:val="6"/>
          </w:tcPr>
          <w:p>
            <w:pPr>
              <w:spacing w:after="0"/>
              <w:rPr>
                <w:sz w:val="24"/>
                <w:szCs w:val="24"/>
                <w:color w:val="auto"/>
              </w:rPr>
            </w:pPr>
          </w:p>
        </w:tc>
        <w:tc>
          <w:tcPr>
            <w:tcW w:w="748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Item 7A.</w:t>
              </w:r>
            </w:hyperlink>
          </w:p>
        </w:tc>
        <w:tc>
          <w:tcPr>
            <w:tcW w:w="360" w:type="dxa"/>
            <w:vAlign w:val="bottom"/>
            <w:gridSpan w:val="2"/>
          </w:tcPr>
          <w:p>
            <w:pPr>
              <w:spacing w:after="0"/>
              <w:rPr>
                <w:sz w:val="24"/>
                <w:szCs w:val="24"/>
                <w:color w:val="auto"/>
              </w:rPr>
            </w:pPr>
          </w:p>
        </w:tc>
        <w:tc>
          <w:tcPr>
            <w:tcW w:w="43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Quantitative and Qualitative Disclosures about Market Risk</w:t>
              </w:r>
            </w:hyperlink>
          </w:p>
        </w:tc>
        <w:tc>
          <w:tcPr>
            <w:tcW w:w="316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358"/>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Item 8.</w:t>
              </w:r>
            </w:hyperlink>
          </w:p>
        </w:tc>
        <w:tc>
          <w:tcPr>
            <w:tcW w:w="500" w:type="dxa"/>
            <w:vAlign w:val="bottom"/>
            <w:gridSpan w:val="6"/>
          </w:tcPr>
          <w:p>
            <w:pPr>
              <w:spacing w:after="0"/>
              <w:rPr>
                <w:sz w:val="24"/>
                <w:szCs w:val="24"/>
                <w:color w:val="auto"/>
              </w:rPr>
            </w:pPr>
          </w:p>
        </w:tc>
        <w:tc>
          <w:tcPr>
            <w:tcW w:w="3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Financial Statements and Supplementary Data</w:t>
              </w:r>
            </w:hyperlink>
          </w:p>
        </w:tc>
        <w:tc>
          <w:tcPr>
            <w:tcW w:w="414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358"/>
        </w:trPr>
        <w:tc>
          <w:tcPr>
            <w:tcW w:w="520" w:type="dxa"/>
            <w:vAlign w:val="bottom"/>
            <w:gridSpan w:val="2"/>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Item 9.</w:t>
              </w:r>
            </w:hyperlink>
          </w:p>
        </w:tc>
        <w:tc>
          <w:tcPr>
            <w:tcW w:w="500" w:type="dxa"/>
            <w:vAlign w:val="bottom"/>
            <w:gridSpan w:val="6"/>
          </w:tcPr>
          <w:p>
            <w:pPr>
              <w:spacing w:after="0"/>
              <w:rPr>
                <w:sz w:val="24"/>
                <w:szCs w:val="24"/>
                <w:color w:val="auto"/>
              </w:rPr>
            </w:pPr>
          </w:p>
        </w:tc>
        <w:tc>
          <w:tcPr>
            <w:tcW w:w="748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Item 9A.</w:t>
              </w:r>
            </w:hyperlink>
          </w:p>
        </w:tc>
        <w:tc>
          <w:tcPr>
            <w:tcW w:w="360" w:type="dxa"/>
            <w:vAlign w:val="bottom"/>
            <w:gridSpan w:val="2"/>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Controls and Procedures</w:t>
              </w:r>
            </w:hyperlink>
          </w:p>
        </w:tc>
        <w:tc>
          <w:tcPr>
            <w:tcW w:w="57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358"/>
        </w:trPr>
        <w:tc>
          <w:tcPr>
            <w:tcW w:w="640" w:type="dxa"/>
            <w:vAlign w:val="bottom"/>
            <w:gridSpan w:val="5"/>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Item 9B.</w:t>
              </w:r>
            </w:hyperlink>
          </w:p>
        </w:tc>
        <w:tc>
          <w:tcPr>
            <w:tcW w:w="380" w:type="dxa"/>
            <w:vAlign w:val="bottom"/>
            <w:gridSpan w:val="3"/>
          </w:tcPr>
          <w:p>
            <w:pPr>
              <w:spacing w:after="0"/>
              <w:rPr>
                <w:sz w:val="24"/>
                <w:szCs w:val="24"/>
                <w:color w:val="auto"/>
              </w:rPr>
            </w:pPr>
          </w:p>
        </w:tc>
        <w:tc>
          <w:tcPr>
            <w:tcW w:w="748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358"/>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Part III</w:t>
              </w:r>
            </w:hyperlink>
          </w:p>
        </w:tc>
        <w:tc>
          <w:tcPr>
            <w:tcW w:w="120" w:type="dxa"/>
            <w:vAlign w:val="bottom"/>
            <w:tcBorders>
              <w:top w:val="single" w:sz="8" w:color="0000EE"/>
            </w:tcBorders>
            <w:gridSpan w:val="3"/>
          </w:tcPr>
          <w:p>
            <w:pPr>
              <w:spacing w:after="0"/>
              <w:rPr>
                <w:sz w:val="24"/>
                <w:szCs w:val="24"/>
                <w:color w:val="auto"/>
              </w:rPr>
            </w:pPr>
          </w:p>
        </w:tc>
        <w:tc>
          <w:tcPr>
            <w:tcW w:w="3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358"/>
        </w:trPr>
        <w:tc>
          <w:tcPr>
            <w:tcW w:w="102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10.</w:t>
              </w:r>
            </w:hyperlink>
          </w:p>
        </w:tc>
        <w:tc>
          <w:tcPr>
            <w:tcW w:w="7480" w:type="dxa"/>
            <w:vAlign w:val="bottom"/>
            <w:gridSpan w:val="2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358"/>
        </w:trPr>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Item 11.</w:t>
              </w:r>
            </w:hyperlink>
          </w:p>
        </w:tc>
        <w:tc>
          <w:tcPr>
            <w:tcW w:w="420" w:type="dxa"/>
            <w:vAlign w:val="bottom"/>
            <w:gridSpan w:val="5"/>
          </w:tcPr>
          <w:p>
            <w:pPr>
              <w:spacing w:after="0"/>
              <w:rPr>
                <w:sz w:val="24"/>
                <w:szCs w:val="24"/>
                <w:color w:val="auto"/>
              </w:rPr>
            </w:pPr>
          </w:p>
        </w:tc>
        <w:tc>
          <w:tcPr>
            <w:tcW w:w="18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338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358"/>
        </w:trPr>
        <w:tc>
          <w:tcPr>
            <w:tcW w:w="620" w:type="dxa"/>
            <w:vAlign w:val="bottom"/>
            <w:gridSpan w:val="4"/>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Item 12.</w:t>
              </w:r>
            </w:hyperlink>
          </w:p>
        </w:tc>
        <w:tc>
          <w:tcPr>
            <w:tcW w:w="400" w:type="dxa"/>
            <w:vAlign w:val="bottom"/>
            <w:gridSpan w:val="4"/>
          </w:tcPr>
          <w:p>
            <w:pPr>
              <w:spacing w:after="0"/>
              <w:rPr>
                <w:sz w:val="24"/>
                <w:szCs w:val="24"/>
                <w:color w:val="auto"/>
              </w:rPr>
            </w:pPr>
          </w:p>
        </w:tc>
        <w:tc>
          <w:tcPr>
            <w:tcW w:w="7480" w:type="dxa"/>
            <w:vAlign w:val="bottom"/>
            <w:gridSpan w:val="21"/>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Security Ownership of Certain Beneficial Owners and Management and Related Stockholder Matters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358"/>
        </w:trPr>
        <w:tc>
          <w:tcPr>
            <w:tcW w:w="620" w:type="dxa"/>
            <w:vAlign w:val="bottom"/>
            <w:tcBorders>
              <w:top w:val="single" w:sz="8" w:color="0000EE"/>
            </w:tcBorders>
            <w:gridSpan w:val="4"/>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Item 13.</w:t>
              </w:r>
            </w:hyperlink>
          </w:p>
        </w:tc>
        <w:tc>
          <w:tcPr>
            <w:tcW w:w="400" w:type="dxa"/>
            <w:vAlign w:val="bottom"/>
            <w:gridSpan w:val="4"/>
          </w:tcPr>
          <w:p>
            <w:pPr>
              <w:spacing w:after="0"/>
              <w:rPr>
                <w:sz w:val="24"/>
                <w:szCs w:val="24"/>
                <w:color w:val="auto"/>
              </w:rPr>
            </w:pPr>
          </w:p>
        </w:tc>
        <w:tc>
          <w:tcPr>
            <w:tcW w:w="7300" w:type="dxa"/>
            <w:vAlign w:val="bottom"/>
            <w:tcBorders>
              <w:top w:val="single" w:sz="8" w:color="0000EE"/>
            </w:tcBorders>
            <w:gridSpan w:val="1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18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358"/>
        </w:trPr>
        <w:tc>
          <w:tcPr>
            <w:tcW w:w="620" w:type="dxa"/>
            <w:vAlign w:val="bottom"/>
            <w:tcBorders>
              <w:top w:val="single" w:sz="8" w:color="0000EE"/>
            </w:tcBorders>
            <w:gridSpan w:val="4"/>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Item 14.</w:t>
              </w:r>
            </w:hyperlink>
          </w:p>
        </w:tc>
        <w:tc>
          <w:tcPr>
            <w:tcW w:w="400" w:type="dxa"/>
            <w:vAlign w:val="bottom"/>
            <w:gridSpan w:val="4"/>
          </w:tcPr>
          <w:p>
            <w:pPr>
              <w:spacing w:after="0"/>
              <w:rPr>
                <w:sz w:val="24"/>
                <w:szCs w:val="24"/>
                <w:color w:val="auto"/>
              </w:rPr>
            </w:pPr>
          </w:p>
        </w:tc>
        <w:tc>
          <w:tcPr>
            <w:tcW w:w="5460" w:type="dxa"/>
            <w:vAlign w:val="bottom"/>
            <w:tcBorders>
              <w:top w:val="single" w:sz="8" w:color="0000EE"/>
            </w:tcBorders>
            <w:gridSpan w:val="1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Principal Accounting Fees and Services</w:t>
              </w:r>
            </w:hyperlink>
          </w:p>
        </w:tc>
        <w:tc>
          <w:tcPr>
            <w:tcW w:w="202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358"/>
        </w:trPr>
        <w:tc>
          <w:tcPr>
            <w:tcW w:w="600" w:type="dxa"/>
            <w:vAlign w:val="bottom"/>
            <w:tcBorders>
              <w:top w:val="single" w:sz="8" w:color="0000EE"/>
            </w:tcBorders>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Part IV</w:t>
              </w:r>
            </w:hyperlink>
          </w:p>
        </w:tc>
        <w:tc>
          <w:tcPr>
            <w:tcW w:w="420" w:type="dxa"/>
            <w:vAlign w:val="bottom"/>
            <w:gridSpan w:val="5"/>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0"/>
        </w:trPr>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80" w:type="dxa"/>
            <w:vAlign w:val="bottom"/>
            <w:gridSpan w:val="12"/>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Item 15.</w:t>
              </w:r>
            </w:hyperlink>
          </w:p>
        </w:tc>
        <w:tc>
          <w:tcPr>
            <w:tcW w:w="400" w:type="dxa"/>
            <w:vAlign w:val="bottom"/>
            <w:gridSpan w:val="4"/>
          </w:tcPr>
          <w:p>
            <w:pPr>
              <w:spacing w:after="0"/>
              <w:rPr>
                <w:sz w:val="24"/>
                <w:szCs w:val="24"/>
                <w:color w:val="auto"/>
              </w:rPr>
            </w:pPr>
          </w:p>
        </w:tc>
        <w:tc>
          <w:tcPr>
            <w:tcW w:w="29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Exhibits, Financial Statements Schedules</w:t>
              </w:r>
            </w:hyperlink>
          </w:p>
        </w:tc>
        <w:tc>
          <w:tcPr>
            <w:tcW w:w="450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358"/>
        </w:trPr>
        <w:tc>
          <w:tcPr>
            <w:tcW w:w="102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62</w:t>
            </w:r>
          </w:p>
        </w:tc>
      </w:tr>
      <w:tr>
        <w:trPr>
          <w:trHeight w:val="669"/>
        </w:trPr>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14"/>
          </w:tcPr>
          <w:p>
            <w:pPr>
              <w:jc w:val="center"/>
              <w:ind w:left="283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29"/>
        </w:trPr>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This Annual Report on Form 10-K contains forward-looking statements that are based on our management’s beliefs and assumptions and on information currently available to our management, including statements appearing under the heading, “Management’s Discussion and Analysis of Financial Condition and Results of Operations”. The statements contained in this Annual Report on Form 10-K that are not purely historical are forward-looking statements within the meaning of the Private Securities Litigation Reform Act of 1995, Section 27A of the Securities Act of 1933, as amended, or the Securities Act, and Section 21E of the Securities Exchange Act of 1934, as amended, or the Exchange Act. In some cases, you can identify forward-looking statements by terminology such as ‘‘may,’’ ‘‘will,’’ ‘‘should,’’ ‘‘expects,’’ ‘‘plans,’’ ‘‘anticipates,’’ ‘‘believes,’’ ‘‘estimates,” “strategy,” “future,” “likely,” or “would” or by other similar expressions that convey uncertainty of future events or outcomes.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CATV, internet data center, FTTH, or telecom markets; changes in the world economy (particularly in the United States and China); the negative effects of seasonality; and other risks and uncertainties described more fully under “Risk Factors” in this Annual Report on Form 10-K and those discussed in the company’s other documents filed with or furnished to the Securities and Exchange Commission. You should not rely on forward-looking statements as predictions of future events. All forward-looking statements in this Annual Report on Form 10-K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are a leading, vertically integrated provider of fiber-optic networking products, primarily for four networking end-markets: internet data center, cable television, or CATV, fiber-to-the-home, or FTTH, and telecommunications, or telecom. We design and manufacture a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 way to deliver the desired bandwidth.</w:t>
      </w:r>
    </w:p>
    <w:p>
      <w:pPr>
        <w:spacing w:after="0" w:line="16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internet data center market is our largest and fastest growing market. Our customers in this market are generally large internet-based (“Web 2.0”) data center operators, to whom we supply optical transceivers that plug into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switches and servers within the data center and allow these network devices to send and receive data over fiber optic cables. The majority of the data center optical transceivers that we sell utilize our own lasers and subassemblies (we refer to the transceivers subassemblies as “light engines”), and we believe that our in-house technology and manufacturing capability for these lasers and subassemblies gives us an advantage over many of our competitors who often lack either development or manufacturing capabilities for these advanced optical modules.</w:t>
      </w:r>
    </w:p>
    <w:p>
      <w:pPr>
        <w:spacing w:after="0" w:line="1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CATV market is our most established market, for which we supply a broad array of products including lasers, transmitters and transceivers, and turn-key equipment. Sales of headend, node and distribution equipment have contributed significantly to our revenue in recent years as a result of our ability to meet the needs of CATV equipment vendors who have continued to outsource both the design and manufacturing of this equipment. While equipment vendors have relied upon third parties to assemble portions of their products, within the past seven years certain of our customers have accelerated the outsourcing of the design and manufacturing of both headend equipment and node equipment to third parties. The shift is due in part to the sophisticated engineering expertise needed to perform this work. We believe that our extensive high-speed optical, mixed-signal semiconductor and mechanical engineering capabilities position us well to benefit from these industry dynamics.</w:t>
      </w:r>
    </w:p>
    <w:p>
      <w:pPr>
        <w:spacing w:after="0" w:line="18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combination of Metal Organic Chemical Vapor Deposition, or MOCVD, and our proprietary Molecular Beam Epitaxy, or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6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2016, our revenue was $260.7 million and our gross margin was 33.4%. We have grown our annual revenue at a compound annual growth rate, or CAGR, of 34.1% between 2009 and 2016. In the years ended December 31, 2016, 2015 and 2014, we had net income of $31.2 million, $10.8 million and $4.3 million, respectively, and our accumulated deficit at December 31, 2015 and December 31, 2016 was $68.2 million and $37.0 million, respectively. In 2016, we earned 77.2% of our total revenue from the internet data center market, and 16.7% of our total revenue from the CATV market. In 2016, our key customers in the data center market included Amazon.com (Amazon) and Microsoft Corp (Microsoft). In 2016, 2015, and 2014, Amazon accounted for 54.6%, 52.5%, and 45.8% of our revenue, respectively, and Microsoft accounted for 18.3%, 11.6%, and 3.6% of our revenue, respectively. In 2016, our key customers in the CATV market included Cisco Systems, Inc. (Cisco) and Arris Group, Inc. (Arris). In 2016, 2015 and 2014, Cisco accounted for 5.4%, 10.4%, and 8.9%, respectively, of our revenue and Arris accounted for 5.8%, 4.5% and 4.5%, respectively, of our revenue.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During 2016, our four target markets, internet data center, CATV, FTTH, and telecom experienced a significant growth in bandwidth consumption and the corresponding need for network infrastructure improvement to support this growth.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prevailing trends in our target markets include:</w:t>
      </w:r>
    </w:p>
    <w:p>
      <w:pPr>
        <w:spacing w:after="0" w:line="225" w:lineRule="exact"/>
        <w:rPr>
          <w:sz w:val="20"/>
          <w:szCs w:val="20"/>
          <w:color w:val="auto"/>
        </w:rPr>
      </w:pPr>
    </w:p>
    <w:p>
      <w:pPr>
        <w:ind w:left="740" w:hanging="89"/>
        <w:spacing w:after="0" w:line="269"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Internet Data Center Market. </w:t>
      </w:r>
      <w:r>
        <w:rPr>
          <w:rFonts w:ascii="Arial" w:cs="Arial" w:eastAsia="Arial" w:hAnsi="Arial"/>
          <w:sz w:val="17"/>
          <w:szCs w:val="17"/>
          <w:color w:val="auto"/>
        </w:rPr>
        <w:t>To support the substantial increase in bandwidth consumption,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internet data center operators are increasing the scale of their internet data centers and accelerating data transmission rates. As a result, there is an ongoing transition from the use of copper cable, typically at speeds up to 1 gigabit per second (Gbps), to optical fiber as a transport medium, typically providing speeds from 10 Gbps to 100 Gbps. In recent years, a number of leading internet companies have adopted more open internet data center architectures, using a mix of systems and components from a variety of vendors, and in some cases designing their own equipment. For these companies, compatibility of new networking equipment with legacy infrastructure is not as important, and consequently, these companies are more willing to work with non-traditional equipment vendors, which we believe creates an open and growing opportunity for optical device vendors. Moreover, transmission speeds have continued to increase among the companies who have previously transitioned from copper-based to fiber-based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infrastructure, resulting in opportunities for optical device vendors to supply new optical transceivers capable of operating at these higher data rates.</w:t>
      </w:r>
    </w:p>
    <w:p>
      <w:pPr>
        <w:spacing w:after="0" w:line="170" w:lineRule="exact"/>
        <w:rPr>
          <w:sz w:val="20"/>
          <w:szCs w:val="20"/>
          <w:color w:val="auto"/>
        </w:rPr>
      </w:pPr>
    </w:p>
    <w:p>
      <w:pPr>
        <w:ind w:left="740" w:right="80" w:hanging="89"/>
        <w:spacing w:after="0" w:line="270"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CATV Market. </w:t>
      </w:r>
      <w:r>
        <w:rPr>
          <w:rFonts w:ascii="Arial" w:cs="Arial" w:eastAsia="Arial" w:hAnsi="Arial"/>
          <w:sz w:val="17"/>
          <w:szCs w:val="17"/>
          <w:color w:val="auto"/>
        </w:rPr>
        <w:t>In recent years, CATV service providers have invested extensively to support high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speed, two-way communications and we expect that they will continue to do so. In North America, in particular, CATV service providers have begun to upgrade their networks with new technologies like DOCSIS 3.1, which enables them to offer higher speed connections to their customers. In order to increase available bandwidth for their customers beyond the bandwidth possible with the introduction of DOCSIS 3.1, cable MSOs have been reducing the number of customers that are connected to a single node. By reducing the number of “homes per node,” the average bandwidth available to each customer is increased. Other new technologies, such as Converged Cable Access Platform (CCAP) and “Remote PHY” are under development by cable equipment suppliers. These technologies are being developed to be a cost-effective solution to provide higher available bandwidth to CATV customers.</w:t>
      </w:r>
    </w:p>
    <w:p>
      <w:pPr>
        <w:spacing w:after="0" w:line="178" w:lineRule="exact"/>
        <w:rPr>
          <w:sz w:val="20"/>
          <w:szCs w:val="20"/>
          <w:color w:val="auto"/>
        </w:rPr>
      </w:pPr>
    </w:p>
    <w:p>
      <w:pPr>
        <w:ind w:left="980" w:right="60"/>
        <w:spacing w:after="0" w:line="257" w:lineRule="auto"/>
        <w:rPr>
          <w:sz w:val="20"/>
          <w:szCs w:val="20"/>
          <w:color w:val="auto"/>
        </w:rPr>
      </w:pPr>
      <w:r>
        <w:rPr>
          <w:rFonts w:ascii="Arial" w:cs="Arial" w:eastAsia="Arial" w:hAnsi="Arial"/>
          <w:sz w:val="18"/>
          <w:szCs w:val="18"/>
          <w:color w:val="auto"/>
        </w:rPr>
        <w:t>While equipment vendors have historically relied upon third parties to assemble portions of their products, within the past seven years, certain of our customers have accelerated the outsourcing of both the design and manufacturing of both headend equipment and node equipment to third parties. The shift is due in part to the sophisticated engineering expertise needed to perform this work, along with the proliferation of new equipment designs needed to support DOCSIS 3.1.</w:t>
      </w:r>
    </w:p>
    <w:p>
      <w:pPr>
        <w:spacing w:after="0" w:line="188" w:lineRule="exact"/>
        <w:rPr>
          <w:sz w:val="20"/>
          <w:szCs w:val="20"/>
          <w:color w:val="auto"/>
        </w:rPr>
      </w:pPr>
    </w:p>
    <w:p>
      <w:pPr>
        <w:ind w:left="740" w:hanging="89"/>
        <w:spacing w:after="0" w:line="273"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FTTH Market. </w:t>
      </w:r>
      <w:r>
        <w:rPr>
          <w:rFonts w:ascii="Arial" w:cs="Arial" w:eastAsia="Arial" w:hAnsi="Arial"/>
          <w:sz w:val="17"/>
          <w:szCs w:val="17"/>
          <w:color w:val="auto"/>
        </w:rPr>
        <w:t>The FTTH market generally refers to the Passive Optical Networks, or PONs,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telecommunications service providers deploy. The most commonly deployed PON technology is Gigabit PON, or GPON, which delivers up to 2.5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w:t>
      </w:r>
    </w:p>
    <w:p>
      <w:pPr>
        <w:spacing w:after="0" w:line="178" w:lineRule="exact"/>
        <w:rPr>
          <w:rFonts w:ascii="Arial" w:cs="Arial" w:eastAsia="Arial" w:hAnsi="Arial"/>
          <w:sz w:val="17"/>
          <w:szCs w:val="17"/>
          <w:color w:val="auto"/>
        </w:rPr>
      </w:pPr>
    </w:p>
    <w:p>
      <w:pPr>
        <w:ind w:left="740" w:right="120" w:hanging="89"/>
        <w:spacing w:after="0" w:line="273"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Telecom Market. </w:t>
      </w:r>
      <w:r>
        <w:rPr>
          <w:rFonts w:ascii="Arial" w:cs="Arial" w:eastAsia="Arial" w:hAnsi="Arial"/>
          <w:sz w:val="17"/>
          <w:szCs w:val="17"/>
          <w:color w:val="auto"/>
        </w:rPr>
        <w:t>The telecom market is composed of customers who deploy wireline optical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networks, other than PONs, for telecommunications access networks, including for backhaul of cellular telephone signals. As demand for mobile internet connectivity has increased in recent years, reliable and high-speed optical networks have become increasingly important. In particular, the use of wavelength division multiplexing (WDM) to expand the capacity of mobile networks has led to increased demand for WDM components (including lasers and transceivers) by telecom equipment manufacturers.</w:t>
      </w:r>
    </w:p>
    <w:p>
      <w:pPr>
        <w:spacing w:after="0" w:line="17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addressing the challenges in our target markets, we provide the following benefits to our customers:</w:t>
      </w:r>
    </w:p>
    <w:p>
      <w:pPr>
        <w:spacing w:after="0" w:line="225" w:lineRule="exact"/>
        <w:rPr>
          <w:sz w:val="20"/>
          <w:szCs w:val="20"/>
          <w:color w:val="auto"/>
        </w:rPr>
      </w:pPr>
    </w:p>
    <w:p>
      <w:pPr>
        <w:ind w:left="740" w:right="80" w:hanging="89"/>
        <w:spacing w:after="0" w:line="286"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Enable customers to deliver innovative products. </w:t>
      </w:r>
      <w:r>
        <w:rPr>
          <w:rFonts w:ascii="Arial" w:cs="Arial" w:eastAsia="Arial" w:hAnsi="Arial"/>
          <w:sz w:val="17"/>
          <w:szCs w:val="17"/>
          <w:color w:val="auto"/>
        </w:rPr>
        <w:t>We leverage our extensive expertise in high-speed optical,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mixed-signal semiconductor and mechanical engineering, and MOCVD and our proprietary MBE laser fabrication process to deliver technologically advanced products to our customers.</w:t>
      </w:r>
    </w:p>
    <w:p>
      <w:pPr>
        <w:spacing w:after="0" w:line="165" w:lineRule="exact"/>
        <w:rPr>
          <w:rFonts w:ascii="Arial" w:cs="Arial" w:eastAsia="Arial" w:hAnsi="Arial"/>
          <w:sz w:val="17"/>
          <w:szCs w:val="17"/>
          <w:color w:val="auto"/>
        </w:rPr>
      </w:pPr>
    </w:p>
    <w:p>
      <w:pPr>
        <w:ind w:left="740" w:right="300" w:hanging="89"/>
        <w:spacing w:after="0" w:line="26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efficiency and cost effectiveness of our customers’ supply chains. </w:t>
      </w:r>
      <w:r>
        <w:rPr>
          <w:rFonts w:ascii="Arial" w:cs="Arial" w:eastAsia="Arial" w:hAnsi="Arial"/>
          <w:sz w:val="18"/>
          <w:szCs w:val="18"/>
          <w:color w:val="auto"/>
        </w:rPr>
        <w:t>We design and sell products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level of integration desired by a customer, from components to turn-key equipment, providing our customers a dependable, cost-effective and simplified supply chain.</w:t>
      </w:r>
    </w:p>
    <w:p>
      <w:pPr>
        <w:spacing w:after="0" w:line="181" w:lineRule="exact"/>
        <w:rPr>
          <w:rFonts w:ascii="Arial" w:cs="Arial" w:eastAsia="Arial" w:hAnsi="Arial"/>
          <w:sz w:val="18"/>
          <w:szCs w:val="18"/>
          <w:color w:val="auto"/>
        </w:rPr>
      </w:pPr>
    </w:p>
    <w:p>
      <w:pPr>
        <w:jc w:val="both"/>
        <w:ind w:left="740" w:right="120" w:hanging="89"/>
        <w:spacing w:after="0" w:line="279"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 high quality, reliable products in high volume. </w:t>
      </w:r>
      <w:r>
        <w:rPr>
          <w:rFonts w:ascii="Arial" w:cs="Arial" w:eastAsia="Arial" w:hAnsi="Arial"/>
          <w:sz w:val="17"/>
          <w:szCs w:val="17"/>
          <w:color w:val="auto"/>
        </w:rPr>
        <w:t>As a vertically integrated supplier, we are able to monitor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maintain quality control 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200" w:hanging="89"/>
        <w:spacing w:after="0" w:line="26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Provide sophisticated design solutions to our customers. </w:t>
      </w:r>
      <w:r>
        <w:rPr>
          <w:rFonts w:ascii="Arial" w:cs="Arial" w:eastAsia="Arial" w:hAnsi="Arial"/>
          <w:sz w:val="18"/>
          <w:szCs w:val="18"/>
          <w:color w:val="auto"/>
        </w:rPr>
        <w:t>We believe our in-house expertise in both analog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optical engineering enables us to design comprehensive solutions that meet many of the different network architectures and protocols used by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competitive strengths include the following:</w:t>
      </w:r>
    </w:p>
    <w:p>
      <w:pPr>
        <w:spacing w:after="0" w:line="225" w:lineRule="exact"/>
        <w:rPr>
          <w:sz w:val="20"/>
          <w:szCs w:val="20"/>
          <w:color w:val="auto"/>
        </w:rPr>
      </w:pPr>
    </w:p>
    <w:p>
      <w:pPr>
        <w:jc w:val="both"/>
        <w:ind w:left="740" w:right="160" w:hanging="89"/>
        <w:spacing w:after="0" w:line="381" w:lineRule="auto"/>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Proprietary technological expertise and track record of innovation. </w:t>
      </w:r>
      <w:r>
        <w:rPr>
          <w:rFonts w:ascii="Arial" w:cs="Arial" w:eastAsia="Arial" w:hAnsi="Arial"/>
          <w:sz w:val="15"/>
          <w:szCs w:val="15"/>
          <w:color w:val="auto"/>
        </w:rPr>
        <w:t>We continue to develop innovative products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leveraging our technological expertise, including our proprietary MBE and MOCVD laser fabrication process.</w:t>
      </w:r>
    </w:p>
    <w:p>
      <w:pPr>
        <w:spacing w:after="0" w:line="100" w:lineRule="exact"/>
        <w:rPr>
          <w:rFonts w:ascii="Arial" w:cs="Arial" w:eastAsia="Arial" w:hAnsi="Arial"/>
          <w:sz w:val="15"/>
          <w:szCs w:val="15"/>
          <w:color w:val="auto"/>
        </w:rPr>
      </w:pPr>
    </w:p>
    <w:p>
      <w:pPr>
        <w:ind w:left="740" w:right="80" w:hanging="89"/>
        <w:spacing w:after="0" w:line="279"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Innovative light engine design and manufacturing. </w:t>
      </w:r>
      <w:r>
        <w:rPr>
          <w:rFonts w:ascii="Arial" w:cs="Arial" w:eastAsia="Arial" w:hAnsi="Arial"/>
          <w:sz w:val="17"/>
          <w:szCs w:val="17"/>
          <w:color w:val="auto"/>
        </w:rPr>
        <w:t>High-speed data center interconnect transceivers increasingly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rely on multiple parallel optical signals. Our expertise in designing and manufacturing light engines, which combine lasers and photodiodes with channel multiplexing and de-multiplexing elements, gives us the ability to quickly develop new products for our data center customers.</w:t>
      </w:r>
    </w:p>
    <w:p>
      <w:pPr>
        <w:spacing w:after="0" w:line="171" w:lineRule="exact"/>
        <w:rPr>
          <w:rFonts w:ascii="Arial" w:cs="Arial" w:eastAsia="Arial" w:hAnsi="Arial"/>
          <w:sz w:val="17"/>
          <w:szCs w:val="17"/>
          <w:color w:val="auto"/>
        </w:rPr>
      </w:pPr>
    </w:p>
    <w:p>
      <w:pPr>
        <w:ind w:left="740" w:right="160" w:hanging="89"/>
        <w:spacing w:after="0" w:line="31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system design capabilities. </w:t>
      </w:r>
      <w:r>
        <w:rPr>
          <w:rFonts w:ascii="Arial" w:cs="Arial" w:eastAsia="Arial" w:hAnsi="Arial"/>
          <w:sz w:val="16"/>
          <w:szCs w:val="16"/>
          <w:color w:val="auto"/>
        </w:rPr>
        <w:t>We have extensive expertise and proven design capabilities in high-speed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optical, mixed-signal semiconductor and mechanical engineering, which we believe position us to take advantage of the continuing shift to outsourced design and manufacturing among CATV equipment vendors.</w:t>
      </w:r>
    </w:p>
    <w:p>
      <w:pPr>
        <w:spacing w:after="0" w:line="146" w:lineRule="exact"/>
        <w:rPr>
          <w:rFonts w:ascii="Arial" w:cs="Arial" w:eastAsia="Arial" w:hAnsi="Arial"/>
          <w:sz w:val="16"/>
          <w:szCs w:val="16"/>
          <w:color w:val="auto"/>
        </w:rPr>
      </w:pPr>
    </w:p>
    <w:p>
      <w:pPr>
        <w:jc w:val="both"/>
        <w:ind w:left="740" w:right="80" w:hanging="89"/>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customized products. </w:t>
      </w:r>
      <w:r>
        <w:rPr>
          <w:rFonts w:ascii="Arial" w:cs="Arial" w:eastAsia="Arial" w:hAnsi="Arial"/>
          <w:sz w:val="18"/>
          <w:szCs w:val="18"/>
          <w:color w:val="auto"/>
        </w:rPr>
        <w:t>Many of our products have some level of customization, making it more difficult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customers to switch rapidly to another supplier. We believe this element of customization contributes to longer product lifecycles and more stable product pricing.</w:t>
      </w:r>
    </w:p>
    <w:p>
      <w:pPr>
        <w:spacing w:after="0" w:line="181" w:lineRule="exact"/>
        <w:rPr>
          <w:rFonts w:ascii="Arial" w:cs="Arial" w:eastAsia="Arial" w:hAnsi="Arial"/>
          <w:sz w:val="18"/>
          <w:szCs w:val="18"/>
          <w:color w:val="auto"/>
        </w:rPr>
      </w:pPr>
    </w:p>
    <w:p>
      <w:pPr>
        <w:ind w:left="740" w:right="140" w:hanging="89"/>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Industry-leading position in the CATV market. </w:t>
      </w:r>
      <w:r>
        <w:rPr>
          <w:rFonts w:ascii="Arial" w:cs="Arial" w:eastAsia="Arial" w:hAnsi="Arial"/>
          <w:sz w:val="18"/>
          <w:szCs w:val="18"/>
          <w:color w:val="auto"/>
        </w:rPr>
        <w:t>We have continued to be awarded new design and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for CATV 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86" w:lineRule="exact"/>
        <w:rPr>
          <w:rFonts w:ascii="Arial" w:cs="Arial" w:eastAsia="Arial" w:hAnsi="Arial"/>
          <w:sz w:val="18"/>
          <w:szCs w:val="18"/>
          <w:color w:val="auto"/>
        </w:rPr>
      </w:pPr>
    </w:p>
    <w:p>
      <w:pPr>
        <w:ind w:left="740" w:right="100" w:hanging="89"/>
        <w:spacing w:after="0" w:line="276"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Vertically integrated, geographically distributed manufacturing model. </w:t>
      </w:r>
      <w:r>
        <w:rPr>
          <w:rFonts w:ascii="Arial" w:cs="Arial" w:eastAsia="Arial" w:hAnsi="Arial"/>
          <w:sz w:val="17"/>
          <w:szCs w:val="17"/>
          <w:color w:val="auto"/>
        </w:rPr>
        <w:t>Our vertically integrated design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process 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seek to be the leading global provider of optical components, modules and equipment for each of our four target markets, internet data centers, CATV, FTTH, and telecom. Our strategy includes the following key elements:</w:t>
      </w:r>
    </w:p>
    <w:p>
      <w:pPr>
        <w:spacing w:after="0" w:line="147" w:lineRule="exact"/>
        <w:rPr>
          <w:sz w:val="20"/>
          <w:szCs w:val="20"/>
          <w:color w:val="auto"/>
        </w:rPr>
      </w:pPr>
    </w:p>
    <w:p>
      <w:pPr>
        <w:ind w:left="740" w:right="440" w:hanging="89"/>
        <w:spacing w:after="0" w:line="259"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penetrate the internet data center market. </w:t>
      </w:r>
      <w:r>
        <w:rPr>
          <w:rFonts w:ascii="Arial" w:cs="Arial" w:eastAsia="Arial" w:hAnsi="Arial"/>
          <w:sz w:val="18"/>
          <w:szCs w:val="18"/>
          <w:color w:val="auto"/>
        </w:rPr>
        <w:t>In the internet data center market, we primarily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data center operators who have adopted an open system architecture—one in which the optical connectivity solutions can be provided by a different vendor than the vendor which provides their servers and switches.</w:t>
      </w:r>
    </w:p>
    <w:p>
      <w:pPr>
        <w:spacing w:after="0" w:line="186" w:lineRule="exact"/>
        <w:rPr>
          <w:rFonts w:ascii="Arial" w:cs="Arial" w:eastAsia="Arial" w:hAnsi="Arial"/>
          <w:sz w:val="18"/>
          <w:szCs w:val="18"/>
          <w:color w:val="auto"/>
        </w:rPr>
      </w:pPr>
    </w:p>
    <w:p>
      <w:pPr>
        <w:ind w:left="740" w:right="60" w:hanging="89"/>
        <w:spacing w:after="0" w:line="312"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Extend our leadership in CATV networking. </w:t>
      </w:r>
      <w:r>
        <w:rPr>
          <w:rFonts w:ascii="Arial" w:cs="Arial" w:eastAsia="Arial" w:hAnsi="Arial"/>
          <w:sz w:val="16"/>
          <w:szCs w:val="16"/>
          <w:color w:val="auto"/>
        </w:rPr>
        <w:t>We intend to maintain our position as the leading producer of optical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components used in CATV networks, and to capture an increasing share of the CATV equipment market as the major equipment vendors continue to outsource the design and manufacturing of such products.</w:t>
      </w:r>
    </w:p>
    <w:p>
      <w:pPr>
        <w:spacing w:after="0" w:line="146" w:lineRule="exact"/>
        <w:rPr>
          <w:rFonts w:ascii="Arial" w:cs="Arial" w:eastAsia="Arial" w:hAnsi="Arial"/>
          <w:sz w:val="16"/>
          <w:szCs w:val="16"/>
          <w:color w:val="auto"/>
        </w:rPr>
      </w:pPr>
    </w:p>
    <w:p>
      <w:pPr>
        <w:ind w:left="740" w:hanging="89"/>
        <w:spacing w:after="0" w:line="302"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penetrate the FTTH market. </w:t>
      </w:r>
      <w:r>
        <w:rPr>
          <w:rFonts w:ascii="Arial" w:cs="Arial" w:eastAsia="Arial" w:hAnsi="Arial"/>
          <w:sz w:val="16"/>
          <w:szCs w:val="16"/>
          <w:color w:val="auto"/>
        </w:rPr>
        <w:t>We believe our WDM-PON technology is a cost-effective solution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delivering 1 Gbps bandwidth to a home. We intend to capture an increasing share of the FTTH market by delivering optical modules enabling 1 Gbps synchronous service to the home through our customers, who are either internet service providers or manufacturers of networking equipment supplying internet service providers.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40" w:right="40" w:hanging="89"/>
        <w:spacing w:after="0" w:line="31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invest in our capabilities and infrastructure. </w:t>
      </w:r>
      <w:r>
        <w:rPr>
          <w:rFonts w:ascii="Arial" w:cs="Arial" w:eastAsia="Arial" w:hAnsi="Arial"/>
          <w:sz w:val="16"/>
          <w:szCs w:val="16"/>
          <w:color w:val="auto"/>
        </w:rPr>
        <w:t>We intend to continue to invest in new products,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and our production infrastructure and facilities to maintain and strengthen our competitive position. We engage in an active research and development program to develop new products and enhance existing products.</w:t>
      </w:r>
    </w:p>
    <w:p>
      <w:pPr>
        <w:spacing w:after="0" w:line="146" w:lineRule="exact"/>
        <w:rPr>
          <w:rFonts w:ascii="Arial" w:cs="Arial" w:eastAsia="Arial" w:hAnsi="Arial"/>
          <w:sz w:val="16"/>
          <w:szCs w:val="16"/>
          <w:color w:val="auto"/>
        </w:rPr>
      </w:pPr>
    </w:p>
    <w:p>
      <w:pPr>
        <w:ind w:left="740" w:right="400" w:hanging="89"/>
        <w:spacing w:after="0" w:line="30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pursue other opportunities that leverage our existing expertise. </w:t>
      </w:r>
      <w:r>
        <w:rPr>
          <w:rFonts w:ascii="Arial" w:cs="Arial" w:eastAsia="Arial" w:hAnsi="Arial"/>
          <w:sz w:val="16"/>
          <w:szCs w:val="16"/>
          <w:color w:val="auto"/>
        </w:rPr>
        <w:t>Our expertise in designing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outdoor equipment 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54" w:lineRule="exact"/>
        <w:rPr>
          <w:rFonts w:ascii="Arial" w:cs="Arial" w:eastAsia="Arial" w:hAnsi="Arial"/>
          <w:sz w:val="16"/>
          <w:szCs w:val="16"/>
          <w:color w:val="auto"/>
        </w:rPr>
      </w:pPr>
    </w:p>
    <w:p>
      <w:pPr>
        <w:ind w:left="740" w:right="360" w:hanging="89"/>
        <w:spacing w:after="0" w:line="286"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complementary acquisition and strategic alliance opportunities. </w:t>
      </w:r>
      <w:r>
        <w:rPr>
          <w:rFonts w:ascii="Arial" w:cs="Arial" w:eastAsia="Arial" w:hAnsi="Arial"/>
          <w:sz w:val="17"/>
          <w:szCs w:val="17"/>
          <w:color w:val="auto"/>
        </w:rPr>
        <w:t>We evaluate and selectively pursue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opportunities or strategic alliances that we believe will enhance or complement our current product offerings, augment our technology roadmap, or diversify our revenue base.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24" w:lineRule="exact"/>
        <w:rPr>
          <w:sz w:val="20"/>
          <w:szCs w:val="20"/>
          <w:color w:val="auto"/>
        </w:rPr>
      </w:pPr>
    </w:p>
    <w:p>
      <w:pPr>
        <w:ind w:left="740" w:right="80" w:hanging="89"/>
        <w:spacing w:after="0" w:line="285"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semiconductor laser manufacturing. </w:t>
      </w:r>
      <w:r>
        <w:rPr>
          <w:rFonts w:ascii="Arial" w:cs="Arial" w:eastAsia="Arial" w:hAnsi="Arial"/>
          <w:sz w:val="16"/>
          <w:szCs w:val="16"/>
          <w:color w:val="auto"/>
        </w:rPr>
        <w:t>We use a combination of MBE and MOCVD processes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fabrication of our lasers. We 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among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 and believe it would be difficult and time-consuming for other vendors to replicate our production technology.</w:t>
      </w:r>
    </w:p>
    <w:p>
      <w:pPr>
        <w:spacing w:after="0" w:line="177" w:lineRule="exact"/>
        <w:rPr>
          <w:rFonts w:ascii="Arial" w:cs="Arial" w:eastAsia="Arial" w:hAnsi="Arial"/>
          <w:sz w:val="16"/>
          <w:szCs w:val="16"/>
          <w:color w:val="auto"/>
        </w:rPr>
      </w:pPr>
    </w:p>
    <w:p>
      <w:pPr>
        <w:ind w:left="740" w:hanging="89"/>
        <w:spacing w:after="0" w:line="255"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Laser enhancement technology. </w:t>
      </w:r>
      <w:r>
        <w:rPr>
          <w:rFonts w:ascii="Arial" w:cs="Arial" w:eastAsia="Arial" w:hAnsi="Arial"/>
          <w:sz w:val="18"/>
          <w:szCs w:val="18"/>
          <w:color w:val="auto"/>
        </w:rPr>
        <w:t>Certain properties of the semiconductor lasers predominantly used in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devices, such 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193" w:lineRule="exact"/>
        <w:rPr>
          <w:rFonts w:ascii="Arial" w:cs="Arial" w:eastAsia="Arial" w:hAnsi="Arial"/>
          <w:sz w:val="18"/>
          <w:szCs w:val="18"/>
          <w:color w:val="auto"/>
        </w:rPr>
      </w:pPr>
    </w:p>
    <w:p>
      <w:pPr>
        <w:ind w:left="740" w:right="20" w:hanging="89"/>
        <w:spacing w:after="0" w:line="270"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Optical hybrid-integration technology. </w:t>
      </w:r>
      <w:r>
        <w:rPr>
          <w:rFonts w:ascii="Arial" w:cs="Arial" w:eastAsia="Arial" w:hAnsi="Arial"/>
          <w:sz w:val="17"/>
          <w:szCs w:val="17"/>
          <w:color w:val="auto"/>
        </w:rPr>
        <w:t>Reducing the size, power consumption and complexity of optical devices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essential for achieving the price and performance targets of our customers. Our ability to integrate multiple optical networking functions into a single device and to co-package multiple devices into smaller form factors helps us meet customer requirements, and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which we refer to as a light engine. The technology required to cost-effectively and reliably co-package these lasers and the associated electronic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180"/>
        <w:spacing w:after="0" w:line="277" w:lineRule="auto"/>
        <w:rPr>
          <w:sz w:val="20"/>
          <w:szCs w:val="20"/>
          <w:color w:val="auto"/>
        </w:rPr>
      </w:pPr>
      <w:r>
        <w:rPr>
          <w:rFonts w:ascii="Arial" w:cs="Arial" w:eastAsia="Arial" w:hAnsi="Arial"/>
          <w:sz w:val="18"/>
          <w:szCs w:val="18"/>
          <w:color w:val="auto"/>
        </w:rPr>
        <w:t>control circuitry is complex. Our extensive experience with the processes and the manufacturing technologies required to produce these devices gives us a competitive advantage.</w:t>
      </w:r>
    </w:p>
    <w:p>
      <w:pPr>
        <w:spacing w:after="0" w:line="170" w:lineRule="exact"/>
        <w:rPr>
          <w:sz w:val="20"/>
          <w:szCs w:val="20"/>
          <w:color w:val="auto"/>
        </w:rPr>
      </w:pPr>
    </w:p>
    <w:p>
      <w:pPr>
        <w:ind w:left="980" w:right="20"/>
        <w:spacing w:after="0" w:line="290" w:lineRule="auto"/>
        <w:rPr>
          <w:sz w:val="20"/>
          <w:szCs w:val="20"/>
          <w:color w:val="auto"/>
        </w:rPr>
      </w:pPr>
      <w:r>
        <w:rPr>
          <w:rFonts w:ascii="Arial" w:cs="Arial" w:eastAsia="Arial" w:hAnsi="Arial"/>
          <w:sz w:val="16"/>
          <w:szCs w:val="16"/>
          <w:color w:val="auto"/>
        </w:rPr>
        <w:t>Similarly, in FTTH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is rising,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66" w:lineRule="exact"/>
        <w:rPr>
          <w:sz w:val="20"/>
          <w:szCs w:val="20"/>
          <w:color w:val="auto"/>
        </w:rPr>
      </w:pPr>
    </w:p>
    <w:p>
      <w:pPr>
        <w:ind w:left="740" w:hanging="89"/>
        <w:spacing w:after="0" w:line="269"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Mixed-signal design. </w:t>
      </w:r>
      <w:r>
        <w:rPr>
          <w:rFonts w:ascii="Arial" w:cs="Arial" w:eastAsia="Arial" w:hAnsi="Arial"/>
          <w:sz w:val="17"/>
          <w:szCs w:val="17"/>
          <w:color w:val="auto"/>
        </w:rPr>
        <w:t>As CATV providers continue to evolve from primarily broadcast-video content providers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mixture of HD video 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In this type of network, signals traveling from the headend to the residence are transported as analog signals, whereas signals traveling in the opposite direction (that is, originating at the residence and being transmitted towards the headend) are carried as digital signals.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and FTTH markets.</w:t>
      </w:r>
    </w:p>
    <w:p>
      <w:pPr>
        <w:spacing w:after="0" w:line="18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rely on a combination of patent, copyright, trademark and trade secret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intellectual property to provide competitive advantages, we also find meaningful value from unpatented proprietary process knowledge, know-how and trade secrets.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of December 31, 2016, we owned a total of 90 U.S. issued patents and 120 patents issued in China and Taiwan, plus a number of pending U.S. and foreign/international patent applications. Our issued U.S. and foreign patents will expire between 2017 and 2035. While our patents are an important element of our success, our business as a whole is not dependent on any one patent or group of patents. We do not anticipate any material effect on our business due to any patents expiring in 2017, and we continue to obtain new patents through our ongoing research and development.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patents and patent applications covers several different technology families including:</w:t>
      </w:r>
    </w:p>
    <w:p>
      <w:pPr>
        <w:spacing w:after="0" w:line="225" w:lineRule="exact"/>
        <w:rPr>
          <w:sz w:val="20"/>
          <w:szCs w:val="20"/>
          <w:color w:val="auto"/>
        </w:rPr>
      </w:pPr>
    </w:p>
    <w:p>
      <w:pPr>
        <w:ind w:left="900" w:hanging="24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laser structure and design;</w:t>
      </w:r>
    </w:p>
    <w:p>
      <w:pPr>
        <w:spacing w:after="0" w:line="225" w:lineRule="exact"/>
        <w:rPr>
          <w:rFonts w:ascii="Arial" w:cs="Arial" w:eastAsia="Arial" w:hAnsi="Arial"/>
          <w:sz w:val="18"/>
          <w:szCs w:val="18"/>
          <w:color w:val="auto"/>
        </w:rPr>
      </w:pPr>
    </w:p>
    <w:p>
      <w:pPr>
        <w:ind w:left="820" w:hanging="169"/>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optical signal conditioning and laser control;.</w:t>
      </w:r>
    </w:p>
    <w:p>
      <w:pPr>
        <w:spacing w:after="0" w:line="225" w:lineRule="exact"/>
        <w:rPr>
          <w:rFonts w:ascii="Arial" w:cs="Arial" w:eastAsia="Arial" w:hAnsi="Arial"/>
          <w:sz w:val="18"/>
          <w:szCs w:val="18"/>
          <w:color w:val="auto"/>
        </w:rPr>
      </w:pPr>
    </w:p>
    <w:p>
      <w:pPr>
        <w:ind w:left="1020" w:hanging="36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laser fabrication;</w:t>
      </w:r>
    </w:p>
    <w:p>
      <w:pPr>
        <w:spacing w:after="0" w:line="225" w:lineRule="exact"/>
        <w:rPr>
          <w:rFonts w:ascii="Arial" w:cs="Arial" w:eastAsia="Arial" w:hAnsi="Arial"/>
          <w:sz w:val="18"/>
          <w:szCs w:val="18"/>
          <w:color w:val="auto"/>
        </w:rPr>
      </w:pPr>
    </w:p>
    <w:p>
      <w:pPr>
        <w:ind w:left="780" w:hanging="12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photodiode and optical receiver design and fabrication;</w:t>
      </w:r>
    </w:p>
    <w:p>
      <w:pPr>
        <w:spacing w:after="0" w:line="225" w:lineRule="exact"/>
        <w:rPr>
          <w:rFonts w:ascii="Arial" w:cs="Arial" w:eastAsia="Arial" w:hAnsi="Arial"/>
          <w:sz w:val="18"/>
          <w:szCs w:val="18"/>
          <w:color w:val="auto"/>
        </w:rPr>
      </w:pPr>
    </w:p>
    <w:p>
      <w:pPr>
        <w:ind w:left="840" w:hanging="189"/>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optical device and module designs;</w:t>
      </w:r>
    </w:p>
    <w:p>
      <w:pPr>
        <w:spacing w:after="0" w:line="225" w:lineRule="exact"/>
        <w:rPr>
          <w:rFonts w:ascii="Arial" w:cs="Arial" w:eastAsia="Arial" w:hAnsi="Arial"/>
          <w:sz w:val="18"/>
          <w:szCs w:val="18"/>
          <w:color w:val="auto"/>
        </w:rPr>
      </w:pPr>
    </w:p>
    <w:p>
      <w:pPr>
        <w:ind w:left="780" w:hanging="129"/>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optical device packaging equipment and techniques; and</w:t>
      </w:r>
    </w:p>
    <w:p>
      <w:pPr>
        <w:spacing w:after="0" w:line="225" w:lineRule="exact"/>
        <w:rPr>
          <w:rFonts w:ascii="Arial" w:cs="Arial" w:eastAsia="Arial" w:hAnsi="Arial"/>
          <w:sz w:val="18"/>
          <w:szCs w:val="18"/>
          <w:color w:val="auto"/>
        </w:rPr>
      </w:pPr>
    </w:p>
    <w:p>
      <w:pPr>
        <w:ind w:left="860" w:hanging="209"/>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optical network enhancements.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 Our research and development expenses were approximately $31.8 million, $20.9 million, and $16.0 million for the years 2016, 2015 and 2014, respectively.</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of December 31, 2016, we had a total of 276 employees working in the R&amp;D department, including 16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p>
    <w:p>
      <w:pPr>
        <w:spacing w:after="0" w:line="188" w:lineRule="exact"/>
        <w:rPr>
          <w:sz w:val="20"/>
          <w:szCs w:val="20"/>
          <w:color w:val="auto"/>
        </w:rPr>
      </w:pPr>
    </w:p>
    <w:p>
      <w:pPr>
        <w:ind w:right="260" w:firstLine="651"/>
        <w:spacing w:after="0" w:line="279" w:lineRule="auto"/>
        <w:tabs>
          <w:tab w:leader="none" w:pos="8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generally partnered with our manufacturing locations. In our U.S. facility, we manufacture laser chips (utilizing our MBE and MOCVD process), subassemblies and components. The subassemblies are used in the manufacture of components by our other manufacturing facilities or sold to third parties as modules. We manufacture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laser chips only within our U.S.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telecom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facility conducts testing on the components, modules or subsystems it manufactures and each facility is certified to ISO 9001:2008.</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sell our products to customers worldwide, and in addition to these external customer sales many of our products are used internally in the production of transceivers and equipment that we manufacture. With a vertically integrated manufacturing process, we produce many of our own laser chips and other parts required to manufacture our optical components. Through this model, we are able to reduce development time and product costs as well as enhance quality control.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depend on a limited number of suppliers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externally sourced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Our customers are primarily internet data center operators, CATV and telecommunications equipment manufacturers, and internet service providers. We generally employ a direct sales model in North America and in the rest of the world we use both direct and indirect sales channels. In 2016, 2015 and 2014, we obtained 96.0%, 95.7% and 92.6%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 customers to assist them in more effectively using our products and realizing time-to-market advantages.</w:t>
      </w:r>
    </w:p>
    <w:p>
      <w:pPr>
        <w:spacing w:after="0" w:line="16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2016, the two customers who contributed most to our data center revenue were Amazon and Microsoft. Our CATV products were used by the two largest CATV OEMs, consisting of Cisco and Arris (which acquired the Motorola Home Business in 2013 and Pace Plc in 2016). The two customers that contributed most to our revenue in the FTTH market in 2016 were Genexis B.V. and a leading internet service provider. In 2016, revenue from the internet data center market, CATV market, FTTH market, the telecom market and other markets provided 77.2%, 16.7%, 0.6%, 5.0% and 0.5% of our revenue, respectively, compared to 64.9%, 28.3%, 1.3%, 5.1% and 0.4%, respectively, in 2015.</w:t>
      </w:r>
    </w:p>
    <w:p>
      <w:pPr>
        <w:spacing w:after="0" w:line="178"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our telecom market, we manufacture and sell optical products which include transceivers designed to transmit signals used in 4G Long Term Evolution, or LTE, mobile networks, and various products targeted at the metro-scale telecommunications networking market. We have various other products designed for diverse applications, both inside and outside of communications technology, which generally are derivatives of products developed for our four target markets.</w:t>
      </w:r>
    </w:p>
    <w:p>
      <w:pPr>
        <w:spacing w:after="0" w:line="154"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support our sales efforts by attendance at industry trade shows, technical conferences, advertising in various trade journals and magazines and other promotional efforts. These efforts are aimed at attracting new customers and enhancing our existing customer relationships.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Region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information regarding our revenue and long-lived assets by geographic region, see Note N to the Consolidated Financial Statements. For risks relating to our operations see “Item 1A. Risk Factors” and particularly the risks under the caption “Risks related to our operations in China.”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EMCORE Corporation, Finisar Corporation, Foxconn Interconnect Technology Ltd., Lumentum Holding, Inc., Mitsubishi, Molex, LLC, Oclaro, Inc., Source Photonics, and Sumitomo Electric Industries, Ltd.</w:t>
      </w:r>
    </w:p>
    <w:p>
      <w:pPr>
        <w:spacing w:after="0" w:line="15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Many of our competitors are larger than we are and have significantly greater financial, marketing and other resources.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in our target markets include the following:</w:t>
      </w:r>
    </w:p>
    <w:p>
      <w:pPr>
        <w:spacing w:after="0" w:line="225" w:lineRule="exact"/>
        <w:rPr>
          <w:sz w:val="20"/>
          <w:szCs w:val="20"/>
          <w:color w:val="auto"/>
        </w:rPr>
      </w:pPr>
    </w:p>
    <w:p>
      <w:pPr>
        <w:ind w:left="820" w:hanging="169"/>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internally manufactured components;</w:t>
      </w:r>
    </w:p>
    <w:p>
      <w:pPr>
        <w:spacing w:after="0" w:line="225" w:lineRule="exact"/>
        <w:rPr>
          <w:rFonts w:ascii="Arial" w:cs="Arial" w:eastAsia="Arial" w:hAnsi="Arial"/>
          <w:sz w:val="18"/>
          <w:szCs w:val="18"/>
          <w:color w:val="auto"/>
        </w:rPr>
      </w:pPr>
    </w:p>
    <w:p>
      <w:pPr>
        <w:ind w:left="860" w:hanging="209"/>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breadth and functionality;</w:t>
      </w:r>
    </w:p>
    <w:p>
      <w:pPr>
        <w:spacing w:after="0" w:line="225" w:lineRule="exact"/>
        <w:rPr>
          <w:rFonts w:ascii="Arial" w:cs="Arial" w:eastAsia="Arial" w:hAnsi="Arial"/>
          <w:sz w:val="18"/>
          <w:szCs w:val="18"/>
          <w:color w:val="auto"/>
        </w:rPr>
      </w:pPr>
    </w:p>
    <w:p>
      <w:pPr>
        <w:ind w:left="800" w:hanging="149"/>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and pace of new product development;</w:t>
      </w:r>
    </w:p>
    <w:p>
      <w:pPr>
        <w:spacing w:after="0" w:line="225" w:lineRule="exact"/>
        <w:rPr>
          <w:rFonts w:ascii="Arial" w:cs="Arial" w:eastAsia="Arial" w:hAnsi="Arial"/>
          <w:sz w:val="18"/>
          <w:szCs w:val="18"/>
          <w:color w:val="auto"/>
        </w:rPr>
      </w:pPr>
    </w:p>
    <w:p>
      <w:pPr>
        <w:ind w:left="900" w:hanging="24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breadth of customer base;</w:t>
      </w:r>
    </w:p>
    <w:p>
      <w:pPr>
        <w:spacing w:after="0" w:line="225" w:lineRule="exact"/>
        <w:rPr>
          <w:rFonts w:ascii="Arial" w:cs="Arial" w:eastAsia="Arial" w:hAnsi="Arial"/>
          <w:sz w:val="18"/>
          <w:szCs w:val="18"/>
          <w:color w:val="auto"/>
        </w:rPr>
      </w:pPr>
    </w:p>
    <w:p>
      <w:pPr>
        <w:ind w:left="920" w:hanging="26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225" w:lineRule="exact"/>
        <w:rPr>
          <w:rFonts w:ascii="Arial" w:cs="Arial" w:eastAsia="Arial" w:hAnsi="Arial"/>
          <w:sz w:val="18"/>
          <w:szCs w:val="18"/>
          <w:color w:val="auto"/>
        </w:rPr>
      </w:pPr>
    </w:p>
    <w:p>
      <w:pPr>
        <w:ind w:left="940" w:hanging="289"/>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reliability of products;</w:t>
      </w:r>
    </w:p>
    <w:p>
      <w:pPr>
        <w:spacing w:after="0" w:line="225" w:lineRule="exact"/>
        <w:rPr>
          <w:rFonts w:ascii="Arial" w:cs="Arial" w:eastAsia="Arial" w:hAnsi="Arial"/>
          <w:sz w:val="18"/>
          <w:szCs w:val="18"/>
          <w:color w:val="auto"/>
        </w:rPr>
      </w:pPr>
    </w:p>
    <w:p>
      <w:pPr>
        <w:ind w:left="960" w:hanging="309"/>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225" w:lineRule="exact"/>
        <w:rPr>
          <w:rFonts w:ascii="Arial" w:cs="Arial" w:eastAsia="Arial" w:hAnsi="Arial"/>
          <w:sz w:val="18"/>
          <w:szCs w:val="18"/>
          <w:color w:val="auto"/>
        </w:rPr>
      </w:pPr>
    </w:p>
    <w:p>
      <w:pPr>
        <w:ind w:left="900" w:hanging="24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Seasonality,” regarding seasonality of certain of the Company’s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As of December 31, 2016, we employed 2,776 full-time employees, of which 31 held Ph.D. degrees in a science or engineering field. Of our employees, 287 are located in the U.S., 1,218 are located in Taiwan and 1,271 are located in China. None of our employees are represented by any collective bargaining agreement, but certain employees of our China subsidiary are members of a trade union. We have never suffered any work stoppage as a result of an employment related strike or any employee related dispute and believe that we have satisfactory relations with our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employee health and safety, and the hazardous material content in our products. Our environmental management systems in our facilities in Sugar Land, Texas, Ningbo, China and Taipei, Taiwan are all certified to meet the requirements of ISO14001:2004. However, there can be no assurance that violations of applicable laws at any of our facilities will not occur in the future as a result of human error, accident, equipment failure or other causes. We use, store and dispose of hazardous materials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monetary fines, or civil or criminal penalties, and subject us to property damage and personal injury claims, and result in the suspension of production, alteration of our manufacturing processes, redesign of our products, or curtailment of sales and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w:t>
      </w:r>
    </w:p>
    <w:p>
      <w:pPr>
        <w:spacing w:after="0" w:line="191"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w:t>
      </w:r>
    </w:p>
    <w:p>
      <w:pPr>
        <w:spacing w:after="0" w:line="17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 Accordingly, we maintain ongoing communications with our suppliers in order to prevent any interruptions in supply, and have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implemented a supply-chain management program to maintain quality and lower purchase prices through standardized purchasing efficiencies and design requirements. To date, we generally have been able to obtain sufficient quantities of critical supplies in a timely manner.</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Regulations</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Bureau of Industry and Security (BIS) of the U.S. Department of Commerce is responsible for regulating the export of most commercial items that are classified as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18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 Our website address is www.ao-inc.com. Information contained on our website is not incorporated by reference into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pacing w:after="0" w:line="18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Annual Report on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24"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We generate much of our revenue from a limited number of customers. In 2016, 2015 and 2014, our top ten customers represented 95.5%, 88.7% and 87.2% of our revenue, respectively. In 2016, Amazon represented 54.6%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revenue and Microsoft represented 18.3%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For example, in January 2016, Arris completed its purchase of Pace Plc (“Pace”). Pace and Arris have historically been our customers, and if we fail to achieve historical levels of sales of our products to the new entity, the loss or reduction in sales could have an adverse effect on our business, financial condition, results of operations, and cash flows.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color w:val="auto"/>
        </w:rPr>
        <w:t>potential demand from customers for our new technologies and products. If we are unable to qualify and sell any of our new products in volume, on time, or at all, our results of operations may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19" w:firstLine="648"/>
        <w:spacing w:after="0" w:line="286"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2" w:lineRule="exact"/>
        <w:rPr>
          <w:sz w:val="20"/>
          <w:szCs w:val="20"/>
          <w:color w:val="auto"/>
        </w:rPr>
      </w:pPr>
    </w:p>
    <w:p>
      <w:pPr>
        <w:ind w:right="419"/>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59" w:firstLine="648"/>
        <w:spacing w:after="0" w:line="255"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93" w:lineRule="exact"/>
        <w:rPr>
          <w:sz w:val="20"/>
          <w:szCs w:val="20"/>
          <w:color w:val="auto"/>
        </w:rPr>
      </w:pPr>
    </w:p>
    <w:p>
      <w:pPr>
        <w:ind w:right="139" w:firstLine="648"/>
        <w:spacing w:after="0" w:line="286"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Although the length of our product development cycle varies widely by product and customer, it may take</w:t>
      </w:r>
    </w:p>
    <w:p>
      <w:pPr>
        <w:spacing w:after="0" w:line="23" w:lineRule="exact"/>
        <w:rPr>
          <w:sz w:val="20"/>
          <w:szCs w:val="20"/>
          <w:color w:val="auto"/>
        </w:rPr>
      </w:pPr>
    </w:p>
    <w:p>
      <w:pPr>
        <w:ind w:right="139"/>
        <w:spacing w:after="0" w:line="261" w:lineRule="auto"/>
        <w:rPr>
          <w:sz w:val="20"/>
          <w:szCs w:val="20"/>
          <w:color w:val="auto"/>
        </w:rPr>
      </w:pPr>
      <w:r>
        <w:rPr>
          <w:rFonts w:ascii="Arial" w:cs="Arial" w:eastAsia="Arial" w:hAnsi="Arial"/>
          <w:sz w:val="18"/>
          <w:szCs w:val="18"/>
          <w:color w:val="auto"/>
        </w:rPr>
        <w:t>18 months or longer before we receive our first order. As a result, we may incur significant expenses long before customers accept and purchase our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3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modification of product specifications and customer requirements;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unanticipated engineering complexities;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right="99" w:firstLine="690"/>
        <w:spacing w:after="0" w:line="255"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some of the markets in which we compete and any future downturn will likely reduce demand for our products and revenue.</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each of our target markets, including the CATV market, our sales depend on the aggregate capital expenditures of service providers as they build out and upgrade their network infrastructure. Some of these markets are highly cyclical and all are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changes in any of the markets utilizing our products. We may not be able to accurately predict these fluctuations and the impact of these fluctuations may have on our revenue and operating results.</w:t>
      </w:r>
    </w:p>
    <w:p>
      <w:pPr>
        <w:spacing w:after="0" w:line="1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the CATV market does not continue to develop as we expect, or if there is any downturn in this market, our business would be adversely affected.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Historically, we have generated much of our revenue from the CATV market. In 2016, 2015 and 2014, the CATV market represented 16.7%, 28.3% and 36.3%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exceed the rate of increase in our revenue, either of which would materially and adversely affect our business, our results of operations and our financial condition.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FTTH market, and our business could be harmed if this market does not develop as we expect.</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For 2016 and 2015, respectively, we generated 0.6%, and 1.3% of our revenue from the FTTH market. We have only recently begun offering products to the FTTH market, and our WDM-PON products designed for this market have not yet,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2,171 of our employees as of December 31, 2016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quarter-to-quarter due to a number of factors, which may lead to volatility in our stock price.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timing, size and mix of sales of our products;</w:t>
      </w:r>
    </w:p>
    <w:p>
      <w:pPr>
        <w:spacing w:after="0" w:line="225" w:lineRule="exact"/>
        <w:rPr>
          <w:sz w:val="20"/>
          <w:szCs w:val="20"/>
          <w:color w:val="auto"/>
        </w:rPr>
      </w:pPr>
    </w:p>
    <w:p>
      <w:pPr>
        <w:ind w:left="980" w:right="520"/>
        <w:spacing w:after="0" w:line="277" w:lineRule="auto"/>
        <w:rPr>
          <w:sz w:val="20"/>
          <w:szCs w:val="20"/>
          <w:color w:val="auto"/>
        </w:rPr>
      </w:pPr>
      <w:r>
        <w:rPr>
          <w:rFonts w:ascii="Arial" w:cs="Arial" w:eastAsia="Arial" w:hAnsi="Arial"/>
          <w:sz w:val="18"/>
          <w:szCs w:val="18"/>
          <w:color w:val="auto"/>
        </w:rPr>
        <w:t>fluctuations in demand for our products, including the increase, decrease, rescheduling or cancellation of significant customer orders;</w:t>
      </w:r>
    </w:p>
    <w:p>
      <w:pPr>
        <w:spacing w:after="0" w:line="170"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product introductions and enhancements by us or our competitors;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gain or loss of key customers;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seasonality of certain of our products;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quality control or yield problems in our manufacturing operations;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length and variability of the sales cycles of our products;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unanticipated increases in costs or expenses;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loss of key employees;</w:t>
      </w:r>
    </w:p>
    <w:p>
      <w:pPr>
        <w:spacing w:after="0" w:line="225"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political stability in the areas of the world in which we operate;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changes in accounting rules;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general economic conditions and changes in such conditions specific to our target markets.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common stock could decrease significantly. There can be no assurance that we will be able to successfully address these risks.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pacing w:after="0" w:line="26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could contain defects that may cause us to incur significant costs or result in a loss of customers.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currently derive, and expect to continue to derive, a significant portion of our revenue from sales to international customers. In 2016, 2015 and 2014, 15.8%, 19.0% and 29.5%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fewer legal protections for intellectual property in foreign jurisdictions;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foreign and U.S. taxation issues and international trade barriers;</w:t>
      </w:r>
    </w:p>
    <w:p>
      <w:pPr>
        <w:spacing w:after="0" w:line="225" w:lineRule="exact"/>
        <w:rPr>
          <w:sz w:val="20"/>
          <w:szCs w:val="20"/>
          <w:color w:val="auto"/>
        </w:rPr>
      </w:pPr>
    </w:p>
    <w:p>
      <w:pPr>
        <w:ind w:left="980" w:right="320"/>
        <w:spacing w:after="0" w:line="277" w:lineRule="auto"/>
        <w:rPr>
          <w:sz w:val="20"/>
          <w:szCs w:val="20"/>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fluctuations in foreign economies;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fluctuations in the value of foreign currencies and interest rates;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trade and travel restrictions;</w:t>
      </w:r>
    </w:p>
    <w:p>
      <w:pPr>
        <w:spacing w:after="0" w:line="225"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sz w:val="20"/>
          <w:szCs w:val="20"/>
          <w:color w:val="auto"/>
        </w:rPr>
      </w:pPr>
    </w:p>
    <w:p>
      <w:pPr>
        <w:ind w:left="980" w:right="180"/>
        <w:spacing w:after="0" w:line="277" w:lineRule="auto"/>
        <w:rPr>
          <w:sz w:val="20"/>
          <w:szCs w:val="20"/>
          <w:color w:val="auto"/>
        </w:rPr>
      </w:pPr>
      <w:r>
        <w:rPr>
          <w:rFonts w:ascii="Arial" w:cs="Arial" w:eastAsia="Arial" w:hAnsi="Arial"/>
          <w:sz w:val="18"/>
          <w:szCs w:val="18"/>
          <w:color w:val="auto"/>
        </w:rPr>
        <w:t>different and changing legal and regulatory requirements in the jurisdictions in which we currently operate or may operate in the future.</w:t>
      </w:r>
    </w:p>
    <w:p>
      <w:pPr>
        <w:spacing w:after="0" w:line="38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Negative developments in any of these factors in China or Taiwan or other countries could result in a reduction in demand for our products, the cancellation or delay of orders already placed, difficulties in producing and delivering</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3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loan agreements contain restrictive covenants that may adversely affect our ability to conduct our business.</w:t>
      </w:r>
    </w:p>
    <w:p>
      <w:pPr>
        <w:spacing w:after="0" w:line="24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lending arrangements with several financial institutions, including loan agreements with East West Bank and Comerica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East West Bank and Comerica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growth. If we do not generate sufficient cash flow from operations or otherwise have the capital resources to meet our future capital needs, we may need additional financing to implement our business strategy, which includes:</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expansion of research and development;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expansion of manufacturing capabilities;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hiring of additional technical, sales and other personnel;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acquisitions of complementary businesses.</w:t>
      </w:r>
    </w:p>
    <w:p>
      <w:pPr>
        <w:spacing w:after="0" w:line="200" w:lineRule="exact"/>
        <w:rPr>
          <w:sz w:val="20"/>
          <w:szCs w:val="20"/>
          <w:color w:val="auto"/>
        </w:rPr>
      </w:pPr>
    </w:p>
    <w:p>
      <w:pPr>
        <w:spacing w:after="0" w:line="22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difficulties integrating the acquired business;</w:t>
      </w:r>
    </w:p>
    <w:p>
      <w:pPr>
        <w:spacing w:after="0" w:line="23" w:lineRule="exact"/>
        <w:rPr>
          <w:sz w:val="20"/>
          <w:szCs w:val="20"/>
          <w:color w:val="auto"/>
        </w:rPr>
      </w:pPr>
    </w:p>
    <w:p>
      <w:pPr>
        <w:ind w:left="980" w:right="300"/>
        <w:spacing w:after="0" w:line="250" w:lineRule="auto"/>
        <w:rPr>
          <w:sz w:val="20"/>
          <w:szCs w:val="20"/>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diversion of financial and management resources from our existing business;</w:t>
      </w:r>
    </w:p>
    <w:p>
      <w:pPr>
        <w:spacing w:after="0" w:line="9" w:lineRule="exact"/>
        <w:rPr>
          <w:sz w:val="20"/>
          <w:szCs w:val="20"/>
          <w:color w:val="auto"/>
        </w:rPr>
      </w:pPr>
    </w:p>
    <w:p>
      <w:pPr>
        <w:ind w:left="980"/>
        <w:spacing w:after="0" w:line="250" w:lineRule="auto"/>
        <w:rPr>
          <w:sz w:val="20"/>
          <w:szCs w:val="20"/>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spacing w:after="0" w:line="1" w:lineRule="exact"/>
        <w:rPr>
          <w:sz w:val="20"/>
          <w:szCs w:val="20"/>
          <w:color w:val="auto"/>
        </w:rPr>
      </w:pPr>
    </w:p>
    <w:p>
      <w:pPr>
        <w:ind w:left="980" w:right="1640"/>
        <w:spacing w:after="0" w:line="290" w:lineRule="auto"/>
        <w:rPr>
          <w:sz w:val="20"/>
          <w:szCs w:val="20"/>
          <w:color w:val="auto"/>
        </w:rPr>
      </w:pPr>
      <w:r>
        <w:rPr>
          <w:rFonts w:ascii="Arial" w:cs="Arial" w:eastAsia="Arial" w:hAnsi="Arial"/>
          <w:sz w:val="17"/>
          <w:szCs w:val="17"/>
          <w:color w:val="auto"/>
        </w:rPr>
        <w:t>risks associated with entering markets in which we have little or no prior experience; and potential loss of key employees, particularly those of the acquired organizations.</w:t>
      </w:r>
    </w:p>
    <w:p>
      <w:pPr>
        <w:spacing w:after="0" w:line="16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17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We have significant foreign currency exposure, and are affected by fluctuations among the U.S. dollar, the Chinese renminbi, or RMB, and the New Taiwan dollar, or NT dollar, because a substantial portion of our business is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conducted in China and Taiwan. Our sales, raw materials, components and capital expenditures are denominated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RMB and NT dollars in varying amounts.</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9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1" w:lineRule="exact"/>
        <w:rPr>
          <w:sz w:val="20"/>
          <w:szCs w:val="20"/>
          <w:color w:val="auto"/>
        </w:rPr>
      </w:pPr>
    </w:p>
    <w:p>
      <w:pPr>
        <w:ind w:left="980"/>
        <w:spacing w:after="0" w:line="258" w:lineRule="auto"/>
        <w:rPr>
          <w:sz w:val="20"/>
          <w:szCs w:val="20"/>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 w:lineRule="exact"/>
        <w:rPr>
          <w:sz w:val="20"/>
          <w:szCs w:val="20"/>
          <w:color w:val="auto"/>
        </w:rPr>
      </w:pPr>
    </w:p>
    <w:p>
      <w:pPr>
        <w:ind w:left="980" w:right="220"/>
        <w:spacing w:after="0" w:line="250" w:lineRule="auto"/>
        <w:rPr>
          <w:sz w:val="20"/>
          <w:szCs w:val="20"/>
          <w:color w:val="auto"/>
        </w:rPr>
      </w:pPr>
      <w:r>
        <w:rPr>
          <w:rFonts w:ascii="Arial" w:cs="Arial" w:eastAsia="Arial" w:hAnsi="Arial"/>
          <w:sz w:val="18"/>
          <w:szCs w:val="18"/>
          <w:color w:val="auto"/>
        </w:rPr>
        <w:t>stop manufacturing, selling, incorporating or using our products that use the challenged intellectual property; pay substantial monetary damages; or</w:t>
      </w:r>
    </w:p>
    <w:p>
      <w:pPr>
        <w:spacing w:after="0" w:line="1" w:lineRule="exact"/>
        <w:rPr>
          <w:sz w:val="20"/>
          <w:szCs w:val="20"/>
          <w:color w:val="auto"/>
        </w:rPr>
      </w:pPr>
    </w:p>
    <w:p>
      <w:pPr>
        <w:ind w:left="980" w:right="340"/>
        <w:spacing w:after="0" w:line="261" w:lineRule="auto"/>
        <w:rPr>
          <w:sz w:val="20"/>
          <w:szCs w:val="20"/>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24"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8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As of December 31, 2016, we had U.S. accumulated net operating losses, or NOLs, of approximately $37.7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and therefore our annual utilization of our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NOLs is limited. In addition, should we experience additional ownership changes, our NOL carry forwards may be further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exposed to risks and increased expenses and business risk as a result of Restriction on Hazardous Substances, or RoHS directives.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8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170"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Rapidly changing standards and regulations could make our products obsolete, which would cause our revenue and results of operations to suffer.</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initial conflict minerals report on Form SD on May 31, 2016.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6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business operations conducted in China are critical to our success. A total of $57.4 million, $20.6 million and $22.0 million or 22.0%, 11.0% and 16.9%, of our revenue in the years ended December 31, 2016, 2015 and 2014 was attributable to our product manufacturing plants in China, respectively. Additionally, a substantial portion of our property, plant and equipment, 23% and 22% as of December 31, 2016 and 2015,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65"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has applied to calendar years 2012 through 2016. We have not yet realized any benefit from the 10%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reduction in income tax rate due to losses incurred by our China subsidiary; however, if we fail to continue to qualify for this preferential rate in the future, we may incur higher tax rates on our income in China. In order to retain the preferential tax rate, we must meet certain operating conditions, satisfy certain product requirements, meet certain headcount requirements and maintain certain levels of research expenditures. We applied for an additional three years of preferential status with the Chinese government in 2014 and received approval as a high-technology enterprise through September 2017. Any future increase in the enterprise income tax rate applicable to us or the expiration or other limitation of preferential tax rates available to us could increase our tax liabilities and reduce our net income.</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200" w:lineRule="exact"/>
        <w:rPr>
          <w:sz w:val="20"/>
          <w:szCs w:val="20"/>
          <w:color w:val="auto"/>
        </w:rPr>
      </w:pPr>
    </w:p>
    <w:p>
      <w:pPr>
        <w:spacing w:after="0" w:line="2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China regulation of loans to and direct investment by offshore holding companies in China entities may delay or prevent us from making loans or additional capital contributions to our China subsidiary.</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78"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China subsidiary is subject to Chinese labor laws and regulations and Chinese labor laws may increase our operating costs in China.</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4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1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We currently do not plan to declare or pay dividends on shares of our common stock in the foreseeable future. In addition, the terms of our loan and security agreement with East West Bank and Comerica Bank restrict our ability to pay dividends. Consequently, your only opportunity to achieve a return on any shares of our common stock that you may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acquire will be if the market price of our common stock appreciates and you sell your shares at a profit. There is no guarantee that the price of our common stock in the market will ever exceed the price that you pay.</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providing for a classified board of directors with staggered, three-year terms;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providing for cumulative voting in the election of directors;</w:t>
      </w:r>
    </w:p>
    <w:p>
      <w:pPr>
        <w:spacing w:after="0" w:line="225"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prohibiting stockholder action by written consent;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limiting the persons who may call special meetings of stockholders;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requiring advance notification of stockholder nominations and proposals; and</w:t>
      </w:r>
    </w:p>
    <w:p>
      <w:pPr>
        <w:spacing w:after="0" w:line="225" w:lineRule="exact"/>
        <w:rPr>
          <w:sz w:val="20"/>
          <w:szCs w:val="20"/>
          <w:color w:val="auto"/>
        </w:rPr>
      </w:pPr>
    </w:p>
    <w:p>
      <w:pPr>
        <w:ind w:left="980" w:right="280"/>
        <w:spacing w:after="0" w:line="342" w:lineRule="auto"/>
        <w:rPr>
          <w:sz w:val="20"/>
          <w:szCs w:val="20"/>
          <w:color w:val="auto"/>
        </w:rPr>
      </w:pPr>
      <w:r>
        <w:rPr>
          <w:rFonts w:ascii="Arial" w:cs="Arial" w:eastAsia="Arial" w:hAnsi="Arial"/>
          <w:sz w:val="16"/>
          <w:szCs w:val="16"/>
          <w:color w:val="auto"/>
        </w:rPr>
        <w:t>change of control provisions in our stock incentive plans, and the individual stock option agreements, which provide that a change of control may accelerate the vesting of the stock options issued under such plans.</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73"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utilize certain modified disclosure requirements, and we cannot be certain if these reduced requirements will make our common stock less attractive to investors.</w:t>
      </w:r>
    </w:p>
    <w:p>
      <w:pPr>
        <w:spacing w:after="0" w:line="181"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are an emerging growth company within the meaning of the rules under the Securities Act. We have in this Annual Report on Form 10-K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attest as to our internal control over financial reporting. As a result, our stockholders may not have access to certain information they may deem important.</w:t>
      </w:r>
    </w:p>
    <w:p>
      <w:pPr>
        <w:spacing w:after="0" w:line="170"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7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after our initial public offering, which was consummated in September 2013,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378" w:lineRule="exact"/>
        <w:rPr>
          <w:sz w:val="20"/>
          <w:szCs w:val="20"/>
          <w:color w:val="auto"/>
        </w:rPr>
      </w:pPr>
    </w:p>
    <w:p>
      <w:pPr>
        <w:jc w:val="center"/>
        <w:ind w:right="6000"/>
        <w:spacing w:after="0"/>
        <w:tabs>
          <w:tab w:leader="none" w:pos="2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Owned or Lease</w:t>
            </w:r>
          </w:p>
        </w:tc>
        <w:tc>
          <w:tcPr>
            <w:tcW w:w="1420" w:type="dxa"/>
            <w:vAlign w:val="bottom"/>
          </w:tcPr>
          <w:p>
            <w:pPr>
              <w:jc w:val="right"/>
              <w:ind w:right="216"/>
              <w:spacing w:after="0"/>
              <w:rPr>
                <w:sz w:val="20"/>
                <w:szCs w:val="20"/>
                <w:color w:val="auto"/>
              </w:rPr>
            </w:pPr>
            <w:r>
              <w:rPr>
                <w:rFonts w:ascii="Arial" w:cs="Arial" w:eastAsia="Arial" w:hAnsi="Arial"/>
                <w:sz w:val="14"/>
                <w:szCs w:val="14"/>
                <w:b w:val="1"/>
                <w:bCs w:val="1"/>
                <w:color w:val="auto"/>
              </w:rPr>
              <w:t>Approximate</w:t>
            </w:r>
          </w:p>
        </w:tc>
        <w:tc>
          <w:tcPr>
            <w:tcW w:w="200" w:type="dxa"/>
            <w:vAlign w:val="bottom"/>
          </w:tcPr>
          <w:p>
            <w:pPr>
              <w:spacing w:after="0"/>
              <w:rPr>
                <w:sz w:val="14"/>
                <w:szCs w:val="14"/>
                <w:color w:val="auto"/>
              </w:rPr>
            </w:pPr>
          </w:p>
        </w:tc>
        <w:tc>
          <w:tcPr>
            <w:tcW w:w="4140" w:type="dxa"/>
            <w:vAlign w:val="bottom"/>
            <w:gridSpan w:val="2"/>
            <w:vMerge w:val="restart"/>
          </w:tcPr>
          <w:p>
            <w:pPr>
              <w:ind w:left="1900"/>
              <w:spacing w:after="0"/>
              <w:rPr>
                <w:sz w:val="20"/>
                <w:szCs w:val="20"/>
                <w:color w:val="auto"/>
              </w:rPr>
            </w:pPr>
            <w:r>
              <w:rPr>
                <w:rFonts w:ascii="Arial" w:cs="Arial" w:eastAsia="Arial" w:hAnsi="Arial"/>
                <w:sz w:val="14"/>
                <w:szCs w:val="14"/>
                <w:b w:val="1"/>
                <w:bCs w:val="1"/>
                <w:color w:val="auto"/>
              </w:rPr>
              <w:t>Use</w:t>
            </w:r>
          </w:p>
        </w:tc>
        <w:tc>
          <w:tcPr>
            <w:tcW w:w="0" w:type="dxa"/>
            <w:vAlign w:val="bottom"/>
          </w:tcPr>
          <w:p>
            <w:pPr>
              <w:spacing w:after="0"/>
              <w:rPr>
                <w:sz w:val="1"/>
                <w:szCs w:val="1"/>
                <w:color w:val="auto"/>
              </w:rPr>
            </w:pPr>
          </w:p>
        </w:tc>
      </w:tr>
      <w:tr>
        <w:trPr>
          <w:trHeight w:val="171"/>
        </w:trPr>
        <w:tc>
          <w:tcPr>
            <w:tcW w:w="1660" w:type="dxa"/>
            <w:vAlign w:val="bottom"/>
            <w:gridSpan w:val="2"/>
            <w:vMerge w:val="continue"/>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Expiration Date</w:t>
            </w:r>
          </w:p>
        </w:tc>
        <w:tc>
          <w:tcPr>
            <w:tcW w:w="1420" w:type="dxa"/>
            <w:vAlign w:val="bottom"/>
          </w:tcPr>
          <w:p>
            <w:pPr>
              <w:jc w:val="right"/>
              <w:ind w:right="156"/>
              <w:spacing w:after="0"/>
              <w:rPr>
                <w:sz w:val="20"/>
                <w:szCs w:val="20"/>
                <w:color w:val="auto"/>
              </w:rPr>
            </w:pPr>
            <w:r>
              <w:rPr>
                <w:rFonts w:ascii="Arial" w:cs="Arial" w:eastAsia="Arial" w:hAnsi="Arial"/>
                <w:sz w:val="14"/>
                <w:szCs w:val="14"/>
                <w:b w:val="1"/>
                <w:bCs w:val="1"/>
                <w:color w:val="auto"/>
              </w:rPr>
              <w:t>Square Footage</w:t>
            </w:r>
          </w:p>
        </w:tc>
        <w:tc>
          <w:tcPr>
            <w:tcW w:w="200" w:type="dxa"/>
            <w:vAlign w:val="bottom"/>
          </w:tcPr>
          <w:p>
            <w:pPr>
              <w:spacing w:after="0"/>
              <w:rPr>
                <w:sz w:val="14"/>
                <w:szCs w:val="14"/>
                <w:color w:val="auto"/>
              </w:rPr>
            </w:pPr>
          </w:p>
        </w:tc>
        <w:tc>
          <w:tcPr>
            <w:tcW w:w="4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Administration, sales, manufacturing, research and</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Sugar Land, Texas</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Owned (1)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139,450</w:t>
            </w:r>
          </w:p>
        </w:tc>
        <w:tc>
          <w:tcPr>
            <w:tcW w:w="4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November 30, 2018</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Duluth, Georgia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2,983</w:t>
            </w:r>
          </w:p>
        </w:tc>
        <w:tc>
          <w:tcPr>
            <w:tcW w:w="4340" w:type="dxa"/>
            <w:vAlign w:val="bottom"/>
            <w:gridSpan w:val="3"/>
          </w:tcPr>
          <w:p>
            <w:pPr>
              <w:ind w:left="20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34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Administration, sales, manufacturing, research and</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Ningbo, China</w:t>
            </w:r>
          </w:p>
        </w:tc>
        <w:tc>
          <w:tcPr>
            <w:tcW w:w="1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Owned (3)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458,849</w:t>
            </w:r>
          </w:p>
        </w:tc>
        <w:tc>
          <w:tcPr>
            <w:tcW w:w="4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3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Administration, sales, manufacturing, research and</w:t>
            </w:r>
          </w:p>
        </w:tc>
        <w:tc>
          <w:tcPr>
            <w:tcW w:w="0" w:type="dxa"/>
            <w:vAlign w:val="bottom"/>
          </w:tcPr>
          <w:p>
            <w:pPr>
              <w:spacing w:after="0"/>
              <w:rPr>
                <w:sz w:val="1"/>
                <w:szCs w:val="1"/>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Taipei, Taiwan</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May 31, 2029 (4)</w:t>
            </w:r>
          </w:p>
        </w:tc>
        <w:tc>
          <w:tcPr>
            <w:tcW w:w="1420" w:type="dxa"/>
            <w:vAlign w:val="bottom"/>
          </w:tcPr>
          <w:p>
            <w:pPr>
              <w:jc w:val="right"/>
              <w:spacing w:after="0"/>
              <w:rPr>
                <w:sz w:val="20"/>
                <w:szCs w:val="20"/>
                <w:color w:val="auto"/>
              </w:rPr>
            </w:pPr>
            <w:r>
              <w:rPr>
                <w:rFonts w:ascii="Arial" w:cs="Arial" w:eastAsia="Arial" w:hAnsi="Arial"/>
                <w:sz w:val="18"/>
                <w:szCs w:val="18"/>
                <w:color w:val="auto"/>
              </w:rPr>
              <w:t>268,797</w:t>
            </w:r>
          </w:p>
        </w:tc>
        <w:tc>
          <w:tcPr>
            <w:tcW w:w="4340" w:type="dxa"/>
            <w:vAlign w:val="bottom"/>
            <w:gridSpan w:val="3"/>
          </w:tcPr>
          <w:p>
            <w:pPr>
              <w:ind w:left="20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220" w:right="240" w:hanging="215"/>
        <w:spacing w:after="0" w:line="264" w:lineRule="auto"/>
        <w:rPr>
          <w:sz w:val="20"/>
          <w:szCs w:val="20"/>
          <w:color w:val="auto"/>
        </w:rPr>
      </w:pPr>
      <w:r>
        <w:rPr>
          <w:rFonts w:ascii="Arial" w:cs="Arial" w:eastAsia="Arial" w:hAnsi="Arial"/>
          <w:sz w:val="18"/>
          <w:szCs w:val="18"/>
          <w:color w:val="auto"/>
        </w:rPr>
        <w:t>(1)The property is subject to a mortgage in favor of East West Bank and Comerica bank, securing our long-term debt obligations. In May 2016, we completed the expansion of our laser fabrication facilities and office space in Sugar Land, Texas that added 115,600 square feet of additional space to our original facility.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(2)We relocated our research and development office from a temporary location to the office in Duluth, Georgia at the end of</w:t>
      </w:r>
    </w:p>
    <w:p>
      <w:pPr>
        <w:spacing w:after="0" w:line="46" w:lineRule="exact"/>
        <w:rPr>
          <w:sz w:val="20"/>
          <w:szCs w:val="20"/>
          <w:color w:val="auto"/>
        </w:rPr>
      </w:pPr>
    </w:p>
    <w:p>
      <w:pPr>
        <w:ind w:left="220" w:right="280"/>
        <w:spacing w:after="0" w:line="261" w:lineRule="auto"/>
        <w:rPr>
          <w:sz w:val="20"/>
          <w:szCs w:val="20"/>
          <w:color w:val="auto"/>
        </w:rPr>
      </w:pPr>
      <w:r>
        <w:rPr>
          <w:rFonts w:ascii="Arial" w:cs="Arial" w:eastAsia="Arial" w:hAnsi="Arial"/>
          <w:sz w:val="18"/>
          <w:szCs w:val="18"/>
          <w:color w:val="auto"/>
        </w:rPr>
        <w:t>February 2016. The lease covering the Georgia office commenced on December 1, 2015 and expires on November 30, 2018.</w:t>
      </w:r>
    </w:p>
    <w:p>
      <w:pPr>
        <w:spacing w:after="0" w:line="184" w:lineRule="exact"/>
        <w:rPr>
          <w:sz w:val="20"/>
          <w:szCs w:val="20"/>
          <w:color w:val="auto"/>
        </w:rPr>
      </w:pPr>
    </w:p>
    <w:p>
      <w:pPr>
        <w:ind w:left="220" w:right="60" w:hanging="215"/>
        <w:spacing w:after="0" w:line="264" w:lineRule="auto"/>
        <w:rPr>
          <w:sz w:val="20"/>
          <w:szCs w:val="20"/>
          <w:color w:val="auto"/>
        </w:rPr>
      </w:pPr>
      <w:r>
        <w:rPr>
          <w:rFonts w:ascii="Arial" w:cs="Arial" w:eastAsia="Arial" w:hAnsi="Arial"/>
          <w:sz w:val="18"/>
          <w:szCs w:val="18"/>
          <w:color w:val="auto"/>
        </w:rPr>
        <w:t>(3)Our China subsidiary acquired the land use rights to the real property on which our new facility is located from the Chinese government. The land use rights expire on October 7, 2054. Our China subsidiary owns the facility located on the property.</w:t>
      </w:r>
    </w:p>
    <w:p>
      <w:pPr>
        <w:spacing w:after="0" w:line="181" w:lineRule="exact"/>
        <w:rPr>
          <w:sz w:val="20"/>
          <w:szCs w:val="20"/>
          <w:color w:val="auto"/>
        </w:rPr>
      </w:pPr>
    </w:p>
    <w:p>
      <w:pPr>
        <w:ind w:left="220" w:right="540" w:hanging="215"/>
        <w:spacing w:after="0" w:line="277" w:lineRule="auto"/>
        <w:rPr>
          <w:sz w:val="20"/>
          <w:szCs w:val="20"/>
          <w:color w:val="auto"/>
        </w:rPr>
      </w:pPr>
      <w:r>
        <w:rPr>
          <w:rFonts w:ascii="Arial" w:cs="Arial" w:eastAsia="Arial" w:hAnsi="Arial"/>
          <w:sz w:val="18"/>
          <w:szCs w:val="18"/>
          <w:color w:val="auto"/>
        </w:rPr>
        <w:t>(4)Our Taiwan subsidiary relocated its entire operation to this new facility in November 2014. Lease covering the new facility commenced on June 1, 2014 and expires on May 31, 2029.</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anticipate that we will from time to time be subject to various claims and legal actions during the ordinary course of our business. We are not aware of any material claims or legal actions to which we, our properties or our officers or directors are subject.</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40" w:right="200" w:hanging="971"/>
        <w:spacing w:after="0" w:line="282" w:lineRule="auto"/>
        <w:tabs>
          <w:tab w:leader="none" w:pos="9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September 26, 2013, our common stock began to trade on the NASDAQ Global Market under the symbol “AAOI”. Prior to that time, there was no public market for our common stock. As of March 6, 2017 there were 54 holders of record of our common stock (not including beneficial holders of our common stock holder in street name). The following table sets forth, for the periods indicated, the high and low sales prices of our common stock as reported by the NASDAQ Global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2015:</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First Quarter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Third Quarter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16.05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2016:</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First Quarter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12.36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Third Quarter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graph below shows the cumulative total stockholder return of an investment of $100 (and the reinvestment of any dividends thereafter) on September 26, 2013 (the first trading day of our common stock) in (i) our common stock, (ii) the NASDAQ Composite Index and (iii) the NASDAQ Telecommunications Index. Our stock price performance shown in the graph below is not indicative of future stock price performance. The following graph and related information shall not be deemed “soliciting material” or be deemed to be “filed” with the SEC, nor shall such information be incorporated by reference into any future filing, except to the extent that we specifically state that such graph and related information are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129540</wp:posOffset>
            </wp:positionV>
            <wp:extent cx="4193540" cy="2246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9354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PERCENT CHANGE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600" w:type="dxa"/>
            <w:vAlign w:val="bottom"/>
            <w:tcBorders>
              <w:top w:val="single" w:sz="8" w:color="auto"/>
            </w:tcBorders>
            <w:gridSpan w:val="2"/>
            <w:vMerge w:val="restart"/>
          </w:tcPr>
          <w:p>
            <w:pPr>
              <w:ind w:left="480"/>
              <w:spacing w:after="0"/>
              <w:rPr>
                <w:sz w:val="20"/>
                <w:szCs w:val="20"/>
                <w:color w:val="auto"/>
              </w:rPr>
            </w:pPr>
            <w:r>
              <w:rPr>
                <w:rFonts w:ascii="Arial" w:cs="Arial" w:eastAsia="Arial" w:hAnsi="Arial"/>
                <w:sz w:val="14"/>
                <w:szCs w:val="14"/>
                <w:b w:val="1"/>
                <w:bCs w:val="1"/>
                <w:color w:val="auto"/>
              </w:rPr>
              <w:t>Date</w:t>
            </w:r>
          </w:p>
        </w:tc>
        <w:tc>
          <w:tcPr>
            <w:tcW w:w="1940" w:type="dxa"/>
            <w:vAlign w:val="bottom"/>
            <w:tcBorders>
              <w:top w:val="single" w:sz="8" w:color="auto"/>
            </w:tcBorders>
            <w:gridSpan w:val="2"/>
            <w:vMerge w:val="restart"/>
          </w:tcPr>
          <w:p>
            <w:pPr>
              <w:jc w:val="right"/>
              <w:ind w:right="1050"/>
              <w:spacing w:after="0"/>
              <w:rPr>
                <w:sz w:val="20"/>
                <w:szCs w:val="20"/>
                <w:color w:val="auto"/>
              </w:rPr>
            </w:pPr>
            <w:r>
              <w:rPr>
                <w:rFonts w:ascii="Arial" w:cs="Arial" w:eastAsia="Arial" w:hAnsi="Arial"/>
                <w:sz w:val="14"/>
                <w:szCs w:val="14"/>
                <w:b w:val="1"/>
                <w:bCs w:val="1"/>
                <w:color w:val="auto"/>
              </w:rPr>
              <w:t>AAOI</w:t>
            </w:r>
          </w:p>
        </w:tc>
        <w:tc>
          <w:tcPr>
            <w:tcW w:w="1920" w:type="dxa"/>
            <w:vAlign w:val="bottom"/>
            <w:tcBorders>
              <w:top w:val="single" w:sz="8" w:color="auto"/>
            </w:tcBorders>
            <w:gridSpan w:val="2"/>
          </w:tcPr>
          <w:p>
            <w:pPr>
              <w:jc w:val="right"/>
              <w:ind w:right="930"/>
              <w:spacing w:after="0" w:line="119" w:lineRule="exact"/>
              <w:rPr>
                <w:sz w:val="20"/>
                <w:szCs w:val="20"/>
                <w:color w:val="auto"/>
              </w:rPr>
            </w:pPr>
            <w:r>
              <w:rPr>
                <w:rFonts w:ascii="Arial" w:cs="Arial" w:eastAsia="Arial" w:hAnsi="Arial"/>
                <w:sz w:val="13"/>
                <w:szCs w:val="13"/>
                <w:b w:val="1"/>
                <w:bCs w:val="1"/>
                <w:color w:val="auto"/>
              </w:rPr>
              <w:t>NASDAQ</w:t>
            </w:r>
          </w:p>
        </w:tc>
        <w:tc>
          <w:tcPr>
            <w:tcW w:w="1220" w:type="dxa"/>
            <w:vAlign w:val="bottom"/>
            <w:tcBorders>
              <w:top w:val="single" w:sz="8" w:color="auto"/>
            </w:tcBorders>
          </w:tcPr>
          <w:p>
            <w:pPr>
              <w:ind w:left="300"/>
              <w:spacing w:after="0" w:line="119" w:lineRule="exact"/>
              <w:rPr>
                <w:sz w:val="20"/>
                <w:szCs w:val="20"/>
                <w:color w:val="auto"/>
              </w:rPr>
            </w:pPr>
            <w:r>
              <w:rPr>
                <w:rFonts w:ascii="Arial" w:cs="Arial" w:eastAsia="Arial" w:hAnsi="Arial"/>
                <w:sz w:val="13"/>
                <w:szCs w:val="13"/>
                <w:b w:val="1"/>
                <w:bCs w:val="1"/>
                <w:color w:val="auto"/>
              </w:rPr>
              <w:t>NASDAQ</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20" w:type="dxa"/>
            <w:vAlign w:val="bottom"/>
            <w:gridSpan w:val="2"/>
          </w:tcPr>
          <w:p>
            <w:pPr>
              <w:jc w:val="right"/>
              <w:ind w:right="950"/>
              <w:spacing w:after="0"/>
              <w:rPr>
                <w:sz w:val="20"/>
                <w:szCs w:val="20"/>
                <w:color w:val="auto"/>
              </w:rPr>
            </w:pPr>
            <w:r>
              <w:rPr>
                <w:rFonts w:ascii="Arial" w:cs="Arial" w:eastAsia="Arial" w:hAnsi="Arial"/>
                <w:sz w:val="14"/>
                <w:szCs w:val="14"/>
                <w:b w:val="1"/>
                <w:bCs w:val="1"/>
                <w:color w:val="auto"/>
              </w:rPr>
              <w:t>Telecom</w:t>
            </w:r>
          </w:p>
        </w:tc>
        <w:tc>
          <w:tcPr>
            <w:tcW w:w="178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Composite</w:t>
            </w:r>
          </w:p>
        </w:tc>
        <w:tc>
          <w:tcPr>
            <w:tcW w:w="0" w:type="dxa"/>
            <w:vAlign w:val="bottom"/>
          </w:tcPr>
          <w:p>
            <w:pPr>
              <w:spacing w:after="0"/>
              <w:rPr>
                <w:sz w:val="1"/>
                <w:szCs w:val="1"/>
                <w:color w:val="auto"/>
              </w:rPr>
            </w:pPr>
          </w:p>
        </w:tc>
      </w:tr>
      <w:tr>
        <w:trPr>
          <w:trHeight w:val="210"/>
        </w:trPr>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9/26/2013</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tcBorders>
              <w:top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80" w:type="dxa"/>
            <w:vAlign w:val="bottom"/>
            <w:tcBorders>
              <w:top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6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9/30/2013</w:t>
            </w:r>
          </w:p>
        </w:tc>
        <w:tc>
          <w:tcPr>
            <w:tcW w:w="360" w:type="dxa"/>
            <w:vAlign w:val="bottom"/>
          </w:tcPr>
          <w:p>
            <w:pPr>
              <w:spacing w:after="0"/>
              <w:rPr>
                <w:sz w:val="18"/>
                <w:szCs w:val="18"/>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100.40 %</w:t>
            </w:r>
          </w:p>
        </w:tc>
        <w:tc>
          <w:tcPr>
            <w:tcW w:w="1920" w:type="dxa"/>
            <w:vAlign w:val="bottom"/>
            <w:gridSpan w:val="2"/>
          </w:tcPr>
          <w:p>
            <w:pPr>
              <w:jc w:val="right"/>
              <w:ind w:right="430"/>
              <w:spacing w:after="0"/>
              <w:rPr>
                <w:sz w:val="20"/>
                <w:szCs w:val="20"/>
                <w:color w:val="auto"/>
              </w:rPr>
            </w:pPr>
            <w:r>
              <w:rPr>
                <w:rFonts w:ascii="Arial" w:cs="Arial" w:eastAsia="Arial" w:hAnsi="Arial"/>
                <w:sz w:val="18"/>
                <w:szCs w:val="18"/>
                <w:color w:val="auto"/>
              </w:rPr>
              <w:t>99.42 %</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99.58 %</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3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150.70 %</w:t>
            </w:r>
          </w:p>
        </w:tc>
        <w:tc>
          <w:tcPr>
            <w:tcW w:w="19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102.48 %</w:t>
            </w:r>
          </w:p>
        </w:tc>
        <w:tc>
          <w:tcPr>
            <w:tcW w:w="1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110.28 %</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3/31/2014</w:t>
            </w:r>
          </w:p>
        </w:tc>
        <w:tc>
          <w:tcPr>
            <w:tcW w:w="360" w:type="dxa"/>
            <w:vAlign w:val="bottom"/>
          </w:tcPr>
          <w:p>
            <w:pPr>
              <w:spacing w:after="0"/>
              <w:rPr>
                <w:sz w:val="18"/>
                <w:szCs w:val="18"/>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247.69 %</w:t>
            </w:r>
          </w:p>
        </w:tc>
        <w:tc>
          <w:tcPr>
            <w:tcW w:w="1920" w:type="dxa"/>
            <w:vAlign w:val="bottom"/>
            <w:gridSpan w:val="2"/>
          </w:tcPr>
          <w:p>
            <w:pPr>
              <w:jc w:val="right"/>
              <w:ind w:right="430"/>
              <w:spacing w:after="0"/>
              <w:rPr>
                <w:sz w:val="20"/>
                <w:szCs w:val="20"/>
                <w:color w:val="auto"/>
              </w:rPr>
            </w:pPr>
            <w:r>
              <w:rPr>
                <w:rFonts w:ascii="Arial" w:cs="Arial" w:eastAsia="Arial" w:hAnsi="Arial"/>
                <w:sz w:val="18"/>
                <w:szCs w:val="18"/>
                <w:color w:val="auto"/>
              </w:rPr>
              <w:t>102.84 %</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110.87 %</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6/30/2014</w:t>
            </w:r>
          </w:p>
        </w:tc>
        <w:tc>
          <w:tcPr>
            <w:tcW w:w="3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232.93 %</w:t>
            </w:r>
          </w:p>
        </w:tc>
        <w:tc>
          <w:tcPr>
            <w:tcW w:w="19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107.30 %</w:t>
            </w:r>
          </w:p>
        </w:tc>
        <w:tc>
          <w:tcPr>
            <w:tcW w:w="1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116.39 %</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9/30/2014</w:t>
            </w:r>
          </w:p>
        </w:tc>
        <w:tc>
          <w:tcPr>
            <w:tcW w:w="360" w:type="dxa"/>
            <w:vAlign w:val="bottom"/>
          </w:tcPr>
          <w:p>
            <w:pPr>
              <w:spacing w:after="0"/>
              <w:rPr>
                <w:sz w:val="18"/>
                <w:szCs w:val="18"/>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161.65 %</w:t>
            </w:r>
          </w:p>
        </w:tc>
        <w:tc>
          <w:tcPr>
            <w:tcW w:w="1920" w:type="dxa"/>
            <w:vAlign w:val="bottom"/>
            <w:gridSpan w:val="2"/>
          </w:tcPr>
          <w:p>
            <w:pPr>
              <w:jc w:val="right"/>
              <w:ind w:right="430"/>
              <w:spacing w:after="0"/>
              <w:rPr>
                <w:sz w:val="20"/>
                <w:szCs w:val="20"/>
                <w:color w:val="auto"/>
              </w:rPr>
            </w:pPr>
            <w:r>
              <w:rPr>
                <w:rFonts w:ascii="Arial" w:cs="Arial" w:eastAsia="Arial" w:hAnsi="Arial"/>
                <w:sz w:val="18"/>
                <w:szCs w:val="18"/>
                <w:color w:val="auto"/>
              </w:rPr>
              <w:t>106.44 %</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118.64 %</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12/31/2014</w:t>
            </w:r>
          </w:p>
        </w:tc>
        <w:tc>
          <w:tcPr>
            <w:tcW w:w="3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112.65 %</w:t>
            </w:r>
          </w:p>
        </w:tc>
        <w:tc>
          <w:tcPr>
            <w:tcW w:w="19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111.61 %</w:t>
            </w:r>
          </w:p>
        </w:tc>
        <w:tc>
          <w:tcPr>
            <w:tcW w:w="1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125.05 %</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3/31/2015</w:t>
            </w:r>
          </w:p>
        </w:tc>
        <w:tc>
          <w:tcPr>
            <w:tcW w:w="360" w:type="dxa"/>
            <w:vAlign w:val="bottom"/>
          </w:tcPr>
          <w:p>
            <w:pPr>
              <w:spacing w:after="0"/>
              <w:rPr>
                <w:sz w:val="18"/>
                <w:szCs w:val="18"/>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139.36 %</w:t>
            </w:r>
          </w:p>
        </w:tc>
        <w:tc>
          <w:tcPr>
            <w:tcW w:w="1920" w:type="dxa"/>
            <w:vAlign w:val="bottom"/>
            <w:gridSpan w:val="2"/>
          </w:tcPr>
          <w:p>
            <w:pPr>
              <w:jc w:val="right"/>
              <w:ind w:right="430"/>
              <w:spacing w:after="0"/>
              <w:rPr>
                <w:sz w:val="20"/>
                <w:szCs w:val="20"/>
                <w:color w:val="auto"/>
              </w:rPr>
            </w:pPr>
            <w:r>
              <w:rPr>
                <w:rFonts w:ascii="Arial" w:cs="Arial" w:eastAsia="Arial" w:hAnsi="Arial"/>
                <w:sz w:val="18"/>
                <w:szCs w:val="18"/>
                <w:color w:val="auto"/>
              </w:rPr>
              <w:t>110.59 %</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129.40 %</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6/30/2015</w:t>
            </w:r>
          </w:p>
        </w:tc>
        <w:tc>
          <w:tcPr>
            <w:tcW w:w="3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174.30 %</w:t>
            </w:r>
          </w:p>
        </w:tc>
        <w:tc>
          <w:tcPr>
            <w:tcW w:w="19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109.10 %</w:t>
            </w:r>
          </w:p>
        </w:tc>
        <w:tc>
          <w:tcPr>
            <w:tcW w:w="1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131.67 %</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9/30/2015</w:t>
            </w:r>
          </w:p>
        </w:tc>
        <w:tc>
          <w:tcPr>
            <w:tcW w:w="360" w:type="dxa"/>
            <w:vAlign w:val="bottom"/>
          </w:tcPr>
          <w:p>
            <w:pPr>
              <w:spacing w:after="0"/>
              <w:rPr>
                <w:sz w:val="18"/>
                <w:szCs w:val="18"/>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188.55 %</w:t>
            </w:r>
          </w:p>
        </w:tc>
        <w:tc>
          <w:tcPr>
            <w:tcW w:w="1920" w:type="dxa"/>
            <w:vAlign w:val="bottom"/>
            <w:gridSpan w:val="2"/>
          </w:tcPr>
          <w:p>
            <w:pPr>
              <w:jc w:val="right"/>
              <w:ind w:right="430"/>
              <w:spacing w:after="0"/>
              <w:rPr>
                <w:sz w:val="20"/>
                <w:szCs w:val="20"/>
                <w:color w:val="auto"/>
              </w:rPr>
            </w:pPr>
            <w:r>
              <w:rPr>
                <w:rFonts w:ascii="Arial" w:cs="Arial" w:eastAsia="Arial" w:hAnsi="Arial"/>
                <w:sz w:val="18"/>
                <w:szCs w:val="18"/>
                <w:color w:val="auto"/>
              </w:rPr>
              <w:t>100.38 %</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121.99 %</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12/31/2015</w:t>
            </w:r>
          </w:p>
        </w:tc>
        <w:tc>
          <w:tcPr>
            <w:tcW w:w="3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172.29 %</w:t>
            </w:r>
          </w:p>
        </w:tc>
        <w:tc>
          <w:tcPr>
            <w:tcW w:w="19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103.25 %</w:t>
            </w:r>
          </w:p>
        </w:tc>
        <w:tc>
          <w:tcPr>
            <w:tcW w:w="1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132.21 %</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3/31/2016</w:t>
            </w:r>
          </w:p>
        </w:tc>
        <w:tc>
          <w:tcPr>
            <w:tcW w:w="360" w:type="dxa"/>
            <w:vAlign w:val="bottom"/>
          </w:tcPr>
          <w:p>
            <w:pPr>
              <w:spacing w:after="0"/>
              <w:rPr>
                <w:sz w:val="18"/>
                <w:szCs w:val="18"/>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149.70 %</w:t>
            </w:r>
          </w:p>
        </w:tc>
        <w:tc>
          <w:tcPr>
            <w:tcW w:w="1920" w:type="dxa"/>
            <w:vAlign w:val="bottom"/>
            <w:gridSpan w:val="2"/>
          </w:tcPr>
          <w:p>
            <w:pPr>
              <w:jc w:val="right"/>
              <w:ind w:right="430"/>
              <w:spacing w:after="0"/>
              <w:rPr>
                <w:sz w:val="20"/>
                <w:szCs w:val="20"/>
                <w:color w:val="auto"/>
              </w:rPr>
            </w:pPr>
            <w:r>
              <w:rPr>
                <w:rFonts w:ascii="Arial" w:cs="Arial" w:eastAsia="Arial" w:hAnsi="Arial"/>
                <w:sz w:val="18"/>
                <w:szCs w:val="18"/>
                <w:color w:val="auto"/>
              </w:rPr>
              <w:t>106.99 %</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128.58 %</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6/30/2016</w:t>
            </w:r>
          </w:p>
        </w:tc>
        <w:tc>
          <w:tcPr>
            <w:tcW w:w="3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111.95 %</w:t>
            </w:r>
          </w:p>
        </w:tc>
        <w:tc>
          <w:tcPr>
            <w:tcW w:w="19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108.00 %</w:t>
            </w:r>
          </w:p>
        </w:tc>
        <w:tc>
          <w:tcPr>
            <w:tcW w:w="1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127.86 %</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9/30/2016</w:t>
            </w:r>
          </w:p>
        </w:tc>
        <w:tc>
          <w:tcPr>
            <w:tcW w:w="360" w:type="dxa"/>
            <w:vAlign w:val="bottom"/>
          </w:tcPr>
          <w:p>
            <w:pPr>
              <w:spacing w:after="0"/>
              <w:rPr>
                <w:sz w:val="18"/>
                <w:szCs w:val="18"/>
                <w:color w:val="auto"/>
              </w:rPr>
            </w:pPr>
          </w:p>
        </w:tc>
        <w:tc>
          <w:tcPr>
            <w:tcW w:w="1940" w:type="dxa"/>
            <w:vAlign w:val="bottom"/>
            <w:gridSpan w:val="2"/>
          </w:tcPr>
          <w:p>
            <w:pPr>
              <w:jc w:val="right"/>
              <w:ind w:right="470"/>
              <w:spacing w:after="0"/>
              <w:rPr>
                <w:sz w:val="20"/>
                <w:szCs w:val="20"/>
                <w:color w:val="auto"/>
              </w:rPr>
            </w:pPr>
            <w:r>
              <w:rPr>
                <w:rFonts w:ascii="Arial" w:cs="Arial" w:eastAsia="Arial" w:hAnsi="Arial"/>
                <w:sz w:val="18"/>
                <w:szCs w:val="18"/>
                <w:color w:val="auto"/>
              </w:rPr>
              <w:t>222.99 %</w:t>
            </w:r>
          </w:p>
        </w:tc>
        <w:tc>
          <w:tcPr>
            <w:tcW w:w="1920" w:type="dxa"/>
            <w:vAlign w:val="bottom"/>
            <w:gridSpan w:val="2"/>
          </w:tcPr>
          <w:p>
            <w:pPr>
              <w:jc w:val="right"/>
              <w:ind w:right="430"/>
              <w:spacing w:after="0"/>
              <w:rPr>
                <w:sz w:val="20"/>
                <w:szCs w:val="20"/>
                <w:color w:val="auto"/>
              </w:rPr>
            </w:pPr>
            <w:r>
              <w:rPr>
                <w:rFonts w:ascii="Arial" w:cs="Arial" w:eastAsia="Arial" w:hAnsi="Arial"/>
                <w:sz w:val="18"/>
                <w:szCs w:val="18"/>
                <w:color w:val="auto"/>
              </w:rPr>
              <w:t>118.35 %</w:t>
            </w:r>
          </w:p>
        </w:tc>
        <w:tc>
          <w:tcPr>
            <w:tcW w:w="1780" w:type="dxa"/>
            <w:vAlign w:val="bottom"/>
            <w:gridSpan w:val="2"/>
          </w:tcPr>
          <w:p>
            <w:pPr>
              <w:jc w:val="right"/>
              <w:ind w:right="310"/>
              <w:spacing w:after="0"/>
              <w:rPr>
                <w:sz w:val="20"/>
                <w:szCs w:val="20"/>
                <w:color w:val="auto"/>
              </w:rPr>
            </w:pPr>
            <w:r>
              <w:rPr>
                <w:rFonts w:ascii="Arial" w:cs="Arial" w:eastAsia="Arial" w:hAnsi="Arial"/>
                <w:sz w:val="18"/>
                <w:szCs w:val="18"/>
                <w:color w:val="auto"/>
              </w:rPr>
              <w:t>140.25 %</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3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235.34 %</w:t>
            </w:r>
          </w:p>
        </w:tc>
        <w:tc>
          <w:tcPr>
            <w:tcW w:w="19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118.59 %</w:t>
            </w:r>
          </w:p>
        </w:tc>
        <w:tc>
          <w:tcPr>
            <w:tcW w:w="17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142.13 %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compensation plan information refer to Item 12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Annual Report on Form 10-K. We derived the consolidated statements of operations data for the years ended December 31, 2016, 2015 and 2014 and the consolidated balance sheet data as of December 31, 2016 and 2015 from our consolidated financial statements appearing elsewhere in this Annual Report on Form 10-K. The consolidated statement of operations data for the years ended December 31, 2013 and 2012 and the consolidated balance sheet data as of December 31, 2014, 2013 and 2012 are derived from our audited consolidated financial statements that have previously been filed with the SEC. Our historical results are not necessarily indicative of the results to be expected in the future and results of interim periods are not necessarily indicative of results for the entire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5"/>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40" w:type="dxa"/>
            <w:vAlign w:val="bottom"/>
            <w:gridSpan w:val="9"/>
          </w:tcPr>
          <w:p>
            <w:pPr>
              <w:ind w:left="140"/>
              <w:spacing w:after="0" w:line="142" w:lineRule="exact"/>
              <w:rPr>
                <w:sz w:val="20"/>
                <w:szCs w:val="20"/>
                <w:color w:val="auto"/>
              </w:rPr>
            </w:pPr>
            <w:r>
              <w:rPr>
                <w:rFonts w:ascii="Arial" w:cs="Arial" w:eastAsia="Arial" w:hAnsi="Arial"/>
                <w:sz w:val="14"/>
                <w:szCs w:val="14"/>
                <w:b w:val="1"/>
                <w:bCs w:val="1"/>
                <w:color w:val="auto"/>
                <w:w w:val="96"/>
              </w:rPr>
              <w:t>(in thousands, except share and per share data)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Consolidated Statements of Operations Data: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260,713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189,903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130,449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78,424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63,421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 (1)</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129,450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86,954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 (1)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 (1)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General and administrative (1)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Total interest and other income (expense), net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line="182" w:lineRule="exact"/>
              <w:rPr>
                <w:sz w:val="20"/>
                <w:szCs w:val="20"/>
                <w:color w:val="auto"/>
              </w:rPr>
            </w:pPr>
            <w:r>
              <w:rPr>
                <w:rFonts w:ascii="Arial" w:cs="Arial" w:eastAsia="Arial" w:hAnsi="Arial"/>
                <w:sz w:val="18"/>
                <w:szCs w:val="18"/>
                <w:color w:val="auto"/>
              </w:rPr>
              <w:t>Net income (loss) attributable to common</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31,234</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10,793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4,283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(1,406)</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18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2"/>
              </w:rPr>
              <w:t>Net income (loss) per share attributable to common</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6"/>
        </w:trPr>
        <w:tc>
          <w:tcPr>
            <w:tcW w:w="38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800" w:type="dxa"/>
            <w:vAlign w:val="bottom"/>
            <w:gridSpan w:val="2"/>
          </w:tcPr>
          <w:p>
            <w:pPr>
              <w:spacing w:after="0" w:line="176" w:lineRule="exact"/>
              <w:rPr>
                <w:sz w:val="20"/>
                <w:szCs w:val="20"/>
                <w:color w:val="auto"/>
              </w:rPr>
            </w:pPr>
            <w:r>
              <w:rPr>
                <w:rFonts w:ascii="Arial" w:cs="Arial" w:eastAsia="Arial" w:hAnsi="Arial"/>
                <w:sz w:val="18"/>
                <w:szCs w:val="18"/>
                <w:color w:val="auto"/>
              </w:rPr>
              <w:t>Weighted average shares used to compute 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income (loss) per share attributable to common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17,201,731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15,626,753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14,307,477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9,964,955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265,576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17,712,928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16,532,850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15,186,961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9,964,955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265,576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20" w:hanging="215"/>
        <w:spacing w:after="0" w:line="257" w:lineRule="auto"/>
        <w:rPr>
          <w:sz w:val="20"/>
          <w:szCs w:val="20"/>
          <w:color w:val="auto"/>
        </w:rPr>
      </w:pPr>
      <w:r>
        <w:rPr>
          <w:rFonts w:ascii="Arial" w:cs="Arial" w:eastAsia="Arial" w:hAnsi="Arial"/>
          <w:sz w:val="18"/>
          <w:szCs w:val="18"/>
          <w:color w:val="auto"/>
        </w:rPr>
        <w:t>(1)These expenses include share-based compensation expense. Share-based compensation expense is accounted for at fair value, using the Black-Scholes option-pricing model for stock options and at the fair market value based on quoted market prices of the Company’s stock as of the grant date for restricted stock units and restricted stock awards. Share-based compensation expense is recognized over the vesting period of the awards and was included in cost of goods sold and operating expenses as follows: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0"/>
              </w:rPr>
              <w:t>Years ended December 31,</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840" w:type="dxa"/>
            <w:vAlign w:val="bottom"/>
            <w:gridSpan w:val="3"/>
          </w:tcPr>
          <w:p>
            <w:pPr>
              <w:jc w:val="center"/>
              <w:ind w:left="153"/>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2,695</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1,603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1,760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$ 3,833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$ 2,120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$ 2,061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27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2014</w:t>
            </w:r>
          </w:p>
        </w:tc>
        <w:tc>
          <w:tcPr>
            <w:tcW w:w="8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color w:val="auto"/>
                <w:w w:val="92"/>
              </w:rPr>
              <w:t>Total cash, restricted cash, cash equivalents and short-term</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52,008</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$ 40,679</w:t>
            </w:r>
          </w:p>
        </w:tc>
        <w:tc>
          <w:tcPr>
            <w:tcW w:w="1000" w:type="dxa"/>
            <w:vAlign w:val="bottom"/>
            <w:gridSpan w:val="2"/>
          </w:tcPr>
          <w:p>
            <w:pPr>
              <w:jc w:val="right"/>
              <w:ind w:right="116"/>
              <w:spacing w:after="0"/>
              <w:rPr>
                <w:sz w:val="20"/>
                <w:szCs w:val="20"/>
                <w:color w:val="auto"/>
              </w:rPr>
            </w:pPr>
            <w:r>
              <w:rPr>
                <w:rFonts w:ascii="Arial" w:cs="Arial" w:eastAsia="Arial" w:hAnsi="Arial"/>
                <w:sz w:val="18"/>
                <w:szCs w:val="18"/>
                <w:color w:val="auto"/>
              </w:rPr>
              <w:t>$ 40,873</w:t>
            </w: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w w:val="99"/>
              </w:rPr>
              <w:t>$ 30,751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11,226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97,579</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79,848</w:t>
            </w:r>
          </w:p>
        </w:tc>
        <w:tc>
          <w:tcPr>
            <w:tcW w:w="10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64,638</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38,879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w w:val="89"/>
              </w:rPr>
              <w:t>322,318</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273,475</w:t>
            </w:r>
          </w:p>
        </w:tc>
        <w:tc>
          <w:tcPr>
            <w:tcW w:w="1000" w:type="dxa"/>
            <w:vAlign w:val="bottom"/>
            <w:gridSpan w:val="2"/>
          </w:tcPr>
          <w:p>
            <w:pPr>
              <w:jc w:val="right"/>
              <w:ind w:right="116"/>
              <w:spacing w:after="0"/>
              <w:rPr>
                <w:sz w:val="20"/>
                <w:szCs w:val="20"/>
                <w:color w:val="auto"/>
              </w:rPr>
            </w:pPr>
            <w:r>
              <w:rPr>
                <w:rFonts w:ascii="Arial" w:cs="Arial" w:eastAsia="Arial" w:hAnsi="Arial"/>
                <w:sz w:val="18"/>
                <w:szCs w:val="18"/>
                <w:color w:val="auto"/>
              </w:rPr>
              <w:t>183,670</w:t>
            </w:r>
          </w:p>
        </w:tc>
        <w:tc>
          <w:tcPr>
            <w:tcW w:w="840" w:type="dxa"/>
            <w:vAlign w:val="bottom"/>
            <w:gridSpan w:val="3"/>
          </w:tcPr>
          <w:p>
            <w:pPr>
              <w:jc w:val="right"/>
              <w:ind w:right="30"/>
              <w:spacing w:after="0"/>
              <w:rPr>
                <w:sz w:val="20"/>
                <w:szCs w:val="20"/>
                <w:color w:val="auto"/>
              </w:rPr>
            </w:pPr>
            <w:r>
              <w:rPr>
                <w:rFonts w:ascii="Arial" w:cs="Arial" w:eastAsia="Arial" w:hAnsi="Arial"/>
                <w:sz w:val="18"/>
                <w:szCs w:val="18"/>
                <w:color w:val="auto"/>
              </w:rPr>
              <w:t>111,057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65,748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debt (2)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43,133</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67,903</w:t>
            </w:r>
          </w:p>
        </w:tc>
        <w:tc>
          <w:tcPr>
            <w:tcW w:w="10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29,919</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28,455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24,584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4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105,367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Common stock and additional paid-in-capital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9"/>
              </w:rPr>
              <w:t>265,282</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233,353</w:t>
            </w:r>
          </w:p>
        </w:tc>
        <w:tc>
          <w:tcPr>
            <w:tcW w:w="10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192,127</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144,036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Total deficit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(37,013)</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 (68,247)</w:t>
            </w:r>
          </w:p>
        </w:tc>
        <w:tc>
          <w:tcPr>
            <w:tcW w:w="1000" w:type="dxa"/>
            <w:vAlign w:val="bottom"/>
            <w:gridSpan w:val="2"/>
          </w:tcPr>
          <w:p>
            <w:pPr>
              <w:jc w:val="right"/>
              <w:ind w:right="56"/>
              <w:spacing w:after="0"/>
              <w:rPr>
                <w:sz w:val="20"/>
                <w:szCs w:val="20"/>
                <w:color w:val="auto"/>
              </w:rPr>
            </w:pPr>
            <w:r>
              <w:rPr>
                <w:rFonts w:ascii="Arial" w:cs="Arial" w:eastAsia="Arial" w:hAnsi="Arial"/>
                <w:sz w:val="18"/>
                <w:szCs w:val="18"/>
                <w:color w:val="auto"/>
              </w:rPr>
              <w:t>$ (79,040)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0"/>
              </w:rPr>
              <w:t>$ (83,323)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99"/>
              </w:rPr>
              <w:t>$ (81,917)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40" w:hanging="337"/>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less total current liabilities.</w:t>
      </w:r>
    </w:p>
    <w:p>
      <w:pPr>
        <w:spacing w:after="0" w:line="23" w:lineRule="exact"/>
        <w:rPr>
          <w:rFonts w:ascii="Arial" w:cs="Arial" w:eastAsia="Arial" w:hAnsi="Arial"/>
          <w:sz w:val="18"/>
          <w:szCs w:val="18"/>
          <w:color w:val="auto"/>
        </w:rPr>
      </w:pPr>
    </w:p>
    <w:p>
      <w:pPr>
        <w:ind w:left="240" w:hanging="237"/>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debt is defined as short-term loans, notes payable, bank acceptance payable and total long-term debt.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Annual Report on Form 10-K. This discussion and other parts of this Annual Report on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leading, vertically integrated provider of fiber-optic networking products. We target four networking end-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markets: internet data centers, CATV, FTTH, and telecom. We design and manufacture a range of optical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at varying levels of integration, from components, subassemblies and modules to complete turn-key equipment.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designing products for our customers, we begin with the fundamental building blocks of lasers and laser components.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these foundational products, we design and manufacture a wide range of products to meet our customers’ needs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specifications, and such products differ from each other by their end market, intended use and level of integration.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focused on the higher-performance segments within the internet data center, CATV, FTTH, and telecom markets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increasingly demand faster connectivity and innovation. Our vertically integrated manufacturing model provides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advantages, including rapid product development, fast response times to customer requests and control over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quality and manufacturing costs.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 In the telecom market, we benefit from deployment of new high-speed fiber-optic networks by telecom network operators.</w:t>
      </w:r>
    </w:p>
    <w:p>
      <w:pPr>
        <w:spacing w:after="0" w:line="17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We sell our products to leading original equipment manufacturers, or OEMs, in the CATV and FTTH markets as well as internet data center operators. In 2016, we earned 16.7% of our total revenue from the CATV market, and 77.2% of our total revenue from the data center market. In 2016, our key customers in the CATV market included Cisco and Arris In 2016, 2015 and 2014, Cisco accounted for 5.4%, 10.4%, and 8.9%, respectively, of our revenue and Arris accounted for</w:t>
      </w:r>
    </w:p>
    <w:p>
      <w:pPr>
        <w:spacing w:after="0" w:line="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5.8%, 4.5% and 4.5%, respectively, of our revenue. In 2016, our key customers in the internet data center market included Amazon and Microsoft. In 2016, 2015 and 2014, Amazon accounted for 54.6%, 52.5% and 45.8% of our revenue, respectively, and Microsoft accounted for 18.3%, 11.6% and 3.6% of our revenue, respectively. In 2016, revenue from the internet data center market, CATV market, FTTH market and telecom markets provided 77.2%, 16.7%, 0.6%, and 5.0% of our revenue, respectively, compared to 64.9%, 28.3%, 1.3%, and 5.1% of our 2015 revenue, respectively.</w:t>
      </w:r>
    </w:p>
    <w:p>
      <w:pPr>
        <w:spacing w:after="0" w:line="16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2016, our revenue growth of 37.3% over the prior-year was driven primarily by demand for our 40Gbps and 100 Gbps data center transceiver products, as large data center operators continued deployment of high capacity optical interconnect networks within their data centers. Also significant in our results for the year was the increase in orders from our customers for CATV equipment and modules that meet the new DOCSIS 3.1 cable-internet standard. We believe that the increase in these orders is being driven by network upgrades mainly by CATV service providers in North America.</w:t>
      </w:r>
    </w:p>
    <w:p>
      <w:pPr>
        <w:spacing w:after="0" w:line="15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expect continued sales of our 40 Gbps and 100 Gbps products in 2017, and we expect that sales of 100Gbps products will eventually exceed sales of 40 Gbps products. Thus, quarter-to-quarter results may show considerable variability as is usual in a period of technology transition. Similar to revenue, our gross margins can fluctuate materially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59"/>
        <w:spacing w:after="0" w:line="308" w:lineRule="auto"/>
        <w:rPr>
          <w:sz w:val="20"/>
          <w:szCs w:val="20"/>
          <w:color w:val="auto"/>
        </w:rPr>
      </w:pPr>
      <w:r>
        <w:rPr>
          <w:rFonts w:ascii="Arial" w:cs="Arial" w:eastAsia="Arial" w:hAnsi="Arial"/>
          <w:sz w:val="17"/>
          <w:szCs w:val="17"/>
          <w:color w:val="auto"/>
        </w:rPr>
        <w:t>depending on a variety of factors including average selling price changes, product mix, raw material cost reduction or increase, volume, manufacturing utilization and ongoing manufacturing process improvements.</w:t>
      </w:r>
    </w:p>
    <w:p>
      <w:pPr>
        <w:spacing w:after="0" w:line="147" w:lineRule="exact"/>
        <w:rPr>
          <w:sz w:val="20"/>
          <w:szCs w:val="20"/>
          <w:color w:val="auto"/>
        </w:rPr>
      </w:pPr>
    </w:p>
    <w:p>
      <w:pPr>
        <w:ind w:right="79" w:firstLine="648"/>
        <w:spacing w:after="0" w:line="272" w:lineRule="auto"/>
        <w:rPr>
          <w:sz w:val="20"/>
          <w:szCs w:val="20"/>
          <w:color w:val="auto"/>
        </w:rPr>
      </w:pPr>
      <w:r>
        <w:rPr>
          <w:rFonts w:ascii="Arial" w:cs="Arial" w:eastAsia="Arial" w:hAnsi="Arial"/>
          <w:sz w:val="17"/>
          <w:szCs w:val="17"/>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78" w:lineRule="exact"/>
        <w:rPr>
          <w:sz w:val="20"/>
          <w:szCs w:val="20"/>
          <w:color w:val="auto"/>
        </w:rPr>
      </w:pPr>
    </w:p>
    <w:p>
      <w:pPr>
        <w:ind w:right="19" w:firstLine="648"/>
        <w:spacing w:after="0" w:line="290" w:lineRule="auto"/>
        <w:rPr>
          <w:sz w:val="20"/>
          <w:szCs w:val="20"/>
          <w:color w:val="auto"/>
        </w:rPr>
      </w:pPr>
      <w:r>
        <w:rPr>
          <w:rFonts w:ascii="Arial" w:cs="Arial" w:eastAsia="Arial" w:hAnsi="Arial"/>
          <w:sz w:val="16"/>
          <w:szCs w:val="16"/>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all of whom purchase our products on a purchase order basis. Once one of our solutions is incorporated into a customer’s design, however, we believe that our solution is likely to continue to be purchased for that design throughout that product’s life cycle because of the time and expense associated with redesigning the product or substituting an alternative solution.</w:t>
      </w:r>
    </w:p>
    <w:p>
      <w:pPr>
        <w:spacing w:after="0" w:line="166" w:lineRule="exact"/>
        <w:rPr>
          <w:sz w:val="20"/>
          <w:szCs w:val="20"/>
          <w:color w:val="auto"/>
        </w:rPr>
      </w:pPr>
    </w:p>
    <w:p>
      <w:pPr>
        <w:ind w:right="59" w:firstLine="648"/>
        <w:spacing w:after="0" w:line="286" w:lineRule="auto"/>
        <w:rPr>
          <w:sz w:val="20"/>
          <w:szCs w:val="20"/>
          <w:color w:val="auto"/>
        </w:rPr>
      </w:pPr>
      <w:r>
        <w:rPr>
          <w:rFonts w:ascii="Arial" w:cs="Arial" w:eastAsia="Arial" w:hAnsi="Arial"/>
          <w:sz w:val="16"/>
          <w:szCs w:val="16"/>
          <w:color w:val="auto"/>
        </w:rPr>
        <w:t>In 2016, 2015 and 2014, we had 30, 47 and 15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69" w:lineRule="exact"/>
        <w:rPr>
          <w:sz w:val="20"/>
          <w:szCs w:val="20"/>
          <w:color w:val="auto"/>
        </w:rPr>
      </w:pPr>
    </w:p>
    <w:p>
      <w:pPr>
        <w:ind w:right="39" w:firstLine="648"/>
        <w:spacing w:after="0" w:line="257" w:lineRule="auto"/>
        <w:rPr>
          <w:sz w:val="20"/>
          <w:szCs w:val="20"/>
          <w:color w:val="auto"/>
        </w:rPr>
      </w:pPr>
      <w:r>
        <w:rPr>
          <w:rFonts w:ascii="Arial" w:cs="Arial" w:eastAsia="Arial" w:hAnsi="Arial"/>
          <w:sz w:val="18"/>
          <w:szCs w:val="18"/>
          <w:color w:val="auto"/>
        </w:rPr>
        <w:t>We believe we have an attractive financial profile, with strong revenue performance and control over our manufacturing costs through our vertically integrated manufacturing model. While we have incurred substantial losses since our inception, and as of December 31, 2016 had an accumulated deficit of $37.0 million, we achieved profitability in 2015, and we continued to be profitable in 2016. We have grown our revenue at a 34.1% CAGR between 2009 and 2016, including 37.3% growth year-over-year from 2015 to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right="319" w:firstLine="648"/>
        <w:spacing w:after="0" w:line="279" w:lineRule="auto"/>
        <w:rPr>
          <w:sz w:val="20"/>
          <w:szCs w:val="20"/>
          <w:color w:val="auto"/>
        </w:rPr>
      </w:pPr>
      <w:r>
        <w:rPr>
          <w:rFonts w:ascii="Arial" w:cs="Arial" w:eastAsia="Arial" w:hAnsi="Arial"/>
          <w:sz w:val="17"/>
          <w:szCs w:val="17"/>
          <w:i w:val="1"/>
          <w:iCs w:val="1"/>
          <w:color w:val="auto"/>
        </w:rPr>
        <w:t xml:space="preserve">Increasing Consumer Demand for Bandwidth. </w:t>
      </w:r>
      <w:r>
        <w:rPr>
          <w:rFonts w:ascii="Arial" w:cs="Arial" w:eastAsia="Arial" w:hAnsi="Arial"/>
          <w:sz w:val="17"/>
          <w:szCs w:val="17"/>
          <w:color w:val="auto"/>
        </w:rPr>
        <w:t>Bandwidth demand in all of our target markets is driving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 investment in new 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71" w:lineRule="exact"/>
        <w:rPr>
          <w:sz w:val="20"/>
          <w:szCs w:val="20"/>
          <w:color w:val="auto"/>
        </w:rPr>
      </w:pPr>
    </w:p>
    <w:p>
      <w:pPr>
        <w:ind w:right="59" w:firstLine="648"/>
        <w:spacing w:after="0" w:line="273" w:lineRule="auto"/>
        <w:rPr>
          <w:sz w:val="20"/>
          <w:szCs w:val="20"/>
          <w:color w:val="auto"/>
        </w:rPr>
      </w:pPr>
      <w:r>
        <w:rPr>
          <w:rFonts w:ascii="Arial" w:cs="Arial" w:eastAsia="Arial" w:hAnsi="Arial"/>
          <w:sz w:val="17"/>
          <w:szCs w:val="17"/>
          <w:i w:val="1"/>
          <w:iCs w:val="1"/>
          <w:color w:val="auto"/>
        </w:rPr>
        <w:t xml:space="preserve">Pricing, Product Cost and Margins. </w:t>
      </w:r>
      <w:r>
        <w:rPr>
          <w:rFonts w:ascii="Arial" w:cs="Arial" w:eastAsia="Arial" w:hAnsi="Arial"/>
          <w:sz w:val="17"/>
          <w:szCs w:val="17"/>
          <w:color w:val="auto"/>
        </w:rPr>
        <w:t>Our solution pricing varies depending upon the end market, the complexity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product and the level of competition. Our product costs also vary with complexity as well as the degree to which we can utilize components designed and manufactured ourselves. We tend to realize higher gross margins on products that incorporate a higher percentage of our own components.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in this market. We sell a wide variety of products among our four target markets and our gross margin is heavily dependent in any quarter on the product mix achieved during that period.</w:t>
      </w:r>
    </w:p>
    <w:p>
      <w:pPr>
        <w:spacing w:after="0" w:line="15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 xml:space="preserve">Customer Concentration within End Markets. </w:t>
      </w:r>
      <w:r>
        <w:rPr>
          <w:rFonts w:ascii="Arial" w:cs="Arial" w:eastAsia="Arial" w:hAnsi="Arial"/>
          <w:sz w:val="16"/>
          <w:szCs w:val="16"/>
          <w:color w:val="auto"/>
        </w:rPr>
        <w:t>Historically, our revenue has been significantly concentrated, first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CATV market and in 2015 and 2016 within the internet data center market. Moreover, within these markets, revenue tends to be concentrated among a small number of customers. In 2015 and 2016, we have taken several actions to increase the diversity of our customer base. These actions include the creation of a new sales incentive program, hiring additional sales staff to improve our ability to serve new customers, and additional customized design of products that we believe will appeal to new customers. Furthermore, we have developed additional original design manufacturer, or ODM, relationships with customers in each of our target markets which should enable us to diversify our revenue base. In 2016 and 2015, we had two and three customers that each accounted for more than 10% of our revenue, respectively.</w:t>
      </w:r>
    </w:p>
    <w:p>
      <w:pPr>
        <w:spacing w:after="0" w:line="166"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We invest heavily to develop new and innovative products. The majority of our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 is 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for the internet data center, CATV, FTTH, telecom and other markets. We derive a significant portion of our revenue from our top ten customers, and we anticipate that we will continue to do so for the foreseeable future. The following chart provides the revenue contribution from each of the markets we serve for the years 2016, 2015 and 2014, as well as the corresponding percentage of our total revenue for each period:</w:t>
      </w:r>
    </w:p>
    <w:p>
      <w:pPr>
        <w:spacing w:after="0" w:line="193"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6350</wp:posOffset>
            </wp:positionV>
            <wp:extent cx="17240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4600" w:right="2180" w:hanging="4668"/>
        <w:spacing w:after="0" w:line="236" w:lineRule="auto"/>
        <w:tabs>
          <w:tab w:leader="none" w:pos="4580" w:val="left"/>
        </w:tabs>
        <w:rPr>
          <w:sz w:val="20"/>
          <w:szCs w:val="20"/>
          <w:color w:val="auto"/>
        </w:rPr>
      </w:pPr>
      <w:r>
        <w:rPr>
          <w:rFonts w:ascii="Arial" w:cs="Arial" w:eastAsia="Arial" w:hAnsi="Arial"/>
          <w:sz w:val="14"/>
          <w:szCs w:val="14"/>
          <w:color w:val="auto"/>
        </w:rPr>
        <w:t>Market</w:t>
      </w:r>
      <w:r>
        <w:rPr>
          <w:sz w:val="20"/>
          <w:szCs w:val="20"/>
          <w:color w:val="auto"/>
        </w:rPr>
        <w:tab/>
      </w:r>
      <w:r>
        <w:rPr>
          <w:rFonts w:ascii="Arial" w:cs="Arial" w:eastAsia="Arial" w:hAnsi="Arial"/>
          <w:sz w:val="14"/>
          <w:szCs w:val="14"/>
          <w:b w:val="1"/>
          <w:bCs w:val="1"/>
          <w:color w:val="auto"/>
        </w:rPr>
        <w:t>2016 2015 2014 (in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-101600</wp:posOffset>
            </wp:positionV>
            <wp:extent cx="17240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CATV</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47,389</w:t>
            </w:r>
          </w:p>
        </w:tc>
        <w:tc>
          <w:tcPr>
            <w:tcW w:w="16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Data Center</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201,314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123,286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64,453</w:t>
            </w:r>
          </w:p>
        </w:tc>
        <w:tc>
          <w:tcPr>
            <w:tcW w:w="16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w:t>
            </w:r>
          </w:p>
        </w:tc>
        <w:tc>
          <w:tcPr>
            <w:tcW w:w="16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Telecom</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12,938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3,856</w:t>
            </w:r>
          </w:p>
        </w:tc>
        <w:tc>
          <w:tcPr>
            <w:tcW w:w="16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shd w:val="clear" w:color="auto" w:fill="CCEEFF"/>
          </w:tcPr>
          <w:p>
            <w:pPr>
              <w:spacing w:after="0"/>
              <w:rPr>
                <w:sz w:val="18"/>
                <w:szCs w:val="18"/>
                <w:color w:val="auto"/>
              </w:rPr>
            </w:pPr>
          </w:p>
        </w:tc>
      </w:tr>
      <w:tr>
        <w:trPr>
          <w:trHeight w:val="217"/>
        </w:trPr>
        <w:tc>
          <w:tcPr>
            <w:tcW w:w="2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260,713</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189,903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130,449</w:t>
            </w:r>
          </w:p>
        </w:tc>
        <w:tc>
          <w:tcPr>
            <w:tcW w:w="160" w:type="dxa"/>
            <w:vAlign w:val="bottom"/>
            <w:tcBorders>
              <w:bottom w:val="single" w:sz="8" w:color="CCEEFF"/>
            </w:tcBorders>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280" w:type="dxa"/>
            <w:vAlign w:val="bottom"/>
            <w:gridSpan w:val="5"/>
          </w:tcPr>
          <w:p>
            <w:pPr>
              <w:ind w:left="540"/>
              <w:spacing w:after="0"/>
              <w:rPr>
                <w:sz w:val="20"/>
                <w:szCs w:val="20"/>
                <w:color w:val="auto"/>
              </w:rPr>
            </w:pPr>
            <w:r>
              <w:rPr>
                <w:rFonts w:ascii="Arial" w:cs="Arial" w:eastAsia="Arial" w:hAnsi="Arial"/>
                <w:sz w:val="18"/>
                <w:szCs w:val="18"/>
                <w:color w:val="auto"/>
                <w:w w:val="90"/>
              </w:rPr>
              <w:t>Percentage of Revenue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CATV</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16.7 %</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28.3 %</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36.3 %</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Data Center</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77.2 %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64.9 %</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9"/>
              </w:rPr>
              <w:t>49.4 %</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0.6 %</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1.3 %</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10.4 %</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Telecom</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5.0 %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5.1 %</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0.5 %</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0.4 %</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4"/>
        </w:trPr>
        <w:tc>
          <w:tcPr>
            <w:tcW w:w="436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3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2016, 2015 and 2014, our top ten customers represented 95.5%, 88.7% and 87.2% of our revenue, respectively. In 2016, our key customers in the CATV market included Cisco, and Arris. In 2016, 2015 and 2014, Cisco accounted for 5.4%, 10.4%, and 8.9%, respectively, of our revenue and Arris accounted for 5.8%, 4.5% and 4.5%, respectively, of our revenue. In 2016 and 2015, our key customers in the internet data center market included Amazon and Microsoft. In 2016 and 2015, Amazon accounted for 54.6% and 52.5% of our revenue, respectively, and Microsoft accounted for 18.3% and 11.6% of our revenue,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A majority of our annual sales are denominated in U.S. dollars, but some sales from our Taiwan location and China-based subsidiary are denominated in NT dollars and RMB, respectively. For the year ended December 31, 2016, 22.0% of our total revenue was manufactured at our China-based subsidiary, with $3.3 million denominated in RMB and 71.0% of our total revenue was manufactured at our Taiwan-based facility with an immaterial amount denominated in NT dollars. We expect a similar portion of our sales to be denominated in foreign currencies in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cost of goods sold is impacted by variances arising from changes in yields and production volume, as well as increases or decreases in the cost of raw materials used in production. We typically experience lower yields and higher associated costs on new products. In general, our cost of goods sold for a particular product declines over time as a result of increasing efficiencies in the manufacturing processes, or supply cost declines, as well as yield improvements and testing enhancements.</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manufacture products in three of our four facilities in the U.S., Taiwan and China. Generally, laser chips and optical components are manufactured in our Sugar Land facility, optical components and subassemblies are manufactured in our Taiwan facility, and optical components and optical equipment are manufactured in our China facility. Because of our vertical integration model, we generally utilize our own optical component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28.3% and 38.0%,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80" w:firstLine="648"/>
        <w:spacing w:after="0" w:line="340" w:lineRule="auto"/>
        <w:rPr>
          <w:sz w:val="20"/>
          <w:szCs w:val="20"/>
          <w:color w:val="auto"/>
        </w:rPr>
      </w:pPr>
      <w:r>
        <w:rPr>
          <w:rFonts w:ascii="Arial" w:cs="Arial" w:eastAsia="Arial" w:hAnsi="Arial"/>
          <w:sz w:val="15"/>
          <w:szCs w:val="15"/>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3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or R&amp;D, expense consists primarily of personnel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share-based compensation 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often reimbursed for those development efforts. By virtue of our overseas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R&amp;D operations and by focusing on customer-specific projects, our research and development expenses have tended to represent a lower percentage of revenue compared to some of our competitors. In the future, we expect research and development expense to increase on a dollar basis, but continue to decline as a percentage of revenue, to the extent that our revenue increases over time.</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 consists primarily of personnel costs, including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our sales and marketing personnel, as well as travel and trade show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2016, 2015 and 2014. Additionally, we pay commissions to third parties on certain product lines and identified customers, which also amounted to less than one percent of our revenue in 2016, 2015 and 2014.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8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compensation, 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the Sarbanes-Oxley Act and the rules and regulations applicable to companies listed on a national stock exchange, as well as investor relations expense and higher insurance premiums. In the future, we expect general and administrative expense to increase on a dollar basis but continue to decline as a percentage of revenue, to the extent that our revenue increases over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Interest income consists of income earned on our cash, cash equivalents and short-term investments. Interest expense consists of amounts paid for interest on our short-term and long-term debt borrowings.</w:t>
      </w:r>
    </w:p>
    <w:p>
      <w:pPr>
        <w:spacing w:after="0" w:line="14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Other income (expense), net is primarily made up of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2016 and 2015, our effective tax rate was (48.7%) and 3.3%, respectively. Our effective U.S. federal income tax rate was 0% prior to 2015 as we incurred operating losses and had recorded a full valuation allowance against those losses, which was removed in July 2016. At December 31, 2016, our U.S. accumulated net operating loss, or NOL, was $37.7 million. If we earn profits in the U.S., we expect to reduce our cash tax obligations by the utilization of NOL carry forwards. Our NOL benefits expire over the twelve-year period from 2021 to 2033. Under Section 382 of the Internal Revenue Code of 1986, as amended, if a corporation undergoes an “ownership change,” the corporation’s ability to use its pre-change NOLs, capital loss carry forwards and other pre-change tax attributes to offset its post-change income may be limited going forward. Based upon an analysis of our equity ownership, we have experienced an ownership change; however, our NOL carry forwards are not materially limited in dollar amount.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Our wholly owned subsidiary, Global Technology, Inc., has received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Global Technology, Inc. renewed its national high-tech enterprise certificate and therefore extended its three year tax preferential status from November 2011 to November 2014. In 2014, Global Technology, Inc. again renewed its national high-tech enterprise certificate and therefore extended its three year tax preferential status from November 2014 until September 2017.</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years ended December 31, 2016 and 2015, we had $1.8 million and $1.8 million, respectively, of unrecognized tax benefits related to U.S. tax benefits recognized for which we do not meet the more likely than not threshold. We believe that it is reasonably possible that none of our remaining unrecognized tax positions may be recognized by the end of 2017.</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the demand for our CATV products is seasonal. Historically, revenue derived from our CATV products has been highest in the fourth quarter and lowest in the first quarter of each year. The first quarter of the year has historically been negatively affected by reduced economic activity due to the Chinese New Year holiday and the lower level of deployment of outdoor CATV equipment in cold weather environments.</w:t>
      </w:r>
    </w:p>
    <w:p>
      <w:pPr>
        <w:spacing w:after="0" w:line="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uncertain whether the demand for our internet data center, FTTH and telecom products is seasonal, as our sales data does not indicate a significant trend with respect to these products.</w:t>
      </w:r>
    </w:p>
    <w:p>
      <w:pPr>
        <w:spacing w:after="0" w:line="4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gross margin varies quarter to quarter and varies primarily due to the product mix in a particular quarter, as well as from the level of manufacturing efficiencies, production yields (particularly in the laser chip fabrication process) and overall supply costs.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700" w:type="dxa"/>
            <w:vAlign w:val="bottom"/>
            <w:gridSpan w:val="8"/>
          </w:tcPr>
          <w:p>
            <w:pPr>
              <w:jc w:val="right"/>
              <w:ind w:right="61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3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Cost of goods sold</w:t>
            </w:r>
          </w:p>
        </w:tc>
        <w:tc>
          <w:tcPr>
            <w:tcW w:w="3620" w:type="dxa"/>
            <w:vAlign w:val="bottom"/>
            <w:gridSpan w:val="3"/>
          </w:tcPr>
          <w:p>
            <w:pPr>
              <w:jc w:val="right"/>
              <w:ind w:right="50"/>
              <w:spacing w:after="0"/>
              <w:rPr>
                <w:sz w:val="20"/>
                <w:szCs w:val="20"/>
                <w:color w:val="auto"/>
              </w:rPr>
            </w:pPr>
            <w:r>
              <w:rPr>
                <w:rFonts w:ascii="Arial" w:cs="Arial" w:eastAsia="Arial" w:hAnsi="Arial"/>
                <w:sz w:val="18"/>
                <w:szCs w:val="18"/>
                <w:color w:val="auto"/>
              </w:rPr>
              <w:t>66.6 %</w:t>
            </w:r>
          </w:p>
        </w:tc>
        <w:tc>
          <w:tcPr>
            <w:tcW w:w="900" w:type="dxa"/>
            <w:vAlign w:val="bottom"/>
            <w:gridSpan w:val="3"/>
          </w:tcPr>
          <w:p>
            <w:pPr>
              <w:jc w:val="right"/>
              <w:ind w:right="50"/>
              <w:spacing w:after="0"/>
              <w:rPr>
                <w:sz w:val="20"/>
                <w:szCs w:val="20"/>
                <w:color w:val="auto"/>
              </w:rPr>
            </w:pPr>
            <w:r>
              <w:rPr>
                <w:rFonts w:ascii="Arial" w:cs="Arial" w:eastAsia="Arial" w:hAnsi="Arial"/>
                <w:sz w:val="18"/>
                <w:szCs w:val="18"/>
                <w:color w:val="auto"/>
              </w:rPr>
              <w:t>68.2 %</w:t>
            </w:r>
          </w:p>
        </w:tc>
        <w:tc>
          <w:tcPr>
            <w:tcW w:w="880" w:type="dxa"/>
            <w:vAlign w:val="bottom"/>
            <w:gridSpan w:val="3"/>
          </w:tcPr>
          <w:p>
            <w:pPr>
              <w:jc w:val="right"/>
              <w:ind w:right="30"/>
              <w:spacing w:after="0"/>
              <w:rPr>
                <w:sz w:val="20"/>
                <w:szCs w:val="20"/>
                <w:color w:val="auto"/>
              </w:rPr>
            </w:pPr>
            <w:r>
              <w:rPr>
                <w:rFonts w:ascii="Arial" w:cs="Arial" w:eastAsia="Arial" w:hAnsi="Arial"/>
                <w:sz w:val="18"/>
                <w:szCs w:val="18"/>
                <w:color w:val="auto"/>
              </w:rPr>
              <w:t>66.1 %</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6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12.2 %</w:t>
            </w:r>
          </w:p>
        </w:tc>
        <w:tc>
          <w:tcPr>
            <w:tcW w:w="9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11.0 %</w:t>
            </w:r>
          </w:p>
        </w:tc>
        <w:tc>
          <w:tcPr>
            <w:tcW w:w="8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12.2 %</w:t>
            </w:r>
          </w:p>
        </w:tc>
      </w:tr>
      <w:tr>
        <w:trPr>
          <w:trHeight w:val="216"/>
        </w:trPr>
        <w:tc>
          <w:tcPr>
            <w:tcW w:w="366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3620" w:type="dxa"/>
            <w:vAlign w:val="bottom"/>
            <w:gridSpan w:val="3"/>
          </w:tcPr>
          <w:p>
            <w:pPr>
              <w:jc w:val="right"/>
              <w:ind w:right="50"/>
              <w:spacing w:after="0"/>
              <w:rPr>
                <w:sz w:val="20"/>
                <w:szCs w:val="20"/>
                <w:color w:val="auto"/>
              </w:rPr>
            </w:pPr>
            <w:r>
              <w:rPr>
                <w:rFonts w:ascii="Arial" w:cs="Arial" w:eastAsia="Arial" w:hAnsi="Arial"/>
                <w:sz w:val="18"/>
                <w:szCs w:val="18"/>
                <w:color w:val="auto"/>
              </w:rPr>
              <w:t>2.5 %</w:t>
            </w:r>
          </w:p>
        </w:tc>
        <w:tc>
          <w:tcPr>
            <w:tcW w:w="900" w:type="dxa"/>
            <w:vAlign w:val="bottom"/>
            <w:gridSpan w:val="3"/>
          </w:tcPr>
          <w:p>
            <w:pPr>
              <w:jc w:val="right"/>
              <w:ind w:right="50"/>
              <w:spacing w:after="0"/>
              <w:rPr>
                <w:sz w:val="20"/>
                <w:szCs w:val="20"/>
                <w:color w:val="auto"/>
              </w:rPr>
            </w:pPr>
            <w:r>
              <w:rPr>
                <w:rFonts w:ascii="Arial" w:cs="Arial" w:eastAsia="Arial" w:hAnsi="Arial"/>
                <w:sz w:val="18"/>
                <w:szCs w:val="18"/>
                <w:color w:val="auto"/>
              </w:rPr>
              <w:t>3.4 %</w:t>
            </w:r>
          </w:p>
        </w:tc>
        <w:tc>
          <w:tcPr>
            <w:tcW w:w="880" w:type="dxa"/>
            <w:vAlign w:val="bottom"/>
            <w:gridSpan w:val="3"/>
          </w:tcPr>
          <w:p>
            <w:pPr>
              <w:jc w:val="right"/>
              <w:ind w:right="30"/>
              <w:spacing w:after="0"/>
              <w:rPr>
                <w:sz w:val="20"/>
                <w:szCs w:val="20"/>
                <w:color w:val="auto"/>
              </w:rPr>
            </w:pPr>
            <w:r>
              <w:rPr>
                <w:rFonts w:ascii="Arial" w:cs="Arial" w:eastAsia="Arial" w:hAnsi="Arial"/>
                <w:sz w:val="18"/>
                <w:szCs w:val="18"/>
                <w:color w:val="auto"/>
              </w:rPr>
              <w:t>4.6 %</w:t>
            </w:r>
          </w:p>
        </w:tc>
      </w:tr>
      <w:tr>
        <w:trPr>
          <w:trHeight w:val="216"/>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6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9.8 %</w:t>
            </w:r>
          </w:p>
        </w:tc>
        <w:tc>
          <w:tcPr>
            <w:tcW w:w="9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10.3 %</w:t>
            </w:r>
          </w:p>
        </w:tc>
        <w:tc>
          <w:tcPr>
            <w:tcW w:w="8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13.1 %</w:t>
            </w: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7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8.9 %</w:t>
            </w:r>
          </w:p>
        </w:tc>
        <w:tc>
          <w:tcPr>
            <w:tcW w:w="9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7.1 %</w:t>
            </w:r>
          </w:p>
        </w:tc>
        <w:tc>
          <w:tcPr>
            <w:tcW w:w="8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3.9 %</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620" w:type="dxa"/>
            <w:vAlign w:val="bottom"/>
            <w:gridSpan w:val="3"/>
          </w:tcPr>
          <w:p>
            <w:pPr>
              <w:jc w:val="right"/>
              <w:ind w:right="50"/>
              <w:spacing w:after="0"/>
              <w:rPr>
                <w:sz w:val="20"/>
                <w:szCs w:val="20"/>
                <w:color w:val="auto"/>
              </w:rPr>
            </w:pPr>
            <w:r>
              <w:rPr>
                <w:rFonts w:ascii="Arial" w:cs="Arial" w:eastAsia="Arial" w:hAnsi="Arial"/>
                <w:sz w:val="18"/>
                <w:szCs w:val="18"/>
                <w:color w:val="auto"/>
              </w:rPr>
              <w:t>(0.8)%</w:t>
            </w:r>
          </w:p>
        </w:tc>
        <w:tc>
          <w:tcPr>
            <w:tcW w:w="900" w:type="dxa"/>
            <w:vAlign w:val="bottom"/>
            <w:gridSpan w:val="3"/>
          </w:tcPr>
          <w:p>
            <w:pPr>
              <w:jc w:val="right"/>
              <w:ind w:right="50"/>
              <w:spacing w:after="0"/>
              <w:rPr>
                <w:sz w:val="20"/>
                <w:szCs w:val="20"/>
                <w:color w:val="auto"/>
              </w:rPr>
            </w:pPr>
            <w:r>
              <w:rPr>
                <w:rFonts w:ascii="Arial" w:cs="Arial" w:eastAsia="Arial" w:hAnsi="Arial"/>
                <w:sz w:val="18"/>
                <w:szCs w:val="18"/>
                <w:color w:val="auto"/>
              </w:rPr>
              <w:t>(1.2)%</w:t>
            </w:r>
          </w:p>
        </w:tc>
        <w:tc>
          <w:tcPr>
            <w:tcW w:w="880" w:type="dxa"/>
            <w:vAlign w:val="bottom"/>
            <w:gridSpan w:val="3"/>
          </w:tcPr>
          <w:p>
            <w:pPr>
              <w:jc w:val="right"/>
              <w:ind w:right="30"/>
              <w:spacing w:after="0"/>
              <w:rPr>
                <w:sz w:val="20"/>
                <w:szCs w:val="20"/>
                <w:color w:val="auto"/>
              </w:rPr>
            </w:pPr>
            <w:r>
              <w:rPr>
                <w:rFonts w:ascii="Arial" w:cs="Arial" w:eastAsia="Arial" w:hAnsi="Arial"/>
                <w:sz w:val="18"/>
                <w:szCs w:val="18"/>
                <w:color w:val="auto"/>
              </w:rPr>
              <w:t>(0.5)%</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620" w:type="dxa"/>
            <w:vAlign w:val="bottom"/>
            <w:gridSpan w:val="3"/>
          </w:tcPr>
          <w:p>
            <w:pPr>
              <w:jc w:val="right"/>
              <w:ind w:right="50"/>
              <w:spacing w:after="0"/>
              <w:rPr>
                <w:sz w:val="20"/>
                <w:szCs w:val="20"/>
                <w:color w:val="auto"/>
              </w:rPr>
            </w:pPr>
            <w:r>
              <w:rPr>
                <w:rFonts w:ascii="Arial" w:cs="Arial" w:eastAsia="Arial" w:hAnsi="Arial"/>
                <w:sz w:val="18"/>
                <w:szCs w:val="18"/>
                <w:color w:val="auto"/>
              </w:rPr>
              <w:t>3.9 %</w:t>
            </w:r>
          </w:p>
        </w:tc>
        <w:tc>
          <w:tcPr>
            <w:tcW w:w="900" w:type="dxa"/>
            <w:vAlign w:val="bottom"/>
            <w:gridSpan w:val="3"/>
          </w:tcPr>
          <w:p>
            <w:pPr>
              <w:jc w:val="right"/>
              <w:ind w:right="50"/>
              <w:spacing w:after="0"/>
              <w:rPr>
                <w:sz w:val="20"/>
                <w:szCs w:val="20"/>
                <w:color w:val="auto"/>
              </w:rPr>
            </w:pPr>
            <w:r>
              <w:rPr>
                <w:rFonts w:ascii="Arial" w:cs="Arial" w:eastAsia="Arial" w:hAnsi="Arial"/>
                <w:sz w:val="18"/>
                <w:szCs w:val="18"/>
                <w:color w:val="auto"/>
              </w:rPr>
              <w:t>(0.2)%</w:t>
            </w:r>
          </w:p>
        </w:tc>
        <w:tc>
          <w:tcPr>
            <w:tcW w:w="880" w:type="dxa"/>
            <w:vAlign w:val="bottom"/>
            <w:gridSpan w:val="3"/>
          </w:tcPr>
          <w:p>
            <w:pPr>
              <w:jc w:val="right"/>
              <w:ind w:right="30"/>
              <w:spacing w:after="0"/>
              <w:rPr>
                <w:sz w:val="20"/>
                <w:szCs w:val="20"/>
                <w:color w:val="auto"/>
              </w:rPr>
            </w:pPr>
            <w:r>
              <w:rPr>
                <w:rFonts w:ascii="Arial" w:cs="Arial" w:eastAsia="Arial" w:hAnsi="Arial"/>
                <w:sz w:val="18"/>
                <w:szCs w:val="18"/>
                <w:color w:val="auto"/>
              </w:rPr>
              <w:t>(0.2)%</w:t>
            </w:r>
          </w:p>
        </w:tc>
      </w:tr>
      <w:tr>
        <w:trPr>
          <w:trHeight w:val="23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7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r>
        <w:trPr>
          <w:trHeight w:val="851"/>
        </w:trPr>
        <w:tc>
          <w:tcPr>
            <w:tcW w:w="3660" w:type="dxa"/>
            <w:vAlign w:val="bottom"/>
          </w:tcPr>
          <w:p>
            <w:pPr>
              <w:spacing w:after="0"/>
              <w:rPr>
                <w:sz w:val="24"/>
                <w:szCs w:val="24"/>
                <w:color w:val="auto"/>
              </w:rPr>
            </w:pPr>
          </w:p>
        </w:tc>
        <w:tc>
          <w:tcPr>
            <w:tcW w:w="2700" w:type="dxa"/>
            <w:vAlign w:val="bottom"/>
          </w:tcPr>
          <w:p>
            <w:pPr>
              <w:jc w:val="right"/>
              <w:ind w:right="1650"/>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66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FTTH, telecom and other markets. We derive a significant portion of our revenue from our top ten customers, and we anticipate that we will continue to do so for the foreseeable future. We also anticipate that our revenue derived from the internet data center market will continue to increase as a percentage of our revenue as we further penetrate and extend our products into this market. The following charts provide the revenue contribution from each of the markets we served for the years ended December 31, 2016 and 2015:</w:t>
      </w:r>
    </w:p>
    <w:p>
      <w:pPr>
        <w:spacing w:after="0" w:line="198" w:lineRule="exact"/>
        <w:rPr>
          <w:sz w:val="20"/>
          <w:szCs w:val="20"/>
          <w:color w:val="auto"/>
        </w:rPr>
      </w:pPr>
    </w:p>
    <w:p>
      <w:pPr>
        <w:ind w:left="5880"/>
        <w:spacing w:after="0"/>
        <w:rPr>
          <w:sz w:val="20"/>
          <w:szCs w:val="20"/>
          <w:color w:val="auto"/>
        </w:rPr>
      </w:pPr>
      <w:r>
        <w:rPr>
          <w:rFonts w:ascii="Arial" w:cs="Arial" w:eastAsia="Arial" w:hAnsi="Arial"/>
          <w:sz w:val="14"/>
          <w:szCs w:val="14"/>
          <w:b w:val="1"/>
          <w:bCs w:val="1"/>
          <w:color w:val="auto"/>
        </w:rPr>
        <w:t>Years ended</w:t>
      </w:r>
    </w:p>
    <w:p>
      <w:pPr>
        <w:ind w:left="58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CATV</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Data Center</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77.2 %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64.9 %</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0.6 %</w:t>
            </w: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1.3 %</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Telecom</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5.0 %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5.1 %</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0.5 %</w:t>
            </w: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0.4 %</w:t>
            </w:r>
          </w:p>
        </w:tc>
      </w:tr>
      <w:tr>
        <w:trPr>
          <w:trHeight w:val="217"/>
        </w:trPr>
        <w:tc>
          <w:tcPr>
            <w:tcW w:w="55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CATV</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1"/>
              </w:rPr>
              <w:t>(18.8)%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Data Center</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201,314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123,286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63.3 %</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1"/>
              </w:rPr>
              <w:t>(36.2)%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Telecom</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34.0 %</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59.5 %</w:t>
            </w:r>
          </w:p>
        </w:tc>
      </w:tr>
      <w:tr>
        <w:trPr>
          <w:trHeight w:val="217"/>
        </w:trPr>
        <w:tc>
          <w:tcPr>
            <w:tcW w:w="55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260,713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189,903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70,810</w:t>
            </w: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Revenues in the internet data center market were driven primarily by increasing demand for our 40 Gbps and 100 Gbps transceivers as our customers continued to upgrade their technology infrastructure. The decrease in revenue in our FTTH market is due to decreased demand from our major FTTH customer as a result of their decision to halt their deployments. The decrease in revenue in the CATV market for the year was a result of decreased customer orders, primarily in the first half of the year, due to uncertainty of timing surrounding various network upgrades by North American CATV operators. The increase in revenue in our telecom segment was driven primarily by sales of recently designed products and increased deployments of high-speed telecom access networks by telecom operators.</w:t>
      </w:r>
    </w:p>
    <w:p>
      <w:pPr>
        <w:spacing w:after="0" w:line="16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the years ended December 31, 2016 and 2015, our top ten customers represented 95.5% and 88.7% of our revenue,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70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9"/>
              </w:rPr>
              <w:t>Revenue</w:t>
            </w: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80" w:type="dxa"/>
            <w:vAlign w:val="bottom"/>
            <w:gridSpan w:val="5"/>
          </w:tcPr>
          <w:p>
            <w:pPr>
              <w:ind w:left="340"/>
              <w:spacing w:after="0" w:line="142" w:lineRule="exact"/>
              <w:rPr>
                <w:sz w:val="20"/>
                <w:szCs w:val="20"/>
                <w:color w:val="auto"/>
              </w:rPr>
            </w:pPr>
            <w:r>
              <w:rPr>
                <w:rFonts w:ascii="Arial" w:cs="Arial" w:eastAsia="Arial" w:hAnsi="Arial"/>
                <w:sz w:val="14"/>
                <w:szCs w:val="14"/>
                <w:b w:val="1"/>
                <w:bCs w:val="1"/>
                <w:color w:val="auto"/>
                <w:w w:val="90"/>
              </w:rPr>
              <w:t>(in thousands, except percentages)</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$173,759</w:t>
            </w:r>
          </w:p>
        </w:tc>
        <w:tc>
          <w:tcPr>
            <w:tcW w:w="168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66.6 % $129,450</w:t>
            </w:r>
          </w:p>
        </w:tc>
        <w:tc>
          <w:tcPr>
            <w:tcW w:w="1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68.2 % $44,309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Gross margin</w:t>
            </w:r>
          </w:p>
        </w:tc>
        <w:tc>
          <w:tcPr>
            <w:tcW w:w="2340" w:type="dxa"/>
            <w:vAlign w:val="bottom"/>
            <w:gridSpan w:val="2"/>
          </w:tcPr>
          <w:p>
            <w:pPr>
              <w:jc w:val="right"/>
              <w:ind w:right="108"/>
              <w:spacing w:after="0"/>
              <w:rPr>
                <w:sz w:val="20"/>
                <w:szCs w:val="20"/>
                <w:color w:val="auto"/>
              </w:rPr>
            </w:pPr>
            <w:r>
              <w:rPr>
                <w:rFonts w:ascii="Arial" w:cs="Arial" w:eastAsia="Arial" w:hAnsi="Arial"/>
                <w:sz w:val="18"/>
                <w:szCs w:val="18"/>
                <w:color w:val="auto"/>
              </w:rPr>
              <w:t>86,954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33.4 %</w:t>
            </w:r>
          </w:p>
        </w:tc>
        <w:tc>
          <w:tcPr>
            <w:tcW w:w="880" w:type="dxa"/>
            <w:vAlign w:val="bottom"/>
          </w:tcPr>
          <w:p>
            <w:pPr>
              <w:jc w:val="right"/>
              <w:ind w:right="122"/>
              <w:spacing w:after="0"/>
              <w:rPr>
                <w:sz w:val="20"/>
                <w:szCs w:val="20"/>
                <w:color w:val="auto"/>
              </w:rPr>
            </w:pPr>
            <w:r>
              <w:rPr>
                <w:rFonts w:ascii="Arial" w:cs="Arial" w:eastAsia="Arial" w:hAnsi="Arial"/>
                <w:sz w:val="18"/>
                <w:szCs w:val="18"/>
                <w:color w:val="auto"/>
              </w:rPr>
              <w:t>60,453</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31.8 %</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Cost of goods sold increased by $44.3 million, or 34.2%, from 2015 to 2016, primarily due to a 37.3% increase in sales over the prior year. Within our markets, we may sell similar products in different geographic regions at different prices, resulting in different gross margins among our products. Also, within our business there are various different product types which may have different gross margins. The increase in gross margin for the year ended December 31, 2016 compared to the same period ended December 31, 2015 was primarily the result of cost reduction of our data center products, along with higher gross margin on our 100 Gbps products compared to earlier sales of 40 Gbps products.</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3"/>
              </w:rPr>
              <w:t>Years ended December 31,</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Borders>
              <w:top w:val="single" w:sz="8" w:color="auto"/>
            </w:tcBorders>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22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12.2 % $20,852</w:t>
            </w:r>
          </w:p>
        </w:tc>
        <w:tc>
          <w:tcPr>
            <w:tcW w:w="200" w:type="dxa"/>
            <w:vAlign w:val="bottom"/>
            <w:tcBorders>
              <w:right w:val="single" w:sz="8" w:color="CCEEFF"/>
            </w:tcBorders>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11.0 % $10,928</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52.4 %</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Sales and marketing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6,627</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6,381</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22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19,771</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29.</w:t>
            </w:r>
            <w:r>
              <w:rPr>
                <w:rFonts w:ascii="Arial" w:cs="Arial" w:eastAsia="Arial" w:hAnsi="Arial"/>
                <w:sz w:val="18"/>
                <w:szCs w:val="18"/>
                <w:u w:val="single" w:color="auto"/>
                <w:color w:val="auto"/>
                <w:w w:val="89"/>
              </w:rPr>
              <w:t>1</w:t>
            </w:r>
            <w:r>
              <w:rPr>
                <w:rFonts w:ascii="Arial" w:cs="Arial" w:eastAsia="Arial" w:hAnsi="Arial"/>
                <w:sz w:val="18"/>
                <w:szCs w:val="18"/>
                <w:color w:val="auto"/>
                <w:w w:val="89"/>
              </w:rPr>
              <w:t xml:space="preserve"> %</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63,934</w:t>
            </w:r>
          </w:p>
        </w:tc>
        <w:tc>
          <w:tcPr>
            <w:tcW w:w="2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47,004</w:t>
            </w:r>
          </w:p>
        </w:tc>
        <w:tc>
          <w:tcPr>
            <w:tcW w:w="2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16,930</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36.</w:t>
            </w:r>
            <w:r>
              <w:rPr>
                <w:rFonts w:ascii="Arial" w:cs="Arial" w:eastAsia="Arial" w:hAnsi="Arial"/>
                <w:sz w:val="18"/>
                <w:szCs w:val="18"/>
                <w:u w:val="single" w:color="auto"/>
                <w:color w:val="auto"/>
                <w:w w:val="85"/>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Research and development expense increased by $10.9 million, or 52.4%, from 2015 to 2016. This was primarily due to increases in personnel costs, R&amp;D work orders and project costs related to 100 Gbps data center products, 200 Gbps/400 Gbps data center products, DOCSIS 3.1-capable CATV products, other new product development and an increase in depreciation expense resulting from additional R&amp;D equipment investments. The percentage of research and development expenses over sales increased from 11.0% to 12.2%, from the year ended December 31, 2015 compared to the year ended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Sales and marketing expense increased by $0.2 million, or 3.9%, from 2015 to 2016. This was due to an increase in personnel costs. The percentage of sales and marketing expenses over sales decreased from 3.4% to 2.5% from the year ended December 31, 2015 compared to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General and administrative expense increased by $5.8 million, or 29.1%, from 2015 to 2016. This was primarily due to an increase in personnel costs, professional fees associated with being a public company and depreciation expense related to our factory in Sugar Land, Texas. The percentage of general and administrative expenses over sales decreased from 10.3 % to 9.8% from the year ended December 31, 2015 compared to the year ended December 31,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w w:val="93"/>
              </w:rPr>
              <w:t>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vMerge w:val="restart"/>
          </w:tcPr>
          <w:p>
            <w:pPr>
              <w:jc w:val="right"/>
              <w:ind w:right="4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11"/>
          </w:tcPr>
          <w:p>
            <w:pPr>
              <w:jc w:val="right"/>
              <w:ind w:right="19"/>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1"/>
              </w:rPr>
              <w:t>(24.7)%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68.7 %</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1"/>
              </w:rPr>
              <w:t>(65.6)%</w:t>
            </w:r>
          </w:p>
        </w:tc>
        <w:tc>
          <w:tcPr>
            <w:tcW w:w="0" w:type="dxa"/>
            <w:vAlign w:val="bottom"/>
          </w:tcPr>
          <w:p>
            <w:pPr>
              <w:spacing w:after="0"/>
              <w:rPr>
                <w:sz w:val="1"/>
                <w:szCs w:val="1"/>
                <w:color w:val="auto"/>
              </w:rPr>
            </w:pPr>
          </w:p>
        </w:tc>
      </w:tr>
      <w:tr>
        <w:trPr>
          <w:trHeight w:val="217"/>
        </w:trPr>
        <w:tc>
          <w:tcPr>
            <w:tcW w:w="324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(2,017)</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(2,281)</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decreased over the same prior year periods due to lower investment balances.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Interest expense increased overall for the periods with additional borrowing activities during the year ended December 31, 2016 to fund facility expansion projects in the U.S. and Taiwan.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Other expense, net decreased by $1.0 million from 2015 to 2016 due to foreign currency gains mainly due to the appreciation of New Taiwan Dollars against U.S. dollars at the end of 2016 compared to the 2015. We qualify as a high-tech enterprise in China, as determined by the Chinese government, and are paid subsidies from time to time by the Chinese government to foster local high-tech manufacturing, which are recorded as other income. We received $0.2 million and $0.3 million in subsidy during each of the years ended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Benefit (provision) for income taxes</w:t>
      </w:r>
    </w:p>
    <w:p>
      <w:pPr>
        <w:spacing w:after="0" w:line="230"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6350</wp:posOffset>
            </wp:positionV>
            <wp:extent cx="1844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6080"/>
        <w:spacing w:after="0"/>
        <w:tabs>
          <w:tab w:leader="none" w:pos="6820" w:val="left"/>
          <w:tab w:leader="none" w:pos="78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-3175</wp:posOffset>
            </wp:positionV>
            <wp:extent cx="1844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ind w:left="6300"/>
        <w:spacing w:after="0" w:line="233" w:lineRule="auto"/>
        <w:rPr>
          <w:sz w:val="20"/>
          <w:szCs w:val="20"/>
          <w:color w:val="auto"/>
        </w:rPr>
      </w:pPr>
      <w:r>
        <w:rPr>
          <w:rFonts w:ascii="Arial" w:cs="Arial" w:eastAsia="Arial" w:hAnsi="Arial"/>
          <w:sz w:val="14"/>
          <w:szCs w:val="14"/>
          <w:b w:val="1"/>
          <w:bCs w:val="1"/>
          <w:color w:val="auto"/>
        </w:rPr>
        <w:t>(in thousands, except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$ 10,231</w:t>
            </w: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(375)  10,606   (2,828.3)%</w:t>
            </w: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income tax expense consists of U.S. income tax, U.S. alternative minimum tax, state taxes and Taiwan income tax recorded during the periods. Our effective tax rate is affected by recurring items, such as tax rates in state and foreign jurisdictions and the relative amounts of income we earn in those jurisdictions.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recorded a tax benefit of $10.2 million for the year ended December 31, 2016 as compared to the tax provision of $0.4 million for the year ended December 31, 2015, respectively. The income tax benefit recorded in the year ended December 31, 2016 was primarily related to the release of the valuation allowance previously recorded against U.S. and Taiwan deferred tax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charts provide the revenue contribution from each of the markets we served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216"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Years ended</w:t>
      </w:r>
    </w:p>
    <w:p>
      <w:pPr>
        <w:ind w:left="58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CATV</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Data Center</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64.9 %</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49.4 %</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1.3 %</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10.4 %</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5.5 %</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3.9 %</w:t>
            </w:r>
          </w:p>
        </w:tc>
      </w:tr>
      <w:tr>
        <w:trPr>
          <w:trHeight w:val="217"/>
        </w:trPr>
        <w:tc>
          <w:tcPr>
            <w:tcW w:w="5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0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Years ended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8"/>
          </w:tcPr>
          <w:p>
            <w:pPr>
              <w:ind w:left="460"/>
              <w:spacing w:after="0" w:line="142" w:lineRule="exact"/>
              <w:rPr>
                <w:sz w:val="20"/>
                <w:szCs w:val="20"/>
                <w:color w:val="auto"/>
              </w:rPr>
            </w:pPr>
            <w:r>
              <w:rPr>
                <w:rFonts w:ascii="Arial" w:cs="Arial" w:eastAsia="Arial" w:hAnsi="Arial"/>
                <w:sz w:val="14"/>
                <w:szCs w:val="14"/>
                <w:b w:val="1"/>
                <w:bCs w:val="1"/>
                <w:color w:val="auto"/>
                <w:w w:val="90"/>
              </w:rPr>
              <w:t>(in thousands, except percentages)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CATV</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13.3 %</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Data Center</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123,286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58,833</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rPr>
              <w:t>91.3 %</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FTTH</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(11,133)</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Telecom</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5,797</w:t>
            </w:r>
          </w:p>
        </w:tc>
        <w:tc>
          <w:tcPr>
            <w:tcW w:w="120" w:type="dxa"/>
            <w:vAlign w:val="bottom"/>
          </w:tcPr>
          <w:p>
            <w:pPr>
              <w:spacing w:after="0"/>
              <w:rPr>
                <w:sz w:val="18"/>
                <w:szCs w:val="18"/>
                <w:color w:val="auto"/>
              </w:rPr>
            </w:pP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w w:val="96"/>
              </w:rPr>
              <w:t>150.4 %</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r>
      <w:tr>
        <w:trPr>
          <w:trHeight w:val="217"/>
        </w:trPr>
        <w:tc>
          <w:tcPr>
            <w:tcW w:w="33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189,903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130,449</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59,454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Revenues in the internet data center market were driven primarily by increasing demand for our 40 Gbps transceivers as our customers continued to upgrade their technology infrastructure. The decrease in revenue in our FTTH market is due to decreased demand from our major FTTH customer as a result of their decision to continue using an existing technology in their deployments. The increase in revenues in the CATV market for the year was a result of revenue derived from newly-designed products that have begun to be sold in higher quantities by our customers, as well as increased demand for new and existing products in certain international markets, especially in Latin America earlier in the year.</w:t>
      </w:r>
    </w:p>
    <w:p>
      <w:pPr>
        <w:spacing w:after="0" w:line="16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the years ended December 31, 2015 and 2014, our top ten customers represented 88.7% and 87.2% of our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6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9"/>
              </w:rPr>
              <w:t>Revenue</w:t>
            </w: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Amount   Revenue</w:t>
            </w:r>
          </w:p>
        </w:tc>
        <w:tc>
          <w:tcPr>
            <w:tcW w:w="6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20" w:type="dxa"/>
            <w:vAlign w:val="bottom"/>
            <w:gridSpan w:val="6"/>
          </w:tcPr>
          <w:p>
            <w:pPr>
              <w:ind w:left="280"/>
              <w:spacing w:after="0" w:line="142" w:lineRule="exact"/>
              <w:rPr>
                <w:sz w:val="20"/>
                <w:szCs w:val="20"/>
                <w:color w:val="auto"/>
              </w:rPr>
            </w:pPr>
            <w:r>
              <w:rPr>
                <w:rFonts w:ascii="Arial" w:cs="Arial" w:eastAsia="Arial" w:hAnsi="Arial"/>
                <w:sz w:val="14"/>
                <w:szCs w:val="14"/>
                <w:b w:val="1"/>
                <w:bCs w:val="1"/>
                <w:color w:val="auto"/>
                <w:w w:val="90"/>
              </w:rPr>
              <w:t>(in thousands, except percentages)</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$129,450</w:t>
            </w:r>
          </w:p>
        </w:tc>
        <w:tc>
          <w:tcPr>
            <w:tcW w:w="1660" w:type="dxa"/>
            <w:vAlign w:val="bottom"/>
            <w:gridSpan w:val="3"/>
            <w:shd w:val="clear" w:color="auto" w:fill="CCEEFF"/>
          </w:tcPr>
          <w:p>
            <w:pPr>
              <w:jc w:val="right"/>
              <w:ind w:right="202"/>
              <w:spacing w:after="0"/>
              <w:rPr>
                <w:sz w:val="20"/>
                <w:szCs w:val="20"/>
                <w:color w:val="auto"/>
              </w:rPr>
            </w:pPr>
            <w:r>
              <w:rPr>
                <w:rFonts w:ascii="Arial" w:cs="Arial" w:eastAsia="Arial" w:hAnsi="Arial"/>
                <w:sz w:val="18"/>
                <w:szCs w:val="18"/>
                <w:color w:val="auto"/>
              </w:rPr>
              <w:t>68.2 % $86,203</w:t>
            </w:r>
          </w:p>
        </w:tc>
        <w:tc>
          <w:tcPr>
            <w:tcW w:w="14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66.1 % $43,247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50.2 %</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Gross margin</w:t>
            </w:r>
          </w:p>
        </w:tc>
        <w:tc>
          <w:tcPr>
            <w:tcW w:w="2400" w:type="dxa"/>
            <w:vAlign w:val="bottom"/>
            <w:gridSpan w:val="2"/>
          </w:tcPr>
          <w:p>
            <w:pPr>
              <w:jc w:val="right"/>
              <w:ind w:right="128"/>
              <w:spacing w:after="0"/>
              <w:rPr>
                <w:sz w:val="20"/>
                <w:szCs w:val="20"/>
                <w:color w:val="auto"/>
              </w:rPr>
            </w:pPr>
            <w:r>
              <w:rPr>
                <w:rFonts w:ascii="Arial" w:cs="Arial" w:eastAsia="Arial" w:hAnsi="Arial"/>
                <w:sz w:val="18"/>
                <w:szCs w:val="18"/>
                <w:color w:val="auto"/>
              </w:rPr>
              <w:t>60,453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31.8 %</w:t>
            </w:r>
          </w:p>
        </w:tc>
        <w:tc>
          <w:tcPr>
            <w:tcW w:w="860" w:type="dxa"/>
            <w:vAlign w:val="bottom"/>
          </w:tcPr>
          <w:p>
            <w:pPr>
              <w:jc w:val="right"/>
              <w:ind w:right="202"/>
              <w:spacing w:after="0"/>
              <w:rPr>
                <w:sz w:val="20"/>
                <w:szCs w:val="20"/>
                <w:color w:val="auto"/>
              </w:rPr>
            </w:pPr>
            <w:r>
              <w:rPr>
                <w:rFonts w:ascii="Arial" w:cs="Arial" w:eastAsia="Arial" w:hAnsi="Arial"/>
                <w:sz w:val="18"/>
                <w:szCs w:val="18"/>
                <w:color w:val="auto"/>
              </w:rPr>
              <w:t>44,246</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33.9 %</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Cost of goods sold increased by $43.2 million, or 50.2%, from 2014 to 2015, primarily due to a 45.6% increase in sales over the prior year. Within our markets, we may sell similar products in different geographic regions at different prices, resulting in different gross margins among our products. Also, within our segments there are various different product types which may have different gross margins. The decrease in gross margin the year ended December 31, 2015 compared to the same period ended December 31, 2014 was primarily the result of a differing product mix in our internet data center and CATV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w w:val="93"/>
              </w:rPr>
              <w:t>Years ended December 31,</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restart"/>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4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vMerge w:val="continue"/>
          </w:tcPr>
          <w:p>
            <w:pPr>
              <w:spacing w:after="0"/>
              <w:rPr>
                <w:sz w:val="14"/>
                <w:szCs w:val="14"/>
                <w:color w:val="auto"/>
              </w:rPr>
            </w:pPr>
          </w:p>
        </w:tc>
        <w:tc>
          <w:tcPr>
            <w:tcW w:w="7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11.0 % $15,970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12.2 % $4,882</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30.6 %</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6,381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6,043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19,771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13.1 %  2,676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15.</w:t>
            </w:r>
            <w:r>
              <w:rPr>
                <w:rFonts w:ascii="Arial" w:cs="Arial" w:eastAsia="Arial" w:hAnsi="Arial"/>
                <w:sz w:val="18"/>
                <w:szCs w:val="18"/>
                <w:u w:val="single" w:color="auto"/>
                <w:color w:val="auto"/>
                <w:w w:val="89"/>
              </w:rPr>
              <w:t>7</w:t>
            </w:r>
            <w:r>
              <w:rPr>
                <w:rFonts w:ascii="Arial" w:cs="Arial" w:eastAsia="Arial" w:hAnsi="Arial"/>
                <w:sz w:val="18"/>
                <w:szCs w:val="18"/>
                <w:color w:val="auto"/>
                <w:w w:val="89"/>
              </w:rPr>
              <w:t xml:space="preserve"> %</w:t>
            </w:r>
          </w:p>
        </w:tc>
        <w:tc>
          <w:tcPr>
            <w:tcW w:w="0" w:type="dxa"/>
            <w:vAlign w:val="bottom"/>
          </w:tcPr>
          <w:p>
            <w:pPr>
              <w:spacing w:after="0"/>
              <w:rPr>
                <w:sz w:val="1"/>
                <w:szCs w:val="1"/>
                <w:color w:val="auto"/>
              </w:rPr>
            </w:pPr>
          </w:p>
        </w:tc>
      </w:tr>
      <w:tr>
        <w:trPr>
          <w:trHeight w:val="217"/>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47,004</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39,108</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7,896</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20.</w:t>
            </w:r>
            <w:r>
              <w:rPr>
                <w:rFonts w:ascii="Arial" w:cs="Arial" w:eastAsia="Arial" w:hAnsi="Arial"/>
                <w:sz w:val="18"/>
                <w:szCs w:val="18"/>
                <w:u w:val="single" w:color="auto"/>
                <w:color w:val="auto"/>
                <w:w w:val="85"/>
              </w:rPr>
              <w:t>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Research and development expense increased by $4.9 million, or 30.6%, from 2014 to 2015. This was primarily due to increases in personnel costs, rent and utilities, R&amp;D work orders and project costs related to 100 Gbps data center products, DOCSIS 3.1-capable CATV products, other new product development, increase in depreciation expense resulting from additional R&amp;D equipment investments, and costs associated with our new R&amp;D center in Lawrenceville, Georgia. The percentage of research and development expenses over sales decreased from 12.2% to 11.0%, from the year ended December 31, 2014 compared to the year ended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Sales and marketing expense increased by $0.3 million, or 5.6%, from 2014 to 2015. This was due to an increase in expenses for a new sales incentive program which was implemented in May, 2014, and an increase in sales commissions directly related to our revenue growth. The percentage of sales and marketing expenses over sales decreased from 4.6% to 3.4% from the year ended December 31, 2014 compared to the year ended December 31,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General and administrative expense increased by $2.7 million, or 15.7%, from 2014 to 2015. This was primarily due to an increase in payroll and benefits, professional fees associated with being a public company and depreciation expense related to relocation of our factory in Taiwan. The percentage of general and administrative expenses over sales decreased from 13.1% to 10.3% from the year ended December 31, 2014 compared to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9"/>
          </w:tcPr>
          <w:p>
            <w:pPr>
              <w:ind w:left="500"/>
              <w:spacing w:after="0"/>
              <w:rPr>
                <w:sz w:val="20"/>
                <w:szCs w:val="20"/>
                <w:color w:val="auto"/>
              </w:rPr>
            </w:pPr>
            <w:r>
              <w:rPr>
                <w:rFonts w:ascii="Arial" w:cs="Arial" w:eastAsia="Arial" w:hAnsi="Arial"/>
                <w:sz w:val="14"/>
                <w:szCs w:val="14"/>
                <w:b w:val="1"/>
                <w:bCs w:val="1"/>
                <w:color w:val="auto"/>
                <w:w w:val="92"/>
              </w:rPr>
              <w:t>Years ended December 31,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vMerge w:val="restart"/>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397"/>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85"/>
              </w:rPr>
              <w:t>revenue</w:t>
            </w:r>
          </w:p>
        </w:tc>
        <w:tc>
          <w:tcPr>
            <w:tcW w:w="680" w:type="dxa"/>
            <w:vAlign w:val="bottom"/>
            <w:tcBorders>
              <w:bottom w:val="single" w:sz="8" w:color="auto"/>
            </w:tcBorders>
            <w:gridSpan w:val="4"/>
            <w:vMerge w:val="continue"/>
          </w:tcPr>
          <w:p>
            <w:pPr>
              <w:spacing w:after="0"/>
              <w:rPr>
                <w:sz w:val="14"/>
                <w:szCs w:val="14"/>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revenue</w:t>
            </w: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460" w:type="dxa"/>
            <w:vAlign w:val="bottom"/>
            <w:tcBorders>
              <w:bottom w:val="single" w:sz="8" w:color="auto"/>
            </w:tcBorders>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gridSpan w:val="12"/>
          </w:tcPr>
          <w:p>
            <w:pPr>
              <w:ind w:left="28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(11.1)%</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(326)</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(692)</w:t>
            </w:r>
          </w:p>
        </w:tc>
        <w:tc>
          <w:tcPr>
            <w:tcW w:w="140" w:type="dxa"/>
            <w:vAlign w:val="bottom"/>
          </w:tcPr>
          <w:p>
            <w:pPr>
              <w:spacing w:after="0"/>
              <w:rPr>
                <w:sz w:val="18"/>
                <w:szCs w:val="18"/>
                <w:color w:val="auto"/>
              </w:rPr>
            </w:pPr>
          </w:p>
        </w:tc>
        <w:tc>
          <w:tcPr>
            <w:tcW w:w="720" w:type="dxa"/>
            <w:vAlign w:val="bottom"/>
            <w:gridSpan w:val="3"/>
          </w:tcPr>
          <w:p>
            <w:pPr>
              <w:jc w:val="right"/>
              <w:ind w:right="10"/>
              <w:spacing w:after="0"/>
              <w:rPr>
                <w:sz w:val="20"/>
                <w:szCs w:val="20"/>
                <w:color w:val="auto"/>
              </w:rPr>
            </w:pPr>
            <w:r>
              <w:rPr>
                <w:rFonts w:ascii="Arial" w:cs="Arial" w:eastAsia="Arial" w:hAnsi="Arial"/>
                <w:sz w:val="18"/>
                <w:szCs w:val="18"/>
                <w:color w:val="auto"/>
                <w:w w:val="90"/>
              </w:rPr>
              <w:t>212.3 %</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0"/>
              </w:rPr>
              <w:t>127.</w:t>
            </w:r>
            <w:r>
              <w:rPr>
                <w:rFonts w:ascii="Arial" w:cs="Arial" w:eastAsia="Arial" w:hAnsi="Arial"/>
                <w:sz w:val="18"/>
                <w:szCs w:val="18"/>
                <w:u w:val="single" w:color="auto"/>
                <w:color w:val="auto"/>
                <w:w w:val="90"/>
              </w:rPr>
              <w:t>6</w:t>
            </w:r>
            <w:r>
              <w:rPr>
                <w:rFonts w:ascii="Arial" w:cs="Arial" w:eastAsia="Arial" w:hAnsi="Arial"/>
                <w:sz w:val="18"/>
                <w:szCs w:val="18"/>
                <w:color w:val="auto"/>
                <w:w w:val="90"/>
              </w:rPr>
              <w:t xml:space="preserve"> %</w:t>
            </w:r>
          </w:p>
        </w:tc>
        <w:tc>
          <w:tcPr>
            <w:tcW w:w="0" w:type="dxa"/>
            <w:vAlign w:val="bottom"/>
          </w:tcPr>
          <w:p>
            <w:pPr>
              <w:spacing w:after="0"/>
              <w:rPr>
                <w:sz w:val="1"/>
                <w:szCs w:val="1"/>
                <w:color w:val="auto"/>
              </w:rPr>
            </w:pPr>
          </w:p>
        </w:tc>
      </w:tr>
      <w:tr>
        <w:trPr>
          <w:trHeight w:val="217"/>
        </w:trPr>
        <w:tc>
          <w:tcPr>
            <w:tcW w:w="326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(2,281)</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(656)</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247.</w:t>
            </w:r>
            <w:r>
              <w:rPr>
                <w:rFonts w:ascii="Arial" w:cs="Arial" w:eastAsia="Arial" w:hAnsi="Arial"/>
                <w:sz w:val="18"/>
                <w:szCs w:val="18"/>
                <w:u w:val="single" w:color="auto"/>
                <w:color w:val="auto"/>
                <w:w w:val="84"/>
              </w:rPr>
              <w:t>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decreased over the same prior year periods due to lower cash and investment balances.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Interest expense increased overall for the periods with additional borrowing activities during the year ended December 31, 2015 to fund expansion projects.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Other expense, net increased by $0.9 million from 2014 to 2015 due to an increase in unrealized foreign exchange losses of $1.3 million resulting from the depreciation of the RMB and NTD currencies against the U.S. dollar compared to those losses in the same prior year period. These unrealized losses were offset by an increase in realized foreign exchange gains of $0.4 million compared to the same prior year period. We qualify as a high-tech enterprise in China, as determined by the Chinese government, and are paid subsidies from time to time by the Chinese government to foster local high-tech manufacturing, which are recorded as other income. We received $0.3 million in subsidy during the year ended December 31, 2015 compared to $0.2 million in the same prior year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6350</wp:posOffset>
            </wp:positionV>
            <wp:extent cx="16725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6300"/>
        <w:spacing w:after="0"/>
        <w:tabs>
          <w:tab w:leader="none" w:pos="6980" w:val="left"/>
          <w:tab w:leader="none" w:pos="79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-3175</wp:posOffset>
            </wp:positionV>
            <wp:extent cx="16725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6420"/>
        <w:spacing w:after="0" w:line="233" w:lineRule="auto"/>
        <w:rPr>
          <w:sz w:val="20"/>
          <w:szCs w:val="20"/>
          <w:color w:val="auto"/>
        </w:rPr>
      </w:pPr>
      <w:r>
        <w:rPr>
          <w:rFonts w:ascii="Arial" w:cs="Arial" w:eastAsia="Arial" w:hAnsi="Arial"/>
          <w:sz w:val="14"/>
          <w:szCs w:val="14"/>
          <w:b w:val="1"/>
          <w:bCs w:val="1"/>
          <w:color w:val="auto"/>
        </w:rPr>
        <w:t>(in thousands, except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(375)</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(199)   (176)</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46.9 %</w:t>
            </w:r>
          </w:p>
        </w:tc>
      </w:tr>
    </w:tbl>
    <w:p>
      <w:pPr>
        <w:spacing w:after="0" w:line="20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income tax expense consisted of U.S. alternative minimum tax, state taxes and Taiwan income tax recorded during the periods. Our effective tax rate was affected by recurring items, such as tax rates in state and foreign jurisdictions and the relative amounts of income we earn in those jurisdictions. It was also affected by the change in the valuation allowance, as our deferred tax assets was fully offset by a deferred tax valuation allowance.</w:t>
      </w:r>
    </w:p>
    <w:p>
      <w:pPr>
        <w:spacing w:after="0" w:line="17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recorded a valuation allowance against all of our deferred tax assets as of December 31, 2015, and 2014. We had determined a full valuation allowance on our deferred tax assets was required until there was sufficient evidence to support that our deferred taxes were realizable. However, given the previous two years of earnings and uncertainty of anticipated future earnings, we believed that there was a reasonable possibility that within that next 12-month period, sufficient positive evidence would become available to allow us to reach a conclusion that a significant portion of the valuation allowance was no longer be needed. Release of the valuation allowance would result in the recognition of certain deferred tax assets and a decrease to income tax expense for the period the release is recorded. However, the exact timing and amount of the valuation allowance release would be subject to change on the basis of the level of profitability that we would be able to actually achieve.</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considering whether or not to continue to maintain the valuation allowance, we considered all available positive and negative evidence, including: historical profits and losses, forecasts of future profits or losses, and trends in the industries that we serve that may have affected our ability to continue to generate profits. In projecting future taxable income, we began with historical results adjusted for the results of discontinued operations and incorporate assumptions about the amount of future state, federal, and foreign pretax operating income adjusted for items that do not have tax consequences. The assumptions about future taxable income required the use of significant judgment and were consistent with the plans and estimates we were using to manage the underlying businesses. We had deferred tax assets in China, Taiwan, and the United States. When considering positive and negative evidence, we analyzed positive and negative evidence in each jurisdiction independently.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From inception until our initial public offering in September 2013, we financed our operations through private sales of equity securities, cash generated from operations and from various lending arrangements. As of December 31, 2016, we had $75.8 million of unused borrowing capacity from all of our loan agreements. As of December 31, 2016, our cash, cash equivalents, restricted cash and short-term investments totaled $52.0 million. Cash and cash equivalents are held for working capital purposes and are invested primarily in money market or time 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 of $250 million. In 2016, the Company sold 1.1 million shares of common stock at a weighted average price of $24.85 per share, providing proceeds of $27.2 million, net of expenses and underwriting discounts and commissions.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10"/>
          </w:tcPr>
          <w:p>
            <w:pPr>
              <w:ind w:left="4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2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$ 57,104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(41,543)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(61,620)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(45,388)</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7"/>
              </w:rPr>
              <w:t>Effect of exchange rates on cash and cash equivalents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r>
      <w:tr>
        <w:trPr>
          <w:trHeight w:val="217"/>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$ 22,150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2016, net cash provided by operating activities was $57.1 million. Net cash provided by operating activities consisted of our net income of $31.2 million, after the exclusion of non-cash items of $9.5 million as well as $10.2 million from the reduction of inventories, increase in accounts payable from our vendors of $9.1 million, decrease in prepaid assets of $4.1 million and an increase in accrued liabilities of $4.1 million. These cash increases were offset by an increase in accounts receivable from our customers of $11.1 million in 2016.</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2015, net cash used in operating activities was $15.2 million. Cash used was primarily from an increase in inventories of $37.5 million to support revenue growth, an increase in accounts receivable from our customers of $7.5 million and a decrease in accounts payable to our vendors of $1.3 million. The cash used was offset by an increase in accrued liabilities of $5.0 million in 2016.</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2014, net cash provided by operating activities was $8.5 million. Accounts payable increases of $18.9 million were offset by an increase in accounts receivable from our customers of $9.7 million and an increase in inventories of $16.1 million to support revenue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consisted primarily of capital expenditures and purchases of intangible assets.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2016, net cash used in investing activities was $41.5 million. Spending on property, plant and equipment of $49.4 million was offset by the maturity of short-term investments of $7.7 million.</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2015, net cash used in investing activities was $61.6 million for the purchase of additional machinery and equipment and for investment in the construction of our U.S. and Taiwan plants. Deferred charges also increased associated with the purchase of new machinery and equipment as well as patent spending.</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2014, net cash used in investing activities was $45.4 million for the purchase of additional machinery and equipment, for investment in leasehold improvements for our Taiwan plant expansion and the payment for intellectual property licenses to support new product development efforts and manufacturing activities as well as an increase in deferred charges.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financing activities have historically consisted primarily of proceeds from the issuance of common stock and arrangements with various commercial lenders.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2016, our financing activities provided $4.6 million in cash. We repaid $22.9 million in net borrowings associated with our bank loans, $2.5 million in net repayments of acceptance payable, offset by decreased restricted cash of $3.0 million related to our bank loan requirements. We also received $27.2 million in net proceeds from the sale of our common stock pursuant to an at-the-market offering.</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2015, our financing activities provided $73.1 million in cash. We received $37.5 million in net borrowings associated with our bank loans, $1.9 million in net proceeds from acceptance payable, offset by increased restricted cash of $4.4 million related to our bank loan requirements. We also received $38.6 million in net proceeds from the sale of our common stock pursuant to an at-the-market offering.</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2014, our financing activities provided $47.3 million in cash. We received $45.7 million in net proceeds from a secondary offering of common stock. Net borrowings associated with our bank loans and bank acceptance payable provided $1.9 million in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lending arrangements with several financial institutions, including a revolving line of credit and a term loan with East West Bank and Comerica Bank in the U.S., lines of credit and financing agreements for our Taiwan branch and several lines of credit arrangements for our China subsidiary. As of December 31, 2016, we had $75.8 million of unused borrowing capacity.</w:t>
      </w:r>
    </w:p>
    <w:p>
      <w:pPr>
        <w:spacing w:after="0" w:line="18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On June 24, 2016, we entered into a First Amendment to our Credit Agreement with East West Bank and Comerica Bank (“First Amendment”), a second lien deed of trust, multiple security agreements and promissory notes evidencing two credit facilities and a term loan originally entered into on June 30, 2015. The First Amendment increased our revolving lines of credit from $25 million to $40 million, which mature on June 30, 2018, and retains a $10.0 million term loan maturing on June 30, 2020. The First Amendment also provides for an additional $10.0 million equipment term loan with a one year drawdown period commencing on April 1, 2016 and maturing five years from the closing date of the First Amendment. The interest rate on these loans was lowered by the First Amendment from the LIBOR Borrowing Rate plus 2.75% or 3.0% to LIBOR Borrowing Rate plus 2.0%. As of December 31, 2016, no balance was outstanding under the revolving line of credit. As of December 31, 2016, $9.5 million was outstanding under the term loan.</w:t>
      </w:r>
    </w:p>
    <w:p>
      <w:pPr>
        <w:spacing w:after="0" w:line="1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also have a term loan with East West Bank of $5.0 million with monthly payments of principal and interest that matures on July 31, 2019. As of December 31, 2016, the outstanding balance was $2.9 million.</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24, 2016, we executed a Change in Terms Agreement, Notice of Final Agreement and Modification of the Construction Loan Agreement (“Modification Agreement”) to our Construction Loan Agreement with East West Bank for up to $22.0 million dollars to finance the construction of our campus expansion plan in Sugar Land, Texas, originally dated January 26, 2015. Upon signing the original Construction Loan Agreement, we deposited $11.0 million into a restricted bank account for owner’s contribution of construction costs. The Modification Agreement has a fifteen (15) month draw down period with monthly interest payments commencing on February 26, 2015 and ending on July 31, 2016. Thereafter, the entire outstanding principal balance shall be converted to a sixty-six (66) month term loan with principal and interest payments due monthly amortized over three hundred (300) months. The first principal and interest payment commenced on August 26, 2016, and continue the same day of each month thereafter. The final principal and interest payment is due on January 26, 2022 and will include all unpaid principal and all accrued and unpaid interest. We may pay without penalty all or a portion of the amount owed earlier than due. Under the Construction Loan Agreement, the loan bears interest at an annual rate based on the one-month LIBOR Borrowing Rate plus 2.75%, and the interest rate is reduced to LIBOR Borrowing Rate plus 2.0% under the Modification Agreement.</w:t>
      </w:r>
    </w:p>
    <w:p>
      <w:pPr>
        <w:spacing w:after="0" w:line="18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On September 27, 2016, we executed a Change in Terms Agreement, Notice of Final Agreement and Second Modification to the Construction Loan Agreement (“Second Modifications”) to the Construction Loan Agreement with East West Bank. The Second Modifications amends and restates in part our Promissory Note and Construction Loan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Agreement, which was originally executed on January 26, 2015, and the Modification Agreement. The draw down period end date, under the Second Modifications, was amended from July 31, 2016 to September 30, 2016. And thereafter, the entire outstanding principal balance shall be converted to a sixty-four (64) month term loan, amended from a sixty-six (66) month term loan, with principal and interest payments due monthly amortized over three hundred (300) months. The first principal and interest payment was due on October 26, 2016 and will continue on the same day of each month thereafter. The final principal and interest payment is due on January 26, 2022 and will include all unpaid principal and all accrued and unpaid interest. Except as expressly changed by the Second Modifications, the terms of the original obligation and the Modification Agreement remain unchanged. As of December 31, 2016, $21.7 million was outstanding under the construction loan.</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loan and security agreements with East West Bank and Comerica Bank require us to maintain certain financial covenants, including a minimum cash balance, a current ratio, a maximum leverage ratio and a minimum fixed charge coverage ratio. Collateral for the U.S. bank loans and line of credit includes substantially all of the assets of the Company. As of December 31, 2016, we were in compliance with all covenants contained in these agreements.</w:t>
      </w:r>
    </w:p>
    <w:p>
      <w:pPr>
        <w:spacing w:after="0" w:line="17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February 19, 2016, our Taiwan branch renewed and increased its credit facility originally dated January 6, 2015 with CTBC Bank Co. Ltd. in Taipei, Taiwan for 320 million New Taiwan dollars, or approximately $10.3 million, one year revolving credit facility. The obligations under the credit facility are unsecured up to $6.3 million; the remaining $4.0 million is available provided that we purchase the same amount of secured certificates of deposit with the bank. Borrowings under the credit facility bear interest at a rate based on the bank’s corporate interest rate index plus 1.5% for the unsecured portion of the credit facility and bank’s corporate interest rate index plus 0.93% for the secured portion of the credit facility, adjusted monthly. As of the execution of the credit facility, the bank’s corporate interest rate index is 0.71%. As of December 31, 2016, there was no outstanding balance for the secured loan or under the unsecured credit facility and both credit facilities expired without renewal.</w:t>
      </w:r>
    </w:p>
    <w:p>
      <w:pPr>
        <w:spacing w:after="0" w:line="18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April 8, 2016, our Taiwan branch renewed its 90 million New Taiwan dollars, or approximately $2.6 million, and 120 million New Taiwan dollars, or approximately $4.0 million, one year revolving credit facilities, originally dated March 9, 2015, with E. Sun Commercial Bank Co., Ltd. in Taipei, Taiwan. Borrowings under the 90 million New Taiwan dollars credit facility bear interest at a rate equal to the LIBOR plus 1.7% divided by 0.946. Borrowings under the 120 million New Taiwan dollars credit facility bear interest at a rate equal to the bank’s personal monthly time deposit interest rate plus 0.480%. Any future borrowings under the 120 million New Taiwan dollars credit facility are available provided that we purchase certificates of deposit in amounts equal to the borrowing from the bank. As of December 31, 2016, there was no outstanding balance under the 120 million New Taiwan dollars credit facility or under the 90 million New Taiwan dollars credit facility.</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22, 2015, our Taiwan branch renewed its $4.0 million credit facility, originally dated December 20, 2013, and entered into a $2.0 million, one year revolving credit facility agreement with Mega International Commercial Bank (“Mega Bank”). Obligations under the $4.0 million credit facility are available provided that we purchase certificates of deposit in amounts equal to the borrowing from Mega Bank. Borrowings under the $4.0 million credit facility bear interest at a rate not less than the LIBOR borrowing rate plus 1.0%, divided by 0.946 for U.S. and other currency borrowings; New Taiwan dollars borrowings bear interest at a rate equal to the bank’s base lending rate plus 0.76%. Borrowings under the $2.0 million credit facility bear interest at a rate not less than the LIBOR borrowing rate plus 1.2%, divided by 0.946 for U.S. dollar borrowings; New Taiwan dollars borrowings bear interest at a rate equal to the bank’s base lending rate plus 0.76% but shall not be less than 1.90%; and other currency borrowings shall bear interest at a rate at the bank’s based lending rate plus 1.0%, divided by 0.946. As of December 31, 2016, there was no outstanding balance under either credit facility and both credit facilities expired without renewal.</w:t>
      </w:r>
    </w:p>
    <w:p>
      <w:pPr>
        <w:spacing w:after="0" w:line="18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April 22, 2016, our Taiwan branch entered into a Comprehensive Credit Line Agreement originally dated April 1, 2015, with the Taipei branch of China Construction Bank, providing a revolving credit line of $10 million, maturing on March 15, 2017. Borrowings under the Comprehensive Credit Line Agreement are secured by a standby letter of credit issued by the China branch of the bank under existing agreements between the bank and our China subsidiary. Borrowings under the Comprehensive Credit Line Agreement reduce the amounts available under the existing credit line between the bank and our China subsidiary and cannot exceed 97% of the amount of the standby letter of credit issued by the China branch of the bank. Borrowings under the Comprehensive Credit Line Agreement bear interest at a rate negotiated separately for each drawing depending on the nature of the borrowings. As of December 31, 2016, there was no outstanding balance under this credit facility.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June 30, 2015, our Taiwan branch entered into a Purchase and Sale Contract and a Finance Lease Agreement with Chailease Finance Co, Ltd. (“Chailease”) in connection with certain equipment, structured as a sale lease-back transaction. Pursuant to the sale contract, our Taiwan branch sold certain equipment to Chailease for a purchase price of 115,240,903 New Taiwan dollars, approximately $3.7 million, and simultaneously leased the equipment back from Chailease pursuant to the Finance Lease Agreement. The monthly lease payments range from 2,088,804 New Taiwan dollars, approximately $0.1 million, to 2,364,650 New Taiwan dollars, approximately $0.1 million, during the term of the Finance Lease Agreement, including an initial payment in an amount of 40,240,903 New Taiwan dollars, approximately $1.3 million. The Finance Lease Agreement has a three-year term, with monthly payments, maturing on May 27 and June 30, 2018 respectively. The title to the equipment will be transferred to our Taiwan branch upon the expiration of the Finance Lease Agreement. As of December 31, 2016, $2.9 million was outstanding under this Finance Lease Agreement.</w:t>
      </w:r>
    </w:p>
    <w:p>
      <w:pPr>
        <w:spacing w:after="0" w:line="16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March 31, 2016, our Taiwan branch entered into a Purchase and Sale Contract and a Finance Lease Agreement with Chailease in connection with certain equipment, structured as a sale lease-back transaction. Pursuant to the Purchase and Sale Contract, our Taiwan branch sold certain equipment to Chailease for a purchase price of 312,927,180 New Taiwan dollars, approximately $10.1 million, and simultaneously leased the equipment back from Chailease pursuant to the Finance Lease Agreement. The Finance Lease Agreement has a three-year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our Taiwan branch upon the expiration of the Finance Lease Agreement. As of December 31, 2016, $5.8 million was outstanding under this Finance Lease Agreement.</w:t>
      </w:r>
    </w:p>
    <w:p>
      <w:pPr>
        <w:spacing w:after="0" w:line="16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As of December 31, 2016, our Chinese subsidiary had credit facilities with China Construction Bank totaling $13.2 million, which can be drawn in U.S. currency, RMB currency, issuing bank acceptance notes to vendors with different interest rates or issuing standby letters of credit. We pledged the land use rights and buildings of our Chinese subsidiary as collateral for the credit facility. As of December 31, 2016, our Chinese subsidiary used $10.0 million of its credit facility to issue standby letters of credit as collateral for our Taiwan branch line of credit with China Construction Bank. As of December 31, 2016, no balance was outstanding for the U.S. currency based loan. The outstanding balances of bank acceptance notes issued to vendors were $0.3 million with zero interest rate as of December 31, 2016.</w:t>
      </w:r>
    </w:p>
    <w:p>
      <w:pPr>
        <w:spacing w:after="0" w:line="16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of December 31, 2016, there was $1.7 million of restricted cash, investments or security deposit associated mainly with the loan facilities.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0.77167% and 0.42950% at December 31, 2016 and 2015, respectively.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18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including equity financing under our Registration Statement filed with the SEC in October 2016. The sale of additional equity or convertible securities could result in additional dilution to our stockholders, and the terms and prices of any such sale may not be acceptable to us. If we are unable to raise additional capital when desired, our business, operating results and financial condition would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1"/>
              </w:rPr>
              <w:t>Payments due by period</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w w:val="95"/>
              </w:rPr>
              <w:t>Less than 1</w:t>
            </w:r>
          </w:p>
        </w:tc>
        <w:tc>
          <w:tcPr>
            <w:tcW w:w="16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3-5 Years</w:t>
            </w:r>
          </w:p>
        </w:tc>
        <w:tc>
          <w:tcPr>
            <w:tcW w:w="1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and long-term debt</w:t>
            </w:r>
            <w:r>
              <w:rPr>
                <w:rFonts w:ascii="Arial" w:cs="Arial" w:eastAsia="Arial" w:hAnsi="Arial"/>
                <w:sz w:val="8"/>
                <w:szCs w:val="8"/>
                <w:color w:val="auto"/>
              </w:rPr>
              <w:t>(1)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$ 46,228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8"/>
                <w:szCs w:val="8"/>
                <w:color w:val="auto"/>
              </w:rPr>
              <w:t>(2)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12,724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commitments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58,952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17,324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9,549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$ 22,118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560" w:hanging="215"/>
        <w:spacing w:after="0" w:line="271" w:lineRule="auto"/>
        <w:rPr>
          <w:sz w:val="20"/>
          <w:szCs w:val="20"/>
          <w:color w:val="auto"/>
        </w:rPr>
      </w:pPr>
      <w:r>
        <w:rPr>
          <w:rFonts w:ascii="Arial" w:cs="Arial" w:eastAsia="Arial" w:hAnsi="Arial"/>
          <w:sz w:val="17"/>
          <w:szCs w:val="17"/>
          <w:color w:val="auto"/>
        </w:rPr>
        <w:t>(1)We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spacing w:after="0"/>
        <w:rPr>
          <w:sz w:val="20"/>
          <w:szCs w:val="20"/>
          <w:color w:val="auto"/>
        </w:rPr>
      </w:pPr>
      <w:r>
        <w:rPr>
          <w:rFonts w:ascii="Arial" w:cs="Arial" w:eastAsia="Arial" w:hAnsi="Arial"/>
          <w:sz w:val="17"/>
          <w:szCs w:val="17"/>
          <w:color w:val="auto"/>
        </w:rPr>
        <w:t>(2) We have entered into various non-cancellable operating lease agreements for our offices in Taiwan and the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During 2016, 2015 and 2014,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6"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We believe that of our significant accounting policies, which are described in Note B to our consolidated financial statements appearing elsewhere in this prospectus, the following accounting policies involve a greater degree of judgment and complexity. Accordingly, we believe these are the most critical to fully understand and evaluate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generally employ a direct sales model in North America, and in the rest of the world we use both direct and indirect channels. Our revenue recognition policy is to recognize gross revenue whether our products are sold on a direct or indirect basis, because our reseller customers (indirect channel) take title to our products and honor the same terms and conditions as do our direct sales customers. We recognize revenue from the sale of our products provided that persuasive evidence of an arrangement exists, performance obligations have been satisfied, the price is fixed or determinable and collectability is reasonably assured. Contracts or customer purchase orders are used to determine the existence of an arrangement. Shipping documents are used to verify delivery. We assess whether the price is fixed or determinable based on the payment terms associated with the transaction. We assess collectability based primarily on the creditworthiness of the customer as determined by credit checks and the customer’s payment history. Customers are generally extended net 30 credit terms from the date of shipment, with some extensions for more creditworthy customers.</w:t>
      </w:r>
    </w:p>
    <w:p>
      <w:pPr>
        <w:spacing w:after="0" w:line="16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Whether our products are sold on a direct or indirect basis, 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In some cases we may provide for title transfer to the customer upon delivery of the goods to the customer. We determine payments made to third party sales representatives are appropriately recorded to sales and marketing expense and not a reduction of revenue. Shipping and handling costs are included in cost of goods sold. We present revenue net of sales returns and allowances, sales taxes and any similar assessments. We provided a limited warranty as part of our standard terms and conditions of sale. This warranty provides for the repair or replacement of our products, at our discretion, that we determined (i) are defective in workmanship, material, or not in compliance with the mutually agreed written applicable specification and (ii) has in fact failed under normal use on or before one year from the date of original shipment of the products. Some of our customers are provided limited warranties between three to five years, on certain limited and identified products. Warranty costs associated with returned goods that are repaired or replaced are charged to cost of goods sold.</w:t>
      </w:r>
    </w:p>
    <w:p>
      <w:pPr>
        <w:spacing w:after="0" w:line="16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During our ordinary course of business, we may enter into new product development agreements to design, customize and develop new products for our customers. Such new product development agreements often involves material cost and engineering hours and therefore non-recurring engineering service (NRE) charges are agreed upon for the customer to reimburse our related costs. We adopt the milestone method in revenue recognition for NRE revenues by using cost-input measurement. We capitalize cost input up to the contractual agreement amount and recognize NRE revenues based upon the agreement schedule. Contracts or customer purchase orders are often used to determine the existence of service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Stock option fair value is calculated on the date of grant using the Black-Scholes valuation model. The compensation cost is then recognized on a straight-line basis over the requisite service period of the option, which is generally the option vesting term of four years. The Black-Scholes valuation model requires us to estimate key assumptions such as expected term, volatility, dividend yield and risk-free interest rates that determine the stock option fair value. In addition, we estimate forfeitures at the time of grant. As there had been no market for our common stock prior to our initial public offering, the expected volatility for options granted to date was derived from an analysis of reported data for a peer group of companies that issued options with similar terms. The expected volatility has been determined using an average of the expected volatility reported by this peer group of companies. We use a risk free interest rate based on the 10-year Treasury as reported during the period. The expected term of the options has been determined utilizing the simplified method which calculates a simple average based on vesting period and option life. We do not anticipate paying dividends in the near future. Estimated forfeitures are based on historical experience and future work force projections.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Depreciation and amortization of the intangible assets and other long-lived assets is provided using the straight-line method over their respective estimated useful lives, reflecting the pattern of economic benefits associated with these assets. Changes in circumstances such as technological advances, changes to our business model, or changes in our capital strategy could cause the actual useful lives of intangible assets or other long-lived assets to differ from initial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estimates. In those cases where we determine that the useful life of an asset should be revised, we depreciate the remaining net book value over the new estimated useful life.</w:t>
      </w:r>
    </w:p>
    <w:p>
      <w:pPr>
        <w:spacing w:after="0" w:line="170"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Our long-lived assets are evaluated for impairment whenever events or changes in circumstances indicate that the carrying amount of such assets may not be recoverable. We value on an asset-by-asset basis our long-lived assets and will recognize an impairment loss when the sum of such valuation is less than the carrying amount of such assets. The values, based on reasonable and supportable assumptions and projections, require subjective judgments. Depending on the assumptions and estimates used, the values projected in the evaluation of long-lived assets can vary within a range of outcomes. We consider the likelihood of possible outcomes in determining the best estimate for the value of the assets. We did not record any asset impairment charges in 2016 or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inventories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Inventories are stated at the lower of cost (average-cost method) or market. Work in process and finished goods includes materials, labor and allocated overhead. We assess the valuation of our inventory on a periodic basis and provide an allowance for the value of estimated excess and obsolete inventory based on estimates of future demand. During the years ended December 31, 2016, 2015 and 2014, we recorded excess and obsolete inventory charges of $3.7 million, $2.8 million, and $0.9 million, respectively.</w:t>
      </w:r>
    </w:p>
    <w:p>
      <w:pPr>
        <w:spacing w:after="0" w:line="18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have an accounting policy to write down the value of obsolete inventory. 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211D1E"/>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5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Restricted Cash,</w:t>
      </w:r>
      <w:r>
        <w:rPr>
          <w:rFonts w:ascii="Arial" w:cs="Arial" w:eastAsia="Arial" w:hAnsi="Arial"/>
          <w:sz w:val="18"/>
          <w:szCs w:val="18"/>
          <w:color w:val="auto"/>
        </w:rPr>
        <w:t xml:space="preserve"> providing guidance on the presentation of restricted cash or restricted cash equivalents in the statement of cash flows. ASU 2016-18 is effective for interim and annual periods beginning after December 31, 2017, with early adoption permitted. The amendments in this ASU would be applied using a retrospective approach. We are evaluating the impact of the accounting standard on our financial statements.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Cash Receipts and Cash Payments</w:t>
      </w:r>
      <w:r>
        <w:rPr>
          <w:rFonts w:ascii="Arial" w:cs="Arial" w:eastAsia="Arial" w:hAnsi="Arial"/>
          <w:sz w:val="17"/>
          <w:szCs w:val="17"/>
          <w:color w:val="auto"/>
        </w:rPr>
        <w:t>. The ASU update addresses eight specific cash flow issues that currently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diverse practices, including debt prepayment or debt extinguishment costs, contingent consideration payments made after a business combination and separately identifiable cash flows and applicable of the predominance principle. ASU 2016-15 is effective for interim and annual periods beginning after December 31, 2017, with early adoption permitted. We are evaluating the impact of the accounting standard on our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to simplify several aspects of accounting for share-based payment transactions, including the following areas: accounting for excess tax benefits and tax deficiencies; classifying excess tax benefits on the statement of cash flows; accounting for forfeitures; classifying awards that permit share repurchases to satisfy statutory tax withholding requirements; classifying tax payments on behalf of employees on the statement of cash flows; and, for nonpublic entities only, determining the expected term and electing the intrinsic value measurement alternative for stock option awards. The new guidance is effective for public business entities in fiscal years beginning after December 15, 2016, and in the interim periods within those fiscal years. The guidance requires a mix of prospective, modified retrospective and retrospective transition. We expect to recognize approximately $1.3 million of windfall tax benefits as a cumulative effect adjustment to opening retained earnings in the first quarter of 2017 upon adoption of ASU 2016-09. .</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On February 25, 2016, the FASB released Accounting Standards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 complete its project to overhaul lease accounting. The ASU codifies ASC 842, Leases, which will replace the guidance in ASC 840. The new guidance will require lessees to recognize most leases on the balance sheet for capital and operating leases. The new guidance is effective for public business entities in fiscal years beginning after December 15, 2018. We are evaluating the impact of the accounting standard on our financial statements, by reviewing the standard itself as well as reviewing literature about the new standard produced by nationally-recognized accounting firms and other third parties.</w:t>
      </w:r>
    </w:p>
    <w:p>
      <w:pPr>
        <w:spacing w:after="0" w:line="16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 xml:space="preserve">The FASB issued ASU No. 2016-01,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Financial Assets and Financial Liabilities. </w:t>
      </w:r>
      <w:r>
        <w:rPr>
          <w:rFonts w:ascii="Arial" w:cs="Arial" w:eastAsia="Arial" w:hAnsi="Arial"/>
          <w:sz w:val="17"/>
          <w:szCs w:val="17"/>
          <w:color w:val="auto"/>
        </w:rPr>
        <w:t>The new guidance is intended to improve the recognition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of financial instruments. The ASU affects public and private companies, not-for-profit organizations, and employee benefit plans that hold financial assets or owe financial liabilities. The new guidance is effective for public companies for fiscal years beginning after December 15, 2017, including interim periods within those fiscal years. We are evaluating the impact of the accounting standard on our financial statements.</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during November 2015</w:t>
      </w:r>
      <w:r>
        <w:rPr>
          <w:rFonts w:ascii="Arial" w:cs="Arial" w:eastAsia="Arial" w:hAnsi="Arial"/>
          <w:sz w:val="16"/>
          <w:szCs w:val="16"/>
          <w:i w:val="1"/>
          <w:iCs w:val="1"/>
          <w:color w:val="auto"/>
        </w:rPr>
        <w:t>,</w:t>
      </w:r>
      <w:r>
        <w:rPr>
          <w:rFonts w:ascii="Arial" w:cs="Arial" w:eastAsia="Arial" w:hAnsi="Arial"/>
          <w:sz w:val="16"/>
          <w:szCs w:val="16"/>
          <w:color w:val="auto"/>
        </w:rPr>
        <w:t xml:space="preserve"> which simplifies the presentation of deferred income taxes. This ASU provides presentation requirements to classify deferred tax assets and liabilities as noncurrent in a statement of financial position. The standard is effective for fiscal years beginning after December 15, 2016, including interim periods within that reporting period. Early adoption is permitted for any interim and annual financial statements that have not yet been issued. The ASU may be applied either prospectively to all deferred tax liabilities and assets or retrospectively to all periods presented. We early adopted this standard effective December 31, 2015 on a retrospective basis which resulted in a reclassification of our net current deferred tax asset to the net non-current deferred tax asset as of December 31, 2015. The adoption of this ASU had no impact on the balance sheet or income statement as we had a full valuation allowance as of December 31, 2015.</w:t>
      </w:r>
    </w:p>
    <w:p>
      <w:pPr>
        <w:spacing w:after="0" w:line="167"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 xml:space="preserve">The FASB issued ASU No. 2015-11, </w:t>
      </w:r>
      <w:r>
        <w:rPr>
          <w:rFonts w:ascii="Arial" w:cs="Arial" w:eastAsia="Arial" w:hAnsi="Arial"/>
          <w:sz w:val="16"/>
          <w:szCs w:val="16"/>
          <w:i w:val="1"/>
          <w:iCs w:val="1"/>
          <w:color w:val="auto"/>
        </w:rPr>
        <w:t>Inventory</w:t>
      </w:r>
      <w:r>
        <w:rPr>
          <w:rFonts w:ascii="Arial" w:cs="Arial" w:eastAsia="Arial" w:hAnsi="Arial"/>
          <w:sz w:val="16"/>
          <w:szCs w:val="16"/>
          <w:color w:val="auto"/>
        </w:rPr>
        <w:t xml:space="preserve"> in July 2015 to require entity to measure inventory at the lower of cost or market. Market could be replacement cost, net realizable value, or net realizable value less an approximately normal profit margin. We early adopted this ASU which had no material impact on the financial statements.</w:t>
      </w:r>
    </w:p>
    <w:p>
      <w:pPr>
        <w:spacing w:after="0" w:line="147"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 - Imputation of Interest (Subtopic 835-30): Simplifying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Presentation of Debt Issuance Costs, </w:t>
      </w:r>
      <w:r>
        <w:rPr>
          <w:rFonts w:ascii="Arial" w:cs="Arial" w:eastAsia="Arial" w:hAnsi="Arial"/>
          <w:sz w:val="16"/>
          <w:szCs w:val="16"/>
          <w:color w:val="auto"/>
        </w:rPr>
        <w:t>which requires the presentation of debt issuance costs related to a recognized debt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as a direct deduction from the carrying amount of that debt liability. ASU 2015-03 does not address presentation or subsequent measurement of debt issuance costs related to line-of-credit arrangements. Given the absence of authoritative guidance within ASU 2015-03 for debt issuance costs related to line-of-credit arrangements,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We early adopted this ASU which had no material impact on the financial statements.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continue to evaluate the impact of the accounting standard on our financial statements. In order to determine the effect of the new standard, during 2016 we attended live and web-based training sessions hosted by experts on the new standard, identified key areas in our business that could be affected by the standard and hosted internal training sessions on the new standard for accounting staff. We have also begun to evaluate our internal controls framework to identify any new controls that may be necessary to comply with the new standard. Although this determination is subject to change as we continue to evaluate the new standard, based on our review to date, we do not believe that the new standard will have a material effect on our financial statements. We plan to adopt the new standards after December 15, 2017.</w:t>
      </w:r>
    </w:p>
    <w:p>
      <w:pPr>
        <w:spacing w:after="0" w:line="16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highlight w:val="white"/>
        </w:rPr>
        <w:t>Disclosure of Uncertainties About an Entity's Ability to</w:t>
      </w:r>
      <w:r>
        <w:rPr>
          <w:rFonts w:ascii="Arial" w:cs="Arial" w:eastAsia="Arial" w:hAnsi="Arial"/>
          <w:sz w:val="17"/>
          <w:szCs w:val="17"/>
          <w:color w:val="auto"/>
        </w:rPr>
        <w:t xml:space="preserve"> </w:t>
      </w:r>
      <w:r>
        <w:rPr>
          <w:rFonts w:ascii="Arial" w:cs="Arial" w:eastAsia="Arial" w:hAnsi="Arial"/>
          <w:sz w:val="17"/>
          <w:szCs w:val="17"/>
          <w:i w:val="1"/>
          <w:iCs w:val="1"/>
          <w:color w:val="auto"/>
          <w:highlight w:val="white"/>
        </w:rPr>
        <w:t xml:space="preserve">Continue as a Going Concern (Subtopic 205-40), </w:t>
      </w:r>
      <w:r>
        <w:rPr>
          <w:rFonts w:ascii="Arial" w:cs="Arial" w:eastAsia="Arial" w:hAnsi="Arial"/>
          <w:sz w:val="17"/>
          <w:szCs w:val="17"/>
          <w:color w:val="auto"/>
          <w:highlight w:val="white"/>
        </w:rPr>
        <w:t>which provides guidance on determining when and how to disclose going</w:t>
      </w:r>
      <w:r>
        <w:rPr>
          <w:rFonts w:ascii="Arial" w:cs="Arial" w:eastAsia="Arial" w:hAnsi="Arial"/>
          <w:sz w:val="17"/>
          <w:szCs w:val="17"/>
          <w:i w:val="1"/>
          <w:iCs w:val="1"/>
          <w:color w:val="auto"/>
          <w:highlight w:val="white"/>
        </w:rPr>
        <w:t xml:space="preserve"> </w:t>
      </w:r>
      <w:r>
        <w:rPr>
          <w:rFonts w:ascii="Arial" w:cs="Arial" w:eastAsia="Arial" w:hAnsi="Arial"/>
          <w:sz w:val="17"/>
          <w:szCs w:val="17"/>
          <w:color w:val="auto"/>
          <w:highlight w:val="white"/>
        </w:rPr>
        <w:t>concern uncertainties in the financial statements. The new standard requires management to perform interim and annual assessments of an entity's ability to continue as a going concern. The update is effective for annual periods ending after December 15, 2016, and interim periods thereafter. In the fourth quarter of 2016, we adopted this ASU, which resulted in a determination that no going concern disclosure is needed at this time.</w:t>
      </w:r>
    </w:p>
    <w:p>
      <w:pPr>
        <w:spacing w:after="0" w:line="39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73" w:lineRule="exact"/>
        <w:rPr>
          <w:sz w:val="20"/>
          <w:szCs w:val="20"/>
          <w:color w:val="auto"/>
        </w:rPr>
      </w:pPr>
    </w:p>
    <w:p>
      <w:pPr>
        <w:ind w:right="420" w:firstLine="648"/>
        <w:spacing w:after="0" w:line="276" w:lineRule="auto"/>
        <w:rPr>
          <w:sz w:val="20"/>
          <w:szCs w:val="20"/>
          <w:color w:val="auto"/>
        </w:rPr>
      </w:pPr>
      <w:r>
        <w:rPr>
          <w:rFonts w:ascii="Arial" w:cs="Arial" w:eastAsia="Arial" w:hAnsi="Arial"/>
          <w:sz w:val="17"/>
          <w:szCs w:val="17"/>
          <w:color w:val="auto"/>
        </w:rPr>
        <w:t>We are exposed to market risk due to the possibility of changing interest rates associated with certain debt instruments. As of December 31, 2016, our U.S. debt bears a variable rate of interest that is based on LIBOR. The debt subject to variable rates is subject to fluctuation in the LIBOR. As of December 31, 2016, the interest on our China debt varied based on when each term loan is drawn. Once drawn the interest remains fixed for the term of that draw. As of December 31, 2016, we had not hedged our interest rate risk.</w:t>
      </w:r>
    </w:p>
    <w:p>
      <w:pPr>
        <w:spacing w:after="0" w:line="173"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With respect to our interest expense for the three months ended December 31, 2016, an increase of 1.0% in each of our interest rates would have resulted in an increase of $0.4 million in our interest expense for such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(deficit) and comprehensive income.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U.S. loan to foreign subsidiaries are long-term investments. Therefore, exchange gain/(loss) arising from re-measurement of U.S. loans were recorded in the Cumulative Translation Adjustment accounts.</w:t>
      </w:r>
    </w:p>
    <w:p>
      <w:pPr>
        <w:spacing w:after="0" w:line="16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year ended December 31, 2016, we recognized $0.6 million of exchange losses arising from foreign currency transactions and re-measurement of monetary assets and liabilities dominated in non-functional currency on balance sheet date.</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During the year ended December 31, 2016, 1.27% of our revenue was denominated in RMB and less than 1% of revenue was denominated in NT dollars. In the year ended December 31, 2016, 18.6% of our operating expenses were denominated in RMB and 35.5% of our operating expenses were denominated in NT dollars. Accordingly, fluctuations in exchange rates directly affect our cost of goods sold and net income, and have a significant impact on our operating margins. If exchange rates of RMB and NT dollars for U.S. dollars were 1% higher during the year ended December 31, 2016, our operating expenses would have been higher by $0.3 million.</w:t>
      </w:r>
    </w:p>
    <w:p>
      <w:pPr>
        <w:spacing w:after="0" w:line="17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As of December 31, 2016, we held the U.S. dollar denominated liabilities net of assets of approximately</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$2.1 million in our China subsidiary and $7.6 million in our Taiwan branch. With respect to these U.S. Dollar denominated net liabilities as of December 31, 2016, if exchange rates of RMB and NT dollars for U.S. dollars were 1.0% higher during the year ended December 31, 2016, our other operating expenses would have been reduced by $0.1 million. Any significant revaluation of the RMB and NT dollars may materially and adversely affect the cash flows, revenues, and net income as reported in U.S. Dollars.</w:t>
      </w:r>
    </w:p>
    <w:p>
      <w:pPr>
        <w:spacing w:after="0" w:line="19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currently do not use derivative financial instruments to mitigate this exposure. We continue to review this issue and may consider hedging certain foreign exchange risks through the use of currency forwards or options in future years.</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consolidated financial statements and accompanying notes set forth on pages F-1 through F-30 of this Annual Report on Form 10-K</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1180" w:hanging="52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9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3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2016. Based upon that evaluation, our Chief Executive Officer and Chief Financial Officer concluded that, as of the end of the period covered in this report, our disclosure controls and procedures were 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0" w:hanging="549"/>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p>
    <w:p>
      <w:pPr>
        <w:spacing w:after="0" w:line="19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of the Exchange Act). Internal control over financial reporting is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154"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Our management conducted an evaluation of the effectiveness of our internal control over financial reporting as of the end of the period covered by this Annual Report on Form 10-K based on the framework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 of the Treadway Commission. Based on this</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management concluded that our internal control over financial reporting was effective as of December 31, 2016.</w:t>
      </w:r>
    </w:p>
    <w:p>
      <w:pPr>
        <w:spacing w:after="0" w:line="12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60" w:lineRule="exact"/>
        <w:rPr>
          <w:sz w:val="20"/>
          <w:szCs w:val="20"/>
          <w:color w:val="auto"/>
        </w:rPr>
      </w:pPr>
    </w:p>
    <w:p>
      <w:pPr>
        <w:ind w:left="1180" w:hanging="52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5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75"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our definitive Proxy Statement for the 2017 Annual Meeting of Stockholders (our “Proxy Statement”), a copy of which will be filed with the Securities and Exchange Commission within 120 days after the end of our fiscal year ended December 31, 2016.</w:t>
      </w:r>
    </w:p>
    <w:p>
      <w:pPr>
        <w:spacing w:after="0" w:line="148"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the section entitled “Management” in our Proxy Statement.</w:t>
      </w:r>
    </w:p>
    <w:p>
      <w:pPr>
        <w:spacing w:after="0" w:line="143"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our Proxy Statement.</w:t>
      </w:r>
    </w:p>
    <w:p>
      <w:pPr>
        <w:spacing w:after="0" w:line="143"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17"/>
          <w:szCs w:val="17"/>
          <w:color w:val="auto"/>
        </w:rPr>
        <w:t>The information required with respect to procedures by which security holders may recommend nominees to our board of directors, the composition of our Audit Committee, and whether the Company has an “audit committee financial expert”, is incorporated by reference from the information contained in our Proxy Statement.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Code of Ethics</w:t>
      </w:r>
    </w:p>
    <w:p>
      <w:pPr>
        <w:spacing w:after="0" w:line="171"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intends to satisfy the public disclosure requirements regarding (1) any amendments to the Code, or</w:t>
      </w:r>
    </w:p>
    <w:p>
      <w:pPr>
        <w:spacing w:after="0" w:line="21" w:lineRule="exact"/>
        <w:rPr>
          <w:sz w:val="20"/>
          <w:szCs w:val="20"/>
          <w:color w:val="auto"/>
        </w:rPr>
      </w:pPr>
    </w:p>
    <w:p>
      <w:pPr>
        <w:ind w:right="40" w:firstLine="3"/>
        <w:spacing w:after="0" w:line="226"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2016.</w:t>
      </w:r>
    </w:p>
    <w:p>
      <w:pPr>
        <w:spacing w:after="0" w:line="14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75"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contained in the sections entitled “Executive Compensation,” and “Director Compensation,” “Compensation Committee Report” in our Proxy Statement.</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75" w:lineRule="exact"/>
        <w:rPr>
          <w:sz w:val="20"/>
          <w:szCs w:val="20"/>
          <w:color w:val="auto"/>
        </w:rPr>
      </w:pPr>
    </w:p>
    <w:p>
      <w:pPr>
        <w:jc w:val="both"/>
        <w:ind w:right="120" w:firstLine="648"/>
        <w:spacing w:after="0" w:line="235"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48"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16"/>
          <w:szCs w:val="16"/>
          <w:color w:val="auto"/>
        </w:rPr>
        <w:t>The information required regarding securities authorized for issuance our equity compensation plans is incorporated herein by reference from the information contained in the section entitled “Employee Benefit Plans” in our Proxy Statement.</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5"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our Proxy Statement.</w:t>
      </w:r>
    </w:p>
    <w:p>
      <w:pPr>
        <w:spacing w:after="0" w:line="1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75" w:lineRule="exact"/>
        <w:rPr>
          <w:sz w:val="20"/>
          <w:szCs w:val="20"/>
          <w:color w:val="auto"/>
        </w:rPr>
      </w:pPr>
    </w:p>
    <w:p>
      <w:pPr>
        <w:ind w:right="240" w:firstLine="648"/>
        <w:spacing w:after="0" w:line="253" w:lineRule="auto"/>
        <w:rPr>
          <w:sz w:val="20"/>
          <w:szCs w:val="20"/>
          <w:color w:val="auto"/>
        </w:rPr>
      </w:pPr>
      <w:r>
        <w:rPr>
          <w:rFonts w:ascii="Arial" w:cs="Arial" w:eastAsia="Arial" w:hAnsi="Arial"/>
          <w:sz w:val="17"/>
          <w:szCs w:val="17"/>
          <w:color w:val="auto"/>
        </w:rPr>
        <w:t>The information required by Part III, Item 14, regarding principal accounting fees and services is incorporated by reference from the information contained in our Proxy Statement, a copy of which will be filed with the Securities and Exchange Commission within 120 days after the end of our fiscal year ended December 31, 2016.</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Statements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right="79" w:firstLine="648"/>
        <w:spacing w:after="0" w:line="277" w:lineRule="auto"/>
        <w:rPr>
          <w:sz w:val="20"/>
          <w:szCs w:val="20"/>
          <w:color w:val="auto"/>
        </w:rPr>
      </w:pPr>
      <w:r>
        <w:rPr>
          <w:rFonts w:ascii="Arial" w:cs="Arial" w:eastAsia="Arial" w:hAnsi="Arial"/>
          <w:sz w:val="18"/>
          <w:szCs w:val="18"/>
          <w:color w:val="auto"/>
        </w:rPr>
        <w:t>See the Exhibit Index which follows the signature page of this Annual Report on Form 10-K, which is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right="239" w:firstLine="648"/>
        <w:spacing w:after="0" w:line="308" w:lineRule="auto"/>
        <w:rPr>
          <w:sz w:val="20"/>
          <w:szCs w:val="20"/>
          <w:color w:val="auto"/>
        </w:rPr>
      </w:pPr>
      <w:r>
        <w:rPr>
          <w:rFonts w:ascii="Arial" w:cs="Arial" w:eastAsia="Arial" w:hAnsi="Arial"/>
          <w:sz w:val="17"/>
          <w:szCs w:val="17"/>
          <w:color w:val="auto"/>
        </w:rPr>
        <w:t>Financial statement schedules have been omitted, as the information required to be set forth therein is included in the Consolidated Financial Statements or Notes thereto appearing in this Annual Report on Form 10-K.</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Form 10-K to be signed on its behalf by the undersigned, thereunto duly authorized, on March 9, 2017.</w:t>
      </w:r>
    </w:p>
    <w:p>
      <w:pPr>
        <w:spacing w:after="0" w:line="3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APPLIED OPTOELECTRONICS, INC.</w:t>
      </w:r>
    </w:p>
    <w:p>
      <w:pPr>
        <w:spacing w:after="0" w:line="121" w:lineRule="exact"/>
        <w:rPr>
          <w:sz w:val="20"/>
          <w:szCs w:val="20"/>
          <w:color w:val="auto"/>
        </w:rPr>
      </w:pPr>
    </w:p>
    <w:p>
      <w:pPr>
        <w:ind w:left="516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6350</wp:posOffset>
            </wp:positionV>
            <wp:extent cx="31299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jc w:val="center"/>
        <w:ind w:left="5480"/>
        <w:spacing w:after="0" w:line="232" w:lineRule="auto"/>
        <w:rPr>
          <w:sz w:val="20"/>
          <w:szCs w:val="20"/>
          <w:color w:val="auto"/>
        </w:rPr>
      </w:pPr>
      <w:r>
        <w:rPr>
          <w:rFonts w:ascii="Arial" w:cs="Arial" w:eastAsia="Arial" w:hAnsi="Arial"/>
          <w:sz w:val="18"/>
          <w:szCs w:val="18"/>
          <w:color w:val="auto"/>
        </w:rPr>
        <w:t>Chih-Hsiang (Thompson) Lin,</w:t>
      </w:r>
    </w:p>
    <w:p>
      <w:pPr>
        <w:jc w:val="center"/>
        <w:ind w:left="5480"/>
        <w:spacing w:after="0" w:line="219" w:lineRule="auto"/>
        <w:rPr>
          <w:sz w:val="20"/>
          <w:szCs w:val="20"/>
          <w:color w:val="auto"/>
        </w:rPr>
      </w:pPr>
      <w:r>
        <w:rPr>
          <w:rFonts w:ascii="Arial" w:cs="Arial" w:eastAsia="Arial" w:hAnsi="Arial"/>
          <w:sz w:val="18"/>
          <w:szCs w:val="18"/>
          <w:i w:val="1"/>
          <w:iCs w:val="1"/>
          <w:color w:val="auto"/>
        </w:rPr>
        <w:t>President and Chief Executive Officer and</w:t>
      </w:r>
    </w:p>
    <w:p>
      <w:pPr>
        <w:jc w:val="center"/>
        <w:ind w:left="5480"/>
        <w:spacing w:after="0" w:line="220" w:lineRule="auto"/>
        <w:rPr>
          <w:sz w:val="20"/>
          <w:szCs w:val="20"/>
          <w:color w:val="auto"/>
        </w:rPr>
      </w:pPr>
      <w:r>
        <w:rPr>
          <w:rFonts w:ascii="Arial" w:cs="Arial" w:eastAsia="Arial" w:hAnsi="Arial"/>
          <w:sz w:val="18"/>
          <w:szCs w:val="18"/>
          <w:i w:val="1"/>
          <w:iCs w:val="1"/>
          <w:color w:val="auto"/>
        </w:rPr>
        <w:t>Chairman of the Board of Directors</w:t>
      </w:r>
    </w:p>
    <w:p>
      <w:pPr>
        <w:spacing w:after="0"/>
        <w:rPr>
          <w:sz w:val="20"/>
          <w:szCs w:val="20"/>
          <w:color w:val="auto"/>
        </w:rPr>
      </w:pPr>
      <w:r>
        <w:rPr>
          <w:rFonts w:ascii="Arial" w:cs="Arial" w:eastAsia="Arial" w:hAnsi="Arial"/>
          <w:sz w:val="18"/>
          <w:szCs w:val="18"/>
          <w:color w:val="auto"/>
        </w:rPr>
        <w:t>March 9, 2017</w:t>
      </w:r>
    </w:p>
    <w:p>
      <w:pPr>
        <w:spacing w:after="0" w:line="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POWER OF ATTORNEY</w:t>
      </w:r>
    </w:p>
    <w:p>
      <w:pPr>
        <w:spacing w:after="0" w:line="6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4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Pursuant to the requirements of the Securities and Exchange Act of 1934, this Form 10-K has been signed by the following persons in the capacities and on the dates indicated.</w:t>
      </w:r>
    </w:p>
    <w:p>
      <w:pPr>
        <w:spacing w:after="0" w:line="53" w:lineRule="exact"/>
        <w:rPr>
          <w:sz w:val="20"/>
          <w:szCs w:val="20"/>
          <w:color w:val="auto"/>
        </w:rPr>
      </w:pPr>
    </w:p>
    <w:p>
      <w:pPr>
        <w:ind w:left="2200"/>
        <w:spacing w:after="0"/>
        <w:tabs>
          <w:tab w:leader="none" w:pos="76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Date</w:t>
      </w:r>
    </w:p>
    <w:p>
      <w:pPr>
        <w:sectPr>
          <w:pgSz w:w="11900" w:h="16838" w:orient="portrait"/>
          <w:cols w:equalWidth="0" w:num="1">
            <w:col w:w="10300"/>
          </w:cols>
          <w:pgMar w:left="760" w:top="125" w:right="839" w:bottom="1440" w:gutter="0" w:footer="0" w:header="0"/>
        </w:sectPr>
      </w:pPr>
    </w:p>
    <w:p>
      <w:pPr>
        <w:spacing w:after="0" w:line="199"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540"/>
        <w:spacing w:after="0" w:line="232" w:lineRule="auto"/>
        <w:rPr>
          <w:sz w:val="20"/>
          <w:szCs w:val="20"/>
          <w:color w:val="auto"/>
        </w:rPr>
      </w:pPr>
      <w:r>
        <w:rPr>
          <w:rFonts w:ascii="Arial" w:cs="Arial" w:eastAsia="Arial" w:hAnsi="Arial"/>
          <w:sz w:val="18"/>
          <w:szCs w:val="18"/>
          <w:color w:val="auto"/>
        </w:rPr>
        <w:t>Chih-Hsiang (Thompson) Lin,</w:t>
      </w:r>
    </w:p>
    <w:p>
      <w:pPr>
        <w:spacing w:after="0" w:line="1" w:lineRule="exact"/>
        <w:rPr>
          <w:sz w:val="20"/>
          <w:szCs w:val="20"/>
          <w:color w:val="auto"/>
        </w:rPr>
      </w:pPr>
    </w:p>
    <w:p>
      <w:pPr>
        <w:jc w:val="center"/>
        <w:ind w:right="1520"/>
        <w:spacing w:after="0"/>
        <w:rPr>
          <w:sz w:val="20"/>
          <w:szCs w:val="20"/>
          <w:color w:val="auto"/>
        </w:rPr>
      </w:pPr>
      <w:r>
        <w:rPr>
          <w:rFonts w:ascii="Arial" w:cs="Arial" w:eastAsia="Arial" w:hAnsi="Arial"/>
          <w:sz w:val="16"/>
          <w:szCs w:val="16"/>
          <w:i w:val="1"/>
          <w:iCs w:val="1"/>
          <w:color w:val="auto"/>
        </w:rPr>
        <w:t>President, Chief Executive Officer and</w:t>
      </w:r>
    </w:p>
    <w:p>
      <w:pPr>
        <w:jc w:val="center"/>
        <w:ind w:right="1520"/>
        <w:spacing w:after="0" w:line="238" w:lineRule="auto"/>
        <w:rPr>
          <w:sz w:val="20"/>
          <w:szCs w:val="20"/>
          <w:color w:val="auto"/>
        </w:rPr>
      </w:pPr>
      <w:r>
        <w:rPr>
          <w:rFonts w:ascii="Arial" w:cs="Arial" w:eastAsia="Arial" w:hAnsi="Arial"/>
          <w:sz w:val="17"/>
          <w:szCs w:val="17"/>
          <w:i w:val="1"/>
          <w:iCs w:val="1"/>
          <w:color w:val="auto"/>
        </w:rPr>
        <w:t>Chairman of the Board of Directors</w:t>
      </w:r>
    </w:p>
    <w:p>
      <w:pPr>
        <w:jc w:val="center"/>
        <w:ind w:right="154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1920"/>
        <w:spacing w:after="0" w:line="232" w:lineRule="auto"/>
        <w:rPr>
          <w:sz w:val="20"/>
          <w:szCs w:val="20"/>
          <w:color w:val="auto"/>
        </w:rPr>
      </w:pPr>
      <w:r>
        <w:rPr>
          <w:rFonts w:ascii="Arial" w:cs="Arial" w:eastAsia="Arial" w:hAnsi="Arial"/>
          <w:sz w:val="18"/>
          <w:szCs w:val="18"/>
          <w:color w:val="auto"/>
        </w:rPr>
        <w:t>Stefan J. Murry,</w:t>
      </w:r>
    </w:p>
    <w:p>
      <w:pPr>
        <w:jc w:val="center"/>
        <w:ind w:right="1540"/>
        <w:spacing w:after="0" w:line="219" w:lineRule="auto"/>
        <w:rPr>
          <w:sz w:val="20"/>
          <w:szCs w:val="20"/>
          <w:color w:val="auto"/>
        </w:rPr>
      </w:pPr>
      <w:r>
        <w:rPr>
          <w:rFonts w:ascii="Arial" w:cs="Arial" w:eastAsia="Arial" w:hAnsi="Arial"/>
          <w:sz w:val="18"/>
          <w:szCs w:val="18"/>
          <w:i w:val="1"/>
          <w:iCs w:val="1"/>
          <w:color w:val="auto"/>
        </w:rPr>
        <w:t>Chief Financial Officer</w:t>
      </w:r>
    </w:p>
    <w:p>
      <w:pPr>
        <w:jc w:val="center"/>
        <w:ind w:right="1540"/>
        <w:spacing w:after="0" w:line="220" w:lineRule="auto"/>
        <w:rPr>
          <w:sz w:val="20"/>
          <w:szCs w:val="20"/>
          <w:color w:val="auto"/>
        </w:rPr>
      </w:pPr>
      <w:r>
        <w:rPr>
          <w:rFonts w:ascii="Arial" w:cs="Arial" w:eastAsia="Arial" w:hAnsi="Arial"/>
          <w:sz w:val="18"/>
          <w:szCs w:val="18"/>
          <w:i w:val="1"/>
          <w:iCs w:val="1"/>
          <w:color w:val="auto"/>
        </w:rPr>
        <w:t>(principal financial officer and</w:t>
      </w:r>
    </w:p>
    <w:p>
      <w:pPr>
        <w:jc w:val="center"/>
        <w:ind w:right="1540"/>
        <w:spacing w:after="0"/>
        <w:rPr>
          <w:sz w:val="20"/>
          <w:szCs w:val="20"/>
          <w:color w:val="auto"/>
        </w:rPr>
      </w:pPr>
      <w:r>
        <w:rPr>
          <w:rFonts w:ascii="Arial" w:cs="Arial" w:eastAsia="Arial" w:hAnsi="Arial"/>
          <w:sz w:val="18"/>
          <w:szCs w:val="18"/>
          <w:i w:val="1"/>
          <w:iCs w:val="1"/>
          <w:color w:val="auto"/>
        </w:rPr>
        <w:t>principal accounting officer)</w:t>
      </w:r>
    </w:p>
    <w:p>
      <w:pPr>
        <w:spacing w:after="0" w:line="15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 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520"/>
        <w:spacing w:after="0" w:line="232" w:lineRule="auto"/>
        <w:rPr>
          <w:sz w:val="20"/>
          <w:szCs w:val="20"/>
          <w:color w:val="auto"/>
        </w:rPr>
      </w:pPr>
      <w:r>
        <w:rPr>
          <w:rFonts w:ascii="Arial" w:cs="Arial" w:eastAsia="Arial" w:hAnsi="Arial"/>
          <w:sz w:val="18"/>
          <w:szCs w:val="18"/>
          <w:color w:val="auto"/>
        </w:rPr>
        <w:t>William H. Yeh,</w:t>
      </w:r>
    </w:p>
    <w:p>
      <w:pPr>
        <w:spacing w:after="0" w:line="1" w:lineRule="exact"/>
        <w:rPr>
          <w:sz w:val="20"/>
          <w:szCs w:val="20"/>
          <w:color w:val="auto"/>
        </w:rPr>
      </w:pPr>
    </w:p>
    <w:p>
      <w:pPr>
        <w:jc w:val="center"/>
        <w:ind w:right="152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Richard B.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1860"/>
        <w:spacing w:after="0" w:line="232" w:lineRule="auto"/>
        <w:rPr>
          <w:sz w:val="20"/>
          <w:szCs w:val="20"/>
          <w:color w:val="auto"/>
        </w:rPr>
      </w:pPr>
      <w:r>
        <w:rPr>
          <w:rFonts w:ascii="Arial" w:cs="Arial" w:eastAsia="Arial" w:hAnsi="Arial"/>
          <w:sz w:val="18"/>
          <w:szCs w:val="18"/>
          <w:color w:val="auto"/>
        </w:rPr>
        <w:t>Richard B. Black,</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 Che-Wei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520"/>
        <w:spacing w:after="0" w:line="232" w:lineRule="auto"/>
        <w:rPr>
          <w:sz w:val="20"/>
          <w:szCs w:val="20"/>
          <w:color w:val="auto"/>
        </w:rPr>
      </w:pPr>
      <w:r>
        <w:rPr>
          <w:rFonts w:ascii="Arial" w:cs="Arial" w:eastAsia="Arial" w:hAnsi="Arial"/>
          <w:sz w:val="18"/>
          <w:szCs w:val="18"/>
          <w:color w:val="auto"/>
        </w:rPr>
        <w:t>Che-Wei Lin,</w:t>
      </w:r>
    </w:p>
    <w:p>
      <w:pPr>
        <w:spacing w:after="0" w:line="1" w:lineRule="exact"/>
        <w:rPr>
          <w:sz w:val="20"/>
          <w:szCs w:val="20"/>
          <w:color w:val="auto"/>
        </w:rPr>
      </w:pPr>
    </w:p>
    <w:p>
      <w:pPr>
        <w:jc w:val="center"/>
        <w:ind w:right="152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 Alex Ignatiev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2000"/>
        <w:spacing w:after="0" w:line="232" w:lineRule="auto"/>
        <w:rPr>
          <w:sz w:val="20"/>
          <w:szCs w:val="20"/>
          <w:color w:val="auto"/>
        </w:rPr>
      </w:pPr>
      <w:r>
        <w:rPr>
          <w:rFonts w:ascii="Arial" w:cs="Arial" w:eastAsia="Arial" w:hAnsi="Arial"/>
          <w:sz w:val="18"/>
          <w:szCs w:val="18"/>
          <w:color w:val="auto"/>
        </w:rPr>
        <w:t>Alex Ignatiev,</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Alan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540"/>
        <w:spacing w:after="0" w:line="232" w:lineRule="auto"/>
        <w:rPr>
          <w:sz w:val="20"/>
          <w:szCs w:val="20"/>
          <w:color w:val="auto"/>
        </w:rPr>
      </w:pPr>
      <w:r>
        <w:rPr>
          <w:rFonts w:ascii="Arial" w:cs="Arial" w:eastAsia="Arial" w:hAnsi="Arial"/>
          <w:sz w:val="18"/>
          <w:szCs w:val="18"/>
          <w:color w:val="auto"/>
        </w:rPr>
        <w:t>Alan Moore,</w:t>
      </w:r>
    </w:p>
    <w:p>
      <w:pPr>
        <w:spacing w:after="0" w:line="1" w:lineRule="exact"/>
        <w:rPr>
          <w:sz w:val="20"/>
          <w:szCs w:val="20"/>
          <w:color w:val="auto"/>
        </w:rPr>
      </w:pPr>
    </w:p>
    <w:p>
      <w:pPr>
        <w:jc w:val="center"/>
        <w:ind w:right="1520"/>
        <w:spacing w:after="0"/>
        <w:rPr>
          <w:sz w:val="20"/>
          <w:szCs w:val="20"/>
          <w:color w:val="auto"/>
        </w:rPr>
      </w:pPr>
      <w:r>
        <w:rPr>
          <w:rFonts w:ascii="Arial" w:cs="Arial" w:eastAsia="Arial" w:hAnsi="Arial"/>
          <w:sz w:val="18"/>
          <w:szCs w:val="18"/>
          <w:i w:val="1"/>
          <w:iCs w:val="1"/>
          <w:color w:val="auto"/>
        </w:rPr>
        <w:t>Director</w:t>
      </w:r>
    </w:p>
    <w:p>
      <w:pPr>
        <w:spacing w:after="0" w:line="155"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/s/ Min-Chu (Mike)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3302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jc w:val="center"/>
        <w:ind w:right="1540"/>
        <w:spacing w:after="0" w:line="232" w:lineRule="auto"/>
        <w:rPr>
          <w:sz w:val="20"/>
          <w:szCs w:val="20"/>
          <w:color w:val="auto"/>
        </w:rPr>
      </w:pPr>
      <w:r>
        <w:rPr>
          <w:rFonts w:ascii="Arial" w:cs="Arial" w:eastAsia="Arial" w:hAnsi="Arial"/>
          <w:sz w:val="18"/>
          <w:szCs w:val="18"/>
          <w:color w:val="auto"/>
        </w:rPr>
        <w:t>Min-Chu (Mike) Chen,</w:t>
      </w:r>
    </w:p>
    <w:p>
      <w:pPr>
        <w:spacing w:after="0" w:line="1" w:lineRule="exact"/>
        <w:rPr>
          <w:sz w:val="20"/>
          <w:szCs w:val="20"/>
          <w:color w:val="auto"/>
        </w:rPr>
      </w:pPr>
    </w:p>
    <w:p>
      <w:pPr>
        <w:jc w:val="center"/>
        <w:ind w:right="1520"/>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March 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March 9, 2017</w:t>
      </w: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Date</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March 9, 2017</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9, 2017</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9, 2017</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9, 2017</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9, 2017</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March 9, 2017</w:t>
      </w:r>
    </w:p>
    <w:p>
      <w:pPr>
        <w:spacing w:after="0" w:line="441" w:lineRule="exact"/>
        <w:rPr>
          <w:sz w:val="20"/>
          <w:szCs w:val="20"/>
          <w:color w:val="auto"/>
        </w:rPr>
      </w:pPr>
    </w:p>
    <w:p>
      <w:pPr>
        <w:sectPr>
          <w:pgSz w:w="11900" w:h="16838" w:orient="portrait"/>
          <w:cols w:equalWidth="0" w:num="2">
            <w:col w:w="6540" w:space="720"/>
            <w:col w:w="3040"/>
          </w:cols>
          <w:pgMar w:left="760" w:top="125" w:right="8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661225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00"/>
          </w:cols>
          <w:pgMar w:left="760" w:top="125" w:right="839" w:bottom="1440" w:gutter="0" w:footer="0" w:header="0"/>
          <w:type w:val="continuous"/>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4"/>
              </w:rPr>
              <w:t>Number</w:t>
            </w:r>
          </w:p>
        </w:tc>
        <w:tc>
          <w:tcPr>
            <w:tcW w:w="326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Exhibit Description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500" w:type="dxa"/>
            <w:vAlign w:val="bottom"/>
            <w:gridSpan w:val="2"/>
          </w:tcPr>
          <w:p>
            <w:pPr>
              <w:ind w:left="760"/>
              <w:spacing w:after="0"/>
              <w:rPr>
                <w:sz w:val="20"/>
                <w:szCs w:val="20"/>
                <w:color w:val="auto"/>
              </w:rPr>
            </w:pPr>
            <w:r>
              <w:rPr>
                <w:rFonts w:ascii="Arial" w:cs="Arial" w:eastAsia="Arial" w:hAnsi="Arial"/>
                <w:sz w:val="14"/>
                <w:szCs w:val="14"/>
                <w:b w:val="1"/>
                <w:bCs w:val="1"/>
                <w:color w:val="auto"/>
                <w:w w:val="96"/>
              </w:rPr>
              <w:t>Incorporated By Reference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86"/>
        </w:trPr>
        <w:tc>
          <w:tcPr>
            <w:tcW w:w="800" w:type="dxa"/>
            <w:vAlign w:val="bottom"/>
            <w:vMerge w:val="continue"/>
          </w:tcPr>
          <w:p>
            <w:pPr>
              <w:spacing w:after="0"/>
              <w:rPr>
                <w:sz w:val="16"/>
                <w:szCs w:val="16"/>
                <w:color w:val="auto"/>
              </w:rPr>
            </w:pPr>
          </w:p>
        </w:tc>
        <w:tc>
          <w:tcPr>
            <w:tcW w:w="3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300" w:type="dxa"/>
            <w:vAlign w:val="bottom"/>
          </w:tcPr>
          <w:p>
            <w:pPr>
              <w:ind w:left="420"/>
              <w:spacing w:after="0"/>
              <w:rPr>
                <w:sz w:val="20"/>
                <w:szCs w:val="20"/>
                <w:color w:val="auto"/>
              </w:rPr>
            </w:pPr>
            <w:r>
              <w:rPr>
                <w:rFonts w:ascii="Arial" w:cs="Arial" w:eastAsia="Arial" w:hAnsi="Arial"/>
                <w:sz w:val="14"/>
                <w:szCs w:val="14"/>
                <w:b w:val="1"/>
                <w:bCs w:val="1"/>
                <w:color w:val="auto"/>
              </w:rPr>
              <w:t>File No.</w:t>
            </w:r>
          </w:p>
        </w:tc>
        <w:tc>
          <w:tcPr>
            <w:tcW w:w="120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800" w:type="dxa"/>
            <w:vAlign w:val="bottom"/>
          </w:tcPr>
          <w:p>
            <w:pPr>
              <w:jc w:val="right"/>
              <w:ind w:right="159"/>
              <w:spacing w:after="0"/>
              <w:rPr>
                <w:sz w:val="20"/>
                <w:szCs w:val="20"/>
                <w:color w:val="auto"/>
              </w:rPr>
            </w:pPr>
            <w:r>
              <w:rPr>
                <w:rFonts w:ascii="Arial" w:cs="Arial" w:eastAsia="Arial" w:hAnsi="Arial"/>
                <w:sz w:val="16"/>
                <w:szCs w:val="16"/>
                <w:color w:val="auto"/>
              </w:rPr>
              <w:t>3.1</w:t>
            </w:r>
          </w:p>
        </w:tc>
        <w:tc>
          <w:tcPr>
            <w:tcW w:w="3260" w:type="dxa"/>
            <w:vAlign w:val="bottom"/>
          </w:tcPr>
          <w:p>
            <w:pPr>
              <w:ind w:left="40"/>
              <w:spacing w:after="0"/>
              <w:rPr>
                <w:sz w:val="20"/>
                <w:szCs w:val="20"/>
                <w:color w:val="auto"/>
              </w:rPr>
            </w:pPr>
            <w:r>
              <w:rPr>
                <w:rFonts w:ascii="Arial" w:cs="Arial" w:eastAsia="Arial" w:hAnsi="Arial"/>
                <w:sz w:val="16"/>
                <w:szCs w:val="16"/>
                <w:color w:val="auto"/>
              </w:rPr>
              <w:t>Amended and Restated Certificate of</w:t>
            </w:r>
          </w:p>
        </w:tc>
        <w:tc>
          <w:tcPr>
            <w:tcW w:w="8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3.1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November 14, 2013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Incorporation of the registrant, as currently in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effect</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right"/>
              <w:ind w:right="159"/>
              <w:spacing w:after="0"/>
              <w:rPr>
                <w:sz w:val="20"/>
                <w:szCs w:val="20"/>
                <w:color w:val="auto"/>
              </w:rPr>
            </w:pPr>
            <w:r>
              <w:rPr>
                <w:rFonts w:ascii="Arial" w:cs="Arial" w:eastAsia="Arial" w:hAnsi="Arial"/>
                <w:sz w:val="16"/>
                <w:szCs w:val="16"/>
                <w:color w:val="auto"/>
              </w:rPr>
              <w:t>3.2</w:t>
            </w:r>
          </w:p>
        </w:tc>
        <w:tc>
          <w:tcPr>
            <w:tcW w:w="3260" w:type="dxa"/>
            <w:vAlign w:val="bottom"/>
          </w:tcPr>
          <w:p>
            <w:pPr>
              <w:ind w:left="40"/>
              <w:spacing w:after="0"/>
              <w:rPr>
                <w:sz w:val="20"/>
                <w:szCs w:val="20"/>
                <w:color w:val="auto"/>
              </w:rPr>
            </w:pPr>
            <w:r>
              <w:rPr>
                <w:rFonts w:ascii="Arial" w:cs="Arial" w:eastAsia="Arial" w:hAnsi="Arial"/>
                <w:sz w:val="16"/>
                <w:szCs w:val="16"/>
                <w:color w:val="auto"/>
              </w:rPr>
              <w:t>Amended and Restated Bylaws of the</w:t>
            </w:r>
          </w:p>
        </w:tc>
        <w:tc>
          <w:tcPr>
            <w:tcW w:w="8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3.2</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November 14,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registrant, as currently in effec</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 w:type="dxa"/>
            <w:vAlign w:val="bottom"/>
          </w:tcPr>
          <w:p>
            <w:pPr>
              <w:jc w:val="right"/>
              <w:ind w:right="159"/>
              <w:spacing w:after="0"/>
              <w:rPr>
                <w:sz w:val="20"/>
                <w:szCs w:val="20"/>
                <w:color w:val="auto"/>
              </w:rPr>
            </w:pPr>
            <w:r>
              <w:rPr>
                <w:rFonts w:ascii="Arial" w:cs="Arial" w:eastAsia="Arial" w:hAnsi="Arial"/>
                <w:sz w:val="16"/>
                <w:szCs w:val="16"/>
                <w:color w:val="auto"/>
              </w:rPr>
              <w:t>4.1</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Registration Rights Agreement</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4.1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324"/>
        </w:trPr>
        <w:tc>
          <w:tcPr>
            <w:tcW w:w="800" w:type="dxa"/>
            <w:vAlign w:val="bottom"/>
          </w:tcPr>
          <w:p>
            <w:pPr>
              <w:jc w:val="right"/>
              <w:ind w:right="159"/>
              <w:spacing w:after="0"/>
              <w:rPr>
                <w:sz w:val="20"/>
                <w:szCs w:val="20"/>
                <w:color w:val="auto"/>
              </w:rPr>
            </w:pPr>
            <w:r>
              <w:rPr>
                <w:rFonts w:ascii="Arial" w:cs="Arial" w:eastAsia="Arial" w:hAnsi="Arial"/>
                <w:sz w:val="16"/>
                <w:szCs w:val="16"/>
                <w:color w:val="auto"/>
              </w:rPr>
              <w:t>4.2</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Shareholders’ Agreement</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4.2</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324"/>
        </w:trPr>
        <w:tc>
          <w:tcPr>
            <w:tcW w:w="800" w:type="dxa"/>
            <w:vAlign w:val="bottom"/>
          </w:tcPr>
          <w:p>
            <w:pPr>
              <w:jc w:val="right"/>
              <w:ind w:right="159"/>
              <w:spacing w:after="0"/>
              <w:rPr>
                <w:sz w:val="20"/>
                <w:szCs w:val="20"/>
                <w:color w:val="auto"/>
              </w:rPr>
            </w:pPr>
            <w:r>
              <w:rPr>
                <w:rFonts w:ascii="Arial" w:cs="Arial" w:eastAsia="Arial" w:hAnsi="Arial"/>
                <w:sz w:val="16"/>
                <w:szCs w:val="16"/>
                <w:color w:val="auto"/>
              </w:rPr>
              <w:t>4.3</w:t>
            </w:r>
          </w:p>
        </w:tc>
        <w:tc>
          <w:tcPr>
            <w:tcW w:w="3260" w:type="dxa"/>
            <w:vAlign w:val="bottom"/>
          </w:tcPr>
          <w:p>
            <w:pPr>
              <w:ind w:left="40"/>
              <w:spacing w:after="0"/>
              <w:rPr>
                <w:sz w:val="20"/>
                <w:szCs w:val="20"/>
                <w:color w:val="auto"/>
              </w:rPr>
            </w:pPr>
            <w:r>
              <w:rPr>
                <w:rFonts w:ascii="Arial" w:cs="Arial" w:eastAsia="Arial" w:hAnsi="Arial"/>
                <w:sz w:val="16"/>
                <w:szCs w:val="16"/>
                <w:color w:val="auto"/>
              </w:rPr>
              <w:t>Common Stock Specimen</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4.1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November 14, 2016</w:t>
            </w:r>
          </w:p>
        </w:tc>
        <w:tc>
          <w:tcPr>
            <w:tcW w:w="0" w:type="dxa"/>
            <w:vAlign w:val="bottom"/>
          </w:tcPr>
          <w:p>
            <w:pPr>
              <w:spacing w:after="0"/>
              <w:rPr>
                <w:sz w:val="1"/>
                <w:szCs w:val="1"/>
                <w:color w:val="auto"/>
              </w:rPr>
            </w:pPr>
          </w:p>
        </w:tc>
      </w:tr>
      <w:tr>
        <w:trPr>
          <w:trHeight w:val="320"/>
        </w:trPr>
        <w:tc>
          <w:tcPr>
            <w:tcW w:w="800" w:type="dxa"/>
            <w:vAlign w:val="bottom"/>
          </w:tcPr>
          <w:p>
            <w:pPr>
              <w:jc w:val="right"/>
              <w:ind w:right="159"/>
              <w:spacing w:after="0"/>
              <w:rPr>
                <w:sz w:val="20"/>
                <w:szCs w:val="20"/>
                <w:color w:val="auto"/>
              </w:rPr>
            </w:pPr>
            <w:r>
              <w:rPr>
                <w:rFonts w:ascii="Arial" w:cs="Arial" w:eastAsia="Arial" w:hAnsi="Arial"/>
                <w:sz w:val="16"/>
                <w:szCs w:val="16"/>
                <w:color w:val="auto"/>
              </w:rPr>
              <w:t>10.1</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Indemnification Agreement between</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9"/>
              </w:rPr>
              <w:t>the registrant each of its Directors and certain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of its Executive Officers</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10.2 †</w:t>
            </w:r>
          </w:p>
        </w:tc>
        <w:tc>
          <w:tcPr>
            <w:tcW w:w="3260" w:type="dxa"/>
            <w:vAlign w:val="bottom"/>
          </w:tcPr>
          <w:p>
            <w:pPr>
              <w:ind w:left="40"/>
              <w:spacing w:after="0"/>
              <w:rPr>
                <w:sz w:val="20"/>
                <w:szCs w:val="20"/>
                <w:color w:val="auto"/>
              </w:rPr>
            </w:pPr>
            <w:r>
              <w:rPr>
                <w:rFonts w:ascii="Arial" w:cs="Arial" w:eastAsia="Arial" w:hAnsi="Arial"/>
                <w:sz w:val="16"/>
                <w:szCs w:val="16"/>
                <w:color w:val="auto"/>
              </w:rPr>
              <w:t>1998 Incentive Share Plan</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10.2</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10.2.1†</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Stock Option Agreement under 1998</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10.2.1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Incentive Share 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10.2.2†</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Stock Option Agreement under 1998</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10.2.2</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Incentive Share 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10.3 †</w:t>
            </w:r>
          </w:p>
        </w:tc>
        <w:tc>
          <w:tcPr>
            <w:tcW w:w="3260" w:type="dxa"/>
            <w:vAlign w:val="bottom"/>
          </w:tcPr>
          <w:p>
            <w:pPr>
              <w:ind w:left="40"/>
              <w:spacing w:after="0"/>
              <w:rPr>
                <w:sz w:val="20"/>
                <w:szCs w:val="20"/>
                <w:color w:val="auto"/>
              </w:rPr>
            </w:pPr>
            <w:r>
              <w:rPr>
                <w:rFonts w:ascii="Arial" w:cs="Arial" w:eastAsia="Arial" w:hAnsi="Arial"/>
                <w:sz w:val="16"/>
                <w:szCs w:val="16"/>
                <w:color w:val="auto"/>
              </w:rPr>
              <w:t>2000 Incentive Share Plan</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10.3</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Stock Option Agreement under 2000</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10.3.1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Incentive Share 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10.3.2†</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Stock Option Agreement under 2000</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10.3.2</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Incentive Share 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10.4 †</w:t>
            </w:r>
          </w:p>
        </w:tc>
        <w:tc>
          <w:tcPr>
            <w:tcW w:w="3260" w:type="dxa"/>
            <w:vAlign w:val="bottom"/>
          </w:tcPr>
          <w:p>
            <w:pPr>
              <w:ind w:left="40"/>
              <w:spacing w:after="0"/>
              <w:rPr>
                <w:sz w:val="20"/>
                <w:szCs w:val="20"/>
                <w:color w:val="auto"/>
              </w:rPr>
            </w:pPr>
            <w:r>
              <w:rPr>
                <w:rFonts w:ascii="Arial" w:cs="Arial" w:eastAsia="Arial" w:hAnsi="Arial"/>
                <w:sz w:val="16"/>
                <w:szCs w:val="16"/>
                <w:color w:val="auto"/>
              </w:rPr>
              <w:t>2004 Incentive Share Plan</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10.4</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Stock Option Agreement under 2004</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10.4.1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Incentive Share 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10.5 †</w:t>
            </w:r>
          </w:p>
        </w:tc>
        <w:tc>
          <w:tcPr>
            <w:tcW w:w="3260" w:type="dxa"/>
            <w:vAlign w:val="bottom"/>
          </w:tcPr>
          <w:p>
            <w:pPr>
              <w:ind w:left="40"/>
              <w:spacing w:after="0"/>
              <w:rPr>
                <w:sz w:val="20"/>
                <w:szCs w:val="20"/>
                <w:color w:val="auto"/>
              </w:rPr>
            </w:pPr>
            <w:r>
              <w:rPr>
                <w:rFonts w:ascii="Arial" w:cs="Arial" w:eastAsia="Arial" w:hAnsi="Arial"/>
                <w:sz w:val="16"/>
                <w:szCs w:val="16"/>
                <w:color w:val="auto"/>
              </w:rPr>
              <w:t>2006 Incentive Share Plan</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10.5</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10.5.1†</w:t>
            </w:r>
          </w:p>
        </w:tc>
        <w:tc>
          <w:tcPr>
            <w:tcW w:w="3260" w:type="dxa"/>
            <w:vAlign w:val="bottom"/>
          </w:tcPr>
          <w:p>
            <w:pPr>
              <w:ind w:left="40"/>
              <w:spacing w:after="0"/>
              <w:rPr>
                <w:sz w:val="20"/>
                <w:szCs w:val="20"/>
                <w:color w:val="auto"/>
              </w:rPr>
            </w:pPr>
            <w:r>
              <w:rPr>
                <w:rFonts w:ascii="Arial" w:cs="Arial" w:eastAsia="Arial" w:hAnsi="Arial"/>
                <w:sz w:val="16"/>
                <w:szCs w:val="16"/>
                <w:color w:val="auto"/>
              </w:rPr>
              <w:t>First Amendment to 2006 Incentive Share</w:t>
            </w:r>
          </w:p>
        </w:tc>
        <w:tc>
          <w:tcPr>
            <w:tcW w:w="8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10.5.1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27,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10.5.2†</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Stock Option Agreement under 2006</w:t>
            </w:r>
          </w:p>
        </w:tc>
        <w:tc>
          <w:tcPr>
            <w:tcW w:w="88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10.5.2</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27,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Incentive Share 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right"/>
              <w:spacing w:after="0"/>
              <w:rPr>
                <w:sz w:val="20"/>
                <w:szCs w:val="20"/>
                <w:color w:val="auto"/>
              </w:rPr>
            </w:pPr>
            <w:r>
              <w:rPr>
                <w:rFonts w:ascii="Arial" w:cs="Arial" w:eastAsia="Arial" w:hAnsi="Arial"/>
                <w:sz w:val="16"/>
                <w:szCs w:val="16"/>
                <w:color w:val="auto"/>
              </w:rPr>
              <w:t>10.6 †*</w:t>
            </w:r>
          </w:p>
        </w:tc>
        <w:tc>
          <w:tcPr>
            <w:tcW w:w="3260" w:type="dxa"/>
            <w:vAlign w:val="bottom"/>
          </w:tcPr>
          <w:p>
            <w:pPr>
              <w:ind w:left="40"/>
              <w:spacing w:after="0"/>
              <w:rPr>
                <w:sz w:val="20"/>
                <w:szCs w:val="20"/>
                <w:color w:val="auto"/>
              </w:rPr>
            </w:pPr>
            <w:r>
              <w:rPr>
                <w:rFonts w:ascii="Arial" w:cs="Arial" w:eastAsia="Arial" w:hAnsi="Arial"/>
                <w:sz w:val="16"/>
                <w:szCs w:val="16"/>
                <w:color w:val="auto"/>
                <w:w w:val="98"/>
              </w:rPr>
              <w:t>Amended and Restated 2013 Equity Incentive</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10.6.1†</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Restricted Stock Award Agreement</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10.6.1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under 2013 Equity Incentive 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10.6.2†</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Restricted Stock Unit Award</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10.6.2</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Agreement under 2013 Equity Incentive 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10.6.3†</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Stock Appreciation Right Award</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10.6.3</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Agreement under 2013 Equity Incentive 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800" w:type="dxa"/>
            <w:vAlign w:val="bottom"/>
          </w:tcPr>
          <w:p>
            <w:pPr>
              <w:jc w:val="right"/>
              <w:ind w:right="39"/>
              <w:spacing w:after="0"/>
              <w:rPr>
                <w:sz w:val="20"/>
                <w:szCs w:val="20"/>
                <w:color w:val="auto"/>
              </w:rPr>
            </w:pPr>
            <w:r>
              <w:rPr>
                <w:rFonts w:ascii="Arial" w:cs="Arial" w:eastAsia="Arial" w:hAnsi="Arial"/>
                <w:sz w:val="16"/>
                <w:szCs w:val="16"/>
                <w:color w:val="auto"/>
              </w:rPr>
              <w:t>10.6.4†</w:t>
            </w:r>
          </w:p>
        </w:tc>
        <w:tc>
          <w:tcPr>
            <w:tcW w:w="3260" w:type="dxa"/>
            <w:vAlign w:val="bottom"/>
          </w:tcPr>
          <w:p>
            <w:pPr>
              <w:ind w:left="40"/>
              <w:spacing w:after="0"/>
              <w:rPr>
                <w:sz w:val="20"/>
                <w:szCs w:val="20"/>
                <w:color w:val="auto"/>
              </w:rPr>
            </w:pPr>
            <w:r>
              <w:rPr>
                <w:rFonts w:ascii="Arial" w:cs="Arial" w:eastAsia="Arial" w:hAnsi="Arial"/>
                <w:sz w:val="16"/>
                <w:szCs w:val="16"/>
                <w:color w:val="auto"/>
              </w:rPr>
              <w:t>Form of Notice of Stock Option Award and</w:t>
            </w:r>
          </w:p>
        </w:tc>
        <w:tc>
          <w:tcPr>
            <w:tcW w:w="8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89"/>
              </w:rPr>
              <w:t>10.6.4</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Stock Option Award Agreement under 2013</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Equity Incentive Plan</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Number</w:t>
            </w:r>
          </w:p>
        </w:tc>
        <w:tc>
          <w:tcPr>
            <w:tcW w:w="33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Exhibit Description</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520" w:type="dxa"/>
            <w:vAlign w:val="bottom"/>
            <w:gridSpan w:val="2"/>
          </w:tcPr>
          <w:p>
            <w:pPr>
              <w:ind w:left="780"/>
              <w:spacing w:after="0"/>
              <w:rPr>
                <w:sz w:val="20"/>
                <w:szCs w:val="20"/>
                <w:color w:val="auto"/>
              </w:rPr>
            </w:pPr>
            <w:r>
              <w:rPr>
                <w:rFonts w:ascii="Arial" w:cs="Arial" w:eastAsia="Arial" w:hAnsi="Arial"/>
                <w:sz w:val="14"/>
                <w:szCs w:val="14"/>
                <w:b w:val="1"/>
                <w:bCs w:val="1"/>
                <w:color w:val="auto"/>
                <w:w w:val="96"/>
              </w:rPr>
              <w:t>Incorporated By Reference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61"/>
        </w:trPr>
        <w:tc>
          <w:tcPr>
            <w:tcW w:w="72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300" w:type="dxa"/>
            <w:vAlign w:val="bottom"/>
          </w:tcPr>
          <w:p>
            <w:pPr>
              <w:ind w:left="440"/>
              <w:spacing w:after="0"/>
              <w:rPr>
                <w:sz w:val="20"/>
                <w:szCs w:val="20"/>
                <w:color w:val="auto"/>
              </w:rPr>
            </w:pPr>
            <w:r>
              <w:rPr>
                <w:rFonts w:ascii="Arial" w:cs="Arial" w:eastAsia="Arial" w:hAnsi="Arial"/>
                <w:sz w:val="14"/>
                <w:szCs w:val="14"/>
                <w:b w:val="1"/>
                <w:bCs w:val="1"/>
                <w:color w:val="auto"/>
              </w:rPr>
              <w:t>File No.</w:t>
            </w:r>
          </w:p>
        </w:tc>
        <w:tc>
          <w:tcPr>
            <w:tcW w:w="122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20" w:type="dxa"/>
            <w:vAlign w:val="bottom"/>
          </w:tcPr>
          <w:p>
            <w:pPr>
              <w:jc w:val="right"/>
              <w:ind w:right="40"/>
              <w:spacing w:after="0"/>
              <w:rPr>
                <w:sz w:val="20"/>
                <w:szCs w:val="20"/>
                <w:color w:val="auto"/>
              </w:rPr>
            </w:pPr>
            <w:r>
              <w:rPr>
                <w:rFonts w:ascii="Arial" w:cs="Arial" w:eastAsia="Arial" w:hAnsi="Arial"/>
                <w:sz w:val="16"/>
                <w:szCs w:val="16"/>
                <w:color w:val="auto"/>
              </w:rPr>
              <w:t>10.7.1</w:t>
            </w:r>
          </w:p>
        </w:tc>
        <w:tc>
          <w:tcPr>
            <w:tcW w:w="3360" w:type="dxa"/>
            <w:vAlign w:val="bottom"/>
          </w:tcPr>
          <w:p>
            <w:pPr>
              <w:ind w:left="120"/>
              <w:spacing w:after="0"/>
              <w:rPr>
                <w:sz w:val="20"/>
                <w:szCs w:val="20"/>
                <w:color w:val="auto"/>
              </w:rPr>
            </w:pPr>
            <w:r>
              <w:rPr>
                <w:rFonts w:ascii="Arial" w:cs="Arial" w:eastAsia="Arial" w:hAnsi="Arial"/>
                <w:sz w:val="16"/>
                <w:szCs w:val="16"/>
                <w:color w:val="auto"/>
              </w:rPr>
              <w:t>First Amendment to Lease Agreement</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10.7.1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w w:val="98"/>
              </w:rPr>
              <w:t>effective June 15, 2012 between the registrant</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and 12808 W. Airport, LLC</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40"/>
              <w:spacing w:after="0"/>
              <w:rPr>
                <w:sz w:val="20"/>
                <w:szCs w:val="20"/>
                <w:color w:val="auto"/>
              </w:rPr>
            </w:pPr>
            <w:r>
              <w:rPr>
                <w:rFonts w:ascii="Arial" w:cs="Arial" w:eastAsia="Arial" w:hAnsi="Arial"/>
                <w:sz w:val="16"/>
                <w:szCs w:val="16"/>
                <w:color w:val="auto"/>
              </w:rPr>
              <w:t>10.7.2</w:t>
            </w:r>
          </w:p>
        </w:tc>
        <w:tc>
          <w:tcPr>
            <w:tcW w:w="3360" w:type="dxa"/>
            <w:vAlign w:val="bottom"/>
          </w:tcPr>
          <w:p>
            <w:pPr>
              <w:ind w:left="120"/>
              <w:spacing w:after="0"/>
              <w:rPr>
                <w:sz w:val="20"/>
                <w:szCs w:val="20"/>
                <w:color w:val="auto"/>
              </w:rPr>
            </w:pPr>
            <w:r>
              <w:rPr>
                <w:rFonts w:ascii="Arial" w:cs="Arial" w:eastAsia="Arial" w:hAnsi="Arial"/>
                <w:sz w:val="16"/>
                <w:szCs w:val="16"/>
                <w:color w:val="auto"/>
              </w:rPr>
              <w:t>Third Amendment to Office Lease Agreement</w:t>
            </w:r>
          </w:p>
        </w:tc>
        <w:tc>
          <w:tcPr>
            <w:tcW w:w="840" w:type="dxa"/>
            <w:vAlign w:val="bottom"/>
          </w:tcPr>
          <w:p>
            <w:pPr>
              <w:jc w:val="center"/>
              <w:spacing w:after="0"/>
              <w:rPr>
                <w:sz w:val="20"/>
                <w:szCs w:val="20"/>
                <w:color w:val="auto"/>
              </w:rPr>
            </w:pPr>
            <w:r>
              <w:rPr>
                <w:rFonts w:ascii="Arial" w:cs="Arial" w:eastAsia="Arial" w:hAnsi="Arial"/>
                <w:sz w:val="16"/>
                <w:szCs w:val="16"/>
                <w:color w:val="auto"/>
              </w:rPr>
              <w:t>8-K</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July 25, 2014</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w w:val="98"/>
              </w:rPr>
              <w:t>between the Applied Optoelectronics, Inc. and</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12808 Airport, LLC dated July 21, 2014</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80"/>
              <w:spacing w:after="0"/>
              <w:rPr>
                <w:sz w:val="20"/>
                <w:szCs w:val="20"/>
                <w:color w:val="auto"/>
              </w:rPr>
            </w:pPr>
            <w:r>
              <w:rPr>
                <w:rFonts w:ascii="Arial" w:cs="Arial" w:eastAsia="Arial" w:hAnsi="Arial"/>
                <w:sz w:val="16"/>
                <w:szCs w:val="16"/>
                <w:color w:val="auto"/>
              </w:rPr>
              <w:t>10.8</w:t>
            </w:r>
          </w:p>
        </w:tc>
        <w:tc>
          <w:tcPr>
            <w:tcW w:w="3360" w:type="dxa"/>
            <w:vAlign w:val="bottom"/>
          </w:tcPr>
          <w:p>
            <w:pPr>
              <w:ind w:left="120"/>
              <w:spacing w:after="0"/>
              <w:rPr>
                <w:sz w:val="20"/>
                <w:szCs w:val="20"/>
                <w:color w:val="auto"/>
              </w:rPr>
            </w:pPr>
            <w:r>
              <w:rPr>
                <w:rFonts w:ascii="Arial" w:cs="Arial" w:eastAsia="Arial" w:hAnsi="Arial"/>
                <w:sz w:val="16"/>
                <w:szCs w:val="16"/>
                <w:color w:val="auto"/>
                <w:w w:val="98"/>
              </w:rPr>
              <w:t>Translation of Chinese lease agreement dated</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10.8</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January 10, 2012 between the registrant and</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Admiral Overseas Corporation for space on</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4F, NO.700, Jhongjheng Rd., Jhonghe</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District, New Taipei City 23552, Taiwan</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(R.O.C.)</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40"/>
              <w:spacing w:after="0"/>
              <w:rPr>
                <w:sz w:val="20"/>
                <w:szCs w:val="20"/>
                <w:color w:val="auto"/>
              </w:rPr>
            </w:pPr>
            <w:r>
              <w:rPr>
                <w:rFonts w:ascii="Arial" w:cs="Arial" w:eastAsia="Arial" w:hAnsi="Arial"/>
                <w:sz w:val="16"/>
                <w:szCs w:val="16"/>
                <w:color w:val="auto"/>
              </w:rPr>
              <w:t>10.8.1</w:t>
            </w:r>
          </w:p>
        </w:tc>
        <w:tc>
          <w:tcPr>
            <w:tcW w:w="3360" w:type="dxa"/>
            <w:vAlign w:val="bottom"/>
          </w:tcPr>
          <w:p>
            <w:pPr>
              <w:ind w:left="120"/>
              <w:spacing w:after="0"/>
              <w:rPr>
                <w:sz w:val="20"/>
                <w:szCs w:val="20"/>
                <w:color w:val="auto"/>
              </w:rPr>
            </w:pPr>
            <w:r>
              <w:rPr>
                <w:rFonts w:ascii="Arial" w:cs="Arial" w:eastAsia="Arial" w:hAnsi="Arial"/>
                <w:sz w:val="16"/>
                <w:szCs w:val="16"/>
                <w:color w:val="auto"/>
              </w:rPr>
              <w:t>Translation of Chinese Amendment to Office</w:t>
            </w:r>
          </w:p>
        </w:tc>
        <w:tc>
          <w:tcPr>
            <w:tcW w:w="84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10.4</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November 14, 2013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Lease Agreement dated August 28, 2013</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between the registrant and Admiral Overseas</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Corporation for space on 4F, No.700,</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w w:val="99"/>
              </w:rPr>
              <w:t>Jhongjheng Rd., Jhonghe District, New Taipei</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City 23552, Taiwan (R.O.C.)</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80"/>
              <w:spacing w:after="0"/>
              <w:rPr>
                <w:sz w:val="20"/>
                <w:szCs w:val="20"/>
                <w:color w:val="auto"/>
              </w:rPr>
            </w:pPr>
            <w:r>
              <w:rPr>
                <w:rFonts w:ascii="Arial" w:cs="Arial" w:eastAsia="Arial" w:hAnsi="Arial"/>
                <w:sz w:val="16"/>
                <w:szCs w:val="16"/>
                <w:color w:val="auto"/>
              </w:rPr>
              <w:t>10.9</w:t>
            </w:r>
          </w:p>
        </w:tc>
        <w:tc>
          <w:tcPr>
            <w:tcW w:w="3360" w:type="dxa"/>
            <w:vAlign w:val="bottom"/>
          </w:tcPr>
          <w:p>
            <w:pPr>
              <w:ind w:left="120"/>
              <w:spacing w:after="0"/>
              <w:rPr>
                <w:sz w:val="20"/>
                <w:szCs w:val="20"/>
                <w:color w:val="auto"/>
              </w:rPr>
            </w:pPr>
            <w:r>
              <w:rPr>
                <w:rFonts w:ascii="Arial" w:cs="Arial" w:eastAsia="Arial" w:hAnsi="Arial"/>
                <w:sz w:val="16"/>
                <w:szCs w:val="16"/>
                <w:color w:val="auto"/>
                <w:w w:val="98"/>
              </w:rPr>
              <w:t>Translation of Chinese lease agreement dated</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10.9</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April 1, 2012 between the registrant and</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w w:val="98"/>
              </w:rPr>
              <w:t>Admiral Overseas Corporation for space on 6-</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7F, NO.700, Jhongjheng Rd., Jhonghe</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District, New Taipei City 23552, Taiwan</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(R.O.C.)</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40"/>
              <w:spacing w:after="0"/>
              <w:rPr>
                <w:sz w:val="20"/>
                <w:szCs w:val="20"/>
                <w:color w:val="auto"/>
              </w:rPr>
            </w:pPr>
            <w:r>
              <w:rPr>
                <w:rFonts w:ascii="Arial" w:cs="Arial" w:eastAsia="Arial" w:hAnsi="Arial"/>
                <w:sz w:val="16"/>
                <w:szCs w:val="16"/>
                <w:color w:val="auto"/>
              </w:rPr>
              <w:t>10.9.1</w:t>
            </w:r>
          </w:p>
        </w:tc>
        <w:tc>
          <w:tcPr>
            <w:tcW w:w="3360" w:type="dxa"/>
            <w:vAlign w:val="bottom"/>
          </w:tcPr>
          <w:p>
            <w:pPr>
              <w:ind w:left="120"/>
              <w:spacing w:after="0"/>
              <w:rPr>
                <w:sz w:val="20"/>
                <w:szCs w:val="20"/>
                <w:color w:val="auto"/>
              </w:rPr>
            </w:pPr>
            <w:r>
              <w:rPr>
                <w:rFonts w:ascii="Arial" w:cs="Arial" w:eastAsia="Arial" w:hAnsi="Arial"/>
                <w:sz w:val="16"/>
                <w:szCs w:val="16"/>
                <w:color w:val="auto"/>
              </w:rPr>
              <w:t>Translation of Chinese Amendment to Office</w:t>
            </w:r>
          </w:p>
        </w:tc>
        <w:tc>
          <w:tcPr>
            <w:tcW w:w="84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10.5</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November 14, 2013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Lease Agreement dated August 28, 2013</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between the registrant and Admiral Overseas</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Corporation for space on 6-7F, No.700,</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w w:val="99"/>
              </w:rPr>
              <w:t>Jhongjheng Rd., Jhonghe District, New Taipei</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City 23552, Taiwan (R.O.C.)</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80"/>
              <w:spacing w:after="0"/>
              <w:rPr>
                <w:sz w:val="20"/>
                <w:szCs w:val="20"/>
                <w:color w:val="auto"/>
              </w:rPr>
            </w:pPr>
            <w:r>
              <w:rPr>
                <w:rFonts w:ascii="Arial" w:cs="Arial" w:eastAsia="Arial" w:hAnsi="Arial"/>
                <w:sz w:val="16"/>
                <w:szCs w:val="16"/>
                <w:color w:val="auto"/>
              </w:rPr>
              <w:t>10.10</w:t>
            </w:r>
          </w:p>
        </w:tc>
        <w:tc>
          <w:tcPr>
            <w:tcW w:w="3360" w:type="dxa"/>
            <w:vAlign w:val="bottom"/>
          </w:tcPr>
          <w:p>
            <w:pPr>
              <w:ind w:left="120"/>
              <w:spacing w:after="0"/>
              <w:rPr>
                <w:sz w:val="20"/>
                <w:szCs w:val="20"/>
                <w:color w:val="auto"/>
              </w:rPr>
            </w:pPr>
            <w:r>
              <w:rPr>
                <w:rFonts w:ascii="Arial" w:cs="Arial" w:eastAsia="Arial" w:hAnsi="Arial"/>
                <w:sz w:val="16"/>
                <w:szCs w:val="16"/>
                <w:color w:val="auto"/>
                <w:w w:val="98"/>
              </w:rPr>
              <w:t>Translation of Chinese lease agreement dated</w:t>
            </w:r>
          </w:p>
        </w:tc>
        <w:tc>
          <w:tcPr>
            <w:tcW w:w="84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10.3</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November 14, 2013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September 11, 2013 between the registrant</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and Admiral Overseas Corporation for space</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on 5F, No.700, Jhongjheng Rd., Jhonghe</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District, New Taipei City 23552, Taiwan</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(R.O.C.)</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80"/>
              <w:spacing w:after="0"/>
              <w:rPr>
                <w:sz w:val="20"/>
                <w:szCs w:val="20"/>
                <w:color w:val="auto"/>
              </w:rPr>
            </w:pPr>
            <w:r>
              <w:rPr>
                <w:rFonts w:ascii="Arial" w:cs="Arial" w:eastAsia="Arial" w:hAnsi="Arial"/>
                <w:sz w:val="16"/>
                <w:szCs w:val="16"/>
                <w:color w:val="auto"/>
              </w:rPr>
              <w:t>10.11</w:t>
            </w:r>
          </w:p>
        </w:tc>
        <w:tc>
          <w:tcPr>
            <w:tcW w:w="3360" w:type="dxa"/>
            <w:vAlign w:val="bottom"/>
          </w:tcPr>
          <w:p>
            <w:pPr>
              <w:ind w:left="120"/>
              <w:spacing w:after="0"/>
              <w:rPr>
                <w:sz w:val="20"/>
                <w:szCs w:val="20"/>
                <w:color w:val="auto"/>
              </w:rPr>
            </w:pPr>
            <w:r>
              <w:rPr>
                <w:rFonts w:ascii="Arial" w:cs="Arial" w:eastAsia="Arial" w:hAnsi="Arial"/>
                <w:sz w:val="16"/>
                <w:szCs w:val="16"/>
                <w:color w:val="auto"/>
              </w:rPr>
              <w:t>Amended and Restated Loan and Security</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10.10</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Agreement effective May 20, 2009 between</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registrant and United Commercial Bank</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80"/>
              <w:spacing w:after="0"/>
              <w:rPr>
                <w:sz w:val="20"/>
                <w:szCs w:val="20"/>
                <w:color w:val="auto"/>
              </w:rPr>
            </w:pPr>
            <w:r>
              <w:rPr>
                <w:rFonts w:ascii="Arial" w:cs="Arial" w:eastAsia="Arial" w:hAnsi="Arial"/>
                <w:sz w:val="16"/>
                <w:szCs w:val="16"/>
                <w:color w:val="auto"/>
              </w:rPr>
              <w:t>10.11.1</w:t>
            </w:r>
          </w:p>
        </w:tc>
        <w:tc>
          <w:tcPr>
            <w:tcW w:w="3360" w:type="dxa"/>
            <w:vAlign w:val="bottom"/>
          </w:tcPr>
          <w:p>
            <w:pPr>
              <w:ind w:left="120"/>
              <w:spacing w:after="0"/>
              <w:rPr>
                <w:sz w:val="20"/>
                <w:szCs w:val="20"/>
                <w:color w:val="auto"/>
              </w:rPr>
            </w:pPr>
            <w:r>
              <w:rPr>
                <w:rFonts w:ascii="Arial" w:cs="Arial" w:eastAsia="Arial" w:hAnsi="Arial"/>
                <w:sz w:val="16"/>
                <w:szCs w:val="16"/>
                <w:color w:val="auto"/>
              </w:rPr>
              <w:t>First Amendment to Amended and Restated</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10.10.1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Loan and Security Agreement effective</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May 3, 2010 between the registrant and East</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w w:val="99"/>
              </w:rPr>
              <w:t>West Bank (as successor in interest to United</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Commercial Bank)</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80"/>
              <w:spacing w:after="0"/>
              <w:rPr>
                <w:sz w:val="20"/>
                <w:szCs w:val="20"/>
                <w:color w:val="auto"/>
              </w:rPr>
            </w:pPr>
            <w:r>
              <w:rPr>
                <w:rFonts w:ascii="Arial" w:cs="Arial" w:eastAsia="Arial" w:hAnsi="Arial"/>
                <w:sz w:val="16"/>
                <w:szCs w:val="16"/>
                <w:color w:val="auto"/>
              </w:rPr>
              <w:t>10.11.2</w:t>
            </w:r>
          </w:p>
        </w:tc>
        <w:tc>
          <w:tcPr>
            <w:tcW w:w="3360" w:type="dxa"/>
            <w:vAlign w:val="bottom"/>
          </w:tcPr>
          <w:p>
            <w:pPr>
              <w:ind w:left="120"/>
              <w:spacing w:after="0"/>
              <w:rPr>
                <w:sz w:val="20"/>
                <w:szCs w:val="20"/>
                <w:color w:val="auto"/>
              </w:rPr>
            </w:pPr>
            <w:r>
              <w:rPr>
                <w:rFonts w:ascii="Arial" w:cs="Arial" w:eastAsia="Arial" w:hAnsi="Arial"/>
                <w:sz w:val="16"/>
                <w:szCs w:val="16"/>
                <w:color w:val="auto"/>
                <w:w w:val="96"/>
              </w:rPr>
              <w:t>Second Amendment to Amended and Restated</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10.10.2</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Loan and Security Agreement effective</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October 28, 2010 between the registrant and</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East West Bank</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80"/>
              <w:spacing w:after="0"/>
              <w:rPr>
                <w:sz w:val="20"/>
                <w:szCs w:val="20"/>
                <w:color w:val="auto"/>
              </w:rPr>
            </w:pPr>
            <w:r>
              <w:rPr>
                <w:rFonts w:ascii="Arial" w:cs="Arial" w:eastAsia="Arial" w:hAnsi="Arial"/>
                <w:sz w:val="16"/>
                <w:szCs w:val="16"/>
                <w:color w:val="auto"/>
              </w:rPr>
              <w:t>10.11.3</w:t>
            </w:r>
          </w:p>
        </w:tc>
        <w:tc>
          <w:tcPr>
            <w:tcW w:w="3360" w:type="dxa"/>
            <w:vAlign w:val="bottom"/>
          </w:tcPr>
          <w:p>
            <w:pPr>
              <w:ind w:left="120"/>
              <w:spacing w:after="0"/>
              <w:rPr>
                <w:sz w:val="20"/>
                <w:szCs w:val="20"/>
                <w:color w:val="auto"/>
              </w:rPr>
            </w:pPr>
            <w:r>
              <w:rPr>
                <w:rFonts w:ascii="Arial" w:cs="Arial" w:eastAsia="Arial" w:hAnsi="Arial"/>
                <w:sz w:val="16"/>
                <w:szCs w:val="16"/>
                <w:color w:val="auto"/>
              </w:rPr>
              <w:t>Third Amendment to Amended and Restated</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10.10.3</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Loan and Security Agreement effective</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w w:val="98"/>
              </w:rPr>
              <w:t>December 6, 2010 between the registrant and</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East West Bank</w:t>
            </w: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Number</w:t>
            </w:r>
          </w:p>
        </w:tc>
        <w:tc>
          <w:tcPr>
            <w:tcW w:w="338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500" w:type="dxa"/>
            <w:vAlign w:val="bottom"/>
            <w:gridSpan w:val="2"/>
          </w:tcPr>
          <w:p>
            <w:pPr>
              <w:ind w:left="760"/>
              <w:spacing w:after="0"/>
              <w:rPr>
                <w:sz w:val="20"/>
                <w:szCs w:val="20"/>
                <w:color w:val="auto"/>
              </w:rPr>
            </w:pPr>
            <w:r>
              <w:rPr>
                <w:rFonts w:ascii="Arial" w:cs="Arial" w:eastAsia="Arial" w:hAnsi="Arial"/>
                <w:sz w:val="14"/>
                <w:szCs w:val="14"/>
                <w:b w:val="1"/>
                <w:bCs w:val="1"/>
                <w:color w:val="auto"/>
                <w:w w:val="96"/>
              </w:rPr>
              <w:t>Incorporated By Reference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61"/>
        </w:trPr>
        <w:tc>
          <w:tcPr>
            <w:tcW w:w="700" w:type="dxa"/>
            <w:vAlign w:val="bottom"/>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File No.</w:t>
            </w:r>
          </w:p>
        </w:tc>
        <w:tc>
          <w:tcPr>
            <w:tcW w:w="124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10.11.4</w:t>
            </w: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Fourth Amendment to Amended and Restated</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10.10.4</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Loan and Security Agreement effective</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May 5, 2011 between the registrant and East</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West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10.11.5</w:t>
            </w:r>
          </w:p>
        </w:tc>
        <w:tc>
          <w:tcPr>
            <w:tcW w:w="3380" w:type="dxa"/>
            <w:vAlign w:val="bottom"/>
          </w:tcPr>
          <w:p>
            <w:pPr>
              <w:ind w:left="140"/>
              <w:spacing w:after="0"/>
              <w:rPr>
                <w:sz w:val="20"/>
                <w:szCs w:val="20"/>
                <w:color w:val="auto"/>
              </w:rPr>
            </w:pPr>
            <w:r>
              <w:rPr>
                <w:rFonts w:ascii="Arial" w:cs="Arial" w:eastAsia="Arial" w:hAnsi="Arial"/>
                <w:sz w:val="16"/>
                <w:szCs w:val="16"/>
                <w:color w:val="auto"/>
              </w:rPr>
              <w:t>Fifth Amendment to Amended and Restated</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10.10.5</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Loan and Security Agreement effective</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6"/>
              </w:rPr>
              <w:t>November 30, 2011 between the registrant and</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East West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10.11.6</w:t>
            </w:r>
          </w:p>
        </w:tc>
        <w:tc>
          <w:tcPr>
            <w:tcW w:w="3380" w:type="dxa"/>
            <w:vAlign w:val="bottom"/>
          </w:tcPr>
          <w:p>
            <w:pPr>
              <w:ind w:left="140"/>
              <w:spacing w:after="0"/>
              <w:rPr>
                <w:sz w:val="20"/>
                <w:szCs w:val="20"/>
                <w:color w:val="auto"/>
              </w:rPr>
            </w:pPr>
            <w:r>
              <w:rPr>
                <w:rFonts w:ascii="Arial" w:cs="Arial" w:eastAsia="Arial" w:hAnsi="Arial"/>
                <w:sz w:val="16"/>
                <w:szCs w:val="16"/>
                <w:color w:val="auto"/>
              </w:rPr>
              <w:t>Sixth Amendment to Amended and Restated</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10.10.6</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Loan and Security Agreement effective</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March 29, 2012 between the registrant and</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East West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10.11.7</w:t>
            </w:r>
          </w:p>
        </w:tc>
        <w:tc>
          <w:tcPr>
            <w:tcW w:w="3380" w:type="dxa"/>
            <w:vAlign w:val="bottom"/>
          </w:tcPr>
          <w:p>
            <w:pPr>
              <w:ind w:left="140"/>
              <w:spacing w:after="0"/>
              <w:rPr>
                <w:sz w:val="20"/>
                <w:szCs w:val="20"/>
                <w:color w:val="auto"/>
              </w:rPr>
            </w:pPr>
            <w:r>
              <w:rPr>
                <w:rFonts w:ascii="Arial" w:cs="Arial" w:eastAsia="Arial" w:hAnsi="Arial"/>
                <w:sz w:val="16"/>
                <w:szCs w:val="16"/>
                <w:color w:val="auto"/>
              </w:rPr>
              <w:t>Seventh Amendment to Amended and</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10.10.7</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Restated Loan and Security Agreement</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effective June 29, 2012 between the registrant</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and East West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10.11.8</w:t>
            </w: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Eighth Amendment to Amended and Restated</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10.10.8</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Loan and Security Agreement effective</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November 2, 2012 between the registrant and</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East West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10.11.9</w:t>
            </w:r>
          </w:p>
        </w:tc>
        <w:tc>
          <w:tcPr>
            <w:tcW w:w="3380" w:type="dxa"/>
            <w:vAlign w:val="bottom"/>
          </w:tcPr>
          <w:p>
            <w:pPr>
              <w:ind w:left="140"/>
              <w:spacing w:after="0"/>
              <w:rPr>
                <w:sz w:val="20"/>
                <w:szCs w:val="20"/>
                <w:color w:val="auto"/>
              </w:rPr>
            </w:pPr>
            <w:r>
              <w:rPr>
                <w:rFonts w:ascii="Arial" w:cs="Arial" w:eastAsia="Arial" w:hAnsi="Arial"/>
                <w:sz w:val="16"/>
                <w:szCs w:val="16"/>
                <w:color w:val="auto"/>
              </w:rPr>
              <w:t>Ninth Amendment to Amended and Restated</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10.10.9</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Loan and Security Agreement effective</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7"/>
              </w:rPr>
              <w:t>April 11, 2013 between the registrant and East</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West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w w:val="86"/>
              </w:rPr>
              <w:t>10.11.10</w:t>
            </w:r>
          </w:p>
        </w:tc>
        <w:tc>
          <w:tcPr>
            <w:tcW w:w="3380" w:type="dxa"/>
            <w:vAlign w:val="bottom"/>
          </w:tcPr>
          <w:p>
            <w:pPr>
              <w:ind w:left="140"/>
              <w:spacing w:after="0"/>
              <w:rPr>
                <w:sz w:val="20"/>
                <w:szCs w:val="20"/>
                <w:color w:val="auto"/>
              </w:rPr>
            </w:pPr>
            <w:r>
              <w:rPr>
                <w:rFonts w:ascii="Arial" w:cs="Arial" w:eastAsia="Arial" w:hAnsi="Arial"/>
                <w:sz w:val="16"/>
                <w:szCs w:val="16"/>
                <w:color w:val="auto"/>
                <w:w w:val="99"/>
              </w:rPr>
              <w:t>Tenth Amendment to Amended and Restated</w:t>
            </w:r>
          </w:p>
        </w:tc>
        <w:tc>
          <w:tcPr>
            <w:tcW w:w="8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10.10.10</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September 11, 2013</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Loan and Security Agreement effective</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September 10, 2013 between the registrant</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and East West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w w:val="86"/>
              </w:rPr>
              <w:t>10.11.11</w:t>
            </w:r>
          </w:p>
        </w:tc>
        <w:tc>
          <w:tcPr>
            <w:tcW w:w="3380" w:type="dxa"/>
            <w:vAlign w:val="bottom"/>
          </w:tcPr>
          <w:p>
            <w:pPr>
              <w:ind w:left="140"/>
              <w:spacing w:after="0"/>
              <w:rPr>
                <w:sz w:val="20"/>
                <w:szCs w:val="20"/>
                <w:color w:val="auto"/>
              </w:rPr>
            </w:pPr>
            <w:r>
              <w:rPr>
                <w:rFonts w:ascii="Arial" w:cs="Arial" w:eastAsia="Arial" w:hAnsi="Arial"/>
                <w:sz w:val="16"/>
                <w:szCs w:val="16"/>
                <w:color w:val="auto"/>
              </w:rPr>
              <w:t>Eleventh Amendment to Amended and</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November 19, 2013</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Restated Loan and Security Agreement</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effective November 13, 2013 between the</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registrant and East West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w w:val="86"/>
              </w:rPr>
              <w:t>10.11.12</w:t>
            </w:r>
          </w:p>
        </w:tc>
        <w:tc>
          <w:tcPr>
            <w:tcW w:w="3380" w:type="dxa"/>
            <w:vAlign w:val="bottom"/>
          </w:tcPr>
          <w:p>
            <w:pPr>
              <w:ind w:left="140"/>
              <w:spacing w:after="0"/>
              <w:rPr>
                <w:sz w:val="20"/>
                <w:szCs w:val="20"/>
                <w:color w:val="auto"/>
              </w:rPr>
            </w:pPr>
            <w:r>
              <w:rPr>
                <w:rFonts w:ascii="Arial" w:cs="Arial" w:eastAsia="Arial" w:hAnsi="Arial"/>
                <w:sz w:val="16"/>
                <w:szCs w:val="16"/>
                <w:color w:val="auto"/>
              </w:rPr>
              <w:t>Twelfth Amendment to Amended and</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December 17, 2013</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Restated Loan and Security Agreement</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effective December 11, 2013 between the</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registrant and East West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w w:val="86"/>
              </w:rPr>
              <w:t>10.11.13</w:t>
            </w:r>
          </w:p>
        </w:tc>
        <w:tc>
          <w:tcPr>
            <w:tcW w:w="3380" w:type="dxa"/>
            <w:vAlign w:val="bottom"/>
          </w:tcPr>
          <w:p>
            <w:pPr>
              <w:ind w:left="140"/>
              <w:spacing w:after="0"/>
              <w:rPr>
                <w:sz w:val="20"/>
                <w:szCs w:val="20"/>
                <w:color w:val="auto"/>
              </w:rPr>
            </w:pPr>
            <w:r>
              <w:rPr>
                <w:rFonts w:ascii="Arial" w:cs="Arial" w:eastAsia="Arial" w:hAnsi="Arial"/>
                <w:sz w:val="16"/>
                <w:szCs w:val="16"/>
                <w:color w:val="auto"/>
              </w:rPr>
              <w:t>Translation of Chinese form of RMB Working</w:t>
            </w:r>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10.11.13</w:t>
            </w: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March 6, 2014</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Capital Loan Agreement between the Global</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Technology Inc. and China Construction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10.12</w:t>
            </w:r>
          </w:p>
        </w:tc>
        <w:tc>
          <w:tcPr>
            <w:tcW w:w="3380" w:type="dxa"/>
            <w:vAlign w:val="bottom"/>
          </w:tcPr>
          <w:p>
            <w:pPr>
              <w:ind w:left="140"/>
              <w:spacing w:after="0"/>
              <w:rPr>
                <w:sz w:val="20"/>
                <w:szCs w:val="20"/>
                <w:color w:val="auto"/>
              </w:rPr>
            </w:pPr>
            <w:r>
              <w:rPr>
                <w:rFonts w:ascii="Arial" w:cs="Arial" w:eastAsia="Arial" w:hAnsi="Arial"/>
                <w:sz w:val="16"/>
                <w:szCs w:val="16"/>
                <w:color w:val="auto"/>
              </w:rPr>
              <w:t>Translation of Chinese form of USD Trust</w:t>
            </w:r>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10.11.12</w:t>
            </w: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March 6, 2014</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Receipt Loan Agreement between Global</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Technology Inc. and China Construction Bank</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10.13</w:t>
            </w: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Translation of Chinese Loan Agreement dated</w:t>
            </w:r>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10.13</w:t>
            </w: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March 6, 2014</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6"/>
              </w:rPr>
              <w:t>December 31, 2013 between the registrant and</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E. Sun Commercial Bank Co., Ltd.</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10.14</w:t>
            </w: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Translation of Chinese Loan Agreement dated</w:t>
            </w:r>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160"/>
              <w:spacing w:after="0"/>
              <w:rPr>
                <w:sz w:val="20"/>
                <w:szCs w:val="20"/>
                <w:color w:val="auto"/>
              </w:rPr>
            </w:pPr>
            <w:r>
              <w:rPr>
                <w:rFonts w:ascii="Arial" w:cs="Arial" w:eastAsia="Arial" w:hAnsi="Arial"/>
                <w:sz w:val="16"/>
                <w:szCs w:val="16"/>
                <w:color w:val="auto"/>
                <w:w w:val="89"/>
              </w:rPr>
              <w:t>10.14</w:t>
            </w:r>
          </w:p>
        </w:tc>
        <w:tc>
          <w:tcPr>
            <w:tcW w:w="1360" w:type="dxa"/>
            <w:vAlign w:val="bottom"/>
          </w:tcPr>
          <w:p>
            <w:pPr>
              <w:jc w:val="center"/>
              <w:spacing w:after="0"/>
              <w:rPr>
                <w:sz w:val="20"/>
                <w:szCs w:val="20"/>
                <w:color w:val="auto"/>
              </w:rPr>
            </w:pPr>
            <w:r>
              <w:rPr>
                <w:rFonts w:ascii="Arial" w:cs="Arial" w:eastAsia="Arial" w:hAnsi="Arial"/>
                <w:sz w:val="16"/>
                <w:szCs w:val="16"/>
                <w:color w:val="auto"/>
                <w:w w:val="93"/>
              </w:rPr>
              <w:t>March 6, 2014</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6"/>
              </w:rPr>
              <w:t>December 20, 2013 between the registrant and</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Mega International Commercial Bank Co.,</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Ltd.</w:t>
            </w: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4"/>
                <w:szCs w:val="14"/>
                <w:color w:val="auto"/>
              </w:rPr>
            </w:pPr>
          </w:p>
        </w:tc>
        <w:tc>
          <w:tcPr>
            <w:tcW w:w="33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580" w:type="dxa"/>
            <w:vAlign w:val="bottom"/>
            <w:gridSpan w:val="2"/>
          </w:tcPr>
          <w:p>
            <w:pPr>
              <w:ind w:left="780"/>
              <w:spacing w:after="0"/>
              <w:rPr>
                <w:sz w:val="20"/>
                <w:szCs w:val="20"/>
                <w:color w:val="auto"/>
              </w:rPr>
            </w:pPr>
            <w:r>
              <w:rPr>
                <w:rFonts w:ascii="Arial" w:cs="Arial" w:eastAsia="Arial" w:hAnsi="Arial"/>
                <w:sz w:val="14"/>
                <w:szCs w:val="14"/>
                <w:b w:val="1"/>
                <w:bCs w:val="1"/>
                <w:color w:val="auto"/>
                <w:w w:val="99"/>
              </w:rPr>
              <w:t>Incorporated By Reference</w:t>
            </w:r>
          </w:p>
        </w:tc>
        <w:tc>
          <w:tcPr>
            <w:tcW w:w="1200" w:type="dxa"/>
            <w:vAlign w:val="bottom"/>
            <w:vMerge w:val="restart"/>
          </w:tcPr>
          <w:p>
            <w:pPr>
              <w:jc w:val="center"/>
              <w:ind w:left="41"/>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2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jc w:val="right"/>
              <w:spacing w:after="0"/>
              <w:rPr>
                <w:sz w:val="20"/>
                <w:szCs w:val="20"/>
                <w:color w:val="auto"/>
              </w:rPr>
            </w:pPr>
            <w:r>
              <w:rPr>
                <w:rFonts w:ascii="Arial" w:cs="Arial" w:eastAsia="Arial" w:hAnsi="Arial"/>
                <w:sz w:val="16"/>
                <w:szCs w:val="16"/>
                <w:color w:val="auto"/>
              </w:rPr>
              <w:t>10.15</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3300" w:type="dxa"/>
            <w:vAlign w:val="bottom"/>
          </w:tcPr>
          <w:p>
            <w:pPr>
              <w:ind w:left="80"/>
              <w:spacing w:after="0"/>
              <w:rPr>
                <w:sz w:val="20"/>
                <w:szCs w:val="20"/>
                <w:color w:val="auto"/>
              </w:rPr>
            </w:pPr>
            <w:r>
              <w:rPr>
                <w:rFonts w:ascii="Arial" w:cs="Arial" w:eastAsia="Arial" w:hAnsi="Arial"/>
                <w:sz w:val="16"/>
                <w:szCs w:val="16"/>
                <w:color w:val="auto"/>
                <w:w w:val="99"/>
              </w:rPr>
              <w:t>Employment Agreement regarding Change of</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80" w:type="dxa"/>
            <w:vAlign w:val="bottom"/>
          </w:tcPr>
          <w:p>
            <w:pPr>
              <w:jc w:val="center"/>
              <w:ind w:right="241"/>
              <w:spacing w:after="0"/>
              <w:rPr>
                <w:sz w:val="20"/>
                <w:szCs w:val="20"/>
                <w:color w:val="auto"/>
              </w:rPr>
            </w:pPr>
            <w:r>
              <w:rPr>
                <w:rFonts w:ascii="Arial" w:cs="Arial" w:eastAsia="Arial" w:hAnsi="Arial"/>
                <w:sz w:val="16"/>
                <w:szCs w:val="16"/>
                <w:color w:val="auto"/>
                <w:w w:val="89"/>
              </w:rPr>
              <w:t>10.12</w:t>
            </w:r>
          </w:p>
        </w:tc>
        <w:tc>
          <w:tcPr>
            <w:tcW w:w="1200" w:type="dxa"/>
            <w:vAlign w:val="bottom"/>
          </w:tcPr>
          <w:p>
            <w:pPr>
              <w:jc w:val="center"/>
              <w:ind w:left="41"/>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Control or Separation of Service between the</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registrant and Chih-Hsiang (Thompson) Lin,</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dated January 28, 2007</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10.15.1</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3300" w:type="dxa"/>
            <w:vAlign w:val="bottom"/>
          </w:tcPr>
          <w:p>
            <w:pPr>
              <w:ind w:left="80"/>
              <w:spacing w:after="0"/>
              <w:rPr>
                <w:sz w:val="20"/>
                <w:szCs w:val="20"/>
                <w:color w:val="auto"/>
              </w:rPr>
            </w:pPr>
            <w:r>
              <w:rPr>
                <w:rFonts w:ascii="Arial" w:cs="Arial" w:eastAsia="Arial" w:hAnsi="Arial"/>
                <w:sz w:val="16"/>
                <w:szCs w:val="16"/>
                <w:color w:val="auto"/>
              </w:rPr>
              <w:t>Amended and Restated Employment</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80" w:type="dxa"/>
            <w:vAlign w:val="bottom"/>
          </w:tcPr>
          <w:p>
            <w:pPr>
              <w:jc w:val="center"/>
              <w:ind w:right="241"/>
              <w:spacing w:after="0"/>
              <w:rPr>
                <w:sz w:val="20"/>
                <w:szCs w:val="20"/>
                <w:color w:val="auto"/>
              </w:rPr>
            </w:pPr>
            <w:r>
              <w:rPr>
                <w:rFonts w:ascii="Arial" w:cs="Arial" w:eastAsia="Arial" w:hAnsi="Arial"/>
                <w:sz w:val="16"/>
                <w:szCs w:val="16"/>
                <w:color w:val="auto"/>
                <w:w w:val="89"/>
              </w:rPr>
              <w:t>10.12.1</w:t>
            </w:r>
          </w:p>
        </w:tc>
        <w:tc>
          <w:tcPr>
            <w:tcW w:w="1200" w:type="dxa"/>
            <w:vAlign w:val="bottom"/>
          </w:tcPr>
          <w:p>
            <w:pPr>
              <w:jc w:val="center"/>
              <w:ind w:left="41"/>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Agreement regarding Change of Control or</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Separation of Service between the registrant</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and Chih-Hsiang (Thompson) Lin, dated</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April 16, 2013</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10.15</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3300" w:type="dxa"/>
            <w:vAlign w:val="bottom"/>
          </w:tcPr>
          <w:p>
            <w:pPr>
              <w:ind w:left="80"/>
              <w:spacing w:after="0"/>
              <w:rPr>
                <w:sz w:val="20"/>
                <w:szCs w:val="20"/>
                <w:color w:val="auto"/>
              </w:rPr>
            </w:pPr>
            <w:r>
              <w:rPr>
                <w:rFonts w:ascii="Arial" w:cs="Arial" w:eastAsia="Arial" w:hAnsi="Arial"/>
                <w:sz w:val="16"/>
                <w:szCs w:val="16"/>
                <w:color w:val="auto"/>
                <w:w w:val="99"/>
              </w:rPr>
              <w:t>Employment Agreement regarding Change of</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80" w:type="dxa"/>
            <w:vAlign w:val="bottom"/>
          </w:tcPr>
          <w:p>
            <w:pPr>
              <w:jc w:val="center"/>
              <w:ind w:right="241"/>
              <w:spacing w:after="0"/>
              <w:rPr>
                <w:sz w:val="20"/>
                <w:szCs w:val="20"/>
                <w:color w:val="auto"/>
              </w:rPr>
            </w:pPr>
            <w:r>
              <w:rPr>
                <w:rFonts w:ascii="Arial" w:cs="Arial" w:eastAsia="Arial" w:hAnsi="Arial"/>
                <w:sz w:val="16"/>
                <w:szCs w:val="16"/>
                <w:color w:val="auto"/>
                <w:w w:val="89"/>
              </w:rPr>
              <w:t>10.13</w:t>
            </w:r>
          </w:p>
        </w:tc>
        <w:tc>
          <w:tcPr>
            <w:tcW w:w="1200" w:type="dxa"/>
            <w:vAlign w:val="bottom"/>
          </w:tcPr>
          <w:p>
            <w:pPr>
              <w:jc w:val="center"/>
              <w:ind w:left="41"/>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Control or Separation of Service between the</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registrant and Stefan J. Murry, dated</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January 28, 2007</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10.16</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3300" w:type="dxa"/>
            <w:vAlign w:val="bottom"/>
          </w:tcPr>
          <w:p>
            <w:pPr>
              <w:ind w:left="80"/>
              <w:spacing w:after="0"/>
              <w:rPr>
                <w:sz w:val="20"/>
                <w:szCs w:val="20"/>
                <w:color w:val="auto"/>
              </w:rPr>
            </w:pPr>
            <w:r>
              <w:rPr>
                <w:rFonts w:ascii="Arial" w:cs="Arial" w:eastAsia="Arial" w:hAnsi="Arial"/>
                <w:sz w:val="16"/>
                <w:szCs w:val="16"/>
                <w:color w:val="auto"/>
                <w:w w:val="99"/>
              </w:rPr>
              <w:t>Employment Agreement regarding Change of</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80" w:type="dxa"/>
            <w:vAlign w:val="bottom"/>
          </w:tcPr>
          <w:p>
            <w:pPr>
              <w:jc w:val="center"/>
              <w:ind w:right="241"/>
              <w:spacing w:after="0"/>
              <w:rPr>
                <w:sz w:val="20"/>
                <w:szCs w:val="20"/>
                <w:color w:val="auto"/>
              </w:rPr>
            </w:pPr>
            <w:r>
              <w:rPr>
                <w:rFonts w:ascii="Arial" w:cs="Arial" w:eastAsia="Arial" w:hAnsi="Arial"/>
                <w:sz w:val="16"/>
                <w:szCs w:val="16"/>
                <w:color w:val="auto"/>
                <w:w w:val="89"/>
              </w:rPr>
              <w:t>10.14</w:t>
            </w:r>
          </w:p>
        </w:tc>
        <w:tc>
          <w:tcPr>
            <w:tcW w:w="1200" w:type="dxa"/>
            <w:vAlign w:val="bottom"/>
          </w:tcPr>
          <w:p>
            <w:pPr>
              <w:jc w:val="center"/>
              <w:ind w:left="41"/>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Arial" w:cs="Arial" w:eastAsia="Arial" w:hAnsi="Arial"/>
                <w:sz w:val="16"/>
                <w:szCs w:val="16"/>
                <w:color w:val="auto"/>
              </w:rPr>
              <w:t>Control or Separation of Service between the</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20"/>
        <w:spacing w:after="0"/>
        <w:rPr>
          <w:sz w:val="20"/>
          <w:szCs w:val="20"/>
          <w:color w:val="auto"/>
        </w:rPr>
      </w:pPr>
      <w:r>
        <w:rPr>
          <w:rFonts w:ascii="Arial" w:cs="Arial" w:eastAsia="Arial" w:hAnsi="Arial"/>
          <w:sz w:val="16"/>
          <w:szCs w:val="16"/>
          <w:color w:val="auto"/>
        </w:rPr>
        <w:t>registrant and Shu-Hua (Joshua) Yeh, dated</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June 1, 2012</w:t>
      </w:r>
    </w:p>
    <w:p>
      <w:pPr>
        <w:sectPr>
          <w:pgSz w:w="11900" w:h="16838" w:orient="portrait"/>
          <w:cols w:equalWidth="0" w:num="1">
            <w:col w:w="9039"/>
          </w:cols>
          <w:pgMar w:left="1420" w:top="125" w:right="1440" w:bottom="1440" w:gutter="0" w:footer="0" w:header="0"/>
        </w:sectPr>
      </w:pPr>
    </w:p>
    <w:p>
      <w:pPr>
        <w:spacing w:after="0" w:line="136" w:lineRule="exact"/>
        <w:rPr>
          <w:sz w:val="20"/>
          <w:szCs w:val="20"/>
          <w:color w:val="auto"/>
        </w:rPr>
      </w:pPr>
    </w:p>
    <w:p>
      <w:pPr>
        <w:ind w:left="920" w:right="380" w:hanging="647"/>
        <w:spacing w:after="0" w:line="278" w:lineRule="auto"/>
        <w:tabs>
          <w:tab w:leader="none" w:pos="900" w:val="left"/>
        </w:tabs>
        <w:rPr>
          <w:sz w:val="20"/>
          <w:szCs w:val="20"/>
          <w:color w:val="auto"/>
        </w:rPr>
      </w:pPr>
      <w:r>
        <w:rPr>
          <w:rFonts w:ascii="Arial" w:cs="Arial" w:eastAsia="Arial" w:hAnsi="Arial"/>
          <w:sz w:val="16"/>
          <w:szCs w:val="16"/>
          <w:color w:val="auto"/>
        </w:rPr>
        <w:t>10.17 †</w:t>
        <w:tab/>
        <w:t>Employment Agreement between the registrant and James L. Dunn, Jr., dated April 16, 2013</w:t>
      </w:r>
    </w:p>
    <w:p>
      <w:pPr>
        <w:spacing w:after="0" w:line="90" w:lineRule="exact"/>
        <w:rPr>
          <w:sz w:val="20"/>
          <w:szCs w:val="20"/>
          <w:color w:val="auto"/>
        </w:rPr>
      </w:pPr>
    </w:p>
    <w:p>
      <w:pPr>
        <w:ind w:left="920" w:hanging="647"/>
        <w:spacing w:after="0" w:line="278" w:lineRule="auto"/>
        <w:tabs>
          <w:tab w:leader="none" w:pos="900" w:val="left"/>
        </w:tabs>
        <w:rPr>
          <w:sz w:val="20"/>
          <w:szCs w:val="20"/>
          <w:color w:val="auto"/>
        </w:rPr>
      </w:pPr>
      <w:r>
        <w:rPr>
          <w:rFonts w:ascii="Arial" w:cs="Arial" w:eastAsia="Arial" w:hAnsi="Arial"/>
          <w:sz w:val="16"/>
          <w:szCs w:val="16"/>
          <w:color w:val="auto"/>
        </w:rPr>
        <w:t>10.18 †</w:t>
        <w:tab/>
        <w:t>Employment Agreement between the registrant and Hung-Lun (Fred) Chang, dated April 16, 2013</w:t>
      </w:r>
    </w:p>
    <w:p>
      <w:pPr>
        <w:spacing w:after="0" w:line="90" w:lineRule="exact"/>
        <w:rPr>
          <w:sz w:val="20"/>
          <w:szCs w:val="20"/>
          <w:color w:val="auto"/>
        </w:rPr>
      </w:pPr>
    </w:p>
    <w:p>
      <w:pPr>
        <w:ind w:left="920" w:hanging="647"/>
        <w:spacing w:after="0" w:line="270" w:lineRule="auto"/>
        <w:tabs>
          <w:tab w:leader="none" w:pos="900" w:val="left"/>
        </w:tabs>
        <w:rPr>
          <w:sz w:val="20"/>
          <w:szCs w:val="20"/>
          <w:color w:val="auto"/>
        </w:rPr>
      </w:pPr>
      <w:r>
        <w:rPr>
          <w:rFonts w:ascii="Arial" w:cs="Arial" w:eastAsia="Arial" w:hAnsi="Arial"/>
          <w:sz w:val="16"/>
          <w:szCs w:val="16"/>
          <w:color w:val="auto"/>
        </w:rPr>
        <w:t>10.19</w:t>
      </w:r>
      <w:r>
        <w:rPr>
          <w:sz w:val="20"/>
          <w:szCs w:val="20"/>
          <w:color w:val="auto"/>
        </w:rPr>
        <w:tab/>
      </w:r>
      <w:r>
        <w:rPr>
          <w:rFonts w:ascii="Arial" w:cs="Arial" w:eastAsia="Arial" w:hAnsi="Arial"/>
          <w:sz w:val="16"/>
          <w:szCs w:val="16"/>
          <w:color w:val="auto"/>
        </w:rPr>
        <w:t>Translation of Lease Agreement dated March 18, 2014 between the Company and Taiwan Furniture Manufacturers’ Association for office space at 2F, No. 700, Jhongjheng Rd., Jhonghe District, New Taipei City 23552, Taiwan (R.O.C.).</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60" w:type="dxa"/>
            <w:vAlign w:val="bottom"/>
          </w:tcPr>
          <w:p>
            <w:pPr>
              <w:ind w:left="20"/>
              <w:spacing w:after="0"/>
              <w:rPr>
                <w:sz w:val="20"/>
                <w:szCs w:val="20"/>
                <w:color w:val="auto"/>
              </w:rPr>
            </w:pPr>
            <w:r>
              <w:rPr>
                <w:rFonts w:ascii="Arial" w:cs="Arial" w:eastAsia="Arial" w:hAnsi="Arial"/>
                <w:sz w:val="16"/>
                <w:szCs w:val="16"/>
                <w:color w:val="auto"/>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89"/>
              </w:rPr>
              <w:t>10.15</w:t>
            </w:r>
          </w:p>
        </w:tc>
        <w:tc>
          <w:tcPr>
            <w:tcW w:w="1440" w:type="dxa"/>
            <w:vAlign w:val="bottom"/>
          </w:tcPr>
          <w:p>
            <w:pPr>
              <w:jc w:val="center"/>
              <w:ind w:left="279"/>
              <w:spacing w:after="0"/>
              <w:rPr>
                <w:sz w:val="20"/>
                <w:szCs w:val="20"/>
                <w:color w:val="auto"/>
              </w:rPr>
            </w:pPr>
            <w:r>
              <w:rPr>
                <w:rFonts w:ascii="Arial" w:cs="Arial" w:eastAsia="Arial" w:hAnsi="Arial"/>
                <w:sz w:val="16"/>
                <w:szCs w:val="16"/>
                <w:color w:val="auto"/>
                <w:w w:val="92"/>
              </w:rPr>
              <w:t>August 13, 2013</w:t>
            </w:r>
          </w:p>
        </w:tc>
      </w:tr>
      <w:tr>
        <w:trPr>
          <w:trHeight w:val="729"/>
        </w:trPr>
        <w:tc>
          <w:tcPr>
            <w:tcW w:w="560" w:type="dxa"/>
            <w:vAlign w:val="bottom"/>
          </w:tcPr>
          <w:p>
            <w:pPr>
              <w:ind w:left="20"/>
              <w:spacing w:after="0"/>
              <w:rPr>
                <w:sz w:val="20"/>
                <w:szCs w:val="20"/>
                <w:color w:val="auto"/>
              </w:rPr>
            </w:pPr>
            <w:r>
              <w:rPr>
                <w:rFonts w:ascii="Arial" w:cs="Arial" w:eastAsia="Arial" w:hAnsi="Arial"/>
                <w:sz w:val="16"/>
                <w:szCs w:val="16"/>
                <w:color w:val="auto"/>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89"/>
              </w:rPr>
              <w:t>10.16</w:t>
            </w:r>
          </w:p>
        </w:tc>
        <w:tc>
          <w:tcPr>
            <w:tcW w:w="1440" w:type="dxa"/>
            <w:vAlign w:val="bottom"/>
          </w:tcPr>
          <w:p>
            <w:pPr>
              <w:jc w:val="center"/>
              <w:ind w:left="279"/>
              <w:spacing w:after="0"/>
              <w:rPr>
                <w:sz w:val="20"/>
                <w:szCs w:val="20"/>
                <w:color w:val="auto"/>
              </w:rPr>
            </w:pPr>
            <w:r>
              <w:rPr>
                <w:rFonts w:ascii="Arial" w:cs="Arial" w:eastAsia="Arial" w:hAnsi="Arial"/>
                <w:sz w:val="16"/>
                <w:szCs w:val="16"/>
                <w:color w:val="auto"/>
                <w:w w:val="92"/>
              </w:rPr>
              <w:t>August 13, 2013</w:t>
            </w:r>
          </w:p>
        </w:tc>
      </w:tr>
      <w:tr>
        <w:trPr>
          <w:trHeight w:val="729"/>
        </w:trPr>
        <w:tc>
          <w:tcPr>
            <w:tcW w:w="560" w:type="dxa"/>
            <w:vAlign w:val="bottom"/>
          </w:tcPr>
          <w:p>
            <w:pPr>
              <w:spacing w:after="0"/>
              <w:rPr>
                <w:sz w:val="20"/>
                <w:szCs w:val="20"/>
                <w:color w:val="auto"/>
              </w:rPr>
            </w:pPr>
            <w:r>
              <w:rPr>
                <w:rFonts w:ascii="Arial" w:cs="Arial" w:eastAsia="Arial" w:hAnsi="Arial"/>
                <w:sz w:val="16"/>
                <w:szCs w:val="16"/>
                <w:color w:val="auto"/>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89"/>
              </w:rPr>
              <w:t>1.2</w:t>
            </w:r>
          </w:p>
        </w:tc>
        <w:tc>
          <w:tcPr>
            <w:tcW w:w="1440" w:type="dxa"/>
            <w:vAlign w:val="bottom"/>
          </w:tcPr>
          <w:p>
            <w:pPr>
              <w:jc w:val="center"/>
              <w:ind w:left="279"/>
              <w:spacing w:after="0"/>
              <w:rPr>
                <w:sz w:val="20"/>
                <w:szCs w:val="20"/>
                <w:color w:val="auto"/>
              </w:rPr>
            </w:pPr>
            <w:r>
              <w:rPr>
                <w:rFonts w:ascii="Arial" w:cs="Arial" w:eastAsia="Arial" w:hAnsi="Arial"/>
                <w:sz w:val="16"/>
                <w:szCs w:val="16"/>
                <w:color w:val="auto"/>
                <w:w w:val="93"/>
              </w:rPr>
              <w:t>March 25, 2014</w:t>
            </w:r>
          </w:p>
        </w:tc>
      </w:tr>
    </w:tbl>
    <w:p>
      <w:pPr>
        <w:spacing w:after="0" w:line="1130" w:lineRule="exact"/>
        <w:rPr>
          <w:sz w:val="20"/>
          <w:szCs w:val="20"/>
          <w:color w:val="auto"/>
        </w:rPr>
      </w:pPr>
    </w:p>
    <w:p>
      <w:pPr>
        <w:sectPr>
          <w:pgSz w:w="11900" w:h="16838" w:orient="portrait"/>
          <w:cols w:equalWidth="0" w:num="2">
            <w:col w:w="3860" w:space="560"/>
            <w:col w:w="4619"/>
          </w:cols>
          <w:pgMar w:left="1420" w:top="125" w:right="1440" w:bottom="1440" w:gutter="0" w:footer="0" w:header="0"/>
          <w:type w:val="continuous"/>
        </w:sectPr>
      </w:pPr>
    </w:p>
    <w:tbl>
      <w:tblPr>
        <w:tblLayout w:type="fixed"/>
        <w:tblInd w:w="160" w:type="dxa"/>
        <w:tblCellMar>
          <w:top w:w="0" w:type="dxa"/>
          <w:left w:w="0" w:type="dxa"/>
          <w:bottom w:w="0" w:type="dxa"/>
          <w:right w:w="0" w:type="dxa"/>
        </w:tblCellMar>
      </w:tblPr>
      <w:tr>
        <w:trPr>
          <w:trHeight w:val="203"/>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10.20</w:t>
            </w:r>
          </w:p>
        </w:tc>
        <w:tc>
          <w:tcPr>
            <w:tcW w:w="3400" w:type="dxa"/>
            <w:vAlign w:val="bottom"/>
          </w:tcPr>
          <w:p>
            <w:pPr>
              <w:ind w:left="140"/>
              <w:spacing w:after="0"/>
              <w:rPr>
                <w:sz w:val="20"/>
                <w:szCs w:val="20"/>
                <w:color w:val="auto"/>
              </w:rPr>
            </w:pPr>
            <w:r>
              <w:rPr>
                <w:rFonts w:ascii="Arial" w:cs="Arial" w:eastAsia="Arial" w:hAnsi="Arial"/>
                <w:sz w:val="16"/>
                <w:szCs w:val="16"/>
                <w:color w:val="auto"/>
                <w:w w:val="99"/>
              </w:rPr>
              <w:t>Translation of Lease Agreement dated April 1,</w:t>
            </w:r>
          </w:p>
        </w:tc>
        <w:tc>
          <w:tcPr>
            <w:tcW w:w="820" w:type="dxa"/>
            <w:vAlign w:val="bottom"/>
          </w:tcPr>
          <w:p>
            <w:pPr>
              <w:ind w:left="240"/>
              <w:spacing w:after="0"/>
              <w:rPr>
                <w:sz w:val="20"/>
                <w:szCs w:val="20"/>
                <w:color w:val="auto"/>
              </w:rPr>
            </w:pPr>
            <w:r>
              <w:rPr>
                <w:rFonts w:ascii="Arial" w:cs="Arial" w:eastAsia="Arial" w:hAnsi="Arial"/>
                <w:sz w:val="16"/>
                <w:szCs w:val="16"/>
                <w:color w:val="auto"/>
              </w:rPr>
              <w:t>8-K</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001-36083</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1.01</w:t>
            </w:r>
          </w:p>
        </w:tc>
        <w:tc>
          <w:tcPr>
            <w:tcW w:w="1400" w:type="dxa"/>
            <w:vAlign w:val="bottom"/>
          </w:tcPr>
          <w:p>
            <w:pPr>
              <w:jc w:val="center"/>
              <w:ind w:left="319"/>
              <w:spacing w:after="0"/>
              <w:rPr>
                <w:sz w:val="20"/>
                <w:szCs w:val="20"/>
                <w:color w:val="auto"/>
              </w:rPr>
            </w:pPr>
            <w:r>
              <w:rPr>
                <w:rFonts w:ascii="Arial" w:cs="Arial" w:eastAsia="Arial" w:hAnsi="Arial"/>
                <w:sz w:val="16"/>
                <w:szCs w:val="16"/>
                <w:color w:val="auto"/>
                <w:w w:val="97"/>
              </w:rPr>
              <w:t>April 7, 2014</w:t>
            </w:r>
          </w:p>
        </w:tc>
      </w:tr>
      <w:tr>
        <w:trPr>
          <w:trHeight w:val="203"/>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w w:val="97"/>
              </w:rPr>
              <w:t>2014 between the Company and Taiwan Asset</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Management Corporation for office and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w w:val="99"/>
              </w:rPr>
              <w:t>manufacturing space at No. 18, Gong 4th Rd.,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Gong’er Industrial Park, Linkou District, New</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Taipei City 244, Taiwan (R.O.C.)</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10.21</w:t>
            </w:r>
          </w:p>
        </w:tc>
        <w:tc>
          <w:tcPr>
            <w:tcW w:w="3400" w:type="dxa"/>
            <w:vAlign w:val="bottom"/>
          </w:tcPr>
          <w:p>
            <w:pPr>
              <w:ind w:left="140"/>
              <w:spacing w:after="0"/>
              <w:rPr>
                <w:sz w:val="20"/>
                <w:szCs w:val="20"/>
                <w:color w:val="auto"/>
              </w:rPr>
            </w:pPr>
            <w:r>
              <w:rPr>
                <w:rFonts w:ascii="Arial" w:cs="Arial" w:eastAsia="Arial" w:hAnsi="Arial"/>
                <w:sz w:val="16"/>
                <w:szCs w:val="16"/>
                <w:color w:val="auto"/>
              </w:rPr>
              <w:t>Business Loan Agreement, dated July 15,</w:t>
            </w:r>
          </w:p>
        </w:tc>
        <w:tc>
          <w:tcPr>
            <w:tcW w:w="820" w:type="dxa"/>
            <w:vAlign w:val="bottom"/>
          </w:tcPr>
          <w:p>
            <w:pPr>
              <w:ind w:left="240"/>
              <w:spacing w:after="0"/>
              <w:rPr>
                <w:sz w:val="20"/>
                <w:szCs w:val="20"/>
                <w:color w:val="auto"/>
              </w:rPr>
            </w:pPr>
            <w:r>
              <w:rPr>
                <w:rFonts w:ascii="Arial" w:cs="Arial" w:eastAsia="Arial" w:hAnsi="Arial"/>
                <w:sz w:val="16"/>
                <w:szCs w:val="16"/>
                <w:color w:val="auto"/>
              </w:rPr>
              <w:t>8-K</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001-36083</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10.1</w:t>
            </w:r>
          </w:p>
        </w:tc>
        <w:tc>
          <w:tcPr>
            <w:tcW w:w="1400" w:type="dxa"/>
            <w:vAlign w:val="bottom"/>
          </w:tcPr>
          <w:p>
            <w:pPr>
              <w:jc w:val="center"/>
              <w:ind w:left="319"/>
              <w:spacing w:after="0"/>
              <w:rPr>
                <w:sz w:val="20"/>
                <w:szCs w:val="20"/>
                <w:color w:val="auto"/>
              </w:rPr>
            </w:pPr>
            <w:r>
              <w:rPr>
                <w:rFonts w:ascii="Arial" w:cs="Arial" w:eastAsia="Arial" w:hAnsi="Arial"/>
                <w:sz w:val="16"/>
                <w:szCs w:val="16"/>
                <w:color w:val="auto"/>
                <w:w w:val="92"/>
              </w:rPr>
              <w:t>July 18, 2014</w:t>
            </w:r>
          </w:p>
        </w:tc>
      </w:tr>
      <w:tr>
        <w:trPr>
          <w:trHeight w:val="203"/>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2014, between Applied Optoelectronics, Inc.</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and East West Bank</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w w:val="86"/>
              </w:rPr>
              <w:t>10.21.1</w:t>
            </w:r>
          </w:p>
        </w:tc>
        <w:tc>
          <w:tcPr>
            <w:tcW w:w="3400" w:type="dxa"/>
            <w:vAlign w:val="bottom"/>
          </w:tcPr>
          <w:p>
            <w:pPr>
              <w:ind w:left="140"/>
              <w:spacing w:after="0"/>
              <w:rPr>
                <w:sz w:val="20"/>
                <w:szCs w:val="20"/>
                <w:color w:val="auto"/>
              </w:rPr>
            </w:pPr>
            <w:r>
              <w:rPr>
                <w:rFonts w:ascii="Arial" w:cs="Arial" w:eastAsia="Arial" w:hAnsi="Arial"/>
                <w:sz w:val="16"/>
                <w:szCs w:val="16"/>
                <w:color w:val="auto"/>
              </w:rPr>
              <w:t>Commercial Security Agreement, dated July</w:t>
            </w:r>
          </w:p>
        </w:tc>
        <w:tc>
          <w:tcPr>
            <w:tcW w:w="820" w:type="dxa"/>
            <w:vAlign w:val="bottom"/>
          </w:tcPr>
          <w:p>
            <w:pPr>
              <w:ind w:left="240"/>
              <w:spacing w:after="0"/>
              <w:rPr>
                <w:sz w:val="20"/>
                <w:szCs w:val="20"/>
                <w:color w:val="auto"/>
              </w:rPr>
            </w:pPr>
            <w:r>
              <w:rPr>
                <w:rFonts w:ascii="Arial" w:cs="Arial" w:eastAsia="Arial" w:hAnsi="Arial"/>
                <w:sz w:val="16"/>
                <w:szCs w:val="16"/>
                <w:color w:val="auto"/>
              </w:rPr>
              <w:t>8-K</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001-36083</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10.2</w:t>
            </w:r>
          </w:p>
        </w:tc>
        <w:tc>
          <w:tcPr>
            <w:tcW w:w="1400" w:type="dxa"/>
            <w:vAlign w:val="bottom"/>
          </w:tcPr>
          <w:p>
            <w:pPr>
              <w:jc w:val="center"/>
              <w:ind w:left="319"/>
              <w:spacing w:after="0"/>
              <w:rPr>
                <w:sz w:val="20"/>
                <w:szCs w:val="20"/>
                <w:color w:val="auto"/>
              </w:rPr>
            </w:pPr>
            <w:r>
              <w:rPr>
                <w:rFonts w:ascii="Arial" w:cs="Arial" w:eastAsia="Arial" w:hAnsi="Arial"/>
                <w:sz w:val="16"/>
                <w:szCs w:val="16"/>
                <w:color w:val="auto"/>
                <w:w w:val="92"/>
              </w:rPr>
              <w:t>July 18, 2014</w:t>
            </w:r>
          </w:p>
        </w:tc>
      </w:tr>
      <w:tr>
        <w:trPr>
          <w:trHeight w:val="203"/>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15, 2014, between Applied Optoelectronics,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Inc. and East West Bank</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w w:val="86"/>
              </w:rPr>
              <w:t>10.21.2</w:t>
            </w:r>
          </w:p>
        </w:tc>
        <w:tc>
          <w:tcPr>
            <w:tcW w:w="3400" w:type="dxa"/>
            <w:vAlign w:val="bottom"/>
          </w:tcPr>
          <w:p>
            <w:pPr>
              <w:ind w:left="140"/>
              <w:spacing w:after="0"/>
              <w:rPr>
                <w:sz w:val="20"/>
                <w:szCs w:val="20"/>
                <w:color w:val="auto"/>
              </w:rPr>
            </w:pPr>
            <w:r>
              <w:rPr>
                <w:rFonts w:ascii="Arial" w:cs="Arial" w:eastAsia="Arial" w:hAnsi="Arial"/>
                <w:sz w:val="16"/>
                <w:szCs w:val="16"/>
                <w:color w:val="auto"/>
              </w:rPr>
              <w:t>Promissory Note, dated July 15, 2014,</w:t>
            </w:r>
          </w:p>
        </w:tc>
        <w:tc>
          <w:tcPr>
            <w:tcW w:w="820" w:type="dxa"/>
            <w:vAlign w:val="bottom"/>
          </w:tcPr>
          <w:p>
            <w:pPr>
              <w:ind w:left="240"/>
              <w:spacing w:after="0"/>
              <w:rPr>
                <w:sz w:val="20"/>
                <w:szCs w:val="20"/>
                <w:color w:val="auto"/>
              </w:rPr>
            </w:pPr>
            <w:r>
              <w:rPr>
                <w:rFonts w:ascii="Arial" w:cs="Arial" w:eastAsia="Arial" w:hAnsi="Arial"/>
                <w:sz w:val="16"/>
                <w:szCs w:val="16"/>
                <w:color w:val="auto"/>
              </w:rPr>
              <w:t>8-K</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001-36083</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10.3</w:t>
            </w:r>
          </w:p>
        </w:tc>
        <w:tc>
          <w:tcPr>
            <w:tcW w:w="1400" w:type="dxa"/>
            <w:vAlign w:val="bottom"/>
          </w:tcPr>
          <w:p>
            <w:pPr>
              <w:jc w:val="center"/>
              <w:ind w:left="319"/>
              <w:spacing w:after="0"/>
              <w:rPr>
                <w:sz w:val="20"/>
                <w:szCs w:val="20"/>
                <w:color w:val="auto"/>
              </w:rPr>
            </w:pPr>
            <w:r>
              <w:rPr>
                <w:rFonts w:ascii="Arial" w:cs="Arial" w:eastAsia="Arial" w:hAnsi="Arial"/>
                <w:sz w:val="16"/>
                <w:szCs w:val="16"/>
                <w:color w:val="auto"/>
                <w:w w:val="92"/>
              </w:rPr>
              <w:t>July 18, 2014</w:t>
            </w:r>
          </w:p>
        </w:tc>
      </w:tr>
      <w:tr>
        <w:trPr>
          <w:trHeight w:val="203"/>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between Applied Optoelectronics, Inc. and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East West Bank</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10.22</w:t>
            </w:r>
          </w:p>
        </w:tc>
        <w:tc>
          <w:tcPr>
            <w:tcW w:w="3400" w:type="dxa"/>
            <w:vAlign w:val="bottom"/>
          </w:tcPr>
          <w:p>
            <w:pPr>
              <w:ind w:left="140"/>
              <w:spacing w:after="0"/>
              <w:rPr>
                <w:sz w:val="20"/>
                <w:szCs w:val="20"/>
                <w:color w:val="auto"/>
              </w:rPr>
            </w:pPr>
            <w:r>
              <w:rPr>
                <w:rFonts w:ascii="Arial" w:cs="Arial" w:eastAsia="Arial" w:hAnsi="Arial"/>
                <w:sz w:val="16"/>
                <w:szCs w:val="16"/>
                <w:color w:val="auto"/>
              </w:rPr>
              <w:t>Business Loan Agreement, dated July 31,</w:t>
            </w:r>
          </w:p>
        </w:tc>
        <w:tc>
          <w:tcPr>
            <w:tcW w:w="820" w:type="dxa"/>
            <w:vAlign w:val="bottom"/>
          </w:tcPr>
          <w:p>
            <w:pPr>
              <w:ind w:left="240"/>
              <w:spacing w:after="0"/>
              <w:rPr>
                <w:sz w:val="20"/>
                <w:szCs w:val="20"/>
                <w:color w:val="auto"/>
              </w:rPr>
            </w:pPr>
            <w:r>
              <w:rPr>
                <w:rFonts w:ascii="Arial" w:cs="Arial" w:eastAsia="Arial" w:hAnsi="Arial"/>
                <w:sz w:val="16"/>
                <w:szCs w:val="16"/>
                <w:color w:val="auto"/>
              </w:rPr>
              <w:t>8-K</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001-36083</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10.1</w:t>
            </w:r>
          </w:p>
        </w:tc>
        <w:tc>
          <w:tcPr>
            <w:tcW w:w="1400" w:type="dxa"/>
            <w:vAlign w:val="bottom"/>
          </w:tcPr>
          <w:p>
            <w:pPr>
              <w:jc w:val="center"/>
              <w:ind w:left="319"/>
              <w:spacing w:after="0"/>
              <w:rPr>
                <w:sz w:val="20"/>
                <w:szCs w:val="20"/>
                <w:color w:val="auto"/>
              </w:rPr>
            </w:pPr>
            <w:r>
              <w:rPr>
                <w:rFonts w:ascii="Arial" w:cs="Arial" w:eastAsia="Arial" w:hAnsi="Arial"/>
                <w:sz w:val="16"/>
                <w:szCs w:val="16"/>
                <w:color w:val="auto"/>
                <w:w w:val="92"/>
              </w:rPr>
              <w:t>August 5, 2014</w:t>
            </w:r>
          </w:p>
        </w:tc>
      </w:tr>
      <w:tr>
        <w:trPr>
          <w:trHeight w:val="203"/>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2014, between Applied Optoelectronics, Inc.</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and East West Bank</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w w:val="86"/>
              </w:rPr>
              <w:t>10.22.1</w:t>
            </w:r>
          </w:p>
        </w:tc>
        <w:tc>
          <w:tcPr>
            <w:tcW w:w="3400" w:type="dxa"/>
            <w:vAlign w:val="bottom"/>
          </w:tcPr>
          <w:p>
            <w:pPr>
              <w:ind w:left="140"/>
              <w:spacing w:after="0"/>
              <w:rPr>
                <w:sz w:val="20"/>
                <w:szCs w:val="20"/>
                <w:color w:val="auto"/>
              </w:rPr>
            </w:pPr>
            <w:r>
              <w:rPr>
                <w:rFonts w:ascii="Arial" w:cs="Arial" w:eastAsia="Arial" w:hAnsi="Arial"/>
                <w:sz w:val="16"/>
                <w:szCs w:val="16"/>
                <w:color w:val="auto"/>
              </w:rPr>
              <w:t>Commercial Security Agreement, dated July</w:t>
            </w:r>
          </w:p>
        </w:tc>
        <w:tc>
          <w:tcPr>
            <w:tcW w:w="820" w:type="dxa"/>
            <w:vAlign w:val="bottom"/>
          </w:tcPr>
          <w:p>
            <w:pPr>
              <w:ind w:left="240"/>
              <w:spacing w:after="0"/>
              <w:rPr>
                <w:sz w:val="20"/>
                <w:szCs w:val="20"/>
                <w:color w:val="auto"/>
              </w:rPr>
            </w:pPr>
            <w:r>
              <w:rPr>
                <w:rFonts w:ascii="Arial" w:cs="Arial" w:eastAsia="Arial" w:hAnsi="Arial"/>
                <w:sz w:val="16"/>
                <w:szCs w:val="16"/>
                <w:color w:val="auto"/>
              </w:rPr>
              <w:t>8-K</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001-36083</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10.2</w:t>
            </w:r>
          </w:p>
        </w:tc>
        <w:tc>
          <w:tcPr>
            <w:tcW w:w="1400" w:type="dxa"/>
            <w:vAlign w:val="bottom"/>
          </w:tcPr>
          <w:p>
            <w:pPr>
              <w:jc w:val="center"/>
              <w:ind w:left="319"/>
              <w:spacing w:after="0"/>
              <w:rPr>
                <w:sz w:val="20"/>
                <w:szCs w:val="20"/>
                <w:color w:val="auto"/>
              </w:rPr>
            </w:pPr>
            <w:r>
              <w:rPr>
                <w:rFonts w:ascii="Arial" w:cs="Arial" w:eastAsia="Arial" w:hAnsi="Arial"/>
                <w:sz w:val="16"/>
                <w:szCs w:val="16"/>
                <w:color w:val="auto"/>
                <w:w w:val="92"/>
              </w:rPr>
              <w:t>August 5, 2014</w:t>
            </w:r>
          </w:p>
        </w:tc>
      </w:tr>
      <w:tr>
        <w:trPr>
          <w:trHeight w:val="203"/>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31, 2014, between Applied Optoelectronics,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Inc. and East West Bank</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0" w:type="dxa"/>
            <w:vAlign w:val="bottom"/>
          </w:tcPr>
          <w:p>
            <w:pPr>
              <w:spacing w:after="0"/>
              <w:rPr>
                <w:sz w:val="17"/>
                <w:szCs w:val="17"/>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Number</w:t>
            </w:r>
          </w:p>
        </w:tc>
        <w:tc>
          <w:tcPr>
            <w:tcW w:w="338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w w:val="97"/>
              </w:rPr>
              <w:t>Form</w:t>
            </w:r>
          </w:p>
        </w:tc>
        <w:tc>
          <w:tcPr>
            <w:tcW w:w="2560" w:type="dxa"/>
            <w:vAlign w:val="bottom"/>
            <w:gridSpan w:val="2"/>
          </w:tcPr>
          <w:p>
            <w:pPr>
              <w:ind w:left="760"/>
              <w:spacing w:after="0"/>
              <w:rPr>
                <w:sz w:val="20"/>
                <w:szCs w:val="20"/>
                <w:color w:val="auto"/>
              </w:rPr>
            </w:pPr>
            <w:r>
              <w:rPr>
                <w:rFonts w:ascii="Arial" w:cs="Arial" w:eastAsia="Arial" w:hAnsi="Arial"/>
                <w:sz w:val="14"/>
                <w:szCs w:val="14"/>
                <w:b w:val="1"/>
                <w:bCs w:val="1"/>
                <w:color w:val="auto"/>
                <w:w w:val="99"/>
              </w:rPr>
              <w:t>Incorporated By Reference</w:t>
            </w:r>
          </w:p>
        </w:tc>
        <w:tc>
          <w:tcPr>
            <w:tcW w:w="120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61"/>
        </w:trPr>
        <w:tc>
          <w:tcPr>
            <w:tcW w:w="700" w:type="dxa"/>
            <w:vAlign w:val="bottom"/>
            <w:vMerge w:val="continue"/>
          </w:tcPr>
          <w:p>
            <w:pPr>
              <w:spacing w:after="0"/>
              <w:rPr>
                <w:sz w:val="14"/>
                <w:szCs w:val="14"/>
                <w:color w:val="auto"/>
              </w:rPr>
            </w:pPr>
          </w:p>
        </w:tc>
        <w:tc>
          <w:tcPr>
            <w:tcW w:w="33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280" w:type="dxa"/>
            <w:vAlign w:val="bottom"/>
          </w:tcPr>
          <w:p>
            <w:pPr>
              <w:jc w:val="center"/>
              <w:ind w:right="222"/>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 w:type="dxa"/>
            <w:vAlign w:val="bottom"/>
          </w:tcPr>
          <w:p>
            <w:pPr>
              <w:jc w:val="right"/>
              <w:ind w:right="62"/>
              <w:spacing w:after="0"/>
              <w:rPr>
                <w:sz w:val="20"/>
                <w:szCs w:val="20"/>
                <w:color w:val="auto"/>
              </w:rPr>
            </w:pPr>
            <w:r>
              <w:rPr>
                <w:rFonts w:ascii="Arial" w:cs="Arial" w:eastAsia="Arial" w:hAnsi="Arial"/>
                <w:sz w:val="16"/>
                <w:szCs w:val="16"/>
                <w:color w:val="auto"/>
              </w:rPr>
              <w:t>10.22.2</w:t>
            </w:r>
          </w:p>
        </w:tc>
        <w:tc>
          <w:tcPr>
            <w:tcW w:w="3380" w:type="dxa"/>
            <w:vAlign w:val="bottom"/>
          </w:tcPr>
          <w:p>
            <w:pPr>
              <w:ind w:left="140"/>
              <w:spacing w:after="0"/>
              <w:rPr>
                <w:sz w:val="20"/>
                <w:szCs w:val="20"/>
                <w:color w:val="auto"/>
              </w:rPr>
            </w:pPr>
            <w:r>
              <w:rPr>
                <w:rFonts w:ascii="Arial" w:cs="Arial" w:eastAsia="Arial" w:hAnsi="Arial"/>
                <w:sz w:val="16"/>
                <w:szCs w:val="16"/>
                <w:color w:val="auto"/>
              </w:rPr>
              <w:t>Promissory Note, dated July 31, 2014,</w:t>
            </w:r>
          </w:p>
        </w:tc>
        <w:tc>
          <w:tcPr>
            <w:tcW w:w="860" w:type="dxa"/>
            <w:vAlign w:val="bottom"/>
          </w:tcPr>
          <w:p>
            <w:pPr>
              <w:jc w:val="center"/>
              <w:ind w:right="2"/>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2"/>
              <w:spacing w:after="0"/>
              <w:rPr>
                <w:sz w:val="20"/>
                <w:szCs w:val="20"/>
                <w:color w:val="auto"/>
              </w:rPr>
            </w:pPr>
            <w:r>
              <w:rPr>
                <w:rFonts w:ascii="Arial" w:cs="Arial" w:eastAsia="Arial" w:hAnsi="Arial"/>
                <w:sz w:val="16"/>
                <w:szCs w:val="16"/>
                <w:color w:val="auto"/>
                <w:w w:val="89"/>
              </w:rPr>
              <w:t>10.3</w:t>
            </w:r>
          </w:p>
        </w:tc>
        <w:tc>
          <w:tcPr>
            <w:tcW w:w="1200" w:type="dxa"/>
            <w:vAlign w:val="bottom"/>
          </w:tcPr>
          <w:p>
            <w:pPr>
              <w:jc w:val="center"/>
              <w:ind w:left="42"/>
              <w:spacing w:after="0"/>
              <w:rPr>
                <w:sz w:val="20"/>
                <w:szCs w:val="20"/>
                <w:color w:val="auto"/>
              </w:rPr>
            </w:pPr>
            <w:r>
              <w:rPr>
                <w:rFonts w:ascii="Arial" w:cs="Arial" w:eastAsia="Arial" w:hAnsi="Arial"/>
                <w:sz w:val="16"/>
                <w:szCs w:val="16"/>
                <w:color w:val="auto"/>
                <w:w w:val="92"/>
              </w:rPr>
              <w:t>August 5, 2014</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between Applied Optoelectronics, Inc. and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East West Bank</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2"/>
              <w:spacing w:after="0"/>
              <w:rPr>
                <w:sz w:val="20"/>
                <w:szCs w:val="20"/>
                <w:color w:val="auto"/>
              </w:rPr>
            </w:pPr>
            <w:r>
              <w:rPr>
                <w:rFonts w:ascii="Arial" w:cs="Arial" w:eastAsia="Arial" w:hAnsi="Arial"/>
                <w:sz w:val="16"/>
                <w:szCs w:val="16"/>
                <w:color w:val="auto"/>
              </w:rPr>
              <w:t>10.23</w:t>
            </w:r>
          </w:p>
        </w:tc>
        <w:tc>
          <w:tcPr>
            <w:tcW w:w="3380" w:type="dxa"/>
            <w:vAlign w:val="bottom"/>
          </w:tcPr>
          <w:p>
            <w:pPr>
              <w:ind w:left="140"/>
              <w:spacing w:after="0"/>
              <w:rPr>
                <w:sz w:val="20"/>
                <w:szCs w:val="20"/>
                <w:color w:val="auto"/>
              </w:rPr>
            </w:pPr>
            <w:r>
              <w:rPr>
                <w:rFonts w:ascii="Arial" w:cs="Arial" w:eastAsia="Arial" w:hAnsi="Arial"/>
                <w:sz w:val="16"/>
                <w:szCs w:val="16"/>
                <w:color w:val="auto"/>
              </w:rPr>
              <w:t>Translation of Chinese form of RMB Working</w:t>
            </w:r>
          </w:p>
        </w:tc>
        <w:tc>
          <w:tcPr>
            <w:tcW w:w="860" w:type="dxa"/>
            <w:vAlign w:val="bottom"/>
          </w:tcPr>
          <w:p>
            <w:pPr>
              <w:jc w:val="center"/>
              <w:ind w:right="2"/>
              <w:spacing w:after="0"/>
              <w:rPr>
                <w:sz w:val="20"/>
                <w:szCs w:val="20"/>
                <w:color w:val="auto"/>
              </w:rPr>
            </w:pPr>
            <w:r>
              <w:rPr>
                <w:rFonts w:ascii="Arial" w:cs="Arial" w:eastAsia="Arial" w:hAnsi="Arial"/>
                <w:sz w:val="16"/>
                <w:szCs w:val="16"/>
                <w:color w:val="auto"/>
                <w:w w:val="95"/>
              </w:rPr>
              <w:t>10-Q</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2"/>
              <w:spacing w:after="0"/>
              <w:rPr>
                <w:sz w:val="20"/>
                <w:szCs w:val="20"/>
                <w:color w:val="auto"/>
              </w:rPr>
            </w:pPr>
            <w:r>
              <w:rPr>
                <w:rFonts w:ascii="Arial" w:cs="Arial" w:eastAsia="Arial" w:hAnsi="Arial"/>
                <w:sz w:val="16"/>
                <w:szCs w:val="16"/>
                <w:color w:val="auto"/>
                <w:w w:val="89"/>
              </w:rPr>
              <w:t>10.2</w:t>
            </w:r>
          </w:p>
        </w:tc>
        <w:tc>
          <w:tcPr>
            <w:tcW w:w="1200" w:type="dxa"/>
            <w:vAlign w:val="bottom"/>
          </w:tcPr>
          <w:p>
            <w:pPr>
              <w:jc w:val="center"/>
              <w:ind w:left="42"/>
              <w:spacing w:after="0"/>
              <w:rPr>
                <w:sz w:val="20"/>
                <w:szCs w:val="20"/>
                <w:color w:val="auto"/>
              </w:rPr>
            </w:pPr>
            <w:r>
              <w:rPr>
                <w:rFonts w:ascii="Arial" w:cs="Arial" w:eastAsia="Arial" w:hAnsi="Arial"/>
                <w:sz w:val="16"/>
                <w:szCs w:val="16"/>
                <w:color w:val="auto"/>
                <w:w w:val="92"/>
              </w:rPr>
              <w:t>August 12, 2014</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Capital Loan Agreement between the Global</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Technology Inc. and China Construction Bank</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20" w:right="5219"/>
        <w:spacing w:after="0" w:line="276" w:lineRule="auto"/>
        <w:rPr>
          <w:sz w:val="20"/>
          <w:szCs w:val="20"/>
          <w:color w:val="auto"/>
        </w:rPr>
      </w:pPr>
      <w:r>
        <w:rPr>
          <w:rFonts w:ascii="Arial" w:cs="Arial" w:eastAsia="Arial" w:hAnsi="Arial"/>
          <w:sz w:val="16"/>
          <w:szCs w:val="16"/>
          <w:color w:val="auto"/>
        </w:rPr>
        <w:t>– Revolving line of credit with a China bank up to $12 million (Schedule updated as of June 30, 2014)</w:t>
      </w:r>
    </w:p>
    <w:p>
      <w:pPr>
        <w:spacing w:after="0" w:line="91"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10.24</w:t>
            </w:r>
          </w:p>
        </w:tc>
        <w:tc>
          <w:tcPr>
            <w:tcW w:w="3380" w:type="dxa"/>
            <w:vAlign w:val="bottom"/>
          </w:tcPr>
          <w:p>
            <w:pPr>
              <w:ind w:left="140"/>
              <w:spacing w:after="0"/>
              <w:rPr>
                <w:sz w:val="20"/>
                <w:szCs w:val="20"/>
                <w:color w:val="auto"/>
              </w:rPr>
            </w:pPr>
            <w:r>
              <w:rPr>
                <w:rFonts w:ascii="Arial" w:cs="Arial" w:eastAsia="Arial" w:hAnsi="Arial"/>
                <w:sz w:val="16"/>
                <w:szCs w:val="16"/>
                <w:color w:val="auto"/>
              </w:rPr>
              <w:t>Translation of Chinese form of USD Trust</w:t>
            </w: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600" w:type="dxa"/>
            <w:vAlign w:val="bottom"/>
          </w:tcPr>
          <w:p>
            <w:pPr>
              <w:jc w:val="center"/>
              <w:ind w:left="239"/>
              <w:spacing w:after="0"/>
              <w:rPr>
                <w:sz w:val="20"/>
                <w:szCs w:val="20"/>
                <w:color w:val="auto"/>
              </w:rPr>
            </w:pPr>
            <w:r>
              <w:rPr>
                <w:rFonts w:ascii="Arial" w:cs="Arial" w:eastAsia="Arial" w:hAnsi="Arial"/>
                <w:sz w:val="16"/>
                <w:szCs w:val="16"/>
                <w:color w:val="auto"/>
                <w:w w:val="92"/>
              </w:rPr>
              <w:t>August 12, 2014</w:t>
            </w: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Receipt Loan Agreement between Global</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Technology Inc. and China Construction Bank</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 Revolving line of credit with a China bank</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up to $3.3 million (Schedule updated as of</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June 30, 2014)</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10.25</w:t>
            </w:r>
          </w:p>
        </w:tc>
        <w:tc>
          <w:tcPr>
            <w:tcW w:w="3380" w:type="dxa"/>
            <w:vAlign w:val="bottom"/>
          </w:tcPr>
          <w:p>
            <w:pPr>
              <w:ind w:left="140"/>
              <w:spacing w:after="0"/>
              <w:rPr>
                <w:sz w:val="20"/>
                <w:szCs w:val="20"/>
                <w:color w:val="auto"/>
              </w:rPr>
            </w:pPr>
            <w:r>
              <w:rPr>
                <w:rFonts w:ascii="Arial" w:cs="Arial" w:eastAsia="Arial" w:hAnsi="Arial"/>
                <w:sz w:val="16"/>
                <w:szCs w:val="16"/>
                <w:color w:val="auto"/>
              </w:rPr>
              <w:t>Translation of Chinese form of RMB Working</w:t>
            </w: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600" w:type="dxa"/>
            <w:vAlign w:val="bottom"/>
          </w:tcPr>
          <w:p>
            <w:pPr>
              <w:jc w:val="center"/>
              <w:ind w:left="239"/>
              <w:spacing w:after="0"/>
              <w:rPr>
                <w:sz w:val="20"/>
                <w:szCs w:val="20"/>
                <w:color w:val="auto"/>
              </w:rPr>
            </w:pPr>
            <w:r>
              <w:rPr>
                <w:rFonts w:ascii="Arial" w:cs="Arial" w:eastAsia="Arial" w:hAnsi="Arial"/>
                <w:sz w:val="16"/>
                <w:szCs w:val="16"/>
                <w:color w:val="auto"/>
                <w:w w:val="91"/>
              </w:rPr>
              <w:t>November 12, 2014</w:t>
            </w: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Capital Loan Agreement between the Global</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Technology Inc. and China Construction Bank</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 Revolving line of credit with a China bank</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up to $12 million (Schedule updated as of</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September 30, 2014)</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10.26</w:t>
            </w:r>
          </w:p>
        </w:tc>
        <w:tc>
          <w:tcPr>
            <w:tcW w:w="3380" w:type="dxa"/>
            <w:vAlign w:val="bottom"/>
          </w:tcPr>
          <w:p>
            <w:pPr>
              <w:ind w:left="140"/>
              <w:spacing w:after="0"/>
              <w:rPr>
                <w:sz w:val="20"/>
                <w:szCs w:val="20"/>
                <w:color w:val="auto"/>
              </w:rPr>
            </w:pPr>
            <w:r>
              <w:rPr>
                <w:rFonts w:ascii="Arial" w:cs="Arial" w:eastAsia="Arial" w:hAnsi="Arial"/>
                <w:sz w:val="16"/>
                <w:szCs w:val="16"/>
                <w:color w:val="auto"/>
              </w:rPr>
              <w:t>Translation of Chinese form of USD Trust</w:t>
            </w: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600" w:type="dxa"/>
            <w:vAlign w:val="bottom"/>
          </w:tcPr>
          <w:p>
            <w:pPr>
              <w:jc w:val="center"/>
              <w:ind w:left="239"/>
              <w:spacing w:after="0"/>
              <w:rPr>
                <w:sz w:val="20"/>
                <w:szCs w:val="20"/>
                <w:color w:val="auto"/>
              </w:rPr>
            </w:pPr>
            <w:r>
              <w:rPr>
                <w:rFonts w:ascii="Arial" w:cs="Arial" w:eastAsia="Arial" w:hAnsi="Arial"/>
                <w:sz w:val="16"/>
                <w:szCs w:val="16"/>
                <w:color w:val="auto"/>
                <w:w w:val="91"/>
              </w:rPr>
              <w:t>November 12, 2014</w:t>
            </w: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Receipt Loan Agreement between Global</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Technology Inc. and China Construction Bank</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 Revolving line of credit with a China bank</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up to $3.3 million (Schedule updated as of</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September 30, 2014)</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10.27</w:t>
            </w:r>
          </w:p>
        </w:tc>
        <w:tc>
          <w:tcPr>
            <w:tcW w:w="3380" w:type="dxa"/>
            <w:vAlign w:val="bottom"/>
          </w:tcPr>
          <w:p>
            <w:pPr>
              <w:ind w:left="140"/>
              <w:spacing w:after="0"/>
              <w:rPr>
                <w:sz w:val="20"/>
                <w:szCs w:val="20"/>
                <w:color w:val="auto"/>
              </w:rPr>
            </w:pPr>
            <w:r>
              <w:rPr>
                <w:rFonts w:ascii="Arial" w:cs="Arial" w:eastAsia="Arial" w:hAnsi="Arial"/>
                <w:sz w:val="16"/>
                <w:szCs w:val="16"/>
                <w:color w:val="auto"/>
              </w:rPr>
              <w:t>Loan Agreement, dated January 6, 2015,</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600" w:type="dxa"/>
            <w:vAlign w:val="bottom"/>
          </w:tcPr>
          <w:p>
            <w:pPr>
              <w:jc w:val="center"/>
              <w:ind w:left="239"/>
              <w:spacing w:after="0"/>
              <w:rPr>
                <w:sz w:val="20"/>
                <w:szCs w:val="20"/>
                <w:color w:val="auto"/>
              </w:rPr>
            </w:pPr>
            <w:r>
              <w:rPr>
                <w:rFonts w:ascii="Arial" w:cs="Arial" w:eastAsia="Arial" w:hAnsi="Arial"/>
                <w:sz w:val="16"/>
                <w:szCs w:val="16"/>
                <w:color w:val="auto"/>
                <w:w w:val="90"/>
              </w:rPr>
              <w:t>January 12, 2015</w:t>
            </w: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between Applied Optoelectronics, Inc. and</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CTBC Bank Co. Ltd.</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10.28</w:t>
            </w:r>
          </w:p>
        </w:tc>
        <w:tc>
          <w:tcPr>
            <w:tcW w:w="3380" w:type="dxa"/>
            <w:vAlign w:val="bottom"/>
          </w:tcPr>
          <w:p>
            <w:pPr>
              <w:ind w:left="140"/>
              <w:spacing w:after="0"/>
              <w:rPr>
                <w:sz w:val="20"/>
                <w:szCs w:val="20"/>
                <w:color w:val="auto"/>
              </w:rPr>
            </w:pPr>
            <w:r>
              <w:rPr>
                <w:rFonts w:ascii="Arial" w:cs="Arial" w:eastAsia="Arial" w:hAnsi="Arial"/>
                <w:sz w:val="16"/>
                <w:szCs w:val="16"/>
                <w:color w:val="auto"/>
                <w:w w:val="99"/>
              </w:rPr>
              <w:t>Construction Loan Agreement, dated January</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600" w:type="dxa"/>
            <w:vAlign w:val="bottom"/>
          </w:tcPr>
          <w:p>
            <w:pPr>
              <w:jc w:val="center"/>
              <w:ind w:left="239"/>
              <w:spacing w:after="0"/>
              <w:rPr>
                <w:sz w:val="20"/>
                <w:szCs w:val="20"/>
                <w:color w:val="auto"/>
              </w:rPr>
            </w:pPr>
            <w:r>
              <w:rPr>
                <w:rFonts w:ascii="Arial" w:cs="Arial" w:eastAsia="Arial" w:hAnsi="Arial"/>
                <w:sz w:val="16"/>
                <w:szCs w:val="16"/>
                <w:color w:val="auto"/>
                <w:w w:val="90"/>
              </w:rPr>
              <w:t>January 30, 2015</w:t>
            </w: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26, 2015, between Applied Optoelectronics,</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Inc. and East West Bank</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w w:val="86"/>
              </w:rPr>
              <w:t>10.28.1</w:t>
            </w:r>
          </w:p>
        </w:tc>
        <w:tc>
          <w:tcPr>
            <w:tcW w:w="3380" w:type="dxa"/>
            <w:vAlign w:val="bottom"/>
          </w:tcPr>
          <w:p>
            <w:pPr>
              <w:ind w:left="140"/>
              <w:spacing w:after="0"/>
              <w:rPr>
                <w:sz w:val="20"/>
                <w:szCs w:val="20"/>
                <w:color w:val="auto"/>
              </w:rPr>
            </w:pPr>
            <w:r>
              <w:rPr>
                <w:rFonts w:ascii="Arial" w:cs="Arial" w:eastAsia="Arial" w:hAnsi="Arial"/>
                <w:sz w:val="16"/>
                <w:szCs w:val="16"/>
                <w:color w:val="auto"/>
              </w:rPr>
              <w:t>Commercial Security Agreement, dated</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600" w:type="dxa"/>
            <w:vAlign w:val="bottom"/>
          </w:tcPr>
          <w:p>
            <w:pPr>
              <w:jc w:val="center"/>
              <w:ind w:left="239"/>
              <w:spacing w:after="0"/>
              <w:rPr>
                <w:sz w:val="20"/>
                <w:szCs w:val="20"/>
                <w:color w:val="auto"/>
              </w:rPr>
            </w:pPr>
            <w:r>
              <w:rPr>
                <w:rFonts w:ascii="Arial" w:cs="Arial" w:eastAsia="Arial" w:hAnsi="Arial"/>
                <w:sz w:val="16"/>
                <w:szCs w:val="16"/>
                <w:color w:val="auto"/>
                <w:w w:val="90"/>
              </w:rPr>
              <w:t>January 30, 2015</w:t>
            </w: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January 26, 2015, between Applied</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Optoelectronics, Inc. and East West Bank</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w w:val="86"/>
              </w:rPr>
              <w:t>10.28.2</w:t>
            </w:r>
          </w:p>
        </w:tc>
        <w:tc>
          <w:tcPr>
            <w:tcW w:w="3380" w:type="dxa"/>
            <w:vAlign w:val="bottom"/>
          </w:tcPr>
          <w:p>
            <w:pPr>
              <w:ind w:left="140"/>
              <w:spacing w:after="0"/>
              <w:rPr>
                <w:sz w:val="20"/>
                <w:szCs w:val="20"/>
                <w:color w:val="auto"/>
              </w:rPr>
            </w:pPr>
            <w:r>
              <w:rPr>
                <w:rFonts w:ascii="Arial" w:cs="Arial" w:eastAsia="Arial" w:hAnsi="Arial"/>
                <w:sz w:val="16"/>
                <w:szCs w:val="16"/>
                <w:color w:val="auto"/>
              </w:rPr>
              <w:t>Promissory Note, dated January 26, 2015,</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600" w:type="dxa"/>
            <w:vAlign w:val="bottom"/>
          </w:tcPr>
          <w:p>
            <w:pPr>
              <w:jc w:val="center"/>
              <w:ind w:left="239"/>
              <w:spacing w:after="0"/>
              <w:rPr>
                <w:sz w:val="20"/>
                <w:szCs w:val="20"/>
                <w:color w:val="auto"/>
              </w:rPr>
            </w:pPr>
            <w:r>
              <w:rPr>
                <w:rFonts w:ascii="Arial" w:cs="Arial" w:eastAsia="Arial" w:hAnsi="Arial"/>
                <w:sz w:val="16"/>
                <w:szCs w:val="16"/>
                <w:color w:val="auto"/>
                <w:w w:val="90"/>
              </w:rPr>
              <w:t>January 30, 2015</w:t>
            </w: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between Applied Optoelectronics, Inc. and</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East West Bank</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20"/>
        </w:trPr>
        <w:tc>
          <w:tcPr>
            <w:tcW w:w="620" w:type="dxa"/>
            <w:vAlign w:val="bottom"/>
          </w:tcPr>
          <w:p>
            <w:pPr>
              <w:jc w:val="right"/>
              <w:ind w:right="59"/>
              <w:spacing w:after="0"/>
              <w:rPr>
                <w:sz w:val="20"/>
                <w:szCs w:val="20"/>
                <w:color w:val="auto"/>
              </w:rPr>
            </w:pPr>
            <w:r>
              <w:rPr>
                <w:rFonts w:ascii="Arial" w:cs="Arial" w:eastAsia="Arial" w:hAnsi="Arial"/>
                <w:sz w:val="16"/>
                <w:szCs w:val="16"/>
                <w:color w:val="auto"/>
              </w:rPr>
              <w:t>10.29</w:t>
            </w:r>
          </w:p>
        </w:tc>
        <w:tc>
          <w:tcPr>
            <w:tcW w:w="3380" w:type="dxa"/>
            <w:vAlign w:val="bottom"/>
          </w:tcPr>
          <w:p>
            <w:pPr>
              <w:ind w:left="140"/>
              <w:spacing w:after="0"/>
              <w:rPr>
                <w:sz w:val="20"/>
                <w:szCs w:val="20"/>
                <w:color w:val="auto"/>
              </w:rPr>
            </w:pPr>
            <w:r>
              <w:rPr>
                <w:rFonts w:ascii="Arial" w:cs="Arial" w:eastAsia="Arial" w:hAnsi="Arial"/>
                <w:sz w:val="16"/>
                <w:szCs w:val="16"/>
                <w:color w:val="auto"/>
              </w:rPr>
              <w:t>Translation of Chinese form of RMB Working</w:t>
            </w:r>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001-36083</w:t>
            </w:r>
          </w:p>
        </w:tc>
        <w:tc>
          <w:tcPr>
            <w:tcW w:w="960" w:type="dxa"/>
            <w:vAlign w:val="bottom"/>
          </w:tcPr>
          <w:p>
            <w:pPr>
              <w:jc w:val="center"/>
              <w:spacing w:after="0"/>
              <w:rPr>
                <w:sz w:val="20"/>
                <w:szCs w:val="20"/>
                <w:color w:val="auto"/>
              </w:rPr>
            </w:pPr>
            <w:r>
              <w:rPr>
                <w:rFonts w:ascii="Arial" w:cs="Arial" w:eastAsia="Arial" w:hAnsi="Arial"/>
                <w:sz w:val="16"/>
                <w:szCs w:val="16"/>
                <w:color w:val="auto"/>
                <w:w w:val="89"/>
              </w:rPr>
              <w:t>10.29</w:t>
            </w:r>
          </w:p>
        </w:tc>
        <w:tc>
          <w:tcPr>
            <w:tcW w:w="1600" w:type="dxa"/>
            <w:vAlign w:val="bottom"/>
          </w:tcPr>
          <w:p>
            <w:pPr>
              <w:jc w:val="center"/>
              <w:ind w:left="239"/>
              <w:spacing w:after="0"/>
              <w:rPr>
                <w:sz w:val="20"/>
                <w:szCs w:val="20"/>
                <w:color w:val="auto"/>
              </w:rPr>
            </w:pPr>
            <w:r>
              <w:rPr>
                <w:rFonts w:ascii="Arial" w:cs="Arial" w:eastAsia="Arial" w:hAnsi="Arial"/>
                <w:sz w:val="16"/>
                <w:szCs w:val="16"/>
                <w:color w:val="auto"/>
                <w:w w:val="93"/>
              </w:rPr>
              <w:t>March 5, 2015</w:t>
            </w:r>
          </w:p>
        </w:tc>
      </w:tr>
      <w:tr>
        <w:trPr>
          <w:trHeight w:val="203"/>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rPr>
              <w:t>Capital Loan Agreement between the Global</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380" w:type="dxa"/>
            <w:vAlign w:val="bottom"/>
          </w:tcPr>
          <w:p>
            <w:pPr>
              <w:ind w:left="140"/>
              <w:spacing w:after="0"/>
              <w:rPr>
                <w:sz w:val="20"/>
                <w:szCs w:val="20"/>
                <w:color w:val="auto"/>
              </w:rPr>
            </w:pPr>
            <w:r>
              <w:rPr>
                <w:rFonts w:ascii="Arial" w:cs="Arial" w:eastAsia="Arial" w:hAnsi="Arial"/>
                <w:sz w:val="16"/>
                <w:szCs w:val="16"/>
                <w:color w:val="auto"/>
                <w:w w:val="98"/>
              </w:rPr>
              <w:t>Technology Inc. and China Construction Bank</w:t>
            </w: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ind w:left="920" w:right="5219"/>
        <w:spacing w:after="0" w:line="276" w:lineRule="auto"/>
        <w:rPr>
          <w:sz w:val="20"/>
          <w:szCs w:val="20"/>
          <w:color w:val="auto"/>
        </w:rPr>
      </w:pPr>
      <w:r>
        <w:rPr>
          <w:rFonts w:ascii="Arial" w:cs="Arial" w:eastAsia="Arial" w:hAnsi="Arial"/>
          <w:sz w:val="16"/>
          <w:szCs w:val="16"/>
          <w:color w:val="auto"/>
        </w:rPr>
        <w:t>– Revolving line of credit with a China bank up to $12 million (Schedule updated as of December 31, 2014)</w:t>
      </w:r>
    </w:p>
    <w:p>
      <w:pPr>
        <w:spacing w:after="0" w:line="91" w:lineRule="exact"/>
        <w:rPr>
          <w:sz w:val="20"/>
          <w:szCs w:val="20"/>
          <w:color w:val="auto"/>
        </w:rPr>
      </w:pPr>
    </w:p>
    <w:p>
      <w:pPr>
        <w:ind w:left="920" w:right="319" w:hanging="647"/>
        <w:spacing w:after="0" w:line="266" w:lineRule="auto"/>
        <w:tabs>
          <w:tab w:leader="none" w:pos="900" w:val="left"/>
        </w:tabs>
        <w:rPr>
          <w:sz w:val="20"/>
          <w:szCs w:val="20"/>
          <w:color w:val="auto"/>
        </w:rPr>
      </w:pPr>
      <w:r>
        <w:rPr>
          <w:rFonts w:ascii="Arial" w:cs="Arial" w:eastAsia="Arial" w:hAnsi="Arial"/>
          <w:sz w:val="16"/>
          <w:szCs w:val="16"/>
          <w:color w:val="auto"/>
        </w:rPr>
        <w:t>10.30</w:t>
      </w:r>
      <w:r>
        <w:rPr>
          <w:sz w:val="20"/>
          <w:szCs w:val="20"/>
          <w:color w:val="auto"/>
        </w:rPr>
        <w:tab/>
      </w:r>
      <w:r>
        <w:rPr>
          <w:rFonts w:ascii="Arial" w:cs="Arial" w:eastAsia="Arial" w:hAnsi="Arial"/>
          <w:sz w:val="16"/>
          <w:szCs w:val="16"/>
          <w:color w:val="auto"/>
        </w:rPr>
        <w:t>Translation of Chinese form of USD Trust 10-K 001-36083 10.30 March 5, 2015 Receipt Loan Agreement between Global</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Technology Inc. and China Construction Bank</w:t>
      </w:r>
    </w:p>
    <w:p>
      <w:pPr>
        <w:spacing w:after="0" w:line="19" w:lineRule="exact"/>
        <w:rPr>
          <w:sz w:val="20"/>
          <w:szCs w:val="20"/>
          <w:color w:val="auto"/>
        </w:rPr>
      </w:pPr>
    </w:p>
    <w:p>
      <w:pPr>
        <w:ind w:left="920" w:right="5259" w:firstLine="1"/>
        <w:spacing w:after="0" w:line="276" w:lineRule="auto"/>
        <w:tabs>
          <w:tab w:leader="none" w:pos="10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Revolving line of credit with a China bank up to $3.3 million (Schedule updated as of December 31, 2014)</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Number</w:t>
            </w:r>
          </w:p>
        </w:tc>
        <w:tc>
          <w:tcPr>
            <w:tcW w:w="336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Exhibit Description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560" w:type="dxa"/>
            <w:vAlign w:val="bottom"/>
            <w:gridSpan w:val="2"/>
          </w:tcPr>
          <w:p>
            <w:pPr>
              <w:ind w:left="760"/>
              <w:spacing w:after="0"/>
              <w:rPr>
                <w:sz w:val="20"/>
                <w:szCs w:val="20"/>
                <w:color w:val="auto"/>
              </w:rPr>
            </w:pPr>
            <w:r>
              <w:rPr>
                <w:rFonts w:ascii="Arial" w:cs="Arial" w:eastAsia="Arial" w:hAnsi="Arial"/>
                <w:sz w:val="14"/>
                <w:szCs w:val="14"/>
                <w:b w:val="1"/>
                <w:bCs w:val="1"/>
                <w:color w:val="auto"/>
                <w:w w:val="99"/>
              </w:rPr>
              <w:t>Incorporated By Reference</w:t>
            </w:r>
          </w:p>
        </w:tc>
        <w:tc>
          <w:tcPr>
            <w:tcW w:w="1180" w:type="dxa"/>
            <w:vAlign w:val="bottom"/>
            <w:vMerge w:val="restart"/>
          </w:tcPr>
          <w:p>
            <w:pPr>
              <w:jc w:val="center"/>
              <w:ind w:left="6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61"/>
        </w:trPr>
        <w:tc>
          <w:tcPr>
            <w:tcW w:w="70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10.31</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$4 Million Credit Facility</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10.1</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3"/>
              </w:rPr>
              <w:t>March 13,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Agreement, dated March 9, 2015, between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Applied Optoelectronics, Inc. and E. Sun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Commercial Bank Co., Ltd.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10.31.1</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$3 Million Credit Facility</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10.2</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3"/>
              </w:rPr>
              <w:t>March 13,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Agreement, dated March 9, 2015, between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Applied Optoelectronics, Inc. and E. Sun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Commercial Bank Co., Ltd.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10.31.2</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Loan Approval Notice of E.</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10.3</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3"/>
              </w:rPr>
              <w:t>March 13,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w w:val="99"/>
              </w:rPr>
              <w:t>Sun Commercial Bank Co., Ltd., dated March</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12, 2015</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10.32</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US$4 Million Credit Facility</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10.1</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3"/>
              </w:rPr>
              <w:t>March 31,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Agreement, dated March 25, 2015, between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Applied Optoelectronics, Inc. and Mega</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International Commercial Bank Co., Ltd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10.33</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Comprehensive Credit Line</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10.1</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7"/>
              </w:rPr>
              <w:t>April 7,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w w:val="99"/>
              </w:rPr>
              <w:t>Contract and General Agreement, dated April</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1, 2015, between Applied Optoelectronics,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Inc., Taiwan Branch, and China Construction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Bank, Taipei Branch</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10.33.1</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Approval Notice of China</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10.2</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7"/>
              </w:rPr>
              <w:t>April 7, 2015</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Construction Bank, Taipei Branch</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10.34</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Purchase and Sale Contract</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10.1</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0"/>
              </w:rPr>
              <w:t>June 2,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between Applied Optoelectronics, Inc.,</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Taiwan Branch, and Chailease Finance Co.,</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Ltd.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10.34.1</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Finance Lease Agreement</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10.2</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0"/>
              </w:rPr>
              <w:t>June 2,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between Applied Optoelectronics, Inc.,</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Taiwan Branch, and Chailease Finance Co.,</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Ltd.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10.35</w:t>
            </w:r>
          </w:p>
        </w:tc>
        <w:tc>
          <w:tcPr>
            <w:tcW w:w="3360" w:type="dxa"/>
            <w:vAlign w:val="bottom"/>
          </w:tcPr>
          <w:p>
            <w:pPr>
              <w:ind w:left="140"/>
              <w:spacing w:after="0"/>
              <w:rPr>
                <w:sz w:val="20"/>
                <w:szCs w:val="20"/>
                <w:color w:val="auto"/>
              </w:rPr>
            </w:pPr>
            <w:r>
              <w:rPr>
                <w:rFonts w:ascii="Arial" w:cs="Arial" w:eastAsia="Arial" w:hAnsi="Arial"/>
                <w:sz w:val="16"/>
                <w:szCs w:val="16"/>
                <w:color w:val="auto"/>
              </w:rPr>
              <w:t>Fourth Amendment to Office Lease</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10.1</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0"/>
              </w:rPr>
              <w:t>June 23,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w w:val="99"/>
              </w:rPr>
              <w:t>Agreement between Applied Optoelectronics,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Inc. and 12808 Airport, LLC dated June 17,</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2015</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10.36</w:t>
            </w:r>
          </w:p>
        </w:tc>
        <w:tc>
          <w:tcPr>
            <w:tcW w:w="3360" w:type="dxa"/>
            <w:vAlign w:val="bottom"/>
          </w:tcPr>
          <w:p>
            <w:pPr>
              <w:ind w:left="140"/>
              <w:spacing w:after="0"/>
              <w:rPr>
                <w:sz w:val="20"/>
                <w:szCs w:val="20"/>
                <w:color w:val="auto"/>
              </w:rPr>
            </w:pPr>
            <w:r>
              <w:rPr>
                <w:rFonts w:ascii="Arial" w:cs="Arial" w:eastAsia="Arial" w:hAnsi="Arial"/>
                <w:sz w:val="16"/>
                <w:szCs w:val="16"/>
                <w:color w:val="auto"/>
              </w:rPr>
              <w:t>Credit Agreement, dated June 30, 2015,</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10.1</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among Applied Optoelectronics, Inc., East</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West Bank and Comerica 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10.36.1</w:t>
            </w:r>
          </w:p>
        </w:tc>
        <w:tc>
          <w:tcPr>
            <w:tcW w:w="3360" w:type="dxa"/>
            <w:vAlign w:val="bottom"/>
          </w:tcPr>
          <w:p>
            <w:pPr>
              <w:ind w:left="140"/>
              <w:spacing w:after="0"/>
              <w:rPr>
                <w:sz w:val="20"/>
                <w:szCs w:val="20"/>
                <w:color w:val="auto"/>
              </w:rPr>
            </w:pPr>
            <w:r>
              <w:rPr>
                <w:rFonts w:ascii="Arial" w:cs="Arial" w:eastAsia="Arial" w:hAnsi="Arial"/>
                <w:sz w:val="16"/>
                <w:szCs w:val="16"/>
                <w:color w:val="auto"/>
              </w:rPr>
              <w:t>Security Agreement, dated June 30, 2015,</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10.2</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among Applied Optoelectronics, Inc., East</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West Bank and Comerica 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10.36.2</w:t>
            </w:r>
          </w:p>
        </w:tc>
        <w:tc>
          <w:tcPr>
            <w:tcW w:w="3360" w:type="dxa"/>
            <w:vAlign w:val="bottom"/>
          </w:tcPr>
          <w:p>
            <w:pPr>
              <w:ind w:left="140"/>
              <w:spacing w:after="0"/>
              <w:rPr>
                <w:sz w:val="20"/>
                <w:szCs w:val="20"/>
                <w:color w:val="auto"/>
              </w:rPr>
            </w:pPr>
            <w:r>
              <w:rPr>
                <w:rFonts w:ascii="Arial" w:cs="Arial" w:eastAsia="Arial" w:hAnsi="Arial"/>
                <w:sz w:val="16"/>
                <w:szCs w:val="16"/>
                <w:color w:val="auto"/>
              </w:rPr>
              <w:t>Patent Security Agreement, dated June 30,</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10.3</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2015, among Applied Optoelectronics, Inc.,</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East West Bank and Comerica 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10.36.3</w:t>
            </w:r>
          </w:p>
        </w:tc>
        <w:tc>
          <w:tcPr>
            <w:tcW w:w="3360" w:type="dxa"/>
            <w:vAlign w:val="bottom"/>
          </w:tcPr>
          <w:p>
            <w:pPr>
              <w:ind w:left="140"/>
              <w:spacing w:after="0"/>
              <w:rPr>
                <w:sz w:val="20"/>
                <w:szCs w:val="20"/>
                <w:color w:val="auto"/>
              </w:rPr>
            </w:pPr>
            <w:r>
              <w:rPr>
                <w:rFonts w:ascii="Arial" w:cs="Arial" w:eastAsia="Arial" w:hAnsi="Arial"/>
                <w:sz w:val="16"/>
                <w:szCs w:val="16"/>
                <w:color w:val="auto"/>
              </w:rPr>
              <w:t>Trademark Security Agreement, dated June</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10.4</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30, 2015, among Applied Optoelectronics,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Inc., East West Bank and Comerica 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10.36.4</w:t>
            </w:r>
          </w:p>
        </w:tc>
        <w:tc>
          <w:tcPr>
            <w:tcW w:w="3360" w:type="dxa"/>
            <w:vAlign w:val="bottom"/>
          </w:tcPr>
          <w:p>
            <w:pPr>
              <w:ind w:left="140"/>
              <w:spacing w:after="0"/>
              <w:rPr>
                <w:sz w:val="20"/>
                <w:szCs w:val="20"/>
                <w:color w:val="auto"/>
              </w:rPr>
            </w:pPr>
            <w:r>
              <w:rPr>
                <w:rFonts w:ascii="Arial" w:cs="Arial" w:eastAsia="Arial" w:hAnsi="Arial"/>
                <w:sz w:val="16"/>
                <w:szCs w:val="16"/>
                <w:color w:val="auto"/>
                <w:w w:val="98"/>
              </w:rPr>
              <w:t>East West Bank Promissory Note, dated June</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10.5</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30, 2015, between Applied Optoelectronics,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Inc. and East West 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10.36.5</w:t>
            </w:r>
          </w:p>
        </w:tc>
        <w:tc>
          <w:tcPr>
            <w:tcW w:w="3360" w:type="dxa"/>
            <w:vAlign w:val="bottom"/>
          </w:tcPr>
          <w:p>
            <w:pPr>
              <w:ind w:left="140"/>
              <w:spacing w:after="0"/>
              <w:rPr>
                <w:sz w:val="20"/>
                <w:szCs w:val="20"/>
                <w:color w:val="auto"/>
              </w:rPr>
            </w:pPr>
            <w:r>
              <w:rPr>
                <w:rFonts w:ascii="Arial" w:cs="Arial" w:eastAsia="Arial" w:hAnsi="Arial"/>
                <w:sz w:val="16"/>
                <w:szCs w:val="16"/>
                <w:color w:val="auto"/>
                <w:w w:val="99"/>
              </w:rPr>
              <w:t>Comerica Bank Promissory Note, dated June</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80" w:type="dxa"/>
            <w:vAlign w:val="bottom"/>
          </w:tcPr>
          <w:p>
            <w:pPr>
              <w:jc w:val="center"/>
              <w:ind w:right="240"/>
              <w:spacing w:after="0"/>
              <w:rPr>
                <w:sz w:val="20"/>
                <w:szCs w:val="20"/>
                <w:color w:val="auto"/>
              </w:rPr>
            </w:pPr>
            <w:r>
              <w:rPr>
                <w:rFonts w:ascii="Arial" w:cs="Arial" w:eastAsia="Arial" w:hAnsi="Arial"/>
                <w:sz w:val="16"/>
                <w:szCs w:val="16"/>
                <w:color w:val="auto"/>
                <w:w w:val="89"/>
              </w:rPr>
              <w:t>10.6</w:t>
            </w:r>
          </w:p>
        </w:tc>
        <w:tc>
          <w:tcPr>
            <w:tcW w:w="1180" w:type="dxa"/>
            <w:vAlign w:val="bottom"/>
          </w:tcPr>
          <w:p>
            <w:pPr>
              <w:jc w:val="center"/>
              <w:ind w:left="60"/>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30, 2015, between Applied Optoelectronics,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Inc. and Comerica 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w:t>
            </w:r>
          </w:p>
        </w:tc>
        <w:tc>
          <w:tcPr>
            <w:tcW w:w="350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500" w:type="dxa"/>
            <w:vAlign w:val="bottom"/>
            <w:gridSpan w:val="2"/>
          </w:tcPr>
          <w:p>
            <w:pPr>
              <w:ind w:left="760"/>
              <w:spacing w:after="0"/>
              <w:rPr>
                <w:sz w:val="20"/>
                <w:szCs w:val="20"/>
                <w:color w:val="auto"/>
              </w:rPr>
            </w:pPr>
            <w:r>
              <w:rPr>
                <w:rFonts w:ascii="Arial" w:cs="Arial" w:eastAsia="Arial" w:hAnsi="Arial"/>
                <w:sz w:val="14"/>
                <w:szCs w:val="14"/>
                <w:b w:val="1"/>
                <w:bCs w:val="1"/>
                <w:color w:val="auto"/>
                <w:w w:val="96"/>
              </w:rPr>
              <w:t>Incorporated By Reference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jc w:val="right"/>
              <w:spacing w:after="0"/>
              <w:rPr>
                <w:sz w:val="20"/>
                <w:szCs w:val="20"/>
                <w:color w:val="auto"/>
              </w:rPr>
            </w:pPr>
            <w:r>
              <w:rPr>
                <w:rFonts w:ascii="Arial" w:cs="Arial" w:eastAsia="Arial" w:hAnsi="Arial"/>
                <w:sz w:val="16"/>
                <w:szCs w:val="16"/>
                <w:color w:val="auto"/>
              </w:rPr>
              <w:t>10.36.6</w:t>
            </w:r>
          </w:p>
        </w:tc>
        <w:tc>
          <w:tcPr>
            <w:tcW w:w="3500" w:type="dxa"/>
            <w:vAlign w:val="bottom"/>
          </w:tcPr>
          <w:p>
            <w:pPr>
              <w:ind w:left="260"/>
              <w:spacing w:after="0"/>
              <w:rPr>
                <w:sz w:val="20"/>
                <w:szCs w:val="20"/>
                <w:color w:val="auto"/>
              </w:rPr>
            </w:pPr>
            <w:r>
              <w:rPr>
                <w:rFonts w:ascii="Arial" w:cs="Arial" w:eastAsia="Arial" w:hAnsi="Arial"/>
                <w:sz w:val="16"/>
                <w:szCs w:val="16"/>
                <w:color w:val="auto"/>
              </w:rPr>
              <w:t>2</w:t>
            </w:r>
            <w:r>
              <w:rPr>
                <w:rFonts w:ascii="Arial" w:cs="Arial" w:eastAsia="Arial" w:hAnsi="Arial"/>
                <w:sz w:val="17"/>
                <w:szCs w:val="17"/>
                <w:color w:val="auto"/>
                <w:vertAlign w:val="superscript"/>
              </w:rPr>
              <w:t>nd</w:t>
            </w:r>
            <w:r>
              <w:rPr>
                <w:rFonts w:ascii="Arial" w:cs="Arial" w:eastAsia="Arial" w:hAnsi="Arial"/>
                <w:sz w:val="16"/>
                <w:szCs w:val="16"/>
                <w:color w:val="auto"/>
              </w:rPr>
              <w:t xml:space="preserve"> Lien Construction Deed of Trust, dated</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10.7</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June 30, 2015, among Applied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Optoelectronics, Inc., East West Bank and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Comerica Bank</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10.37</w:t>
            </w:r>
          </w:p>
        </w:tc>
        <w:tc>
          <w:tcPr>
            <w:tcW w:w="3500" w:type="dxa"/>
            <w:vAlign w:val="bottom"/>
          </w:tcPr>
          <w:p>
            <w:pPr>
              <w:ind w:left="260"/>
              <w:spacing w:after="0"/>
              <w:rPr>
                <w:sz w:val="20"/>
                <w:szCs w:val="20"/>
                <w:color w:val="auto"/>
              </w:rPr>
            </w:pPr>
            <w:r>
              <w:rPr>
                <w:rFonts w:ascii="Arial" w:cs="Arial" w:eastAsia="Arial" w:hAnsi="Arial"/>
                <w:sz w:val="16"/>
                <w:szCs w:val="16"/>
                <w:color w:val="auto"/>
              </w:rPr>
              <w:t>Translation of Purchase and Sale Contract</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between Applied Optoelectronics, Inc.,</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Taiwan Branch, and Chailease Finance Co.,</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Ltd.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10.37.1</w:t>
            </w:r>
          </w:p>
        </w:tc>
        <w:tc>
          <w:tcPr>
            <w:tcW w:w="3500" w:type="dxa"/>
            <w:vAlign w:val="bottom"/>
          </w:tcPr>
          <w:p>
            <w:pPr>
              <w:ind w:left="260"/>
              <w:spacing w:after="0"/>
              <w:rPr>
                <w:sz w:val="20"/>
                <w:szCs w:val="20"/>
                <w:color w:val="auto"/>
              </w:rPr>
            </w:pPr>
            <w:r>
              <w:rPr>
                <w:rFonts w:ascii="Arial" w:cs="Arial" w:eastAsia="Arial" w:hAnsi="Arial"/>
                <w:sz w:val="16"/>
                <w:szCs w:val="16"/>
                <w:color w:val="auto"/>
              </w:rPr>
              <w:t>Translation of Finance Lease Agreement and</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10.2</w:t>
            </w:r>
          </w:p>
        </w:tc>
        <w:tc>
          <w:tcPr>
            <w:tcW w:w="1360" w:type="dxa"/>
            <w:vAlign w:val="bottom"/>
          </w:tcPr>
          <w:p>
            <w:pPr>
              <w:jc w:val="center"/>
              <w:spacing w:after="0"/>
              <w:rPr>
                <w:sz w:val="20"/>
                <w:szCs w:val="20"/>
                <w:color w:val="auto"/>
              </w:rPr>
            </w:pPr>
            <w:r>
              <w:rPr>
                <w:rFonts w:ascii="Arial" w:cs="Arial" w:eastAsia="Arial" w:hAnsi="Arial"/>
                <w:sz w:val="16"/>
                <w:szCs w:val="16"/>
                <w:color w:val="auto"/>
                <w:w w:val="92"/>
              </w:rPr>
              <w:t>July 7, 2015</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Promissory Note between Applied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Optoelectronics, Inc., Taiwan Branch, and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Chailease Finance Co., Ltd.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10.38</w:t>
            </w:r>
          </w:p>
        </w:tc>
        <w:tc>
          <w:tcPr>
            <w:tcW w:w="3500" w:type="dxa"/>
            <w:vAlign w:val="bottom"/>
          </w:tcPr>
          <w:p>
            <w:pPr>
              <w:ind w:left="260"/>
              <w:spacing w:after="0"/>
              <w:rPr>
                <w:sz w:val="20"/>
                <w:szCs w:val="20"/>
                <w:color w:val="auto"/>
              </w:rPr>
            </w:pPr>
            <w:r>
              <w:rPr>
                <w:rFonts w:ascii="Arial" w:cs="Arial" w:eastAsia="Arial" w:hAnsi="Arial"/>
                <w:sz w:val="16"/>
                <w:szCs w:val="16"/>
                <w:color w:val="auto"/>
              </w:rPr>
              <w:t>Office Lease Agreement between Applied</w:t>
            </w: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November 9, 2015</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Optoelectronics, Inc. and GIG VAOI</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Breckinridge, LLC dated November 5, 2015</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10.39</w:t>
            </w:r>
          </w:p>
        </w:tc>
        <w:tc>
          <w:tcPr>
            <w:tcW w:w="3500" w:type="dxa"/>
            <w:vAlign w:val="bottom"/>
          </w:tcPr>
          <w:p>
            <w:pPr>
              <w:ind w:left="20"/>
              <w:spacing w:after="0"/>
              <w:rPr>
                <w:sz w:val="20"/>
                <w:szCs w:val="20"/>
                <w:color w:val="auto"/>
              </w:rPr>
            </w:pPr>
            <w:r>
              <w:rPr>
                <w:rFonts w:ascii="Arial" w:cs="Arial" w:eastAsia="Arial" w:hAnsi="Arial"/>
                <w:sz w:val="16"/>
                <w:szCs w:val="16"/>
                <w:color w:val="auto"/>
              </w:rPr>
              <w:t>†  Applied Optoelectronics, Inc. Executive and</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December 21, 2015</w:t>
            </w: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Key Employee Bonus Plan</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10.40</w:t>
            </w:r>
          </w:p>
        </w:tc>
        <w:tc>
          <w:tcPr>
            <w:tcW w:w="3500" w:type="dxa"/>
            <w:vAlign w:val="bottom"/>
          </w:tcPr>
          <w:p>
            <w:pPr>
              <w:ind w:left="260"/>
              <w:spacing w:after="0"/>
              <w:rPr>
                <w:sz w:val="20"/>
                <w:szCs w:val="20"/>
                <w:color w:val="auto"/>
              </w:rPr>
            </w:pPr>
            <w:r>
              <w:rPr>
                <w:rFonts w:ascii="Arial" w:cs="Arial" w:eastAsia="Arial" w:hAnsi="Arial"/>
                <w:sz w:val="16"/>
                <w:szCs w:val="16"/>
                <w:color w:val="auto"/>
              </w:rPr>
              <w:t>Translation of US$2Million Credit Facility</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December 29, 2015</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Agreement, dated December 22, 2015,</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between Applied Optoelectronics, Inc. and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Mega International Commercial Bank Co.,</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Ltd.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10.41</w:t>
            </w:r>
          </w:p>
        </w:tc>
        <w:tc>
          <w:tcPr>
            <w:tcW w:w="3500" w:type="dxa"/>
            <w:vAlign w:val="bottom"/>
          </w:tcPr>
          <w:p>
            <w:pPr>
              <w:ind w:left="260"/>
              <w:spacing w:after="0"/>
              <w:rPr>
                <w:sz w:val="20"/>
                <w:szCs w:val="20"/>
                <w:color w:val="auto"/>
              </w:rPr>
            </w:pPr>
            <w:r>
              <w:rPr>
                <w:rFonts w:ascii="Arial" w:cs="Arial" w:eastAsia="Arial" w:hAnsi="Arial"/>
                <w:sz w:val="16"/>
                <w:szCs w:val="16"/>
                <w:color w:val="auto"/>
              </w:rPr>
              <w:t>Translation of US$4 Million Credit Facility</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December 29, 2015</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Agreement, dated December 22, 2015,</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between Applied Optoelectronics, Inc. and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Mega International Commercial Bank Co.,</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Ltd.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10.42</w:t>
            </w:r>
          </w:p>
        </w:tc>
        <w:tc>
          <w:tcPr>
            <w:tcW w:w="3500" w:type="dxa"/>
            <w:vAlign w:val="bottom"/>
          </w:tcPr>
          <w:p>
            <w:pPr>
              <w:ind w:left="260"/>
              <w:spacing w:after="0"/>
              <w:rPr>
                <w:sz w:val="20"/>
                <w:szCs w:val="20"/>
                <w:color w:val="auto"/>
              </w:rPr>
            </w:pPr>
            <w:r>
              <w:rPr>
                <w:rFonts w:ascii="Arial" w:cs="Arial" w:eastAsia="Arial" w:hAnsi="Arial"/>
                <w:sz w:val="16"/>
                <w:szCs w:val="16"/>
                <w:color w:val="auto"/>
              </w:rPr>
              <w:t>Translation of the Terms of Credit Line, dated</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10.1</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January 4, 2016, between Applied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Optoelectronics, Inc. and China Trust</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Commercial Bank Co., Ltd.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10.42.1</w:t>
            </w:r>
          </w:p>
        </w:tc>
        <w:tc>
          <w:tcPr>
            <w:tcW w:w="3500" w:type="dxa"/>
            <w:vAlign w:val="bottom"/>
          </w:tcPr>
          <w:p>
            <w:pPr>
              <w:ind w:left="260"/>
              <w:spacing w:after="0"/>
              <w:rPr>
                <w:sz w:val="20"/>
                <w:szCs w:val="20"/>
                <w:color w:val="auto"/>
              </w:rPr>
            </w:pPr>
            <w:r>
              <w:rPr>
                <w:rFonts w:ascii="Arial" w:cs="Arial" w:eastAsia="Arial" w:hAnsi="Arial"/>
                <w:sz w:val="16"/>
                <w:szCs w:val="16"/>
                <w:color w:val="auto"/>
                <w:w w:val="98"/>
              </w:rPr>
              <w:t>General Agreement for Omnibus Credit Lines,</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10.2</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dated February 19, 2016, between Applied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Optoelectronics, Inc. and China Trust</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Commercial Bank Co., Ltd.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10.42.2</w:t>
            </w:r>
          </w:p>
        </w:tc>
        <w:tc>
          <w:tcPr>
            <w:tcW w:w="3500" w:type="dxa"/>
            <w:vAlign w:val="bottom"/>
          </w:tcPr>
          <w:p>
            <w:pPr>
              <w:ind w:left="260"/>
              <w:spacing w:after="0"/>
              <w:rPr>
                <w:sz w:val="20"/>
                <w:szCs w:val="20"/>
                <w:color w:val="auto"/>
              </w:rPr>
            </w:pPr>
            <w:r>
              <w:rPr>
                <w:rFonts w:ascii="Arial" w:cs="Arial" w:eastAsia="Arial" w:hAnsi="Arial"/>
                <w:sz w:val="16"/>
                <w:szCs w:val="16"/>
                <w:color w:val="auto"/>
              </w:rPr>
              <w:t>Agreement for Individually Negotiated Terms</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10.3</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&amp; Conditions, dated February 19, 2016,</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between Applied Optoelectronics, Inc. and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China Trust Commercial Bank Co., Ltd.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10.42.3</w:t>
            </w:r>
          </w:p>
        </w:tc>
        <w:tc>
          <w:tcPr>
            <w:tcW w:w="3500" w:type="dxa"/>
            <w:vAlign w:val="bottom"/>
          </w:tcPr>
          <w:p>
            <w:pPr>
              <w:ind w:left="260"/>
              <w:spacing w:after="0"/>
              <w:rPr>
                <w:sz w:val="20"/>
                <w:szCs w:val="20"/>
                <w:color w:val="auto"/>
              </w:rPr>
            </w:pPr>
            <w:r>
              <w:rPr>
                <w:rFonts w:ascii="Arial" w:cs="Arial" w:eastAsia="Arial" w:hAnsi="Arial"/>
                <w:sz w:val="16"/>
                <w:szCs w:val="16"/>
                <w:color w:val="auto"/>
              </w:rPr>
              <w:t>NT$200 Million Promissory Note, dated</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10.4</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February 19, 2016, between Applied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Optoelectronics, Inc. and China Trust</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Commercial Bank Co., Ltd.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10.42.4</w:t>
            </w:r>
          </w:p>
        </w:tc>
        <w:tc>
          <w:tcPr>
            <w:tcW w:w="3500" w:type="dxa"/>
            <w:vAlign w:val="bottom"/>
          </w:tcPr>
          <w:p>
            <w:pPr>
              <w:ind w:left="260"/>
              <w:spacing w:after="0"/>
              <w:rPr>
                <w:sz w:val="20"/>
                <w:szCs w:val="20"/>
                <w:color w:val="auto"/>
              </w:rPr>
            </w:pPr>
            <w:r>
              <w:rPr>
                <w:rFonts w:ascii="Arial" w:cs="Arial" w:eastAsia="Arial" w:hAnsi="Arial"/>
                <w:sz w:val="16"/>
                <w:szCs w:val="16"/>
                <w:color w:val="auto"/>
              </w:rPr>
              <w:t>NT$120 Million Promissory Note, dated</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10.5</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February 19, 2016, between Applied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Optoelectronics, Inc. and China Trust</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Commercial Bank Co., Ltd.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10.42.5</w:t>
            </w:r>
          </w:p>
        </w:tc>
        <w:tc>
          <w:tcPr>
            <w:tcW w:w="3500" w:type="dxa"/>
            <w:vAlign w:val="bottom"/>
          </w:tcPr>
          <w:p>
            <w:pPr>
              <w:ind w:left="260"/>
              <w:spacing w:after="0"/>
              <w:rPr>
                <w:sz w:val="20"/>
                <w:szCs w:val="20"/>
                <w:color w:val="auto"/>
              </w:rPr>
            </w:pPr>
            <w:r>
              <w:rPr>
                <w:rFonts w:ascii="Arial" w:cs="Arial" w:eastAsia="Arial" w:hAnsi="Arial"/>
                <w:sz w:val="16"/>
                <w:szCs w:val="16"/>
                <w:color w:val="auto"/>
              </w:rPr>
              <w:t>Certificate for Provision of Collateral and</w:t>
            </w:r>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89"/>
              </w:rPr>
              <w:t>10.6</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Pledge Agreement, dated February 19, 2016,</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between Applied Optoelectronics, Inc. and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500" w:type="dxa"/>
            <w:vAlign w:val="bottom"/>
          </w:tcPr>
          <w:p>
            <w:pPr>
              <w:ind w:left="260"/>
              <w:spacing w:after="0"/>
              <w:rPr>
                <w:sz w:val="20"/>
                <w:szCs w:val="20"/>
                <w:color w:val="auto"/>
              </w:rPr>
            </w:pPr>
            <w:r>
              <w:rPr>
                <w:rFonts w:ascii="Arial" w:cs="Arial" w:eastAsia="Arial" w:hAnsi="Arial"/>
                <w:sz w:val="16"/>
                <w:szCs w:val="16"/>
                <w:color w:val="auto"/>
              </w:rPr>
              <w:t>China Trust Commercial Bank Co., Ltd.</w:t>
            </w: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Number</w:t>
            </w:r>
          </w:p>
        </w:tc>
        <w:tc>
          <w:tcPr>
            <w:tcW w:w="336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Exhibit Description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520" w:type="dxa"/>
            <w:vAlign w:val="bottom"/>
            <w:gridSpan w:val="2"/>
          </w:tcPr>
          <w:p>
            <w:pPr>
              <w:ind w:left="760"/>
              <w:spacing w:after="0"/>
              <w:rPr>
                <w:sz w:val="20"/>
                <w:szCs w:val="20"/>
                <w:color w:val="auto"/>
              </w:rPr>
            </w:pPr>
            <w:r>
              <w:rPr>
                <w:rFonts w:ascii="Arial" w:cs="Arial" w:eastAsia="Arial" w:hAnsi="Arial"/>
                <w:sz w:val="14"/>
                <w:szCs w:val="14"/>
                <w:b w:val="1"/>
                <w:bCs w:val="1"/>
                <w:color w:val="auto"/>
                <w:w w:val="97"/>
              </w:rPr>
              <w:t>Incorporated By Reference</w:t>
            </w:r>
          </w:p>
        </w:tc>
        <w:tc>
          <w:tcPr>
            <w:tcW w:w="1300" w:type="dxa"/>
            <w:vAlign w:val="bottom"/>
            <w:vMerge w:val="restart"/>
          </w:tcPr>
          <w:p>
            <w:pPr>
              <w:jc w:val="center"/>
              <w:ind w:left="2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61"/>
        </w:trPr>
        <w:tc>
          <w:tcPr>
            <w:tcW w:w="700" w:type="dxa"/>
            <w:vAlign w:val="bottom"/>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240" w:type="dxa"/>
            <w:vAlign w:val="bottom"/>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10.42.6</w:t>
            </w:r>
          </w:p>
        </w:tc>
        <w:tc>
          <w:tcPr>
            <w:tcW w:w="3360" w:type="dxa"/>
            <w:vAlign w:val="bottom"/>
          </w:tcPr>
          <w:p>
            <w:pPr>
              <w:ind w:left="140"/>
              <w:spacing w:after="0"/>
              <w:rPr>
                <w:sz w:val="20"/>
                <w:szCs w:val="20"/>
                <w:color w:val="auto"/>
              </w:rPr>
            </w:pPr>
            <w:r>
              <w:rPr>
                <w:rFonts w:ascii="Arial" w:cs="Arial" w:eastAsia="Arial" w:hAnsi="Arial"/>
                <w:sz w:val="16"/>
                <w:szCs w:val="16"/>
                <w:color w:val="auto"/>
              </w:rPr>
              <w:t>NT$120 Promissory Note (Certificate of</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10.7</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1"/>
              </w:rPr>
              <w:t>February 25,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Deposit), dated February 19, 2016, between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w w:val="99"/>
              </w:rPr>
              <w:t>Applied Optoelectronics, Inc. and China Trust</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Commercial Bank Co., Ltd.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10.43</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Purchase and Sale Contract,</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10.1</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7"/>
              </w:rPr>
              <w:t>April 6,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Finance Lease Agreement and Promissory</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Note between Applied Optoelectronics, Inc.,</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Taiwan Branch, and Chailease Finance Co.,</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Ltd.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10.44</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the General Crediting</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10.1</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7"/>
              </w:rPr>
              <w:t>April 14,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Agreement, dated April 8, 2016, between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Applied Optoelectronics, Inc. and E. Sun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Commercial Bank Co., Ltd.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10.44.1</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the Promissory Note, dated</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10.2</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7"/>
              </w:rPr>
              <w:t>April 14,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April 8, 2016, between Applied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Optoelectronics, Inc. and E. Sun Commercial</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Bank Co., Ltd.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10.44.2</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Loan Approval Notice by E.</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10.3</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7"/>
              </w:rPr>
              <w:t>April 14, 2016</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Sun Commercial Bank Co., Ltd.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10.45</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Comprehensive Credit Line</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10.1</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7"/>
              </w:rPr>
              <w:t>April 28,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w w:val="99"/>
              </w:rPr>
              <w:t>Contract and General Agreement, dated April</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22, 2016, between Applied Optoelectronics,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Inc., Taiwan Branch, and China Construction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Bank, Taipei Branch</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10.45.1</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Approval Notice of China</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10.2</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7"/>
              </w:rPr>
              <w:t>April 28,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Construction Bank, Taipei Branch, dated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March 29, 2016</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10.45.2</w:t>
            </w:r>
          </w:p>
        </w:tc>
        <w:tc>
          <w:tcPr>
            <w:tcW w:w="3360" w:type="dxa"/>
            <w:vAlign w:val="bottom"/>
          </w:tcPr>
          <w:p>
            <w:pPr>
              <w:ind w:left="140"/>
              <w:spacing w:after="0"/>
              <w:rPr>
                <w:sz w:val="20"/>
                <w:szCs w:val="20"/>
                <w:color w:val="auto"/>
              </w:rPr>
            </w:pPr>
            <w:r>
              <w:rPr>
                <w:rFonts w:ascii="Arial" w:cs="Arial" w:eastAsia="Arial" w:hAnsi="Arial"/>
                <w:sz w:val="16"/>
                <w:szCs w:val="16"/>
                <w:color w:val="auto"/>
              </w:rPr>
              <w:t>Translation of the Promissory Note, dated</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10.3</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7"/>
              </w:rPr>
              <w:t>April 28,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April 22, 2016 between China Construction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Bank – Taipei Branch and Applied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Optoelectronics, Inc., Taiwan Branch</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10.46</w:t>
            </w:r>
          </w:p>
        </w:tc>
        <w:tc>
          <w:tcPr>
            <w:tcW w:w="3360" w:type="dxa"/>
            <w:vAlign w:val="bottom"/>
          </w:tcPr>
          <w:p>
            <w:pPr>
              <w:ind w:left="140"/>
              <w:spacing w:after="0"/>
              <w:rPr>
                <w:sz w:val="20"/>
                <w:szCs w:val="20"/>
                <w:color w:val="auto"/>
              </w:rPr>
            </w:pPr>
            <w:r>
              <w:rPr>
                <w:rFonts w:ascii="Arial" w:cs="Arial" w:eastAsia="Arial" w:hAnsi="Arial"/>
                <w:sz w:val="16"/>
                <w:szCs w:val="16"/>
                <w:color w:val="auto"/>
                <w:w w:val="99"/>
              </w:rPr>
              <w:t>Change in Terms Agreement, dated June 14,</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10.1</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0"/>
              </w:rPr>
              <w:t>June 17,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2016, between Applied Optoelectronics, Inc.</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and East West 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10.46.1</w:t>
            </w:r>
          </w:p>
        </w:tc>
        <w:tc>
          <w:tcPr>
            <w:tcW w:w="3360" w:type="dxa"/>
            <w:vAlign w:val="bottom"/>
          </w:tcPr>
          <w:p>
            <w:pPr>
              <w:ind w:left="140"/>
              <w:spacing w:after="0"/>
              <w:rPr>
                <w:sz w:val="20"/>
                <w:szCs w:val="20"/>
                <w:color w:val="auto"/>
              </w:rPr>
            </w:pPr>
            <w:r>
              <w:rPr>
                <w:rFonts w:ascii="Arial" w:cs="Arial" w:eastAsia="Arial" w:hAnsi="Arial"/>
                <w:sz w:val="16"/>
                <w:szCs w:val="16"/>
                <w:color w:val="auto"/>
              </w:rPr>
              <w:t>Notice of Final Agreement, dated June 14,</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10.2</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0"/>
              </w:rPr>
              <w:t>June 17,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2016, between Applied Optoelectronics, Inc.</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and East West 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10.46.2</w:t>
            </w:r>
          </w:p>
        </w:tc>
        <w:tc>
          <w:tcPr>
            <w:tcW w:w="3360" w:type="dxa"/>
            <w:vAlign w:val="bottom"/>
          </w:tcPr>
          <w:p>
            <w:pPr>
              <w:ind w:left="140"/>
              <w:spacing w:after="0"/>
              <w:rPr>
                <w:sz w:val="20"/>
                <w:szCs w:val="20"/>
                <w:color w:val="auto"/>
              </w:rPr>
            </w:pPr>
            <w:r>
              <w:rPr>
                <w:rFonts w:ascii="Arial" w:cs="Arial" w:eastAsia="Arial" w:hAnsi="Arial"/>
                <w:sz w:val="16"/>
                <w:szCs w:val="16"/>
                <w:color w:val="auto"/>
              </w:rPr>
              <w:t>Modification to the Construction Loan</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10.3</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0"/>
              </w:rPr>
              <w:t>June 17,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Agreement, dated June 14, 2016, between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Applied Optoelectronics, Inc. and East West</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10.47</w:t>
            </w:r>
          </w:p>
        </w:tc>
        <w:tc>
          <w:tcPr>
            <w:tcW w:w="3360" w:type="dxa"/>
            <w:vAlign w:val="bottom"/>
          </w:tcPr>
          <w:p>
            <w:pPr>
              <w:ind w:left="140"/>
              <w:spacing w:after="0"/>
              <w:rPr>
                <w:sz w:val="20"/>
                <w:szCs w:val="20"/>
                <w:color w:val="auto"/>
              </w:rPr>
            </w:pPr>
            <w:r>
              <w:rPr>
                <w:rFonts w:ascii="Arial" w:cs="Arial" w:eastAsia="Arial" w:hAnsi="Arial"/>
                <w:sz w:val="16"/>
                <w:szCs w:val="16"/>
                <w:color w:val="auto"/>
              </w:rPr>
              <w:t>First Amendment to Credit Agreement and</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10.1</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0"/>
              </w:rPr>
              <w:t>June 30,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Limited Consent, dated June 24, 2016,</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between Applied Optoelectronics, Inc., East</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West Bank and Comerica 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10.47.1</w:t>
            </w:r>
          </w:p>
        </w:tc>
        <w:tc>
          <w:tcPr>
            <w:tcW w:w="3360" w:type="dxa"/>
            <w:vAlign w:val="bottom"/>
          </w:tcPr>
          <w:p>
            <w:pPr>
              <w:ind w:left="140"/>
              <w:spacing w:after="0"/>
              <w:rPr>
                <w:sz w:val="20"/>
                <w:szCs w:val="20"/>
                <w:color w:val="auto"/>
              </w:rPr>
            </w:pPr>
            <w:r>
              <w:rPr>
                <w:rFonts w:ascii="Arial" w:cs="Arial" w:eastAsia="Arial" w:hAnsi="Arial"/>
                <w:sz w:val="16"/>
                <w:szCs w:val="16"/>
                <w:color w:val="auto"/>
              </w:rPr>
              <w:t>$17,500,000 Amended and Restated</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10.2</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0"/>
              </w:rPr>
              <w:t>June 30,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Revolving Credit Note, dated June 24, 2016,</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between Applied Optoelectronics, Inc. and</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Comerica 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10.47.2</w:t>
            </w:r>
          </w:p>
        </w:tc>
        <w:tc>
          <w:tcPr>
            <w:tcW w:w="3360" w:type="dxa"/>
            <w:vAlign w:val="bottom"/>
          </w:tcPr>
          <w:p>
            <w:pPr>
              <w:ind w:left="140"/>
              <w:spacing w:after="0"/>
              <w:rPr>
                <w:sz w:val="20"/>
                <w:szCs w:val="20"/>
                <w:color w:val="auto"/>
              </w:rPr>
            </w:pPr>
            <w:r>
              <w:rPr>
                <w:rFonts w:ascii="Arial" w:cs="Arial" w:eastAsia="Arial" w:hAnsi="Arial"/>
                <w:sz w:val="16"/>
                <w:szCs w:val="16"/>
                <w:color w:val="auto"/>
                <w:w w:val="97"/>
              </w:rPr>
              <w:t>$2,500,000 Amended and Restated Revolving</w:t>
            </w:r>
          </w:p>
        </w:tc>
        <w:tc>
          <w:tcPr>
            <w:tcW w:w="88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40" w:type="dxa"/>
            <w:vAlign w:val="bottom"/>
          </w:tcPr>
          <w:p>
            <w:pPr>
              <w:jc w:val="center"/>
              <w:ind w:right="200"/>
              <w:spacing w:after="0"/>
              <w:rPr>
                <w:sz w:val="20"/>
                <w:szCs w:val="20"/>
                <w:color w:val="auto"/>
              </w:rPr>
            </w:pPr>
            <w:r>
              <w:rPr>
                <w:rFonts w:ascii="Arial" w:cs="Arial" w:eastAsia="Arial" w:hAnsi="Arial"/>
                <w:sz w:val="16"/>
                <w:szCs w:val="16"/>
                <w:color w:val="auto"/>
                <w:w w:val="89"/>
              </w:rPr>
              <w:t>10.3</w:t>
            </w:r>
          </w:p>
        </w:tc>
        <w:tc>
          <w:tcPr>
            <w:tcW w:w="1300" w:type="dxa"/>
            <w:vAlign w:val="bottom"/>
          </w:tcPr>
          <w:p>
            <w:pPr>
              <w:jc w:val="center"/>
              <w:ind w:left="20"/>
              <w:spacing w:after="0"/>
              <w:rPr>
                <w:sz w:val="20"/>
                <w:szCs w:val="20"/>
                <w:color w:val="auto"/>
              </w:rPr>
            </w:pPr>
            <w:r>
              <w:rPr>
                <w:rFonts w:ascii="Arial" w:cs="Arial" w:eastAsia="Arial" w:hAnsi="Arial"/>
                <w:sz w:val="16"/>
                <w:szCs w:val="16"/>
                <w:color w:val="auto"/>
                <w:w w:val="90"/>
              </w:rPr>
              <w:t>June 30, 2016</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Credit Note, dated June 24, 2016, between</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Applied Optoelectronics, Inc. and Comerica</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3360" w:type="dxa"/>
            <w:vAlign w:val="bottom"/>
          </w:tcPr>
          <w:p>
            <w:pPr>
              <w:ind w:left="140"/>
              <w:spacing w:after="0"/>
              <w:rPr>
                <w:sz w:val="20"/>
                <w:szCs w:val="20"/>
                <w:color w:val="auto"/>
              </w:rPr>
            </w:pPr>
            <w:r>
              <w:rPr>
                <w:rFonts w:ascii="Arial" w:cs="Arial" w:eastAsia="Arial" w:hAnsi="Arial"/>
                <w:sz w:val="16"/>
                <w:szCs w:val="16"/>
                <w:color w:val="auto"/>
              </w:rPr>
              <w:t>Bank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w:t>
            </w:r>
          </w:p>
        </w:tc>
        <w:tc>
          <w:tcPr>
            <w:tcW w:w="34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540" w:type="dxa"/>
            <w:vAlign w:val="bottom"/>
            <w:gridSpan w:val="2"/>
          </w:tcPr>
          <w:p>
            <w:pPr>
              <w:ind w:left="740"/>
              <w:spacing w:after="0"/>
              <w:rPr>
                <w:sz w:val="20"/>
                <w:szCs w:val="20"/>
                <w:color w:val="auto"/>
              </w:rPr>
            </w:pPr>
            <w:r>
              <w:rPr>
                <w:rFonts w:ascii="Arial" w:cs="Arial" w:eastAsia="Arial" w:hAnsi="Arial"/>
                <w:sz w:val="14"/>
                <w:szCs w:val="14"/>
                <w:b w:val="1"/>
                <w:bCs w:val="1"/>
                <w:color w:val="auto"/>
                <w:w w:val="99"/>
              </w:rPr>
              <w:t>Incorporated By Reference</w:t>
            </w:r>
          </w:p>
        </w:tc>
        <w:tc>
          <w:tcPr>
            <w:tcW w:w="1200" w:type="dxa"/>
            <w:vAlign w:val="bottom"/>
            <w:vMerge w:val="restart"/>
          </w:tcPr>
          <w:p>
            <w:pPr>
              <w:jc w:val="center"/>
              <w:ind w:left="40"/>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4"/>
                <w:szCs w:val="14"/>
                <w:color w:val="auto"/>
              </w:rPr>
            </w:pPr>
          </w:p>
        </w:tc>
        <w:tc>
          <w:tcPr>
            <w:tcW w:w="34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80" w:type="dxa"/>
            <w:vAlign w:val="bottom"/>
          </w:tcPr>
          <w:p>
            <w:pPr>
              <w:ind w:left="400"/>
              <w:spacing w:after="0"/>
              <w:rPr>
                <w:sz w:val="20"/>
                <w:szCs w:val="20"/>
                <w:color w:val="auto"/>
              </w:rPr>
            </w:pPr>
            <w:r>
              <w:rPr>
                <w:rFonts w:ascii="Arial" w:cs="Arial" w:eastAsia="Arial" w:hAnsi="Arial"/>
                <w:sz w:val="14"/>
                <w:szCs w:val="14"/>
                <w:b w:val="1"/>
                <w:bCs w:val="1"/>
                <w:color w:val="auto"/>
              </w:rPr>
              <w:t>File No.</w:t>
            </w:r>
          </w:p>
        </w:tc>
        <w:tc>
          <w:tcPr>
            <w:tcW w:w="126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0" w:type="dxa"/>
            <w:vAlign w:val="bottom"/>
          </w:tcPr>
          <w:p>
            <w:pPr>
              <w:jc w:val="right"/>
              <w:spacing w:after="0"/>
              <w:rPr>
                <w:sz w:val="20"/>
                <w:szCs w:val="20"/>
                <w:color w:val="auto"/>
              </w:rPr>
            </w:pPr>
            <w:r>
              <w:rPr>
                <w:rFonts w:ascii="Arial" w:cs="Arial" w:eastAsia="Arial" w:hAnsi="Arial"/>
                <w:sz w:val="16"/>
                <w:szCs w:val="16"/>
                <w:color w:val="auto"/>
              </w:rPr>
              <w:t>10.47.3</w:t>
            </w:r>
          </w:p>
        </w:tc>
        <w:tc>
          <w:tcPr>
            <w:tcW w:w="3460" w:type="dxa"/>
            <w:vAlign w:val="bottom"/>
          </w:tcPr>
          <w:p>
            <w:pPr>
              <w:ind w:left="260"/>
              <w:spacing w:after="0"/>
              <w:rPr>
                <w:sz w:val="20"/>
                <w:szCs w:val="20"/>
                <w:color w:val="auto"/>
              </w:rPr>
            </w:pPr>
            <w:r>
              <w:rPr>
                <w:rFonts w:ascii="Arial" w:cs="Arial" w:eastAsia="Arial" w:hAnsi="Arial"/>
                <w:sz w:val="16"/>
                <w:szCs w:val="16"/>
                <w:color w:val="auto"/>
              </w:rPr>
              <w:t>$5,000,000 Amended and Restated Term</w:t>
            </w:r>
          </w:p>
        </w:tc>
        <w:tc>
          <w:tcPr>
            <w:tcW w:w="92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10.4</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0"/>
              </w:rPr>
              <w:t>June 30,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Note, dated June 24, 2016, between Applied</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Optoelectronics, Inc. and Comerica Bank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10.47.4</w:t>
            </w:r>
          </w:p>
        </w:tc>
        <w:tc>
          <w:tcPr>
            <w:tcW w:w="3460" w:type="dxa"/>
            <w:vAlign w:val="bottom"/>
          </w:tcPr>
          <w:p>
            <w:pPr>
              <w:ind w:left="260"/>
              <w:spacing w:after="0"/>
              <w:rPr>
                <w:sz w:val="20"/>
                <w:szCs w:val="20"/>
                <w:color w:val="auto"/>
              </w:rPr>
            </w:pPr>
            <w:r>
              <w:rPr>
                <w:rFonts w:ascii="Arial" w:cs="Arial" w:eastAsia="Arial" w:hAnsi="Arial"/>
                <w:sz w:val="16"/>
                <w:szCs w:val="16"/>
                <w:color w:val="auto"/>
                <w:w w:val="99"/>
              </w:rPr>
              <w:t>$5,000,000 Term Note, dated June 24, 2016,</w:t>
            </w:r>
          </w:p>
        </w:tc>
        <w:tc>
          <w:tcPr>
            <w:tcW w:w="92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10.5</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0"/>
              </w:rPr>
              <w:t>June 30,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between Applied Optoelectronics, Inc. and</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Comerica Bank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10.47.5</w:t>
            </w:r>
          </w:p>
        </w:tc>
        <w:tc>
          <w:tcPr>
            <w:tcW w:w="3460" w:type="dxa"/>
            <w:vAlign w:val="bottom"/>
          </w:tcPr>
          <w:p>
            <w:pPr>
              <w:ind w:left="260"/>
              <w:spacing w:after="0"/>
              <w:rPr>
                <w:sz w:val="20"/>
                <w:szCs w:val="20"/>
                <w:color w:val="auto"/>
              </w:rPr>
            </w:pPr>
            <w:r>
              <w:rPr>
                <w:rFonts w:ascii="Arial" w:cs="Arial" w:eastAsia="Arial" w:hAnsi="Arial"/>
                <w:sz w:val="16"/>
                <w:szCs w:val="16"/>
                <w:color w:val="auto"/>
              </w:rPr>
              <w:t>$17,500,000 Amended and Restated</w:t>
            </w:r>
          </w:p>
        </w:tc>
        <w:tc>
          <w:tcPr>
            <w:tcW w:w="92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10.6</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0"/>
              </w:rPr>
              <w:t>June 30,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Revolving Credit Note, dated June 24, 2016,</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between Applied Optoelectronics, Inc. and</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East West Bank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10.47.6</w:t>
            </w:r>
          </w:p>
        </w:tc>
        <w:tc>
          <w:tcPr>
            <w:tcW w:w="3460" w:type="dxa"/>
            <w:vAlign w:val="bottom"/>
          </w:tcPr>
          <w:p>
            <w:pPr>
              <w:ind w:left="260"/>
              <w:spacing w:after="0"/>
              <w:rPr>
                <w:sz w:val="20"/>
                <w:szCs w:val="20"/>
                <w:color w:val="auto"/>
              </w:rPr>
            </w:pPr>
            <w:r>
              <w:rPr>
                <w:rFonts w:ascii="Arial" w:cs="Arial" w:eastAsia="Arial" w:hAnsi="Arial"/>
                <w:sz w:val="16"/>
                <w:szCs w:val="16"/>
                <w:color w:val="auto"/>
                <w:w w:val="97"/>
              </w:rPr>
              <w:t>$2,500,000 Amended and Restated Revolving</w:t>
            </w:r>
          </w:p>
        </w:tc>
        <w:tc>
          <w:tcPr>
            <w:tcW w:w="92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10.7</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0"/>
              </w:rPr>
              <w:t>June 30,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Credit Note, dated June 24, 2016, between</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Applied Optoelectronics, Inc. and East West</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Bank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10.47.7</w:t>
            </w:r>
          </w:p>
        </w:tc>
        <w:tc>
          <w:tcPr>
            <w:tcW w:w="3460" w:type="dxa"/>
            <w:vAlign w:val="bottom"/>
          </w:tcPr>
          <w:p>
            <w:pPr>
              <w:ind w:left="260"/>
              <w:spacing w:after="0"/>
              <w:rPr>
                <w:sz w:val="20"/>
                <w:szCs w:val="20"/>
                <w:color w:val="auto"/>
              </w:rPr>
            </w:pPr>
            <w:r>
              <w:rPr>
                <w:rFonts w:ascii="Arial" w:cs="Arial" w:eastAsia="Arial" w:hAnsi="Arial"/>
                <w:sz w:val="16"/>
                <w:szCs w:val="16"/>
                <w:color w:val="auto"/>
              </w:rPr>
              <w:t>$5,000,000 Amended and Restated Term</w:t>
            </w:r>
          </w:p>
        </w:tc>
        <w:tc>
          <w:tcPr>
            <w:tcW w:w="92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10.8</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0"/>
              </w:rPr>
              <w:t>June 30,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Note, dated June 24, 2016, between Applied</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Optoelectronics, Inc. and East West Bank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10.47.8</w:t>
            </w:r>
          </w:p>
        </w:tc>
        <w:tc>
          <w:tcPr>
            <w:tcW w:w="3460" w:type="dxa"/>
            <w:vAlign w:val="bottom"/>
          </w:tcPr>
          <w:p>
            <w:pPr>
              <w:ind w:left="260"/>
              <w:spacing w:after="0"/>
              <w:rPr>
                <w:sz w:val="20"/>
                <w:szCs w:val="20"/>
                <w:color w:val="auto"/>
              </w:rPr>
            </w:pPr>
            <w:r>
              <w:rPr>
                <w:rFonts w:ascii="Arial" w:cs="Arial" w:eastAsia="Arial" w:hAnsi="Arial"/>
                <w:sz w:val="16"/>
                <w:szCs w:val="16"/>
                <w:color w:val="auto"/>
                <w:w w:val="99"/>
              </w:rPr>
              <w:t>$5,000,000 Term Note, dated June 24, 2016,</w:t>
            </w:r>
          </w:p>
        </w:tc>
        <w:tc>
          <w:tcPr>
            <w:tcW w:w="92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10.9</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0"/>
              </w:rPr>
              <w:t>June 30,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between Applied Optoelectronics, Inc. and</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East West Bank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10.47.9</w:t>
            </w:r>
          </w:p>
        </w:tc>
        <w:tc>
          <w:tcPr>
            <w:tcW w:w="3460" w:type="dxa"/>
            <w:vAlign w:val="bottom"/>
          </w:tcPr>
          <w:p>
            <w:pPr>
              <w:ind w:left="260"/>
              <w:spacing w:after="0"/>
              <w:rPr>
                <w:sz w:val="20"/>
                <w:szCs w:val="20"/>
                <w:color w:val="auto"/>
              </w:rPr>
            </w:pPr>
            <w:r>
              <w:rPr>
                <w:rFonts w:ascii="Arial" w:cs="Arial" w:eastAsia="Arial" w:hAnsi="Arial"/>
                <w:sz w:val="16"/>
                <w:szCs w:val="16"/>
                <w:color w:val="auto"/>
              </w:rPr>
              <w:t>First Modification to Promissory Note, dated</w:t>
            </w:r>
          </w:p>
        </w:tc>
        <w:tc>
          <w:tcPr>
            <w:tcW w:w="92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10.10</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0"/>
              </w:rPr>
              <w:t>June 30,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June 24, 2016, between Applied</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Optoelectronics, Inc. and East West Bank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10.48</w:t>
            </w:r>
          </w:p>
        </w:tc>
        <w:tc>
          <w:tcPr>
            <w:tcW w:w="3460" w:type="dxa"/>
            <w:vAlign w:val="bottom"/>
          </w:tcPr>
          <w:p>
            <w:pPr>
              <w:ind w:left="260"/>
              <w:spacing w:after="0"/>
              <w:rPr>
                <w:sz w:val="20"/>
                <w:szCs w:val="20"/>
                <w:color w:val="auto"/>
              </w:rPr>
            </w:pPr>
            <w:r>
              <w:rPr>
                <w:rFonts w:ascii="Arial" w:cs="Arial" w:eastAsia="Arial" w:hAnsi="Arial"/>
                <w:sz w:val="16"/>
                <w:szCs w:val="16"/>
                <w:color w:val="auto"/>
              </w:rPr>
              <w:t>Employment Agreement, dated August 5,</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10-Q/A</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10.20</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2"/>
              </w:rPr>
              <w:t>August 9,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2016, between Applied Optoelectronics, Inc.</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and Stefan J. Murry</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10.48.1</w:t>
            </w:r>
          </w:p>
        </w:tc>
        <w:tc>
          <w:tcPr>
            <w:tcW w:w="3460" w:type="dxa"/>
            <w:vAlign w:val="bottom"/>
          </w:tcPr>
          <w:p>
            <w:pPr>
              <w:ind w:left="260"/>
              <w:spacing w:after="0"/>
              <w:rPr>
                <w:sz w:val="20"/>
                <w:szCs w:val="20"/>
                <w:color w:val="auto"/>
              </w:rPr>
            </w:pPr>
            <w:r>
              <w:rPr>
                <w:rFonts w:ascii="Arial" w:cs="Arial" w:eastAsia="Arial" w:hAnsi="Arial"/>
                <w:sz w:val="16"/>
                <w:szCs w:val="16"/>
                <w:color w:val="auto"/>
              </w:rPr>
              <w:t>Employment Agreement, dated August 5,</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10-Q/A</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10.21</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2"/>
              </w:rPr>
              <w:t>August 9,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2016, between Applied Optoelectronics, Inc.</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and Mr. Joshua Yeh</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10.48.2</w:t>
            </w:r>
          </w:p>
        </w:tc>
        <w:tc>
          <w:tcPr>
            <w:tcW w:w="3460" w:type="dxa"/>
            <w:vAlign w:val="bottom"/>
          </w:tcPr>
          <w:p>
            <w:pPr>
              <w:ind w:left="260"/>
              <w:spacing w:after="0"/>
              <w:rPr>
                <w:sz w:val="20"/>
                <w:szCs w:val="20"/>
                <w:color w:val="auto"/>
              </w:rPr>
            </w:pPr>
            <w:r>
              <w:rPr>
                <w:rFonts w:ascii="Arial" w:cs="Arial" w:eastAsia="Arial" w:hAnsi="Arial"/>
                <w:sz w:val="16"/>
                <w:szCs w:val="16"/>
                <w:color w:val="auto"/>
              </w:rPr>
              <w:t>Employment Agreement, dated August 5,</w:t>
            </w: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10-Q/A</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10.22</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2"/>
              </w:rPr>
              <w:t>August 9,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2016, between Applied Optoelectronics, Inc.</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and Dr. Fred Chang</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10.49</w:t>
            </w:r>
          </w:p>
        </w:tc>
        <w:tc>
          <w:tcPr>
            <w:tcW w:w="3460" w:type="dxa"/>
            <w:vAlign w:val="bottom"/>
          </w:tcPr>
          <w:p>
            <w:pPr>
              <w:ind w:left="260"/>
              <w:spacing w:after="0"/>
              <w:rPr>
                <w:sz w:val="20"/>
                <w:szCs w:val="20"/>
                <w:color w:val="auto"/>
              </w:rPr>
            </w:pPr>
            <w:r>
              <w:rPr>
                <w:rFonts w:ascii="Arial" w:cs="Arial" w:eastAsia="Arial" w:hAnsi="Arial"/>
                <w:sz w:val="16"/>
                <w:szCs w:val="16"/>
                <w:color w:val="auto"/>
                <w:w w:val="95"/>
              </w:rPr>
              <w:t>Change in Terms Agreement, dated October 5,</w:t>
            </w:r>
          </w:p>
        </w:tc>
        <w:tc>
          <w:tcPr>
            <w:tcW w:w="92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10.1</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0"/>
              </w:rPr>
              <w:t>October 7,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2016, between Applied Optoelectronics, Inc.</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and East West Bank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10.49.1</w:t>
            </w:r>
          </w:p>
        </w:tc>
        <w:tc>
          <w:tcPr>
            <w:tcW w:w="3460" w:type="dxa"/>
            <w:vAlign w:val="bottom"/>
          </w:tcPr>
          <w:p>
            <w:pPr>
              <w:ind w:left="260"/>
              <w:spacing w:after="0"/>
              <w:rPr>
                <w:sz w:val="20"/>
                <w:szCs w:val="20"/>
                <w:color w:val="auto"/>
              </w:rPr>
            </w:pPr>
            <w:r>
              <w:rPr>
                <w:rFonts w:ascii="Arial" w:cs="Arial" w:eastAsia="Arial" w:hAnsi="Arial"/>
                <w:sz w:val="16"/>
                <w:szCs w:val="16"/>
                <w:color w:val="auto"/>
              </w:rPr>
              <w:t>Notice of Final Agreement, dated October 5,</w:t>
            </w:r>
          </w:p>
        </w:tc>
        <w:tc>
          <w:tcPr>
            <w:tcW w:w="92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10.2</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0"/>
              </w:rPr>
              <w:t>October 7,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2016, between Applied Optoelectronics, Inc.</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and East West Bank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10.49.2</w:t>
            </w:r>
          </w:p>
        </w:tc>
        <w:tc>
          <w:tcPr>
            <w:tcW w:w="3460" w:type="dxa"/>
            <w:vAlign w:val="bottom"/>
          </w:tcPr>
          <w:p>
            <w:pPr>
              <w:ind w:left="260"/>
              <w:spacing w:after="0"/>
              <w:rPr>
                <w:sz w:val="20"/>
                <w:szCs w:val="20"/>
                <w:color w:val="auto"/>
              </w:rPr>
            </w:pPr>
            <w:r>
              <w:rPr>
                <w:rFonts w:ascii="Arial" w:cs="Arial" w:eastAsia="Arial" w:hAnsi="Arial"/>
                <w:sz w:val="16"/>
                <w:szCs w:val="16"/>
                <w:color w:val="auto"/>
                <w:w w:val="98"/>
              </w:rPr>
              <w:t>Second Modification to the Construction Loan</w:t>
            </w:r>
          </w:p>
        </w:tc>
        <w:tc>
          <w:tcPr>
            <w:tcW w:w="920" w:type="dxa"/>
            <w:vAlign w:val="bottom"/>
          </w:tcPr>
          <w:p>
            <w:pPr>
              <w:jc w:val="center"/>
              <w:spacing w:after="0"/>
              <w:rPr>
                <w:sz w:val="20"/>
                <w:szCs w:val="20"/>
                <w:color w:val="auto"/>
              </w:rPr>
            </w:pPr>
            <w:r>
              <w:rPr>
                <w:rFonts w:ascii="Arial" w:cs="Arial" w:eastAsia="Arial" w:hAnsi="Arial"/>
                <w:sz w:val="16"/>
                <w:szCs w:val="16"/>
                <w:color w:val="auto"/>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001-36083</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10.3</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0"/>
              </w:rPr>
              <w:t>October 7, 2016</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Agreement, dated October 5, 2016, between</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Applied Optoelectronics, Inc. and East West</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Bank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80" w:type="dxa"/>
            <w:vAlign w:val="bottom"/>
          </w:tcPr>
          <w:p>
            <w:pPr>
              <w:jc w:val="right"/>
              <w:spacing w:after="0"/>
              <w:rPr>
                <w:sz w:val="20"/>
                <w:szCs w:val="20"/>
                <w:color w:val="auto"/>
              </w:rPr>
            </w:pPr>
            <w:r>
              <w:rPr>
                <w:rFonts w:ascii="Arial" w:cs="Arial" w:eastAsia="Arial" w:hAnsi="Arial"/>
                <w:sz w:val="16"/>
                <w:szCs w:val="16"/>
                <w:color w:val="auto"/>
              </w:rPr>
              <w:t>21.1</w:t>
            </w:r>
          </w:p>
        </w:tc>
        <w:tc>
          <w:tcPr>
            <w:tcW w:w="3460" w:type="dxa"/>
            <w:vAlign w:val="bottom"/>
          </w:tcPr>
          <w:p>
            <w:pPr>
              <w:ind w:left="260"/>
              <w:spacing w:after="0"/>
              <w:rPr>
                <w:sz w:val="20"/>
                <w:szCs w:val="20"/>
                <w:color w:val="auto"/>
              </w:rPr>
            </w:pPr>
            <w:r>
              <w:rPr>
                <w:rFonts w:ascii="Arial" w:cs="Arial" w:eastAsia="Arial" w:hAnsi="Arial"/>
                <w:sz w:val="16"/>
                <w:szCs w:val="16"/>
                <w:color w:val="auto"/>
              </w:rPr>
              <w:t>Subsidiaries of the registrant</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333-190591</w:t>
            </w:r>
          </w:p>
        </w:tc>
        <w:tc>
          <w:tcPr>
            <w:tcW w:w="1260" w:type="dxa"/>
            <w:vAlign w:val="bottom"/>
          </w:tcPr>
          <w:p>
            <w:pPr>
              <w:jc w:val="center"/>
              <w:ind w:right="260"/>
              <w:spacing w:after="0"/>
              <w:rPr>
                <w:sz w:val="20"/>
                <w:szCs w:val="20"/>
                <w:color w:val="auto"/>
              </w:rPr>
            </w:pPr>
            <w:r>
              <w:rPr>
                <w:rFonts w:ascii="Arial" w:cs="Arial" w:eastAsia="Arial" w:hAnsi="Arial"/>
                <w:sz w:val="16"/>
                <w:szCs w:val="16"/>
                <w:color w:val="auto"/>
                <w:w w:val="89"/>
              </w:rPr>
              <w:t>21.1</w:t>
            </w:r>
          </w:p>
        </w:tc>
        <w:tc>
          <w:tcPr>
            <w:tcW w:w="1200" w:type="dxa"/>
            <w:vAlign w:val="bottom"/>
          </w:tcPr>
          <w:p>
            <w:pPr>
              <w:jc w:val="center"/>
              <w:ind w:left="40"/>
              <w:spacing w:after="0"/>
              <w:rPr>
                <w:sz w:val="20"/>
                <w:szCs w:val="20"/>
                <w:color w:val="auto"/>
              </w:rPr>
            </w:pPr>
            <w:r>
              <w:rPr>
                <w:rFonts w:ascii="Arial" w:cs="Arial" w:eastAsia="Arial" w:hAnsi="Arial"/>
                <w:sz w:val="16"/>
                <w:szCs w:val="16"/>
                <w:color w:val="auto"/>
                <w:w w:val="92"/>
              </w:rPr>
              <w:t>August 13, 2013</w:t>
            </w:r>
          </w:p>
        </w:tc>
        <w:tc>
          <w:tcPr>
            <w:tcW w:w="0" w:type="dxa"/>
            <w:vAlign w:val="bottom"/>
          </w:tcPr>
          <w:p>
            <w:pPr>
              <w:spacing w:after="0"/>
              <w:rPr>
                <w:sz w:val="1"/>
                <w:szCs w:val="1"/>
                <w:color w:val="auto"/>
              </w:rPr>
            </w:pPr>
          </w:p>
        </w:tc>
      </w:tr>
      <w:tr>
        <w:trPr>
          <w:trHeight w:val="324"/>
        </w:trPr>
        <w:tc>
          <w:tcPr>
            <w:tcW w:w="580" w:type="dxa"/>
            <w:vAlign w:val="bottom"/>
          </w:tcPr>
          <w:p>
            <w:pPr>
              <w:jc w:val="right"/>
              <w:spacing w:after="0"/>
              <w:rPr>
                <w:sz w:val="20"/>
                <w:szCs w:val="20"/>
                <w:color w:val="auto"/>
              </w:rPr>
            </w:pPr>
            <w:r>
              <w:rPr>
                <w:rFonts w:ascii="Arial" w:cs="Arial" w:eastAsia="Arial" w:hAnsi="Arial"/>
                <w:sz w:val="16"/>
                <w:szCs w:val="16"/>
                <w:color w:val="auto"/>
              </w:rPr>
              <w:t>23.1</w:t>
            </w:r>
          </w:p>
        </w:tc>
        <w:tc>
          <w:tcPr>
            <w:tcW w:w="3460" w:type="dxa"/>
            <w:vAlign w:val="bottom"/>
          </w:tcPr>
          <w:p>
            <w:pPr>
              <w:ind w:left="20"/>
              <w:spacing w:after="0"/>
              <w:rPr>
                <w:sz w:val="20"/>
                <w:szCs w:val="20"/>
                <w:color w:val="auto"/>
              </w:rPr>
            </w:pPr>
            <w:r>
              <w:rPr>
                <w:rFonts w:ascii="Arial" w:cs="Arial" w:eastAsia="Arial" w:hAnsi="Arial"/>
                <w:sz w:val="16"/>
                <w:szCs w:val="16"/>
                <w:color w:val="auto"/>
              </w:rPr>
              <w:t>*  Consent of Grant Thornton LLP</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80" w:type="dxa"/>
            <w:vAlign w:val="bottom"/>
          </w:tcPr>
          <w:p>
            <w:pPr>
              <w:jc w:val="right"/>
              <w:spacing w:after="0"/>
              <w:rPr>
                <w:sz w:val="20"/>
                <w:szCs w:val="20"/>
                <w:color w:val="auto"/>
              </w:rPr>
            </w:pPr>
            <w:r>
              <w:rPr>
                <w:rFonts w:ascii="Arial" w:cs="Arial" w:eastAsia="Arial" w:hAnsi="Arial"/>
                <w:sz w:val="16"/>
                <w:szCs w:val="16"/>
                <w:color w:val="auto"/>
              </w:rPr>
              <w:t>24.1</w:t>
            </w:r>
          </w:p>
        </w:tc>
        <w:tc>
          <w:tcPr>
            <w:tcW w:w="3460" w:type="dxa"/>
            <w:vAlign w:val="bottom"/>
          </w:tcPr>
          <w:p>
            <w:pPr>
              <w:ind w:left="260"/>
              <w:spacing w:after="0"/>
              <w:rPr>
                <w:sz w:val="20"/>
                <w:szCs w:val="20"/>
                <w:color w:val="auto"/>
              </w:rPr>
            </w:pPr>
            <w:r>
              <w:rPr>
                <w:rFonts w:ascii="Arial" w:cs="Arial" w:eastAsia="Arial" w:hAnsi="Arial"/>
                <w:sz w:val="16"/>
                <w:szCs w:val="16"/>
                <w:color w:val="auto"/>
              </w:rPr>
              <w:t>Power of Attorney (see the signature page in</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460" w:type="dxa"/>
            <w:vAlign w:val="bottom"/>
          </w:tcPr>
          <w:p>
            <w:pPr>
              <w:ind w:left="260"/>
              <w:spacing w:after="0"/>
              <w:rPr>
                <w:sz w:val="20"/>
                <w:szCs w:val="20"/>
                <w:color w:val="auto"/>
              </w:rPr>
            </w:pPr>
            <w:r>
              <w:rPr>
                <w:rFonts w:ascii="Arial" w:cs="Arial" w:eastAsia="Arial" w:hAnsi="Arial"/>
                <w:sz w:val="16"/>
                <w:szCs w:val="16"/>
                <w:color w:val="auto"/>
              </w:rPr>
              <w:t>this Annual Report on Form 10-K).</w:t>
            </w: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25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Exhibit Description</w:t>
            </w:r>
          </w:p>
        </w:tc>
        <w:tc>
          <w:tcPr>
            <w:tcW w:w="13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Form</w:t>
            </w:r>
          </w:p>
        </w:tc>
        <w:tc>
          <w:tcPr>
            <w:tcW w:w="2600" w:type="dxa"/>
            <w:vAlign w:val="bottom"/>
            <w:gridSpan w:val="2"/>
          </w:tcPr>
          <w:p>
            <w:pPr>
              <w:ind w:left="70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2"/>
              </w:rPr>
              <w:t>Filing Date</w:t>
            </w:r>
          </w:p>
        </w:tc>
        <w:tc>
          <w:tcPr>
            <w:tcW w:w="0" w:type="dxa"/>
            <w:vAlign w:val="bottom"/>
          </w:tcPr>
          <w:p>
            <w:pPr>
              <w:spacing w:after="0"/>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File No.</w:t>
            </w: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360"/>
        <w:spacing w:after="0"/>
        <w:tabs>
          <w:tab w:leader="none" w:pos="900" w:val="left"/>
        </w:tabs>
        <w:rPr>
          <w:sz w:val="20"/>
          <w:szCs w:val="20"/>
          <w:color w:val="auto"/>
        </w:rPr>
      </w:pPr>
      <w:r>
        <w:rPr>
          <w:rFonts w:ascii="Arial" w:cs="Arial" w:eastAsia="Arial" w:hAnsi="Arial"/>
          <w:sz w:val="16"/>
          <w:szCs w:val="16"/>
          <w:color w:val="auto"/>
        </w:rPr>
        <w:t>31.1 *</w:t>
      </w:r>
      <w:r>
        <w:rPr>
          <w:sz w:val="20"/>
          <w:szCs w:val="20"/>
          <w:color w:val="auto"/>
        </w:rPr>
        <w:tab/>
      </w:r>
      <w:r>
        <w:rPr>
          <w:rFonts w:ascii="Arial" w:cs="Arial" w:eastAsia="Arial" w:hAnsi="Arial"/>
          <w:sz w:val="15"/>
          <w:szCs w:val="15"/>
          <w:color w:val="auto"/>
        </w:rPr>
        <w:t>Certification of Principal Executive Officer</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Required Under Rule 13a-14(a) and 15d-14(a)</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of the Securities Exchange Act of 1934, as</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amended, as adopted pursuant to Section 302</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of The Sarbanes-Oxley Act of 2002.</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760" w:type="dxa"/>
            <w:vAlign w:val="bottom"/>
          </w:tcPr>
          <w:p>
            <w:pPr>
              <w:jc w:val="right"/>
              <w:spacing w:after="0"/>
              <w:rPr>
                <w:sz w:val="20"/>
                <w:szCs w:val="20"/>
                <w:color w:val="auto"/>
              </w:rPr>
            </w:pPr>
            <w:r>
              <w:rPr>
                <w:rFonts w:ascii="Arial" w:cs="Arial" w:eastAsia="Arial" w:hAnsi="Arial"/>
                <w:sz w:val="16"/>
                <w:szCs w:val="16"/>
                <w:color w:val="auto"/>
              </w:rPr>
              <w:t>31.2 *</w:t>
            </w:r>
          </w:p>
        </w:tc>
        <w:tc>
          <w:tcPr>
            <w:tcW w:w="4120" w:type="dxa"/>
            <w:vAlign w:val="bottom"/>
          </w:tcPr>
          <w:p>
            <w:pPr>
              <w:ind w:left="80"/>
              <w:spacing w:after="0"/>
              <w:rPr>
                <w:sz w:val="20"/>
                <w:szCs w:val="20"/>
                <w:color w:val="auto"/>
              </w:rPr>
            </w:pPr>
            <w:r>
              <w:rPr>
                <w:rFonts w:ascii="Arial" w:cs="Arial" w:eastAsia="Arial" w:hAnsi="Arial"/>
                <w:sz w:val="16"/>
                <w:szCs w:val="16"/>
                <w:color w:val="auto"/>
              </w:rPr>
              <w:t>Certification of Principal Financial Officer</w:t>
            </w:r>
          </w:p>
        </w:tc>
      </w:tr>
      <w:tr>
        <w:trPr>
          <w:trHeight w:val="203"/>
        </w:trPr>
        <w:tc>
          <w:tcPr>
            <w:tcW w:w="7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Required Under Rule 13a-14(a) and 15d-14(a)</w:t>
            </w:r>
          </w:p>
        </w:tc>
      </w:tr>
      <w:tr>
        <w:trPr>
          <w:trHeight w:val="203"/>
        </w:trPr>
        <w:tc>
          <w:tcPr>
            <w:tcW w:w="7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of the Securities Exchange Act of 1934, as</w:t>
            </w:r>
          </w:p>
        </w:tc>
      </w:tr>
      <w:tr>
        <w:trPr>
          <w:trHeight w:val="203"/>
        </w:trPr>
        <w:tc>
          <w:tcPr>
            <w:tcW w:w="7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amended, as adopted pursuant to Section 302</w:t>
            </w:r>
          </w:p>
        </w:tc>
      </w:tr>
      <w:tr>
        <w:trPr>
          <w:trHeight w:val="206"/>
        </w:trPr>
        <w:tc>
          <w:tcPr>
            <w:tcW w:w="7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of The Sarbanes-Oxley Act of 2002.</w:t>
            </w:r>
          </w:p>
        </w:tc>
      </w:tr>
      <w:tr>
        <w:trPr>
          <w:trHeight w:val="320"/>
        </w:trPr>
        <w:tc>
          <w:tcPr>
            <w:tcW w:w="760" w:type="dxa"/>
            <w:vAlign w:val="bottom"/>
          </w:tcPr>
          <w:p>
            <w:pPr>
              <w:jc w:val="right"/>
              <w:spacing w:after="0"/>
              <w:rPr>
                <w:sz w:val="20"/>
                <w:szCs w:val="20"/>
                <w:color w:val="auto"/>
              </w:rPr>
            </w:pPr>
            <w:r>
              <w:rPr>
                <w:rFonts w:ascii="Arial" w:cs="Arial" w:eastAsia="Arial" w:hAnsi="Arial"/>
                <w:sz w:val="16"/>
                <w:szCs w:val="16"/>
                <w:color w:val="auto"/>
              </w:rPr>
              <w:t>32.1 *</w:t>
            </w:r>
          </w:p>
        </w:tc>
        <w:tc>
          <w:tcPr>
            <w:tcW w:w="4120" w:type="dxa"/>
            <w:vAlign w:val="bottom"/>
          </w:tcPr>
          <w:p>
            <w:pPr>
              <w:ind w:left="80"/>
              <w:spacing w:after="0"/>
              <w:rPr>
                <w:sz w:val="20"/>
                <w:szCs w:val="20"/>
                <w:color w:val="auto"/>
              </w:rPr>
            </w:pPr>
            <w:r>
              <w:rPr>
                <w:rFonts w:ascii="Arial" w:cs="Arial" w:eastAsia="Arial" w:hAnsi="Arial"/>
                <w:sz w:val="16"/>
                <w:szCs w:val="16"/>
                <w:color w:val="auto"/>
              </w:rPr>
              <w:t>Certification of Principal Executive Officer</w:t>
            </w:r>
          </w:p>
        </w:tc>
      </w:tr>
      <w:tr>
        <w:trPr>
          <w:trHeight w:val="203"/>
        </w:trPr>
        <w:tc>
          <w:tcPr>
            <w:tcW w:w="7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and Principal Financial Officer Required</w:t>
            </w:r>
          </w:p>
        </w:tc>
      </w:tr>
      <w:tr>
        <w:trPr>
          <w:trHeight w:val="203"/>
        </w:trPr>
        <w:tc>
          <w:tcPr>
            <w:tcW w:w="7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Under Rule 13a-14(a) and 15d-14(a) of the</w:t>
            </w:r>
          </w:p>
        </w:tc>
      </w:tr>
      <w:tr>
        <w:trPr>
          <w:trHeight w:val="203"/>
        </w:trPr>
        <w:tc>
          <w:tcPr>
            <w:tcW w:w="7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Securities Exchange Act of 1934, as amended,</w:t>
            </w:r>
          </w:p>
        </w:tc>
      </w:tr>
      <w:tr>
        <w:trPr>
          <w:trHeight w:val="203"/>
        </w:trPr>
        <w:tc>
          <w:tcPr>
            <w:tcW w:w="7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and 18 U.S.C. §1350 as adopted pursuant to</w:t>
            </w:r>
          </w:p>
        </w:tc>
      </w:tr>
      <w:tr>
        <w:trPr>
          <w:trHeight w:val="203"/>
        </w:trPr>
        <w:tc>
          <w:tcPr>
            <w:tcW w:w="7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Section 906 of The Sarbanes-Oxley Act of</w:t>
            </w:r>
          </w:p>
        </w:tc>
      </w:tr>
      <w:tr>
        <w:trPr>
          <w:trHeight w:val="206"/>
        </w:trPr>
        <w:tc>
          <w:tcPr>
            <w:tcW w:w="760" w:type="dxa"/>
            <w:vAlign w:val="bottom"/>
          </w:tcPr>
          <w:p>
            <w:pPr>
              <w:spacing w:after="0"/>
              <w:rPr>
                <w:sz w:val="17"/>
                <w:szCs w:val="17"/>
                <w:color w:val="auto"/>
              </w:rPr>
            </w:pPr>
          </w:p>
        </w:tc>
        <w:tc>
          <w:tcPr>
            <w:tcW w:w="4120" w:type="dxa"/>
            <w:vAlign w:val="bottom"/>
          </w:tcPr>
          <w:p>
            <w:pPr>
              <w:ind w:left="80"/>
              <w:spacing w:after="0"/>
              <w:rPr>
                <w:sz w:val="20"/>
                <w:szCs w:val="20"/>
                <w:color w:val="auto"/>
              </w:rPr>
            </w:pPr>
            <w:r>
              <w:rPr>
                <w:rFonts w:ascii="Arial" w:cs="Arial" w:eastAsia="Arial" w:hAnsi="Arial"/>
                <w:sz w:val="16"/>
                <w:szCs w:val="16"/>
                <w:color w:val="auto"/>
              </w:rPr>
              <w:t>2002.</w:t>
            </w:r>
          </w:p>
        </w:tc>
      </w:tr>
      <w:tr>
        <w:trPr>
          <w:trHeight w:val="324"/>
        </w:trPr>
        <w:tc>
          <w:tcPr>
            <w:tcW w:w="760" w:type="dxa"/>
            <w:vAlign w:val="bottom"/>
          </w:tcPr>
          <w:p>
            <w:pPr>
              <w:jc w:val="right"/>
              <w:ind w:right="79"/>
              <w:spacing w:after="0"/>
              <w:rPr>
                <w:sz w:val="20"/>
                <w:szCs w:val="20"/>
                <w:color w:val="auto"/>
              </w:rPr>
            </w:pPr>
            <w:r>
              <w:rPr>
                <w:rFonts w:ascii="Arial" w:cs="Arial" w:eastAsia="Arial" w:hAnsi="Arial"/>
                <w:sz w:val="16"/>
                <w:szCs w:val="16"/>
                <w:color w:val="auto"/>
              </w:rPr>
              <w:t>101.INS</w:t>
            </w:r>
          </w:p>
        </w:tc>
        <w:tc>
          <w:tcPr>
            <w:tcW w:w="4120" w:type="dxa"/>
            <w:vAlign w:val="bottom"/>
          </w:tcPr>
          <w:p>
            <w:pPr>
              <w:ind w:left="80"/>
              <w:spacing w:after="0"/>
              <w:rPr>
                <w:sz w:val="20"/>
                <w:szCs w:val="20"/>
                <w:color w:val="auto"/>
              </w:rPr>
            </w:pPr>
            <w:r>
              <w:rPr>
                <w:rFonts w:ascii="Arial" w:cs="Arial" w:eastAsia="Arial" w:hAnsi="Arial"/>
                <w:sz w:val="16"/>
                <w:szCs w:val="16"/>
                <w:color w:val="auto"/>
              </w:rPr>
              <w:t>XBRL Instance Document</w:t>
            </w:r>
          </w:p>
        </w:tc>
      </w:tr>
      <w:tr>
        <w:trPr>
          <w:trHeight w:val="324"/>
        </w:trPr>
        <w:tc>
          <w:tcPr>
            <w:tcW w:w="760" w:type="dxa"/>
            <w:vAlign w:val="bottom"/>
          </w:tcPr>
          <w:p>
            <w:pPr>
              <w:jc w:val="right"/>
              <w:ind w:right="79"/>
              <w:spacing w:after="0"/>
              <w:rPr>
                <w:sz w:val="20"/>
                <w:szCs w:val="20"/>
                <w:color w:val="auto"/>
              </w:rPr>
            </w:pPr>
            <w:r>
              <w:rPr>
                <w:rFonts w:ascii="Arial" w:cs="Arial" w:eastAsia="Arial" w:hAnsi="Arial"/>
                <w:sz w:val="16"/>
                <w:szCs w:val="16"/>
                <w:color w:val="auto"/>
                <w:w w:val="89"/>
              </w:rPr>
              <w:t>101.SCH</w:t>
            </w:r>
          </w:p>
        </w:tc>
        <w:tc>
          <w:tcPr>
            <w:tcW w:w="4120" w:type="dxa"/>
            <w:vAlign w:val="bottom"/>
          </w:tcPr>
          <w:p>
            <w:pPr>
              <w:ind w:left="80"/>
              <w:spacing w:after="0"/>
              <w:rPr>
                <w:sz w:val="20"/>
                <w:szCs w:val="20"/>
                <w:color w:val="auto"/>
              </w:rPr>
            </w:pPr>
            <w:r>
              <w:rPr>
                <w:rFonts w:ascii="Arial" w:cs="Arial" w:eastAsia="Arial" w:hAnsi="Arial"/>
                <w:sz w:val="16"/>
                <w:szCs w:val="16"/>
                <w:color w:val="auto"/>
              </w:rPr>
              <w:t>XBRL Taxonomy Extension Schema Document</w:t>
            </w:r>
          </w:p>
        </w:tc>
      </w:tr>
      <w:tr>
        <w:trPr>
          <w:trHeight w:val="324"/>
        </w:trPr>
        <w:tc>
          <w:tcPr>
            <w:tcW w:w="760" w:type="dxa"/>
            <w:vAlign w:val="bottom"/>
          </w:tcPr>
          <w:p>
            <w:pPr>
              <w:jc w:val="right"/>
              <w:ind w:right="79"/>
              <w:spacing w:after="0"/>
              <w:rPr>
                <w:sz w:val="20"/>
                <w:szCs w:val="20"/>
                <w:color w:val="auto"/>
              </w:rPr>
            </w:pPr>
            <w:r>
              <w:rPr>
                <w:rFonts w:ascii="Arial" w:cs="Arial" w:eastAsia="Arial" w:hAnsi="Arial"/>
                <w:sz w:val="16"/>
                <w:szCs w:val="16"/>
                <w:color w:val="auto"/>
                <w:w w:val="93"/>
              </w:rPr>
              <w:t>101.CAL</w:t>
            </w:r>
          </w:p>
        </w:tc>
        <w:tc>
          <w:tcPr>
            <w:tcW w:w="4120" w:type="dxa"/>
            <w:vAlign w:val="bottom"/>
          </w:tcPr>
          <w:p>
            <w:pPr>
              <w:ind w:left="80"/>
              <w:spacing w:after="0"/>
              <w:rPr>
                <w:sz w:val="20"/>
                <w:szCs w:val="20"/>
                <w:color w:val="auto"/>
              </w:rPr>
            </w:pPr>
            <w:r>
              <w:rPr>
                <w:rFonts w:ascii="Arial" w:cs="Arial" w:eastAsia="Arial" w:hAnsi="Arial"/>
                <w:sz w:val="16"/>
                <w:szCs w:val="16"/>
                <w:color w:val="auto"/>
                <w:w w:val="94"/>
              </w:rPr>
              <w:t>XBRL Taxonomy Extension Calculation Linkbase Document</w:t>
            </w:r>
          </w:p>
        </w:tc>
      </w:tr>
      <w:tr>
        <w:trPr>
          <w:trHeight w:val="324"/>
        </w:trPr>
        <w:tc>
          <w:tcPr>
            <w:tcW w:w="760" w:type="dxa"/>
            <w:vAlign w:val="bottom"/>
          </w:tcPr>
          <w:p>
            <w:pPr>
              <w:jc w:val="right"/>
              <w:ind w:right="79"/>
              <w:spacing w:after="0"/>
              <w:rPr>
                <w:sz w:val="20"/>
                <w:szCs w:val="20"/>
                <w:color w:val="auto"/>
              </w:rPr>
            </w:pPr>
            <w:r>
              <w:rPr>
                <w:rFonts w:ascii="Arial" w:cs="Arial" w:eastAsia="Arial" w:hAnsi="Arial"/>
                <w:sz w:val="16"/>
                <w:szCs w:val="16"/>
                <w:color w:val="auto"/>
                <w:w w:val="91"/>
              </w:rPr>
              <w:t>101.DEF</w:t>
            </w:r>
          </w:p>
        </w:tc>
        <w:tc>
          <w:tcPr>
            <w:tcW w:w="4120" w:type="dxa"/>
            <w:vAlign w:val="bottom"/>
          </w:tcPr>
          <w:p>
            <w:pPr>
              <w:ind w:left="80"/>
              <w:spacing w:after="0"/>
              <w:rPr>
                <w:sz w:val="20"/>
                <w:szCs w:val="20"/>
                <w:color w:val="auto"/>
              </w:rPr>
            </w:pPr>
            <w:r>
              <w:rPr>
                <w:rFonts w:ascii="Arial" w:cs="Arial" w:eastAsia="Arial" w:hAnsi="Arial"/>
                <w:sz w:val="16"/>
                <w:szCs w:val="16"/>
                <w:color w:val="auto"/>
                <w:w w:val="97"/>
              </w:rPr>
              <w:t>XBRL Taxonomy Extension Definition Linkbase Document</w:t>
            </w:r>
          </w:p>
        </w:tc>
      </w:tr>
      <w:tr>
        <w:trPr>
          <w:trHeight w:val="324"/>
        </w:trPr>
        <w:tc>
          <w:tcPr>
            <w:tcW w:w="760" w:type="dxa"/>
            <w:vAlign w:val="bottom"/>
          </w:tcPr>
          <w:p>
            <w:pPr>
              <w:jc w:val="right"/>
              <w:ind w:right="79"/>
              <w:spacing w:after="0"/>
              <w:rPr>
                <w:sz w:val="20"/>
                <w:szCs w:val="20"/>
                <w:color w:val="auto"/>
              </w:rPr>
            </w:pPr>
            <w:r>
              <w:rPr>
                <w:rFonts w:ascii="Arial" w:cs="Arial" w:eastAsia="Arial" w:hAnsi="Arial"/>
                <w:sz w:val="16"/>
                <w:szCs w:val="16"/>
                <w:color w:val="auto"/>
                <w:w w:val="94"/>
              </w:rPr>
              <w:t>101.LAB</w:t>
            </w:r>
          </w:p>
        </w:tc>
        <w:tc>
          <w:tcPr>
            <w:tcW w:w="4120" w:type="dxa"/>
            <w:vAlign w:val="bottom"/>
          </w:tcPr>
          <w:p>
            <w:pPr>
              <w:ind w:left="80"/>
              <w:spacing w:after="0"/>
              <w:rPr>
                <w:sz w:val="20"/>
                <w:szCs w:val="20"/>
                <w:color w:val="auto"/>
              </w:rPr>
            </w:pPr>
            <w:r>
              <w:rPr>
                <w:rFonts w:ascii="Arial" w:cs="Arial" w:eastAsia="Arial" w:hAnsi="Arial"/>
                <w:sz w:val="16"/>
                <w:szCs w:val="16"/>
                <w:color w:val="auto"/>
              </w:rPr>
              <w:t>XBRL Taxonomy Extension Label Linkbase Document</w:t>
            </w:r>
          </w:p>
        </w:tc>
      </w:tr>
      <w:tr>
        <w:trPr>
          <w:trHeight w:val="324"/>
        </w:trPr>
        <w:tc>
          <w:tcPr>
            <w:tcW w:w="760" w:type="dxa"/>
            <w:vAlign w:val="bottom"/>
          </w:tcPr>
          <w:p>
            <w:pPr>
              <w:jc w:val="right"/>
              <w:ind w:right="79"/>
              <w:spacing w:after="0"/>
              <w:rPr>
                <w:sz w:val="20"/>
                <w:szCs w:val="20"/>
                <w:color w:val="auto"/>
              </w:rPr>
            </w:pPr>
            <w:r>
              <w:rPr>
                <w:rFonts w:ascii="Arial" w:cs="Arial" w:eastAsia="Arial" w:hAnsi="Arial"/>
                <w:sz w:val="16"/>
                <w:szCs w:val="16"/>
                <w:color w:val="auto"/>
                <w:w w:val="90"/>
              </w:rPr>
              <w:t>101.PRE</w:t>
            </w:r>
          </w:p>
        </w:tc>
        <w:tc>
          <w:tcPr>
            <w:tcW w:w="4120" w:type="dxa"/>
            <w:vAlign w:val="bottom"/>
          </w:tcPr>
          <w:p>
            <w:pPr>
              <w:ind w:left="80"/>
              <w:spacing w:after="0"/>
              <w:rPr>
                <w:sz w:val="20"/>
                <w:szCs w:val="20"/>
                <w:color w:val="auto"/>
              </w:rPr>
            </w:pPr>
            <w:r>
              <w:rPr>
                <w:rFonts w:ascii="Arial" w:cs="Arial" w:eastAsia="Arial" w:hAnsi="Arial"/>
                <w:sz w:val="16"/>
                <w:szCs w:val="16"/>
                <w:color w:val="auto"/>
                <w:w w:val="92"/>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14408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1" w:lineRule="exact"/>
        <w:rPr>
          <w:sz w:val="20"/>
          <w:szCs w:val="20"/>
          <w:color w:val="auto"/>
        </w:rPr>
      </w:pPr>
    </w:p>
    <w:p>
      <w:pPr>
        <w:ind w:left="320" w:hanging="317"/>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20" w:hanging="317"/>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INDEX TO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Pages</w:t>
            </w:r>
          </w:p>
        </w:tc>
      </w:tr>
      <w:tr>
        <w:trPr>
          <w:trHeight w:val="385"/>
        </w:trPr>
        <w:tc>
          <w:tcPr>
            <w:tcW w:w="4300" w:type="dxa"/>
            <w:vAlign w:val="bottom"/>
            <w:gridSpan w:val="8"/>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Report of Independent Registered Public Accounting Firm</w:t>
              </w:r>
            </w:hyperlink>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412"/>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12"/>
        </w:trPr>
        <w:tc>
          <w:tcPr>
            <w:tcW w:w="28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Operations</w:t>
              </w:r>
            </w:hyperlink>
          </w:p>
        </w:tc>
        <w:tc>
          <w:tcPr>
            <w:tcW w:w="1480" w:type="dxa"/>
            <w:vAlign w:val="bottom"/>
            <w:gridSpan w:val="6"/>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12"/>
        </w:trPr>
        <w:tc>
          <w:tcPr>
            <w:tcW w:w="4300" w:type="dxa"/>
            <w:vAlign w:val="bottom"/>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Comprehensive Income</w:t>
              </w:r>
            </w:hyperlink>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12"/>
        </w:trPr>
        <w:tc>
          <w:tcPr>
            <w:tcW w:w="3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Consolidated Statements of Stockholders’ Equity</w:t>
              </w:r>
            </w:hyperlink>
          </w:p>
        </w:tc>
        <w:tc>
          <w:tcPr>
            <w:tcW w:w="180" w:type="dxa"/>
            <w:vAlign w:val="bottom"/>
            <w:tcBorders>
              <w:top w:val="single" w:sz="8" w:color="0000EE"/>
            </w:tcBorders>
          </w:tcPr>
          <w:p>
            <w:pPr>
              <w:spacing w:after="0"/>
              <w:rPr>
                <w:sz w:val="24"/>
                <w:szCs w:val="24"/>
                <w:color w:val="auto"/>
              </w:rPr>
            </w:pPr>
          </w:p>
        </w:tc>
        <w:tc>
          <w:tcPr>
            <w:tcW w:w="560" w:type="dxa"/>
            <w:vAlign w:val="bottom"/>
            <w:gridSpan w:val="2"/>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12"/>
        </w:trPr>
        <w:tc>
          <w:tcPr>
            <w:tcW w:w="28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Cash Flows</w:t>
              </w:r>
            </w:hyperlink>
          </w:p>
        </w:tc>
        <w:tc>
          <w:tcPr>
            <w:tcW w:w="1420" w:type="dxa"/>
            <w:vAlign w:val="bottom"/>
            <w:gridSpan w:val="5"/>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12"/>
        </w:trPr>
        <w:tc>
          <w:tcPr>
            <w:tcW w:w="4300" w:type="dxa"/>
            <w:vAlign w:val="bottom"/>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Notes to Consolidated Financial Statements</w:t>
              </w:r>
            </w:hyperlink>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F-8</w:t>
            </w:r>
          </w:p>
        </w:tc>
      </w:tr>
      <w:tr>
        <w:trPr>
          <w:trHeight w:val="898"/>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gridSpan w:val="2"/>
          </w:tcPr>
          <w:p>
            <w:pPr>
              <w:ind w:left="60"/>
              <w:spacing w:after="0"/>
              <w:rPr>
                <w:sz w:val="20"/>
                <w:szCs w:val="20"/>
                <w:color w:val="auto"/>
              </w:rPr>
            </w:pPr>
            <w:r>
              <w:rPr>
                <w:rFonts w:ascii="Arial" w:cs="Arial" w:eastAsia="Arial" w:hAnsi="Arial"/>
                <w:sz w:val="18"/>
                <w:szCs w:val="18"/>
                <w:color w:val="auto"/>
              </w:rPr>
              <w:t>F - 1</w:t>
            </w:r>
          </w:p>
        </w:tc>
      </w:tr>
      <w:tr>
        <w:trPr>
          <w:trHeight w:val="129"/>
        </w:trPr>
        <w:tc>
          <w:tcPr>
            <w:tcW w:w="2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Applied Optoelectronics, Inc. (a Delaware corporation) and subsidiaries (the “Company”) as of December 31, 2016 and 2015, and the related consolidated statements of operations, comprehensive income (loss), changes in stockholders’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Applied Optoelectronics, Inc. and subsidiaries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9,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0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4,719</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Accounts receivable - trade, net of allowance of $31 and $51, respectively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38,775</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66,238</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w:t>
            </w:r>
          </w:p>
        </w:tc>
        <w:tc>
          <w:tcPr>
            <w:tcW w:w="14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157,552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153,928</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Cash restricted for construction in progress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70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Property, plant and equipment, net of accumulated depreciation of $49,175 and $37,970,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144,098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109,699</w:t>
            </w:r>
          </w:p>
        </w:tc>
        <w:tc>
          <w:tcPr>
            <w:tcW w:w="140" w:type="dxa"/>
            <w:vAlign w:val="bottom"/>
            <w:shd w:val="clear" w:color="auto" w:fill="CCEEFF"/>
          </w:tcPr>
          <w:p>
            <w:pPr>
              <w:spacing w:after="0"/>
              <w:rPr>
                <w:sz w:val="20"/>
                <w:szCs w:val="20"/>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Land use rights,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Deferred income tax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40" w:type="dxa"/>
            <w:vAlign w:val="bottom"/>
            <w:shd w:val="clear" w:color="auto" w:fill="CCEEFF"/>
          </w:tcPr>
          <w:p>
            <w:pPr>
              <w:spacing w:after="0"/>
              <w:rPr>
                <w:sz w:val="18"/>
                <w:szCs w:val="18"/>
                <w:color w:val="auto"/>
              </w:rPr>
            </w:pPr>
          </w:p>
        </w:tc>
      </w:tr>
      <w:tr>
        <w:trPr>
          <w:trHeight w:val="217"/>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322,318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273,475</w:t>
            </w:r>
          </w:p>
        </w:tc>
        <w:tc>
          <w:tcPr>
            <w:tcW w:w="140" w:type="dxa"/>
            <w:vAlign w:val="bottom"/>
            <w:tcBorders>
              <w:bottom w:val="single" w:sz="8" w:color="CCEEFF"/>
            </w:tcBorders>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notes payable and long-term debt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30,908</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28,668</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 acceptance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14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Notes payable and long-term debt, less current portion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33,997</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108,077</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70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Preferred Stock; 5,000 shares authorized at $0.001 par value; no shares issued and outstanding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 December 31, 2016 or 2015,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7040" w:type="dxa"/>
            <w:vAlign w:val="bottom"/>
          </w:tcPr>
          <w:p>
            <w:pPr>
              <w:ind w:left="120"/>
              <w:spacing w:after="0" w:line="201" w:lineRule="exact"/>
              <w:rPr>
                <w:sz w:val="20"/>
                <w:szCs w:val="20"/>
                <w:color w:val="auto"/>
              </w:rPr>
            </w:pPr>
            <w:r>
              <w:rPr>
                <w:rFonts w:ascii="Arial" w:cs="Arial" w:eastAsia="Arial" w:hAnsi="Arial"/>
                <w:sz w:val="18"/>
                <w:szCs w:val="18"/>
                <w:color w:val="auto"/>
                <w:w w:val="96"/>
              </w:rPr>
              <w:t>Common Stock; 45,000 shares authorized at $0.001 par value; 18,400 and 16,839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7040" w:type="dxa"/>
            <w:vAlign w:val="bottom"/>
          </w:tcPr>
          <w:p>
            <w:pPr>
              <w:ind w:left="120"/>
              <w:spacing w:after="0"/>
              <w:rPr>
                <w:sz w:val="20"/>
                <w:szCs w:val="20"/>
                <w:color w:val="auto"/>
              </w:rPr>
            </w:pPr>
            <w:r>
              <w:rPr>
                <w:rFonts w:ascii="Arial" w:cs="Arial" w:eastAsia="Arial" w:hAnsi="Arial"/>
                <w:sz w:val="18"/>
                <w:szCs w:val="18"/>
                <w:color w:val="auto"/>
              </w:rPr>
              <w:t>issued and outstanding at December 31, 2016 and 2015, 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265,264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233,336</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Accumulated other comprehensive gain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(68,247)</w:t>
            </w:r>
          </w:p>
        </w:tc>
      </w:tr>
      <w:tr>
        <w:trPr>
          <w:trHeight w:val="210"/>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227,384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165,398</w:t>
            </w:r>
          </w:p>
        </w:tc>
        <w:tc>
          <w:tcPr>
            <w:tcW w:w="140" w:type="dxa"/>
            <w:vAlign w:val="bottom"/>
            <w:tcBorders>
              <w:bottom w:val="single" w:sz="8" w:color="CCEEFF"/>
            </w:tcBorders>
          </w:tcPr>
          <w:p>
            <w:pPr>
              <w:spacing w:after="0"/>
              <w:rPr>
                <w:sz w:val="18"/>
                <w:szCs w:val="18"/>
                <w:color w:val="auto"/>
              </w:rPr>
            </w:pPr>
          </w:p>
        </w:tc>
      </w:tr>
      <w:tr>
        <w:trPr>
          <w:trHeight w:val="217"/>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322,318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273,475</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129,450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net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other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spacing w:after="0" w:line="203" w:lineRule="exact"/>
              <w:rPr>
                <w:sz w:val="20"/>
                <w:szCs w:val="20"/>
                <w:color w:val="auto"/>
              </w:rPr>
            </w:pPr>
            <w:r>
              <w:rPr>
                <w:rFonts w:ascii="Arial" w:cs="Arial" w:eastAsia="Arial" w:hAnsi="Arial"/>
                <w:sz w:val="18"/>
                <w:szCs w:val="18"/>
                <w:color w:val="auto"/>
              </w:rPr>
              <w:t>Net income per share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Diluted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7"/>
              </w:rPr>
              <w:t>Weighted average shares used to compute net income per share: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17,201,731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15,626,753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14,307,477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17,712,928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16,532,850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15,186,961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480"/>
        <w:spacing w:after="0" w:line="275" w:lineRule="auto"/>
        <w:rPr>
          <w:sz w:val="20"/>
          <w:szCs w:val="20"/>
          <w:color w:val="auto"/>
        </w:rPr>
      </w:pPr>
      <w:r>
        <w:rPr>
          <w:rFonts w:ascii="Arial" w:cs="Arial" w:eastAsia="Arial" w:hAnsi="Arial"/>
          <w:sz w:val="18"/>
          <w:szCs w:val="18"/>
          <w:b w:val="1"/>
          <w:bCs w:val="1"/>
          <w:color w:val="auto"/>
        </w:rPr>
        <w:t>Applied Optoelectronics, Inc. and Subsidiaries CONSOLIDATED STATEMENTS OF COMPREHENSIVE INCOME (LOSS)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gridSpan w:val="7"/>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$ 31,234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10,793</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$ 4,283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Loss on foreign currency translation adjustment, net of tax</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r>
      <w:tr>
        <w:trPr>
          <w:trHeight w:val="217"/>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$ 30,057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760" w:right="2520"/>
        <w:spacing w:after="0" w:line="263" w:lineRule="auto"/>
        <w:rPr>
          <w:sz w:val="20"/>
          <w:szCs w:val="20"/>
          <w:color w:val="auto"/>
        </w:rPr>
      </w:pPr>
      <w:r>
        <w:rPr>
          <w:rFonts w:ascii="Arial" w:cs="Arial" w:eastAsia="Arial" w:hAnsi="Arial"/>
          <w:sz w:val="18"/>
          <w:szCs w:val="18"/>
          <w:b w:val="1"/>
          <w:bCs w:val="1"/>
          <w:color w:val="auto"/>
        </w:rPr>
        <w:t>Applied Optoelectronics, Inc. and Subsidiaries CONSOLIDATED STATEMENTS OF STOCKHOLDERS’ EQUITY Years ended December 2014, 2015 and 2016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3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vMerge w:val="restart"/>
          </w:tcPr>
          <w:p>
            <w:pPr>
              <w:spacing w:after="0"/>
              <w:rPr>
                <w:sz w:val="14"/>
                <w:szCs w:val="14"/>
                <w:color w:val="auto"/>
              </w:rPr>
            </w:pPr>
          </w:p>
        </w:tc>
        <w:tc>
          <w:tcPr>
            <w:tcW w:w="122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vMerge w:val="restart"/>
          </w:tcPr>
          <w:p>
            <w:pPr>
              <w:spacing w:after="0"/>
              <w:rPr>
                <w:sz w:val="14"/>
                <w:szCs w:val="14"/>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4"/>
                <w:szCs w:val="14"/>
                <w:color w:val="auto"/>
              </w:rPr>
            </w:pPr>
          </w:p>
        </w:tc>
        <w:tc>
          <w:tcPr>
            <w:tcW w:w="130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20" w:type="dxa"/>
            <w:vAlign w:val="bottom"/>
            <w:tcBorders>
              <w:bottom w:val="single" w:sz="8" w:color="auto"/>
            </w:tcBorders>
            <w:gridSpan w:val="4"/>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7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Number</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Number</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paid-in</w:t>
            </w:r>
          </w:p>
        </w:tc>
        <w:tc>
          <w:tcPr>
            <w:tcW w:w="10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comprehensive</w:t>
            </w: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of shares</w:t>
            </w:r>
          </w:p>
        </w:tc>
        <w:tc>
          <w:tcPr>
            <w:tcW w:w="720" w:type="dxa"/>
            <w:vAlign w:val="bottom"/>
            <w:gridSpan w:val="3"/>
            <w:vMerge w:val="continue"/>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of shares</w:t>
            </w:r>
          </w:p>
        </w:tc>
        <w:tc>
          <w:tcPr>
            <w:tcW w:w="660" w:type="dxa"/>
            <w:vAlign w:val="bottom"/>
            <w:gridSpan w:val="3"/>
            <w:vMerge w:val="continue"/>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capital</w:t>
            </w:r>
          </w:p>
        </w:tc>
        <w:tc>
          <w:tcPr>
            <w:tcW w:w="2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w:t>
            </w:r>
          </w:p>
        </w:tc>
        <w:tc>
          <w:tcPr>
            <w:tcW w:w="1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January 1, 2014</w:t>
            </w:r>
          </w:p>
        </w:tc>
        <w:tc>
          <w:tcPr>
            <w:tcW w:w="58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12,644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144,023</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(83,323)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63,077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Public offering of common stock, net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2,025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45,679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shares under equity plans</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Warrants exercised</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Stock based compensation</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2,045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Loss on foreign currency translation adjustment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(439)</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December 31, 2014</w:t>
            </w:r>
          </w:p>
        </w:tc>
        <w:tc>
          <w:tcPr>
            <w:tcW w:w="58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14,824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$ 192,112</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(79,040)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115,012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Public offering of common stock, net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1,857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38,646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38,648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shares under equity plans</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based compensation</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10,793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10,793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Loss on foreign currency translation adjustment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(1,633)</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(1,633)</w:t>
            </w: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Other</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December 31, 2015</w:t>
            </w:r>
          </w:p>
        </w:tc>
        <w:tc>
          <w:tcPr>
            <w:tcW w:w="58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16,839</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$ 233,336</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(68,247)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165,398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Public offering of common stock, net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1,126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27,236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27,237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shares under equity plans</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Stock options exercised</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based compensation</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31,234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31,234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Loss on foreign currency translation adjustment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(1,177)</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56"/>
        </w:trPr>
        <w:tc>
          <w:tcPr>
            <w:tcW w:w="3880" w:type="dxa"/>
            <w:vAlign w:val="bottom"/>
          </w:tcPr>
          <w:p>
            <w:pPr>
              <w:ind w:left="20"/>
              <w:spacing w:after="0" w:line="149" w:lineRule="exact"/>
              <w:rPr>
                <w:sz w:val="20"/>
                <w:szCs w:val="20"/>
                <w:color w:val="auto"/>
              </w:rPr>
            </w:pPr>
            <w:r>
              <w:rPr>
                <w:rFonts w:ascii="Arial" w:cs="Arial" w:eastAsia="Arial" w:hAnsi="Arial"/>
                <w:sz w:val="14"/>
                <w:szCs w:val="14"/>
                <w:color w:val="auto"/>
              </w:rPr>
              <w:t>December 31, 2016</w:t>
            </w:r>
          </w:p>
        </w:tc>
        <w:tc>
          <w:tcPr>
            <w:tcW w:w="58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18,400</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$ 265,264</w:t>
            </w:r>
          </w:p>
        </w:tc>
        <w:tc>
          <w:tcPr>
            <w:tcW w:w="140" w:type="dxa"/>
            <w:vAlign w:val="bottom"/>
          </w:tcPr>
          <w:p>
            <w:pPr>
              <w:spacing w:after="0"/>
              <w:rPr>
                <w:sz w:val="13"/>
                <w:szCs w:val="13"/>
                <w:color w:val="auto"/>
              </w:rPr>
            </w:pPr>
          </w:p>
        </w:tc>
        <w:tc>
          <w:tcPr>
            <w:tcW w:w="20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(885)</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(37,013)</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227,384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25" w:right="73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31,234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10,793</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Adjustments to reconcile net income to net cash provided by (used in)</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Lower of Cost or Market Adjustment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6,169</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Loss on disposal of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Unrealized foreign exchange loss (gain)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Accounts receivable, trade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(9,703)</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(37,502)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(16,105)</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18,947</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20" w:type="dxa"/>
            <w:vAlign w:val="bottom"/>
            <w:shd w:val="clear" w:color="auto" w:fill="CCEEFF"/>
          </w:tcPr>
          <w:p>
            <w:pPr>
              <w:spacing w:after="0"/>
              <w:rPr>
                <w:sz w:val="18"/>
                <w:szCs w:val="18"/>
                <w:color w:val="auto"/>
              </w:rPr>
            </w:pPr>
          </w:p>
        </w:tc>
      </w:tr>
      <w:tr>
        <w:trPr>
          <w:trHeight w:val="210"/>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w:t>
            </w:r>
          </w:p>
        </w:tc>
        <w:tc>
          <w:tcPr>
            <w:tcW w:w="120" w:type="dxa"/>
            <w:vAlign w:val="bottom"/>
            <w:tcBorders>
              <w:bottom w:val="single" w:sz="8" w:color="CCEEFF"/>
            </w:tcBorders>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Purchase of short-term investments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Maturities of short-term investments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Change in restricted cash for construction in progress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property, plant and equipment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(41,129)</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Proceeds from disposal of equipment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Deposits and deferred charges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Purchase of intangible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Pr>
          <w:p>
            <w:pPr>
              <w:spacing w:after="0"/>
              <w:rPr>
                <w:sz w:val="18"/>
                <w:szCs w:val="18"/>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(45,388)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issuance of notes payable and long-term debt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Principal payments of long-term debt and notes payable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line of credit borrowings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53,658</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Repayments of line of credit borrowings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(163,068)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(121,386)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(50,733)</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bank acceptance payable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Repayments of bank acceptance payable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(6,986)</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note payable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Decrease (increase) in restricted cash</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Proceeds from common stock offering, net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45,681</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73,114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47,250</w:t>
            </w:r>
          </w:p>
        </w:tc>
        <w:tc>
          <w:tcPr>
            <w:tcW w:w="120" w:type="dxa"/>
            <w:vAlign w:val="bottom"/>
            <w:tcBorders>
              <w:bottom w:val="single" w:sz="8" w:color="CCEEFF"/>
            </w:tcBorders>
          </w:tcPr>
          <w:p>
            <w:pPr>
              <w:spacing w:after="0"/>
              <w:rPr>
                <w:sz w:val="18"/>
                <w:szCs w:val="18"/>
                <w:color w:val="auto"/>
              </w:rPr>
            </w:pPr>
          </w:p>
        </w:tc>
      </w:tr>
      <w:tr>
        <w:trPr>
          <w:trHeight w:val="210"/>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exchange rate changes on cash</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10,169</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22,006</w:t>
            </w:r>
          </w:p>
        </w:tc>
        <w:tc>
          <w:tcPr>
            <w:tcW w:w="120" w:type="dxa"/>
            <w:vAlign w:val="bottom"/>
            <w:shd w:val="clear" w:color="auto" w:fill="CCEEFF"/>
          </w:tcPr>
          <w:p>
            <w:pPr>
              <w:spacing w:after="0"/>
              <w:rPr>
                <w:sz w:val="18"/>
                <w:szCs w:val="18"/>
                <w:color w:val="auto"/>
              </w:rPr>
            </w:pPr>
          </w:p>
        </w:tc>
      </w:tr>
      <w:tr>
        <w:trPr>
          <w:trHeight w:val="217"/>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year</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32,175</w:t>
            </w:r>
          </w:p>
        </w:tc>
        <w:tc>
          <w:tcPr>
            <w:tcW w:w="120" w:type="dxa"/>
            <w:vAlign w:val="bottom"/>
            <w:tcBorders>
              <w:bottom w:val="single" w:sz="8" w:color="CCEEFF"/>
            </w:tcBorders>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Cash paid for (received from):</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investing and financing activities: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700" w:type="dxa"/>
            <w:vAlign w:val="bottom"/>
          </w:tcPr>
          <w:p>
            <w:pPr>
              <w:ind w:left="220"/>
              <w:spacing w:after="0"/>
              <w:rPr>
                <w:sz w:val="20"/>
                <w:szCs w:val="20"/>
                <w:color w:val="auto"/>
              </w:rPr>
            </w:pPr>
            <w:r>
              <w:rPr>
                <w:rFonts w:ascii="Arial" w:cs="Arial" w:eastAsia="Arial" w:hAnsi="Arial"/>
                <w:sz w:val="18"/>
                <w:szCs w:val="18"/>
                <w:color w:val="auto"/>
              </w:rPr>
              <w:t>Purchase of intangible assets with notes payable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0"/>
                <w:szCs w:val="20"/>
                <w:color w:val="auto"/>
              </w:rPr>
            </w:pPr>
          </w:p>
        </w:tc>
      </w:tr>
    </w:tbl>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A—ORGANIZATION AND OPERATIONS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Applied Optoelectronics, Inc. (“AOI” or the “Company”) was incorporated in the State of Texas on February 28, 1997. In March 2013, the Company converted into a Delaware corporation. The Company is a leading, vertically integrated provider of fiber-optic networking products, primarily for four networking end-markets: internet data center, cable television, fiber-to-the-home and telecommunications. The Company designs and manufactures a range of optical communications products at varying levels of integration, from components, subassemblies and modules to complete turn-key equipment.</w:t>
      </w:r>
    </w:p>
    <w:p>
      <w:pPr>
        <w:spacing w:after="0" w:line="15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SIGNIFICANT ACCOUNTING POLICIES</w:t>
      </w:r>
    </w:p>
    <w:p>
      <w:pPr>
        <w:spacing w:after="0" w:line="229" w:lineRule="exact"/>
        <w:rPr>
          <w:sz w:val="20"/>
          <w:szCs w:val="20"/>
          <w:color w:val="auto"/>
        </w:rPr>
      </w:pPr>
    </w:p>
    <w:p>
      <w:pPr>
        <w:ind w:left="680" w:hanging="677"/>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81" w:lineRule="exact"/>
        <w:rPr>
          <w:sz w:val="20"/>
          <w:szCs w:val="20"/>
          <w:color w:val="auto"/>
        </w:rPr>
      </w:pPr>
    </w:p>
    <w:p>
      <w:pPr>
        <w:ind w:left="680" w:hanging="677"/>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Certain amounts in the prior year’s financial statements have been reclassified to conform to the current year presentation. This reclassification includes the presentation of revenue in Note N – Segment and Geographic Revenue. In 2015, revenue by geographic region was reclassified between the United States, Taiwan and China to conform to the current year presentation by classifying consigned inventory revenue based on manufacturing location rather than consignment sale location.</w:t>
      </w:r>
    </w:p>
    <w:p>
      <w:pPr>
        <w:spacing w:after="0" w:line="188" w:lineRule="exact"/>
        <w:rPr>
          <w:sz w:val="20"/>
          <w:szCs w:val="20"/>
          <w:color w:val="auto"/>
        </w:rPr>
      </w:pPr>
    </w:p>
    <w:p>
      <w:pPr>
        <w:ind w:left="680" w:hanging="677"/>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product warranty costs, share-based compensation expense, estimated useful lives of property and equipment, and taxes.</w:t>
      </w:r>
    </w:p>
    <w:p>
      <w:pPr>
        <w:spacing w:after="0" w:line="173" w:lineRule="exact"/>
        <w:rPr>
          <w:sz w:val="20"/>
          <w:szCs w:val="20"/>
          <w:color w:val="auto"/>
        </w:rPr>
      </w:pPr>
    </w:p>
    <w:p>
      <w:pPr>
        <w:ind w:left="680" w:hanging="677"/>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functional currency for the Company’s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There is no tax effect on the foreign currency translation because it is management’s intent to reinvest the undistributed earnings of its foreign subsidiaries indefinitely. Transaction gains and losses resulting from re-measuring monetary asset and liability accounts that are denominated in a currency other than a subsidiary’s functional currency are included in net foreign exchange gain and loss and are included in net income except for intercompany long-term investment nature. The after-tax translation gain or losses from long-term investment nature of intercompany balances are treated as translation adjustments and included in comprehensive income.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677"/>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1—Inputs represent quoted prices in active markets for identical assets or liabilities.</w:t>
      </w:r>
    </w:p>
    <w:p>
      <w:pPr>
        <w:spacing w:after="0" w:line="225" w:lineRule="exact"/>
        <w:rPr>
          <w:sz w:val="20"/>
          <w:szCs w:val="20"/>
          <w:color w:val="auto"/>
        </w:rPr>
      </w:pPr>
    </w:p>
    <w:p>
      <w:pPr>
        <w:ind w:left="660" w:right="300" w:firstLine="648"/>
        <w:spacing w:after="0" w:line="286" w:lineRule="auto"/>
        <w:rPr>
          <w:sz w:val="20"/>
          <w:szCs w:val="20"/>
          <w:color w:val="auto"/>
        </w:rPr>
      </w:pPr>
      <w:r>
        <w:rPr>
          <w:rFonts w:ascii="Arial" w:cs="Arial" w:eastAsia="Arial" w:hAnsi="Arial"/>
          <w:sz w:val="17"/>
          <w:szCs w:val="17"/>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66"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Level 3—Inputs that are not observable from objective sources, such as management’s internally developed assumptions used in pricing an asset or liability.</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Assets and liabilities that are required to be fair valued on a recurring basis include money market funds, marketable securities, equity instruments and contingent consideration.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Money market funds are valued with Level 1 inputs, using quoted market prices, and are included in cash and cash equivalents on the Company’s consolidated balance sheets.</w:t>
      </w:r>
    </w:p>
    <w:p>
      <w:pPr>
        <w:spacing w:after="0" w:line="170" w:lineRule="exact"/>
        <w:rPr>
          <w:sz w:val="20"/>
          <w:szCs w:val="20"/>
          <w:color w:val="auto"/>
        </w:rPr>
      </w:pPr>
    </w:p>
    <w:p>
      <w:pPr>
        <w:ind w:left="680" w:hanging="677"/>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considers all highly liquid securities with an original maturity of ninety days or less from the date of purchase to be cash equivalents. Cash in foreign accounts was approximately $10.7 million and $8.9 million at December 31, 2016 and 2015, respectively.</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2016, approximately $40.8 million of U.S. deposits were not covered by FDIC insurance. The Company has not experienced any losses and believes it is not exposed to any significant risk with such accounts.</w:t>
      </w:r>
    </w:p>
    <w:p>
      <w:pPr>
        <w:spacing w:after="0" w:line="158" w:lineRule="exact"/>
        <w:rPr>
          <w:sz w:val="20"/>
          <w:szCs w:val="20"/>
          <w:color w:val="auto"/>
        </w:rPr>
      </w:pPr>
    </w:p>
    <w:p>
      <w:pPr>
        <w:ind w:left="680" w:hanging="677"/>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Restricted Cash/Compensating Balances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is required to maintain a compensation deposit equal to 30% of its bank acceptance notes to vendors and a standby letter of credit issued for guaranty of its Taiwan credit facility with a China bank. The Company’s Taiwan subsidiary also uses time deposits for customs guarantees as well as compensation balances with a Taiwan bank for its credit facility. As of December 31, 2016 and 2015, the amount of restricted cash was $1.7 million and $4.7 million, respectively.</w:t>
      </w:r>
    </w:p>
    <w:p>
      <w:pPr>
        <w:spacing w:after="0" w:line="154" w:lineRule="exact"/>
        <w:rPr>
          <w:sz w:val="20"/>
          <w:szCs w:val="20"/>
          <w:color w:val="auto"/>
        </w:rPr>
      </w:pPr>
    </w:p>
    <w:p>
      <w:pPr>
        <w:ind w:left="660" w:hanging="65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Short-Term Investments</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Company invested its excess cash in bank certificates of deposit. As of December 31, 2016 and 2015, the Company invested $0.0 million and $7.9 million in certificates of deposit in RMB currencies with Taiwan banks, respectively. The maturity dates ranged from 6 months to 12 months.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Company arranged a revolving line of credit agreement with the same Taiwan bank by pledging 100% of its certificates of deposit. As of December 31, 2016 and 2015, the pledged certificate of deposit for such arrangement amount was $0.0 and $7.9 million, respectively.</w:t>
      </w:r>
    </w:p>
    <w:p>
      <w:pPr>
        <w:spacing w:after="0" w:line="181" w:lineRule="exact"/>
        <w:rPr>
          <w:sz w:val="20"/>
          <w:szCs w:val="20"/>
          <w:color w:val="auto"/>
        </w:rPr>
      </w:pPr>
    </w:p>
    <w:p>
      <w:pPr>
        <w:ind w:left="680" w:hanging="677"/>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Accounts Receivable/Allowance for Doubtful Accounts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66" w:lineRule="exact"/>
        <w:rPr>
          <w:sz w:val="20"/>
          <w:szCs w:val="20"/>
          <w:color w:val="auto"/>
        </w:rPr>
      </w:pPr>
    </w:p>
    <w:p>
      <w:pPr>
        <w:ind w:left="680" w:hanging="677"/>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Notes Receivable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carries its bank acceptance receivables at face value or discounted value if they are interest bearing.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maturity date of the receivables are all within one year of the original issuance date and are carried at face value.</w:t>
      </w:r>
    </w:p>
    <w:p>
      <w:pPr>
        <w:spacing w:after="0" w:line="222" w:lineRule="exact"/>
        <w:rPr>
          <w:sz w:val="20"/>
          <w:szCs w:val="20"/>
          <w:color w:val="auto"/>
        </w:rPr>
      </w:pPr>
    </w:p>
    <w:p>
      <w:pPr>
        <w:ind w:left="620" w:hanging="61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Concentration of Credit Risk and Significant Customers</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2016, 2015 and 2014, its top five customers represented 87.8%, 81.8% and 72.0% of its revenue, respectively. In 2016, Amazon, Microsoft and Arris represented 54.6%, 18.3% and 5.8% of its revenue, respectively. In 2015, Amazon, Microsoft and Cisco respresented 52.5%, 11.6% and 10.4% of its revenue, respectively. In 2014, Amazon, Cisco and a leading internet service provider represented 45.8%, 8.9% and 6.7% of its revenue, respectively. The five largest receivable balances for customers represented an aggregate of 88.3%, and 80.0% of total accounts receivable at December 31, 2016 and 2015, respectively. As of December 31, 2016, Amazon and Arris represented 62.1% and 10.6% of total accounts receivable, respectively. As of December 31, 2015, Amazon and Wesco represented 51.4% and 14.4% of total accounts receivable, respectively.</w:t>
      </w:r>
    </w:p>
    <w:p>
      <w:pPr>
        <w:spacing w:after="0" w:line="183" w:lineRule="exact"/>
        <w:rPr>
          <w:sz w:val="20"/>
          <w:szCs w:val="20"/>
          <w:color w:val="auto"/>
        </w:rPr>
      </w:pPr>
    </w:p>
    <w:p>
      <w:pPr>
        <w:ind w:left="680" w:hanging="677"/>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677"/>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2"/>
          </w:tcPr>
          <w:p>
            <w:pPr>
              <w:ind w:left="1820"/>
              <w:spacing w:after="0"/>
              <w:rPr>
                <w:sz w:val="20"/>
                <w:szCs w:val="20"/>
                <w:color w:val="auto"/>
              </w:rPr>
            </w:pPr>
            <w:r>
              <w:rPr>
                <w:rFonts w:ascii="Arial" w:cs="Arial" w:eastAsia="Arial" w:hAnsi="Arial"/>
                <w:sz w:val="18"/>
                <w:szCs w:val="18"/>
                <w:b w:val="1"/>
                <w:bCs w:val="1"/>
                <w:color w:val="auto"/>
              </w:rPr>
              <w:t>Useful lives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700" w:type="dxa"/>
            <w:vAlign w:val="bottom"/>
            <w:gridSpan w:val="4"/>
            <w:shd w:val="clear" w:color="auto" w:fill="CCEEFF"/>
          </w:tcPr>
          <w:p>
            <w:pPr>
              <w:ind w:left="840"/>
              <w:spacing w:after="0"/>
              <w:rPr>
                <w:sz w:val="20"/>
                <w:szCs w:val="20"/>
                <w:color w:val="auto"/>
              </w:rPr>
            </w:pPr>
            <w:r>
              <w:rPr>
                <w:rFonts w:ascii="Arial" w:cs="Arial" w:eastAsia="Arial" w:hAnsi="Arial"/>
                <w:sz w:val="18"/>
                <w:szCs w:val="18"/>
                <w:color w:val="auto"/>
              </w:rPr>
              <w:t>20 - 40 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5700" w:type="dxa"/>
            <w:vAlign w:val="bottom"/>
            <w:gridSpan w:val="4"/>
            <w:shd w:val="clear" w:color="auto" w:fill="CCEEFF"/>
          </w:tcPr>
          <w:p>
            <w:pPr>
              <w:ind w:left="84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3</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 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3</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3</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- 10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5700" w:type="dxa"/>
            <w:vAlign w:val="bottom"/>
            <w:gridSpan w:val="4"/>
            <w:shd w:val="clear" w:color="auto" w:fill="CCEEFF"/>
          </w:tcPr>
          <w:p>
            <w:pPr>
              <w:ind w:left="840"/>
              <w:spacing w:after="0" w:line="201" w:lineRule="exact"/>
              <w:rPr>
                <w:sz w:val="20"/>
                <w:szCs w:val="20"/>
                <w:color w:val="auto"/>
              </w:rPr>
            </w:pPr>
            <w:r>
              <w:rPr>
                <w:rFonts w:ascii="Arial" w:cs="Arial" w:eastAsia="Arial" w:hAnsi="Arial"/>
                <w:sz w:val="18"/>
                <w:szCs w:val="18"/>
                <w:color w:val="auto"/>
                <w:w w:val="95"/>
              </w:rPr>
              <w:t>The shorter of the life of the applicable lease or the useful life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700" w:type="dxa"/>
            <w:vAlign w:val="bottom"/>
            <w:gridSpan w:val="4"/>
            <w:shd w:val="clear" w:color="auto" w:fill="CCEEFF"/>
          </w:tcPr>
          <w:p>
            <w:pPr>
              <w:ind w:left="840"/>
              <w:spacing w:after="0"/>
              <w:rPr>
                <w:sz w:val="20"/>
                <w:szCs w:val="20"/>
                <w:color w:val="auto"/>
              </w:rPr>
            </w:pPr>
            <w:r>
              <w:rPr>
                <w:rFonts w:ascii="Arial" w:cs="Arial" w:eastAsia="Arial" w:hAnsi="Arial"/>
                <w:sz w:val="18"/>
                <w:szCs w:val="18"/>
                <w:color w:val="auto"/>
              </w:rPr>
              <w:t>the improvement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5700" w:type="dxa"/>
            <w:vAlign w:val="bottom"/>
            <w:gridSpan w:val="4"/>
            <w:shd w:val="clear" w:color="auto" w:fill="CCEEFF"/>
          </w:tcPr>
          <w:p>
            <w:pPr>
              <w:ind w:left="84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w:t>
      </w:r>
    </w:p>
    <w:p>
      <w:pPr>
        <w:spacing w:after="0" w:line="187" w:lineRule="exact"/>
        <w:rPr>
          <w:sz w:val="20"/>
          <w:szCs w:val="20"/>
          <w:color w:val="auto"/>
        </w:rPr>
      </w:pPr>
    </w:p>
    <w:p>
      <w:pPr>
        <w:ind w:left="680" w:hanging="677"/>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Intangible assets consist of intellectual property that is stated at cost less accumulated amortization. As of December 31, 2016, the Company had 210 total patents issued. The costs incurred to obtain such patents have been capitalized and are being amortized over an estimated life of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78" w:lineRule="exact"/>
        <w:rPr>
          <w:sz w:val="20"/>
          <w:szCs w:val="20"/>
          <w:color w:val="auto"/>
        </w:rPr>
      </w:pPr>
    </w:p>
    <w:p>
      <w:pPr>
        <w:ind w:left="680" w:hanging="677"/>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 xml:space="preserve">The Company accounts for impairment of long-lived assets in accordance with Accounting Standards Codification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(“ASC 360”). Long-lived assets consist primarily of property, plant and equipment. In accordance with ASC 360, the Company periodically evaluates long-lived assets whenever events or changes in circumstances indicate that the carrying amount of an asset may not be recoverable. When triggering event indicators are present, the Company obtains appraisals on an asset by asset basis, and will recognize an impairment loss when the sum of the appraised values is less than the carrying amounts of such assets. The appraised values, based on reasonable and supportable assumptions and projections, require subjective judgments. Depending on the assumptions and estimates used, the appraised values projected in the evaluation of long-lived assets can vary within a range of outcomes. The appraisals consider the likelihood of possible outcomes in determining the best estimate for the value of the assets.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measurement for such an impairment loss is then based on the fair value of the asset as determined by the appraisals.</w:t>
      </w:r>
    </w:p>
    <w:p>
      <w:pPr>
        <w:spacing w:after="0" w:line="170" w:lineRule="exact"/>
        <w:rPr>
          <w:sz w:val="20"/>
          <w:szCs w:val="20"/>
          <w:color w:val="auto"/>
        </w:rPr>
      </w:pPr>
    </w:p>
    <w:p>
      <w:pPr>
        <w:ind w:left="680" w:hanging="677"/>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(“ASC 220”) establishes rules for reporting and display of comprehensive income and its components. ASC 220 requires that unrealized gains and losses on the Company’s foreign currency translation adjustments be included in comprehensive income.</w:t>
      </w:r>
    </w:p>
    <w:p>
      <w:pPr>
        <w:spacing w:after="0" w:line="181" w:lineRule="exact"/>
        <w:rPr>
          <w:sz w:val="20"/>
          <w:szCs w:val="20"/>
          <w:color w:val="auto"/>
        </w:rPr>
      </w:pPr>
    </w:p>
    <w:p>
      <w:pPr>
        <w:ind w:left="680" w:hanging="677"/>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The Company accounts for share-based compensation in accordance with the provisions of ASC 718,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w:t>
      </w:r>
      <w:r>
        <w:rPr>
          <w:rFonts w:ascii="Arial" w:cs="Arial" w:eastAsia="Arial" w:hAnsi="Arial"/>
          <w:sz w:val="17"/>
          <w:szCs w:val="17"/>
          <w:color w:val="auto"/>
        </w:rPr>
        <w:t>. Share-based compensation expense is recognized based on the estimated grant date fair value, net of</w:t>
      </w:r>
      <w:r>
        <w:rPr>
          <w:rFonts w:ascii="Arial" w:cs="Arial" w:eastAsia="Arial" w:hAnsi="Arial"/>
          <w:sz w:val="17"/>
          <w:szCs w:val="17"/>
          <w:i w:val="1"/>
          <w:iCs w:val="1"/>
          <w:color w:val="auto"/>
        </w:rPr>
        <w:t xml:space="preserve"> </w:t>
      </w:r>
      <w:r>
        <w:rPr>
          <w:rFonts w:ascii="Arial" w:cs="Arial" w:eastAsia="Arial" w:hAnsi="Arial"/>
          <w:sz w:val="17"/>
          <w:szCs w:val="17"/>
          <w:color w:val="auto"/>
        </w:rPr>
        <w:t>an estimated forfeiture rate, in order to recognize compensation cost for those shares expected to vest. Compensation cost is recognized on a straight-line basis over the vesting period of the options.</w:t>
      </w:r>
    </w:p>
    <w:p>
      <w:pPr>
        <w:spacing w:after="0" w:line="171" w:lineRule="exact"/>
        <w:rPr>
          <w:sz w:val="20"/>
          <w:szCs w:val="20"/>
          <w:color w:val="auto"/>
        </w:rPr>
      </w:pPr>
    </w:p>
    <w:p>
      <w:pPr>
        <w:ind w:left="680" w:hanging="677"/>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Company derives revenue from the manufacture and sale of fiber optic networking products. Revenue recognition follows the criteria of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Specifically, the Company recognizes revenue when persuasive evidence exists of an arrangement with a customer, usually in the form of a customer purchase order; performance obligations have been satisfied; title and risk of loss have transferred to the customer; the price is fixed or determinable; and collectability is reasonably assured. The Company may offer units (samples) to current and potential customers at no charge for evaluation or qualification purposes.</w:t>
      </w:r>
    </w:p>
    <w:p>
      <w:pPr>
        <w:spacing w:after="0" w:line="193" w:lineRule="exact"/>
        <w:rPr>
          <w:sz w:val="20"/>
          <w:szCs w:val="20"/>
          <w:color w:val="auto"/>
        </w:rPr>
      </w:pPr>
    </w:p>
    <w:p>
      <w:pPr>
        <w:ind w:left="680" w:hanging="677"/>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defective occurs. Factors that affect the Company’s warranty liability include the historical and anticipated rates of warranty claims and cost to repair. While the Company believes that its warranty accrual is adequate, the actual warranty costs may exceed the accrual, cost of sales will increase in the future. As of December 31, 2016 and 2015, the amount of accrued warranty was $705,000 and $412,000, respectively.</w:t>
      </w:r>
    </w:p>
    <w:p>
      <w:pPr>
        <w:spacing w:after="0" w:line="189" w:lineRule="exact"/>
        <w:rPr>
          <w:sz w:val="20"/>
          <w:szCs w:val="20"/>
          <w:color w:val="auto"/>
        </w:rPr>
      </w:pPr>
    </w:p>
    <w:p>
      <w:pPr>
        <w:ind w:left="720" w:hanging="717"/>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Advertising costs are charged to operations as incurred and amounted to approximately $157,000, $104,000 and $100,000 for the years ended December 31, 2016, 2015 and 2014, respectively.</w:t>
      </w:r>
    </w:p>
    <w:p>
      <w:pPr>
        <w:spacing w:after="0" w:line="170" w:lineRule="exact"/>
        <w:rPr>
          <w:sz w:val="20"/>
          <w:szCs w:val="20"/>
          <w:color w:val="auto"/>
        </w:rPr>
      </w:pPr>
    </w:p>
    <w:p>
      <w:pPr>
        <w:ind w:left="680" w:hanging="677"/>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Research and development costs are charged to operations as incurred. The Company receives reimbursement for certain development costs, which are capitalized when incurred, up to the reimbursable amount.</w:t>
      </w:r>
    </w:p>
    <w:p>
      <w:pPr>
        <w:spacing w:after="0" w:line="147" w:lineRule="exact"/>
        <w:rPr>
          <w:sz w:val="20"/>
          <w:szCs w:val="20"/>
          <w:color w:val="auto"/>
        </w:rPr>
      </w:pPr>
    </w:p>
    <w:p>
      <w:pPr>
        <w:ind w:left="720" w:hanging="717"/>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the Company’s tax returns.</w:t>
      </w:r>
    </w:p>
    <w:p>
      <w:pPr>
        <w:spacing w:after="0" w:line="173"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it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recognizes the largest amount of tax benefit that is more than 50 percent likely to be realized upon ultimate settlement with the related tax authority.</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81" w:lineRule="exact"/>
        <w:rPr>
          <w:sz w:val="20"/>
          <w:szCs w:val="20"/>
          <w:color w:val="auto"/>
        </w:rPr>
      </w:pPr>
    </w:p>
    <w:p>
      <w:pPr>
        <w:ind w:left="680" w:hanging="677"/>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New Accounting Standards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Restricted Cash,</w:t>
      </w:r>
      <w:r>
        <w:rPr>
          <w:rFonts w:ascii="Arial" w:cs="Arial" w:eastAsia="Arial" w:hAnsi="Arial"/>
          <w:sz w:val="18"/>
          <w:szCs w:val="18"/>
          <w:color w:val="auto"/>
        </w:rPr>
        <w:t xml:space="preserve"> providing guidance on the presentation of restricted cash or restricted cash equivalents in the statement of cash flows. ASU 2016-18 is effective for interim and annual periods beginning after December 31, 2017, with early adoption permitted. The amendments in this ASU would be applied using a retrospective approach. The Company is evaluating the impact of the accounting standard on the financial statements.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Cash Receipts and Cash Payments</w:t>
      </w:r>
      <w:r>
        <w:rPr>
          <w:rFonts w:ascii="Arial" w:cs="Arial" w:eastAsia="Arial" w:hAnsi="Arial"/>
          <w:sz w:val="17"/>
          <w:szCs w:val="17"/>
          <w:color w:val="auto"/>
        </w:rPr>
        <w:t>. The ASU update addresses eight specific cash flow issues that currently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diverse practices, including debt prepayment or debt extinguishment costs, contingent consideration payments made after a business combination and separately identifiable cash flows and applicable of the predominance principle. ASU 2016-15 is effective for interim and annual periods beginning after December 31, 2017, with early adoption permitted. The Company is evaluating the impact of the accounting standard on the financial statements.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to simplify several aspects of accounting for share-based payment transactions, including the following areas: accounting for excess tax benefits and tax deficiencies; classifying excess tax benefits on the statement of cash flows; accounting for forfeitures; classifying awards that permit share repurchases to satisfy statutory tax withholding requirements; classifying tax payments on behalf of employees on the statement of cash flows; and, for nonpublic entities only, determining the expected term and electing the intrinsic value measurement alternative for stock option awards. The new guidance is effective for public business entities in fiscal years beginning after December 15, 2016, and in the interim periods within those fiscal years. The guidance requires a mix of prospective, modified retrospective and retrospective transition. The Company expects to recognize approximately $1.3 million of windfall tax benefits as a cumulative effect adjustment to opening retained earnings in the first quarter of 2017 upon adoption of ASU 2016-09. .</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On February 25, 2016, the FASB released Accounting Standards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 complete its project to overhaul lease accounting. The ASU codifies ASC 842, Leases, which will replace the guidance in ASC 840. The new guidance will require lessees to recognize most leases on the balance sheet for capital and operating leases. The new guidance is effective for public business entities in fiscal years beginning after December 15, 2018. The Company is evaluating the impact of the accounting standard on its financial statements, by reviewing the standard itself as well as reviewing literature about the new standard produced by nationally-recognized accounting firms and other third parties.</w:t>
      </w:r>
    </w:p>
    <w:p>
      <w:pPr>
        <w:spacing w:after="0" w:line="165"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 xml:space="preserve">The FASB issued ASU No. 2016-01,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Financial Assets and Financial Liabilities. </w:t>
      </w:r>
      <w:r>
        <w:rPr>
          <w:rFonts w:ascii="Arial" w:cs="Arial" w:eastAsia="Arial" w:hAnsi="Arial"/>
          <w:sz w:val="17"/>
          <w:szCs w:val="17"/>
          <w:color w:val="auto"/>
        </w:rPr>
        <w:t>The new guidance is intended to improve the recognition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of financial instruments. The ASU affects public and private companies, not-for-profit organizations, and employee benefit plans that hold financial assets or owe financial liabilities. The new guidance is effective for public companies for fiscal years beginning after December 15, 2017, including interim periods within those fiscal years. The Company is evaluating the impact of the accounting standard on its financial statements.</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during November 2015</w:t>
      </w:r>
      <w:r>
        <w:rPr>
          <w:rFonts w:ascii="Arial" w:cs="Arial" w:eastAsia="Arial" w:hAnsi="Arial"/>
          <w:sz w:val="16"/>
          <w:szCs w:val="16"/>
          <w:i w:val="1"/>
          <w:iCs w:val="1"/>
          <w:color w:val="auto"/>
        </w:rPr>
        <w:t>,</w:t>
      </w:r>
      <w:r>
        <w:rPr>
          <w:rFonts w:ascii="Arial" w:cs="Arial" w:eastAsia="Arial" w:hAnsi="Arial"/>
          <w:sz w:val="16"/>
          <w:szCs w:val="16"/>
          <w:color w:val="auto"/>
        </w:rPr>
        <w:t xml:space="preserve"> which simplifies the presentation of deferred income taxes. This ASU provides presentation requirements to classify deferred tax assets and liabilities as noncurrent in a statement of financial position. The standard is effective for fiscal years beginning after December 15, 2016, including interim periods within that reporting period. Early adoption is permitted for any interim and annual financial statements that have not yet been issued. The ASU may be applied either prospectively to all deferred tax liabilities and assets or retrospectively to all periods presented. We early adopted this standard effective December 31, 2015 on a retrospective basis which resulted in a reclassification of our net current deferred tax asset to the net non-current deferred tax asset as of December 31, 2015.</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adoption of this ASU had no impact on the balance sheet or income statement as the Company had a full valuation allowance as of December 31, 2015.</w:t>
      </w:r>
    </w:p>
    <w:p>
      <w:pPr>
        <w:spacing w:after="0" w:line="170"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 xml:space="preserve">The FASB issued ASU No. 2015-11, </w:t>
      </w:r>
      <w:r>
        <w:rPr>
          <w:rFonts w:ascii="Arial" w:cs="Arial" w:eastAsia="Arial" w:hAnsi="Arial"/>
          <w:sz w:val="16"/>
          <w:szCs w:val="16"/>
          <w:i w:val="1"/>
          <w:iCs w:val="1"/>
          <w:color w:val="auto"/>
        </w:rPr>
        <w:t>Inventory</w:t>
      </w:r>
      <w:r>
        <w:rPr>
          <w:rFonts w:ascii="Arial" w:cs="Arial" w:eastAsia="Arial" w:hAnsi="Arial"/>
          <w:sz w:val="16"/>
          <w:szCs w:val="16"/>
          <w:color w:val="auto"/>
        </w:rPr>
        <w:t xml:space="preserve"> in July 2015 to require entity to measure inventory at the lower of cost or market. Market could be replacement cost, net realizable value, or net realizable value less an approximately normal profit margin. The Company early adopted this ASU which had no material impact on the financial statements.</w:t>
      </w:r>
    </w:p>
    <w:p>
      <w:pPr>
        <w:spacing w:after="0" w:line="14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 - Imputation of Interest (Subtopic 835-30):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Presentation of Debt Issuance Costs, </w:t>
      </w:r>
      <w:r>
        <w:rPr>
          <w:rFonts w:ascii="Arial" w:cs="Arial" w:eastAsia="Arial" w:hAnsi="Arial"/>
          <w:sz w:val="17"/>
          <w:szCs w:val="17"/>
          <w:color w:val="auto"/>
        </w:rPr>
        <w:t>which requires the presentation of debt issuance costs related to a recognized debt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as a direct deduction from the carrying amount of that debt liability. ASU 2015-03 does not address presentation or subsequent measurement of debt issuance costs related to line-of-credit arrangements. Given the absence of authoritative guidance within ASU 2015-03 for debt issuance costs related to line-of-credit arrangements,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early adopted this ASU which had no material impact on the financial statements.</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The Company continues to evaluate the impact of the accounting standard on its financial statements. In order to determine the effect of the new standard, during 2016 the Company attended live and web-based training sessions hosted by experts on the new standard, identified key areas in our business that could be affected by the standard and hosted internal training sessions on the new standard for accounting staff. The Company has also began to evaluate its internal controls framework to identify any new controls that may be necessary to comply with the new standard. Although this determination is subject to change as the Company continues to evaluate the new standard, based on our review to date, the Company does not believe that the new standard will have a material effect on our financial statements. The Company plans to adopt the new standards after December 15, 2017.</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highlight w:val="white"/>
        </w:rPr>
        <w:t>Disclosure of Uncertainties About an Entity's Ability to</w:t>
      </w:r>
      <w:r>
        <w:rPr>
          <w:rFonts w:ascii="Arial" w:cs="Arial" w:eastAsia="Arial" w:hAnsi="Arial"/>
          <w:sz w:val="17"/>
          <w:szCs w:val="17"/>
          <w:color w:val="auto"/>
        </w:rPr>
        <w:t xml:space="preserve"> </w:t>
      </w:r>
      <w:r>
        <w:rPr>
          <w:rFonts w:ascii="Arial" w:cs="Arial" w:eastAsia="Arial" w:hAnsi="Arial"/>
          <w:sz w:val="17"/>
          <w:szCs w:val="17"/>
          <w:i w:val="1"/>
          <w:iCs w:val="1"/>
          <w:color w:val="auto"/>
          <w:highlight w:val="white"/>
        </w:rPr>
        <w:t xml:space="preserve">Continue as a Going Concern (Subtopic 205-40), </w:t>
      </w:r>
      <w:r>
        <w:rPr>
          <w:rFonts w:ascii="Arial" w:cs="Arial" w:eastAsia="Arial" w:hAnsi="Arial"/>
          <w:sz w:val="17"/>
          <w:szCs w:val="17"/>
          <w:color w:val="auto"/>
          <w:highlight w:val="white"/>
        </w:rPr>
        <w:t>which provides guidance on determining when and how to disclose going</w:t>
      </w:r>
      <w:r>
        <w:rPr>
          <w:rFonts w:ascii="Arial" w:cs="Arial" w:eastAsia="Arial" w:hAnsi="Arial"/>
          <w:sz w:val="17"/>
          <w:szCs w:val="17"/>
          <w:i w:val="1"/>
          <w:iCs w:val="1"/>
          <w:color w:val="auto"/>
          <w:highlight w:val="white"/>
        </w:rPr>
        <w:t xml:space="preserve"> </w:t>
      </w:r>
      <w:r>
        <w:rPr>
          <w:rFonts w:ascii="Arial" w:cs="Arial" w:eastAsia="Arial" w:hAnsi="Arial"/>
          <w:sz w:val="17"/>
          <w:szCs w:val="17"/>
          <w:color w:val="auto"/>
          <w:highlight w:val="white"/>
        </w:rPr>
        <w:t>concern uncertainties in the financial statements. The new standard requires management to perform interim and annual assessments of an entity's ability to continue as a going concern. The update is effective for annual periods ending after December 15, 2016, and interim periods thereafter. In the fourth quarter of 2016, the Company adopted this ASU, which resulted in a determination that no going concern disclosure is needed at this time.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C—EARNINGS PER SHARE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Basic net income per share has been computed using the weighted-average number of shares of common stock outstanding during the period. Diluted net income per share has been computed using the weighted-average number of shares of common stock and dilutive potential common shares from options, restricted stock units and warrants outstanding during the period. In periods with net losses, normally dilutive shares become anti-dilutive. Therefore, basic and dilutive earnings per share are the same.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0"/>
        </w:trPr>
        <w:tc>
          <w:tcPr>
            <w:tcW w:w="5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60" w:type="dxa"/>
            <w:vAlign w:val="bottom"/>
            <w:gridSpan w:val="11"/>
          </w:tcPr>
          <w:p>
            <w:pPr>
              <w:spacing w:after="0"/>
              <w:rPr>
                <w:sz w:val="20"/>
                <w:szCs w:val="20"/>
                <w:color w:val="auto"/>
              </w:rPr>
            </w:pPr>
            <w:r>
              <w:rPr>
                <w:rFonts w:ascii="Arial" w:cs="Arial" w:eastAsia="Arial" w:hAnsi="Arial"/>
                <w:sz w:val="18"/>
                <w:szCs w:val="18"/>
                <w:b w:val="1"/>
                <w:bCs w:val="1"/>
                <w:color w:val="auto"/>
                <w:w w:val="85"/>
              </w:rPr>
              <w:t>(in thousands, except per share data)</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3"/>
          </w:tcPr>
          <w:p>
            <w:pPr>
              <w:ind w:left="1020"/>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31,234</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10,793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8"/>
                <w:szCs w:val="18"/>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9"/>
              </w:rPr>
              <w:t>Weighted average shares used to compute net income per share</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14,307</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Effective of dilutive options, restricted stock units and warrants</w:t>
            </w:r>
          </w:p>
        </w:tc>
        <w:tc>
          <w:tcPr>
            <w:tcW w:w="4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tcPr>
          <w:p>
            <w:pPr>
              <w:spacing w:after="0"/>
              <w:rPr>
                <w:sz w:val="18"/>
                <w:szCs w:val="18"/>
                <w:color w:val="auto"/>
              </w:rPr>
            </w:pPr>
          </w:p>
        </w:tc>
      </w:tr>
      <w:tr>
        <w:trPr>
          <w:trHeight w:val="21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17,713</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15,187</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income per share</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14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Diluted</w:t>
            </w:r>
          </w:p>
        </w:tc>
        <w:tc>
          <w:tcPr>
            <w:tcW w:w="1140" w:type="dxa"/>
            <w:vAlign w:val="bottom"/>
            <w:gridSpan w:val="3"/>
          </w:tcPr>
          <w:p>
            <w:pPr>
              <w:ind w:left="1020"/>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r>
      <w:tr>
        <w:trPr>
          <w:trHeight w:val="661"/>
        </w:trPr>
        <w:tc>
          <w:tcPr>
            <w:tcW w:w="5160" w:type="dxa"/>
            <w:vAlign w:val="bottom"/>
          </w:tcPr>
          <w:p>
            <w:pPr>
              <w:spacing w:after="0"/>
              <w:rPr>
                <w:sz w:val="20"/>
                <w:szCs w:val="20"/>
                <w:color w:val="auto"/>
              </w:rPr>
            </w:pPr>
            <w:r>
              <w:rPr>
                <w:rFonts w:ascii="Arial" w:cs="Arial" w:eastAsia="Arial" w:hAnsi="Arial"/>
                <w:sz w:val="18"/>
                <w:szCs w:val="18"/>
                <w:b w:val="1"/>
                <w:bCs w:val="1"/>
                <w:color w:val="auto"/>
              </w:rPr>
              <w:t>NOTE D—INVENTORIES</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6300" w:type="dxa"/>
            <w:vAlign w:val="bottom"/>
            <w:gridSpan w:val="4"/>
          </w:tcPr>
          <w:p>
            <w:pPr>
              <w:ind w:left="660"/>
              <w:spacing w:after="0"/>
              <w:rPr>
                <w:sz w:val="20"/>
                <w:szCs w:val="20"/>
                <w:color w:val="auto"/>
              </w:rPr>
            </w:pPr>
            <w:r>
              <w:rPr>
                <w:rFonts w:ascii="Arial" w:cs="Arial" w:eastAsia="Arial" w:hAnsi="Arial"/>
                <w:sz w:val="18"/>
                <w:szCs w:val="18"/>
                <w:color w:val="auto"/>
                <w:w w:val="98"/>
              </w:rPr>
              <w:t>At December 31, 2016 and 2015, inventories consisted of the following:</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$ 21,518</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$ 22,240</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24,334</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30,766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13,232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5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51,817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66,238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For the years ended December 31, 2016, 2015 and 2014, the lower of cost or market adjustment expensed for inventory was $3.7 million, $2.8 million and $0.9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E—PROPERTY, PLANT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2016 and 2015, property, plant and equipment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r>
      <w:tr>
        <w:trPr>
          <w:trHeight w:val="142"/>
        </w:trPr>
        <w:tc>
          <w:tcPr>
            <w:tcW w:w="5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tcPr>
          <w:p>
            <w:pPr>
              <w:jc w:val="right"/>
              <w:ind w:right="351"/>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27,255</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108,724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88,882</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equipment</w:t>
            </w:r>
          </w:p>
        </w:tc>
        <w:tc>
          <w:tcPr>
            <w:tcW w:w="1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r>
      <w:tr>
        <w:trPr>
          <w:trHeight w:val="210"/>
        </w:trPr>
        <w:tc>
          <w:tcPr>
            <w:tcW w:w="5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190,183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125,331</w:t>
            </w:r>
          </w:p>
        </w:tc>
      </w:tr>
      <w:tr>
        <w:trPr>
          <w:trHeight w:val="216"/>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(49,175)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(37,970)</w:t>
            </w:r>
          </w:p>
        </w:tc>
      </w:tr>
      <w:tr>
        <w:trPr>
          <w:trHeight w:val="210"/>
        </w:trPr>
        <w:tc>
          <w:tcPr>
            <w:tcW w:w="53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21,237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144,098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109,699</w:t>
            </w: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years ended December 31, 2016, 2015 and 2014, depreciation expense of property, plant and equipment was $13.7 million $9.0 million and $5.8 million, respectively.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year ended December 31, 2016 and 2015, there was $0.0 million and $0.1 million of capitalized interest recorded in construction in progress,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2016 and 2015, intangible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40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120" w:type="dxa"/>
            <w:vAlign w:val="bottom"/>
            <w:gridSpan w:val="4"/>
          </w:tcPr>
          <w:p>
            <w:pPr>
              <w:ind w:left="180"/>
              <w:spacing w:after="0" w:line="119" w:lineRule="exact"/>
              <w:rPr>
                <w:sz w:val="20"/>
                <w:szCs w:val="20"/>
                <w:color w:val="auto"/>
              </w:rPr>
            </w:pPr>
            <w:r>
              <w:rPr>
                <w:rFonts w:ascii="Arial" w:cs="Arial" w:eastAsia="Arial" w:hAnsi="Arial"/>
                <w:sz w:val="13"/>
                <w:szCs w:val="13"/>
                <w:b w:val="1"/>
                <w:bCs w:val="1"/>
                <w:color w:val="auto"/>
              </w:rPr>
              <w:t>Accumulated</w:t>
            </w: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Intangible</w:t>
            </w:r>
          </w:p>
        </w:tc>
        <w:tc>
          <w:tcPr>
            <w:tcW w:w="120" w:type="dxa"/>
            <w:vAlign w:val="bottom"/>
          </w:tcPr>
          <w:p>
            <w:pPr>
              <w:spacing w:after="0"/>
              <w:rPr>
                <w:sz w:val="10"/>
                <w:szCs w:val="10"/>
                <w:color w:val="auto"/>
              </w:rPr>
            </w:pPr>
          </w:p>
        </w:tc>
      </w:tr>
      <w:tr>
        <w:trPr>
          <w:trHeight w:val="171"/>
        </w:trPr>
        <w:tc>
          <w:tcPr>
            <w:tcW w:w="4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assets, net</w:t>
            </w:r>
          </w:p>
        </w:tc>
      </w:tr>
      <w:tr>
        <w:trPr>
          <w:trHeight w:val="142"/>
        </w:trPr>
        <w:tc>
          <w:tcPr>
            <w:tcW w:w="4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$ 5,987</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$ 3,990</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Trademarks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7"/>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$ 6,001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78"/>
        </w:trPr>
        <w:tc>
          <w:tcPr>
            <w:tcW w:w="40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40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120" w:type="dxa"/>
            <w:vAlign w:val="bottom"/>
            <w:gridSpan w:val="4"/>
          </w:tcPr>
          <w:p>
            <w:pPr>
              <w:ind w:left="180"/>
              <w:spacing w:after="0" w:line="119" w:lineRule="exact"/>
              <w:rPr>
                <w:sz w:val="20"/>
                <w:szCs w:val="20"/>
                <w:color w:val="auto"/>
              </w:rPr>
            </w:pPr>
            <w:r>
              <w:rPr>
                <w:rFonts w:ascii="Arial" w:cs="Arial" w:eastAsia="Arial" w:hAnsi="Arial"/>
                <w:sz w:val="13"/>
                <w:szCs w:val="13"/>
                <w:b w:val="1"/>
                <w:bCs w:val="1"/>
                <w:color w:val="auto"/>
              </w:rPr>
              <w:t>Accumulated</w:t>
            </w: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Intangible</w:t>
            </w:r>
          </w:p>
        </w:tc>
        <w:tc>
          <w:tcPr>
            <w:tcW w:w="120" w:type="dxa"/>
            <w:vAlign w:val="bottom"/>
          </w:tcPr>
          <w:p>
            <w:pPr>
              <w:spacing w:after="0"/>
              <w:rPr>
                <w:sz w:val="10"/>
                <w:szCs w:val="10"/>
                <w:color w:val="auto"/>
              </w:rPr>
            </w:pPr>
          </w:p>
        </w:tc>
      </w:tr>
      <w:tr>
        <w:trPr>
          <w:trHeight w:val="171"/>
        </w:trPr>
        <w:tc>
          <w:tcPr>
            <w:tcW w:w="4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assets, net</w:t>
            </w:r>
          </w:p>
        </w:tc>
      </w:tr>
      <w:tr>
        <w:trPr>
          <w:trHeight w:val="142"/>
        </w:trPr>
        <w:tc>
          <w:tcPr>
            <w:tcW w:w="4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$ 5,446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$ 3,895</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Trademarks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r>
      <w:tr>
        <w:trPr>
          <w:trHeight w:val="217"/>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$ 5,460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60" w:firstLine="648"/>
        <w:spacing w:after="0" w:line="290" w:lineRule="auto"/>
        <w:rPr>
          <w:sz w:val="20"/>
          <w:szCs w:val="20"/>
          <w:color w:val="auto"/>
        </w:rPr>
      </w:pPr>
      <w:r>
        <w:rPr>
          <w:rFonts w:ascii="Arial" w:cs="Arial" w:eastAsia="Arial" w:hAnsi="Arial"/>
          <w:sz w:val="16"/>
          <w:szCs w:val="16"/>
          <w:color w:val="auto"/>
        </w:rPr>
        <w:t>In 2014, the Company acquired an intangible asset from an unrelated company in the form of a license to various patents related to transceiver product technology. The weighted-average amortization period for the license is 10 years.</w:t>
      </w:r>
    </w:p>
    <w:p>
      <w:pPr>
        <w:spacing w:after="0" w:line="1" w:lineRule="exact"/>
        <w:rPr>
          <w:sz w:val="20"/>
          <w:szCs w:val="20"/>
          <w:color w:val="auto"/>
        </w:rPr>
      </w:pPr>
    </w:p>
    <w:p>
      <w:pPr>
        <w:ind w:right="60" w:firstLine="648"/>
        <w:spacing w:after="0" w:line="241" w:lineRule="auto"/>
        <w:rPr>
          <w:sz w:val="20"/>
          <w:szCs w:val="20"/>
          <w:color w:val="auto"/>
        </w:rPr>
      </w:pPr>
      <w:r>
        <w:rPr>
          <w:rFonts w:ascii="Arial" w:cs="Arial" w:eastAsia="Arial" w:hAnsi="Arial"/>
          <w:sz w:val="20"/>
          <w:szCs w:val="20"/>
          <w:color w:val="auto"/>
        </w:rPr>
        <w:t>For the years ended December 31, 2016, 2015 and 2014, amortization expense for intangible assets, included in general and administrative expenses on the income statement, was $0.5 million, $0.4 million and $0.4 million, respectively. The remaining weighted average amortization period for intangible assets is approximately 8.6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December 31, 2016, approximate amortization expense for intangible assets was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2018</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2020</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8"/>
                <w:szCs w:val="18"/>
                <w:color w:val="auto"/>
              </w:rPr>
            </w:pPr>
          </w:p>
        </w:tc>
      </w:tr>
      <w:tr>
        <w:trPr>
          <w:trHeight w:val="21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1,662</w:t>
            </w:r>
          </w:p>
        </w:tc>
        <w:tc>
          <w:tcPr>
            <w:tcW w:w="120" w:type="dxa"/>
            <w:vAlign w:val="bottom"/>
            <w:tcBorders>
              <w:bottom w:val="single" w:sz="8" w:color="CCEEFF"/>
            </w:tcBorders>
          </w:tcPr>
          <w:p>
            <w:pPr>
              <w:spacing w:after="0"/>
              <w:rPr>
                <w:sz w:val="18"/>
                <w:szCs w:val="18"/>
                <w:color w:val="auto"/>
              </w:rPr>
            </w:pPr>
          </w:p>
        </w:tc>
      </w:tr>
      <w:tr>
        <w:trPr>
          <w:trHeight w:val="217"/>
        </w:trPr>
        <w:tc>
          <w:tcPr>
            <w:tcW w:w="362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3,993</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G—FAIR VALUE OF FINANCIAL INSTRUMENTS</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2016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Quoted prices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 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Significant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identical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2780" w:type="dxa"/>
            <w:vAlign w:val="bottom"/>
            <w:gridSpan w:val="4"/>
          </w:tcPr>
          <w:p>
            <w:pPr>
              <w:jc w:val="center"/>
              <w:ind w:left="1616"/>
              <w:spacing w:after="0"/>
              <w:rPr>
                <w:sz w:val="20"/>
                <w:szCs w:val="20"/>
                <w:color w:val="auto"/>
              </w:rPr>
            </w:pPr>
            <w:r>
              <w:rPr>
                <w:rFonts w:ascii="Arial" w:cs="Arial" w:eastAsia="Arial" w:hAnsi="Arial"/>
                <w:sz w:val="14"/>
                <w:szCs w:val="14"/>
                <w:b w:val="1"/>
                <w:bCs w:val="1"/>
                <w:color w:val="auto"/>
                <w:w w:val="88"/>
              </w:rPr>
              <w:t>assets (Level 1)</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inputs (Level 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50,224</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50,224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Arial" w:cs="Arial" w:eastAsia="Arial" w:hAnsi="Arial"/>
                <w:sz w:val="18"/>
                <w:szCs w:val="18"/>
                <w:color w:val="auto"/>
              </w:rPr>
              <w:t>Short term investments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52,008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 acceptance payable</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Total liabilities</w:t>
            </w:r>
          </w:p>
        </w:tc>
        <w:tc>
          <w:tcPr>
            <w:tcW w:w="17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160" w:type="dxa"/>
            <w:vAlign w:val="bottom"/>
          </w:tcPr>
          <w:p>
            <w:pPr>
              <w:spacing w:after="0"/>
              <w:rPr>
                <w:sz w:val="24"/>
                <w:szCs w:val="24"/>
                <w:color w:val="auto"/>
              </w:rPr>
            </w:pPr>
          </w:p>
        </w:tc>
        <w:tc>
          <w:tcPr>
            <w:tcW w:w="1860" w:type="dxa"/>
            <w:vAlign w:val="bottom"/>
            <w:gridSpan w:val="2"/>
          </w:tcPr>
          <w:p>
            <w:pPr>
              <w:jc w:val="right"/>
              <w:ind w:right="206"/>
              <w:spacing w:after="0"/>
              <w:rPr>
                <w:sz w:val="20"/>
                <w:szCs w:val="20"/>
                <w:color w:val="auto"/>
              </w:rPr>
            </w:pPr>
            <w:r>
              <w:rPr>
                <w:rFonts w:ascii="Arial" w:cs="Arial" w:eastAsia="Arial" w:hAnsi="Arial"/>
                <w:sz w:val="18"/>
                <w:szCs w:val="18"/>
                <w:color w:val="auto"/>
              </w:rPr>
              <w:t>F - 16</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Quoted prices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 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identical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100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assets (Level 1)</w:t>
            </w:r>
          </w:p>
        </w:tc>
        <w:tc>
          <w:tcPr>
            <w:tcW w:w="11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inputs (Level 2)</w:t>
            </w:r>
          </w:p>
        </w:tc>
        <w:tc>
          <w:tcPr>
            <w:tcW w:w="1020" w:type="dxa"/>
            <w:vAlign w:val="bottom"/>
            <w:gridSpan w:val="7"/>
          </w:tcPr>
          <w:p>
            <w:pPr>
              <w:ind w:left="20"/>
              <w:spacing w:after="0"/>
              <w:rPr>
                <w:sz w:val="20"/>
                <w:szCs w:val="20"/>
                <w:color w:val="auto"/>
              </w:rPr>
            </w:pPr>
            <w:r>
              <w:rPr>
                <w:rFonts w:ascii="Arial" w:cs="Arial" w:eastAsia="Arial" w:hAnsi="Arial"/>
                <w:sz w:val="14"/>
                <w:szCs w:val="14"/>
                <w:b w:val="1"/>
                <w:bCs w:val="1"/>
                <w:color w:val="auto"/>
                <w:w w:val="95"/>
              </w:rPr>
              <w:t>inputs (Level 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28,074</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9"/>
              </w:rPr>
              <w:t>$ 28,074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Short term investments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40,679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0" w:type="dxa"/>
            <w:vAlign w:val="bottom"/>
          </w:tcPr>
          <w:p>
            <w:pPr>
              <w:spacing w:after="0" w:line="189" w:lineRule="exact"/>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Bank acceptance payable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NOTE H—NOTES PAYABLE AND LONG-TERM DEBT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gridSpan w:val="16"/>
          </w:tcPr>
          <w:p>
            <w:pPr>
              <w:ind w:left="640"/>
              <w:spacing w:after="0"/>
              <w:rPr>
                <w:sz w:val="20"/>
                <w:szCs w:val="20"/>
                <w:color w:val="auto"/>
              </w:rPr>
            </w:pPr>
            <w:r>
              <w:rPr>
                <w:rFonts w:ascii="Arial" w:cs="Arial" w:eastAsia="Arial" w:hAnsi="Arial"/>
                <w:sz w:val="18"/>
                <w:szCs w:val="18"/>
                <w:color w:val="auto"/>
                <w:w w:val="93"/>
              </w:rPr>
              <w:t>Notes payable and long-term debt consisted of the following for the periods indicated (in thousands):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8"/>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ind w:right="51"/>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2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w w:val="93"/>
              </w:rPr>
              <w:t>Revolving line of credit with a U.S. bank up to $25,000 with interest at LIBOR plus</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 maturing June 30, 2018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23,000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9"/>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LIBOR plus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maturing July 31, 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2,925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LIBOR plus 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maturing June 30, 2020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9"/>
          </w:tcPr>
          <w:p>
            <w:pPr>
              <w:spacing w:after="0" w:line="201" w:lineRule="exact"/>
              <w:rPr>
                <w:sz w:val="20"/>
                <w:szCs w:val="20"/>
                <w:color w:val="auto"/>
              </w:rPr>
            </w:pPr>
            <w:r>
              <w:rPr>
                <w:rFonts w:ascii="Arial" w:cs="Arial" w:eastAsia="Arial" w:hAnsi="Arial"/>
                <w:sz w:val="18"/>
                <w:szCs w:val="18"/>
                <w:color w:val="auto"/>
                <w:w w:val="94"/>
              </w:rPr>
              <w:t>Term loan with a U.S. bank with monthly payments of principal and interest at LIBOR plus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maturing January 26, 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21,670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8,588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8"/>
              </w:rPr>
              <w:t>Revolving line of credit with a Taiwan bank up to $10,333 with interest based on the bank's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corporate interest rate index+ 1.5%, or 1.7%, matured on November 30, 2016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9"/>
          </w:tcPr>
          <w:p>
            <w:pPr>
              <w:spacing w:after="0" w:line="201" w:lineRule="exact"/>
              <w:rPr>
                <w:sz w:val="20"/>
                <w:szCs w:val="20"/>
                <w:color w:val="auto"/>
              </w:rPr>
            </w:pPr>
            <w:r>
              <w:rPr>
                <w:rFonts w:ascii="Arial" w:cs="Arial" w:eastAsia="Arial" w:hAnsi="Arial"/>
                <w:sz w:val="18"/>
                <w:szCs w:val="18"/>
                <w:color w:val="auto"/>
                <w:w w:val="95"/>
              </w:rPr>
              <w:t>Revolving line of credit with a Taiwan bank up to $6,600 with interest at Taiwan deposit index</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w w:val="95"/>
              </w:rPr>
              <w:t>plus 0.41% or LIBOR plus 1.7%, maturing on February 6, 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5"/>
              </w:rPr>
              <w:t>Revolving line of credit with a Taiwan bank up to $6,000 with interest at Taiwan Time Deposit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Interest Rate Index plus 1% or LIBOR plus 1%, matured on November 27, 2016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9"/>
          </w:tcPr>
          <w:p>
            <w:pPr>
              <w:spacing w:after="0" w:line="201" w:lineRule="exact"/>
              <w:rPr>
                <w:sz w:val="20"/>
                <w:szCs w:val="20"/>
                <w:color w:val="auto"/>
              </w:rPr>
            </w:pPr>
            <w:r>
              <w:rPr>
                <w:rFonts w:ascii="Arial" w:cs="Arial" w:eastAsia="Arial" w:hAnsi="Arial"/>
                <w:sz w:val="18"/>
                <w:szCs w:val="18"/>
                <w:color w:val="auto"/>
                <w:w w:val="95"/>
              </w:rPr>
              <w:t>Revolving line of credit with the Taiwan branch of a China bank up to $10,000 with interest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20" w:type="dxa"/>
            <w:vAlign w:val="bottom"/>
            <w:gridSpan w:val="10"/>
          </w:tcPr>
          <w:p>
            <w:pPr>
              <w:spacing w:after="0"/>
              <w:rPr>
                <w:sz w:val="20"/>
                <w:szCs w:val="20"/>
                <w:color w:val="auto"/>
              </w:rPr>
            </w:pPr>
            <w:r>
              <w:rPr>
                <w:rFonts w:ascii="Arial" w:cs="Arial" w:eastAsia="Arial" w:hAnsi="Arial"/>
                <w:sz w:val="18"/>
                <w:szCs w:val="18"/>
                <w:color w:val="auto"/>
              </w:rPr>
              <w:t>LIBOR plus 1.5% or Taiwan Interbank Offered Rate plus 0.9%, maturing March 15,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4.5% interest, maturing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May 27, 2018 and June 30, 2018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9"/>
          </w:tcPr>
          <w:p>
            <w:pPr>
              <w:spacing w:after="0" w:line="201" w:lineRule="exact"/>
              <w:rPr>
                <w:sz w:val="20"/>
                <w:szCs w:val="20"/>
                <w:color w:val="auto"/>
              </w:rPr>
            </w:pPr>
            <w:r>
              <w:rPr>
                <w:rFonts w:ascii="Arial" w:cs="Arial" w:eastAsia="Arial" w:hAnsi="Arial"/>
                <w:sz w:val="18"/>
                <w:szCs w:val="18"/>
                <w:color w:val="auto"/>
                <w:w w:val="97"/>
              </w:rPr>
              <w:t>Notes payable to a finance company due in monthly installments with 4% interest, maturing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5,812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8"/>
              </w:rPr>
              <w:t>Revolving line of credit with a China bank up to $13,300 with interest of 3.15% for 3-month</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42,826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64,905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(30,908)</w:t>
            </w:r>
          </w:p>
        </w:tc>
        <w:tc>
          <w:tcPr>
            <w:tcW w:w="0" w:type="dxa"/>
            <w:vAlign w:val="bottom"/>
          </w:tcPr>
          <w:p>
            <w:pPr>
              <w:spacing w:after="0"/>
              <w:rPr>
                <w:sz w:val="1"/>
                <w:szCs w:val="1"/>
                <w:color w:val="auto"/>
              </w:rPr>
            </w:pPr>
          </w:p>
        </w:tc>
      </w:tr>
      <w:tr>
        <w:trPr>
          <w:trHeight w:val="217"/>
        </w:trPr>
        <w:tc>
          <w:tcPr>
            <w:tcW w:w="4820" w:type="dxa"/>
            <w:vAlign w:val="bottom"/>
            <w:gridSpan w:val="2"/>
          </w:tcPr>
          <w:p>
            <w:pPr>
              <w:spacing w:after="0"/>
              <w:rPr>
                <w:sz w:val="20"/>
                <w:szCs w:val="20"/>
                <w:color w:val="auto"/>
              </w:rPr>
            </w:pPr>
            <w:r>
              <w:rPr>
                <w:rFonts w:ascii="Arial" w:cs="Arial" w:eastAsia="Arial" w:hAnsi="Arial"/>
                <w:sz w:val="18"/>
                <w:szCs w:val="18"/>
                <w:color w:val="auto"/>
              </w:rPr>
              <w:t>Non-current portion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34,961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33,997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00" w:type="dxa"/>
            <w:vAlign w:val="bottom"/>
            <w:tcBorders>
              <w:bottom w:val="single" w:sz="8" w:color="auto"/>
            </w:tcBorders>
          </w:tcPr>
          <w:p>
            <w:pPr>
              <w:ind w:left="2720"/>
              <w:spacing w:after="0"/>
              <w:rPr>
                <w:sz w:val="20"/>
                <w:szCs w:val="20"/>
                <w:color w:val="auto"/>
              </w:rPr>
            </w:pPr>
            <w:r>
              <w:rPr>
                <w:rFonts w:ascii="Arial" w:cs="Arial" w:eastAsia="Arial" w:hAnsi="Arial"/>
                <w:sz w:val="14"/>
                <w:szCs w:val="14"/>
                <w:b w:val="1"/>
                <w:bCs w:val="1"/>
                <w:color w:val="auto"/>
                <w:w w:val="95"/>
              </w:rPr>
              <w:t>Bank Acceptance Notes Payable</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00" w:type="dxa"/>
            <w:vAlign w:val="bottom"/>
            <w:gridSpan w:val="9"/>
            <w:shd w:val="clear" w:color="auto" w:fill="CCEEFF"/>
          </w:tcPr>
          <w:p>
            <w:pPr>
              <w:spacing w:after="0" w:line="195" w:lineRule="exact"/>
              <w:rPr>
                <w:sz w:val="20"/>
                <w:szCs w:val="20"/>
                <w:color w:val="auto"/>
              </w:rPr>
            </w:pPr>
            <w:r>
              <w:rPr>
                <w:rFonts w:ascii="Arial" w:cs="Arial" w:eastAsia="Arial" w:hAnsi="Arial"/>
                <w:sz w:val="18"/>
                <w:szCs w:val="18"/>
                <w:color w:val="auto"/>
                <w:w w:val="88"/>
              </w:rPr>
              <w:t>Bank acceptance notes issued to vendors with a zero percent interest rate, a 30% guarantee deposit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of $638, and maturity dates ranging from January 2017 to March 2017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w w:val="93"/>
              </w:rPr>
              <w:t>307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December 31,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Maturities of notes payable and long-term debt are as follows for the future years ending December 31(in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2018</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2020</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 thereafter</w:t>
            </w:r>
          </w:p>
        </w:tc>
        <w:tc>
          <w:tcPr>
            <w:tcW w:w="2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18,346</w:t>
            </w:r>
          </w:p>
        </w:tc>
        <w:tc>
          <w:tcPr>
            <w:tcW w:w="100" w:type="dxa"/>
            <w:vAlign w:val="bottom"/>
            <w:tcBorders>
              <w:bottom w:val="single" w:sz="8" w:color="CCEEFF"/>
            </w:tcBorders>
          </w:tcPr>
          <w:p>
            <w:pPr>
              <w:spacing w:after="0"/>
              <w:rPr>
                <w:sz w:val="18"/>
                <w:szCs w:val="18"/>
                <w:color w:val="auto"/>
              </w:rPr>
            </w:pPr>
          </w:p>
        </w:tc>
      </w:tr>
      <w:tr>
        <w:trPr>
          <w:trHeight w:val="217"/>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2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42,826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June 24, 2016, the Company entered into a First Amendment to the Credit Agreement with East West Bank and Comerica Bank (“First Amendment”), a second lien deed of trust, multiple security agreements and promissory notes evidencing two credit facilities and a term loan originally entered into on June 30, 2015. The First Amendment increased the Company’s revolving lines of credit from $25 million to $40 million, which mature on June 30, 2018, and retains a $10.0 million term loan maturing on June 30, 2020. The First Amendment also provides for an additional $10.0 million equipment term loan with a one year drawdown period commencing on April 1, 2016 and maturing five years from the closing date of the First Amendment. The interest rate on these loans was lowered by the First Amendment from the LIBOR Borrowing Rate plus 2.75% or 3.0% to LIBOR Borrowing Rate plus 2.0%. As of December 31, 2016, no balance was outstanding under the revolving line of credit. As of December 31, 2016, $9.5 million was outstanding under the term loan.</w:t>
      </w:r>
    </w:p>
    <w:p>
      <w:pPr>
        <w:spacing w:after="0" w:line="16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Company also has a term loan with East West Bank of $5.0 million with monthly payments of principal and interest that matures on July 31, 2019. As of December 31, 2016, the outstanding balance was $2.9 million.</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June 24, 2016, the Company executed a Change in Terms Agreement, Notice of Final Agreement and Modification of the Construction Loan Agreement (“Modification Agreement”) to the Construction Loan Agreement with East West Bank for up to $22.0 million dollars to finance the construction of the Company’s campus expansion plan in Sugar Land, Texas, originally dated January 26, 2015. Upon signing the original Construction Loan Agreement, the Company deposited $11.0 million into a restricted bank account for owner’s contribution of construction costs. The Modification Agreement has a fifteen-month draw down period with monthly interest payments commencing on February 26, 2015 and ending on July 31, 2016. Thereafter, the entire outstanding principal balance shall be converted to a sixty-six month term loan with principal and interest payments due monthly amortized over three hundred months. The first principal and interest payment commenced on August 26, 2016, and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Construction Loan Agreement, the loan bears interest at an annual rate based on the one-month LIBOR Borrowing Rate plus 2.75%, and the interest rate is reduced to LIBOR Borrowing Rate plus 2.0% under the Modification Agreement.</w:t>
      </w:r>
    </w:p>
    <w:p>
      <w:pPr>
        <w:spacing w:after="0" w:line="175"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On September 27, 2016, the Company executed a Change in Terms Agreement, Notice of Final Agreement and Second Modification to the Construction Loan Agreement (“Second Modifications”) to the Construction Loan Agreement with East West Bank. The Second Modifications amends and restates in part the Company’s Promissory Note and Construction Loan Agreement, which was originally executed on January 26, 2015, and the Modification Agreement. The draw down period end date, under the Second Modifications, was amended from July 31, 2016 to September 30, 2016. And thereafter, the entire outstanding principal balance shall be converted to a sixty-four (64) month term loan, amended from a sixty (66) month term loan, with principal and interest payments due monthly amortized over three hundred (300) months. The first principal and interest payment was due on October 26, 2016 and will continue on the same day of each month thereafter. The final principal and interest payment is due on January 26, 2022 and will include all unpaid principal and all accrued and unpaid interest. Except as expressly changed by the Second Modifications, the terms of the original obligation and the Modification Agreement remain unchanged. As of December 31, 2016, $21.7 million was outstanding under the construction loan.</w:t>
      </w:r>
    </w:p>
    <w:p>
      <w:pPr>
        <w:spacing w:after="0" w:line="18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loan and security agreements with East West Bank and Comerica Bank require the Company to maintain certain financial covenants, including a minimum cash balance, a current ratio, a maximum leverage ratio and a minimum fixed charge coverage ratio. Collateral for the U.S. bank loans and line of credit includes substantially all 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assets of the Company. As of December 31, 2016, the Company was in compliance with all covenants contained in these agreements.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February 19, 2016, the Company’s Taiwan branch renewed and increased its credit facility originally dated January 6, 2015 with CTBC Bank Co. Ltd. in Taipei, Taiwan for 320 million New Taiwan dollars, or approximately $10.3 million, one-year revolving credit facility. The obligations under the credit facility are unsecured up to $6.3 million; the remaining $4.0 million is available provided that the Company purchase the same amount of secured certificates of deposit with the bank. Borrowings under the credit facility bear interest at a rate based on the bank’s corporate interest rate index plus 1.5% for the unsecured portion of the credit facility and bank’s corporate interest rate index plus 0.93% for the secured portion of the credit facility, adjusted monthly. As of the execution of the credit facility, the bank’s corporate interest rate index is 0.71%. As of December 31, 2016, there was no outstanding balance for the secured loan or under the unsecured credit facility and both credit facilities expired without renewal.</w:t>
      </w:r>
    </w:p>
    <w:p>
      <w:pPr>
        <w:spacing w:after="0" w:line="18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April 8, 2016, the Company’s Taiwan branch renewed its 90 million New Taiwan dollars, or approximately $2.6 million, and 120 million New Taiwan dollars, or approximately $4.0 million, one-year revolving credit facilities, originally dated March 9, 2015, with E. Sun Commercial Bank Co., Ltd. in Taipei, Taiwan. Borrowings under the 90 million New Taiwan dollars credit facility bear interest at a rate equal to the LIBOR plus 1.7% divided by 0.946. Borrowings under the 120 million New Taiwan dollars credit facility bear interest at a rate equal to the bank’s personal monthly time deposit interest rate plus 0.480%. Any future borrowings under the 120 million New Taiwan dollars credit facility are available provided that the Company purchase certificates of deposit in amounts equal to the borrowing from the bank. As of December 31, 2016, there was no outstanding balance under the 120 million New Taiwan dollars credit facility or under the 90 million New Taiwan dollars credit facility.</w:t>
      </w:r>
    </w:p>
    <w:p>
      <w:pPr>
        <w:spacing w:after="0" w:line="18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22, 2015, the Company’s Taiwan branch renewed its $4.0 million credit facility, originally dated December 20, 2013, and entered into a $2.0 million, one-year revolving credit facility agreement with Mega International Commercial Bank (“Mega Bank”). Obligations under the $4.0 million credit facility are available provided that the Company purchase certificates of deposit in amounts equal to the borrowing from Mega Bank. Borrowings under the $4.0 million credit facility bear interest at a rate not less than the LIBOR borrowing rate plus 1.0%, divided by 0.946 for U.S. and other currency borrowings; New Taiwan dollars borrowings bear interest at a rate equal to the bank’s base lending rate plus 0.76%. Borrowings under the $2.0 million credit facility bear interest at a rate not less than the LIBOR borrowing rate plus 1.2%, divided by 0.946 for U.S. dollar borrowings; New Taiwan dollars borrowings bear interest at a rate equal to the bank’s base lending rate plus 0.76% but shall not be less than 1.90%; and other currency borrowings shall bear interest at a rate at the bank’s based lending rate plus 1.0%, divided by 0.946. As of December 31, 2016, there was no outstanding balance under either credit facility and both credit facilities expired without renewal.</w:t>
      </w:r>
    </w:p>
    <w:p>
      <w:pPr>
        <w:spacing w:after="0" w:line="18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April 22, 2016, the Company’s Taiwan branch entered into a Comprehensive Credit Line Agreement originally dated April 1, 2015, with the Taipei branch of China Construction Bank, providing a revolving credit line of $10 million, maturing on March 15, 2017. Borrowings under the Comprehensive Credit Line Agreement are secured by a standby letter of credit issued by the China branch of the bank under existing agreements between the bank and the Company’s China subsidiary. Borrowings under the Comprehensive Credit Line Agreement reduce the amounts available under the existing credit line between the bank and the Company’s China subsidiary and cannot exceed 97% of the amount of the standby letter of credit issued by the China branch of the bank. Borrowings under the Comprehensive Credit Line Agreement bear interest at a rate negotiated separately for each drawing depending on the nature of the borrowings. As of December 31, 2016, there was no outstanding balance under this credit facility.</w:t>
      </w:r>
    </w:p>
    <w:p>
      <w:pPr>
        <w:spacing w:after="0" w:line="18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June 30, 2015, the Company’s Taiwan branch entered into a Purchase and Sale Contract and a Finance Lease Agreement with Chailease Finance Co, Ltd. (“Chailease”) in connection with certain equipment, structured as a sale lease-back transaction. Pursuant to the sale contract, the Company’s Taiwan branch sold certain equipment to Chailease for a purchase price of 115,240,903 New Taiwan dollars, approximately $3.7 million, and simultaneously leased the equipment back from Chailease pursuant to the Finance Lease Agreement. The monthly lease payments range from 2,088,804 New Taiwan dollars, approximately $0.1 million, to 2,364,650 New Taiwan dollars, approximately $0.1 million, during the term of the Finance Lease Agreement, including an initial payment in an amount of 40,240,903 New Taiwan dollars, approximately $1.3 million. The Finance Lease Agreement has a three-year term, with monthly payments, maturing on May 27 and June 30, 2018 respectively. The title to the equipment will be transferred to the Company’s Taiwan branch upon the expiration of the Finance Lease Agreement. As of December 31, 2016, $2.9 million was outstanding under this Finance Lease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March 31, 2016, the Company’s Taiwan branch entered into a Purchase and Sale Contract and a Finance Lease Agreement with Chailease in connection with certain equipment, structured as a sale lease-back transaction. Pursuant to the Purchase and Sale Contract, the Company’s Taiwan branch sold certain equipment to Chailease for a purchase price of 312,927,180 New Taiwan dollars, approximately $10.1 million, and simultaneously leased the equipment back from Chailease pursuant to the Finance Lease Agreement. The Finance Lease Agreement has a three-year term with monthly lease payments range from 6,772,500 New Taiwan dollars, approximately $0.2 million, to 7,788,333 New Taiwan dollars, approximately $0.3 million, during the term of the Finance Lease Agreement, including an initial payment in an amount of 62,927,180 New Taiwan dollars, approximately $2.0 million. Based on the payments made under the Finance Lease Agreement, the annual interest rate is calculated to be 4.0%. The title to the equipment will be transferred to the Company’s Taiwan branch upon the expiration of the Finance Lease Agreement. As of December 31, 2016, $5.8 million was outstanding under this Finance Lease Agreement.</w:t>
      </w:r>
    </w:p>
    <w:p>
      <w:pPr>
        <w:spacing w:after="0" w:line="183"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As of December 31, 2016, the Company’s Chinese subsidiary had credit facilities with China Construction Bank totaling $13.2 million, which can be drawn in U.S. currency, RMB currency, issuing bank acceptance notes to vendors with different interest rates or issuing standby letters of credit. The Company pledged the land use rights and buildings of our Chinese subsidiary as collateral for the credit facility. As of December 31, 2016, the Company’s Chinese subsidiary used $10.0 million of its credit facility to issue standby letters of credit as collateral for the Company’s Taiwan branch line of credit with China Construction Bank. As of December 31, 2016, no balance was outstanding for the U.S. currency based loan. The outstanding balances of bank acceptance notes issued to vendors were $0.3 million with zero interest rate as of December 31, 2016.</w:t>
      </w:r>
    </w:p>
    <w:p>
      <w:pPr>
        <w:spacing w:after="0" w:line="19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of December 31, 2016 and 2015, the Company had $75.8 million and $37.7 million of unused borrowing capacity,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0.77167% and 0.42950% at December 31, 2016 and 2015, respectively.</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31, 2016 and 2015, there was $1.7 million and $12.6 million of restricted cash, investments or security deposit associated mainly with the loan facilities,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as of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tcPr>
          <w:p>
            <w:pPr>
              <w:jc w:val="right"/>
              <w:ind w:right="271"/>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Accrued rent</w:t>
            </w: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Advance payments</w:t>
            </w: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1,258</w:t>
            </w:r>
          </w:p>
        </w:tc>
        <w:tc>
          <w:tcPr>
            <w:tcW w:w="14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Accrued commission expenses</w:t>
            </w: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4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4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Borders>
              <w:bottom w:val="single" w:sz="8" w:color="CCEEFF"/>
            </w:tcBorders>
          </w:tcPr>
          <w:p>
            <w:pPr>
              <w:spacing w:after="0"/>
              <w:rPr>
                <w:sz w:val="18"/>
                <w:szCs w:val="18"/>
                <w:color w:val="auto"/>
              </w:rPr>
            </w:pPr>
          </w:p>
        </w:tc>
      </w:tr>
      <w:tr>
        <w:trPr>
          <w:trHeight w:val="217"/>
        </w:trPr>
        <w:tc>
          <w:tcPr>
            <w:tcW w:w="3280" w:type="dxa"/>
            <w:vAlign w:val="bottom"/>
            <w:tcBorders>
              <w:bottom w:val="single" w:sz="8" w:color="CCEEFF"/>
            </w:tcBorders>
            <w:shd w:val="clear" w:color="auto" w:fill="CCEEFF"/>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15,426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11,506</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878"/>
        </w:trPr>
        <w:tc>
          <w:tcPr>
            <w:tcW w:w="3280" w:type="dxa"/>
            <w:vAlign w:val="bottom"/>
          </w:tcPr>
          <w:p>
            <w:pPr>
              <w:spacing w:after="0"/>
              <w:rPr>
                <w:sz w:val="24"/>
                <w:szCs w:val="24"/>
                <w:color w:val="auto"/>
              </w:rPr>
            </w:pPr>
          </w:p>
        </w:tc>
        <w:tc>
          <w:tcPr>
            <w:tcW w:w="4160" w:type="dxa"/>
            <w:vAlign w:val="bottom"/>
            <w:gridSpan w:val="2"/>
          </w:tcPr>
          <w:p>
            <w:pPr>
              <w:jc w:val="right"/>
              <w:ind w:right="2610"/>
              <w:spacing w:after="0"/>
              <w:rPr>
                <w:sz w:val="20"/>
                <w:szCs w:val="20"/>
                <w:color w:val="auto"/>
              </w:rPr>
            </w:pPr>
            <w:r>
              <w:rPr>
                <w:rFonts w:ascii="Arial" w:cs="Arial" w:eastAsia="Arial" w:hAnsi="Arial"/>
                <w:sz w:val="18"/>
                <w:szCs w:val="18"/>
                <w:color w:val="auto"/>
              </w:rPr>
              <w:t>F - 20</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9"/>
        </w:trPr>
        <w:tc>
          <w:tcPr>
            <w:tcW w:w="328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as of December 31:</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transaction loss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Government subsidy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7"/>
        </w:trPr>
        <w:tc>
          <w:tcPr>
            <w:tcW w:w="66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(699)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sources of the Company’s income from operations before income taxes were as follows:</w:t>
      </w:r>
    </w:p>
    <w:p>
      <w:pPr>
        <w:spacing w:after="0" w:line="230"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6350</wp:posOffset>
            </wp:positionV>
            <wp:extent cx="14319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6880"/>
        <w:spacing w:after="0"/>
        <w:tabs>
          <w:tab w:leader="none" w:pos="7740" w:val="left"/>
          <w:tab w:leader="none" w:pos="8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-3175</wp:posOffset>
            </wp:positionV>
            <wp:extent cx="14319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738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$ 14,062</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1,226</w:t>
            </w:r>
          </w:p>
        </w:tc>
        <w:tc>
          <w:tcPr>
            <w:tcW w:w="120" w:type="dxa"/>
            <w:vAlign w:val="bottom"/>
            <w:shd w:val="clear" w:color="auto" w:fill="CCEEFF"/>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Foreign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10,956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3,256</w:t>
            </w:r>
          </w:p>
        </w:tc>
        <w:tc>
          <w:tcPr>
            <w:tcW w:w="120" w:type="dxa"/>
            <w:vAlign w:val="bottom"/>
          </w:tcPr>
          <w:p>
            <w:pPr>
              <w:spacing w:after="0"/>
              <w:rPr>
                <w:sz w:val="18"/>
                <w:szCs w:val="18"/>
                <w:color w:val="auto"/>
              </w:rPr>
            </w:pPr>
          </w:p>
        </w:tc>
      </w:tr>
      <w:tr>
        <w:trPr>
          <w:trHeight w:val="217"/>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before income taxes</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$ 21,003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$ 11,168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 expense for the years ended December 31,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6"/>
          </w:tcPr>
          <w:p>
            <w:pPr>
              <w:ind w:left="500"/>
              <w:spacing w:after="0"/>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State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Federal</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(10,794)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Foreign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760" w:firstLine="648"/>
        <w:spacing w:after="0" w:line="342" w:lineRule="auto"/>
        <w:rPr>
          <w:sz w:val="20"/>
          <w:szCs w:val="20"/>
          <w:color w:val="auto"/>
        </w:rPr>
      </w:pPr>
      <w:r>
        <w:rPr>
          <w:rFonts w:ascii="Arial" w:cs="Arial" w:eastAsia="Arial" w:hAnsi="Arial"/>
          <w:sz w:val="16"/>
          <w:szCs w:val="16"/>
          <w:color w:val="auto"/>
        </w:rPr>
        <w:t>Deferred income tax assets and liabilities result principally from net operating losses, different methods of recognizing depreciation, reserve for doubtful accounts, inventory reserves for obsolescence and accrued vacation,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together with timing differences between book and tax reporting. At December 31, the net deferred tax assets and liabilities are comprised of the following approximate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42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80" w:type="dxa"/>
            <w:vAlign w:val="bottom"/>
            <w:tcBorders>
              <w:top w:val="single" w:sz="8" w:color="auto"/>
            </w:tcBorders>
            <w:gridSpan w:val="5"/>
          </w:tcPr>
          <w:p>
            <w:pPr>
              <w:jc w:val="right"/>
              <w:ind w:right="2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NOL carryforward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$ 12,866</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14,318</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Inventory reserves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AMT credit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Unrealized gains and losses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Fixed assets and intangibles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(2,777)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r>
      <w:tr>
        <w:trPr>
          <w:trHeight w:val="210"/>
        </w:trPr>
        <w:tc>
          <w:tcPr>
            <w:tcW w:w="3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14,726</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(14,726)</w:t>
            </w:r>
          </w:p>
        </w:tc>
      </w:tr>
      <w:tr>
        <w:trPr>
          <w:trHeight w:val="217"/>
        </w:trPr>
        <w:tc>
          <w:tcPr>
            <w:tcW w:w="38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7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$ 11,421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valuation allowance was established to reduce the deferred tax asset for the amount that will likely not be realized. This reduction was primarily necessary due to the uncertainty of the Company’s ability to utilize all of the net operating loss carry forwards. The valuation allowance decreased by $13.1 million in 2016 and increased by approximately $2.1 million in 2015. The decrease in 2016 was primarily the result of the removal of our valuation allowance on U.S. and Taiwan deferred income tax assets. The increase in 2015 was primarily the result of current year changes in deferred income tax assets and liabilities, including increases in our net operating loss carryforwards.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deferred tax assets. In considering whether or not to continue to maintain the valuation allowance, the Company considers all available positive and negative evidence, including: historical profits and losses, forecasts of future profits or losses, and trends in the industries that the Company serves that may affect its ability to continue to generate profits. Objective evidence, such as historical losses, limits the ability to consider other subjective evidence, such as its projections for future growth.</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the basis of this evaluation, as of December 31, 2016, a valuation allowance of $1.7 million has been recorded to recognize only the portion of the deferred tax asset that is more likely than not to be realized. The amount of the deferred tax asset considered realizable, however, could be adjusted if estimates of future taxable income during the carryforward period are increased or if objective negative evidence is no longer present and additional weight is given to subjective evidence such as its projections for growth.</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 has a U.S. net operating loss carry forward of approximately $37.7 million, which expires between 2025 and 2032. The Company also has U.S. research and development tax credits of $1.5 million, which expire between 2024 and 2036. The Company has a net operating loss carryforward from its China operations of approximately $8.3 million, which expires between 2017 and 2021. Utilization of U.S. net operating losses and tax credit carry forwards are subject to an annual limitation due to the ownership change limitations set forth in Internal Revenue Code Section 382. During 2015 and 2016, the Company updated its Section 382 analysis resulting in the recognition of additional utilizable net operating losses. Additional ownership changes could result in the expiration of the net operating loss and tax credit carryforward before utilization.</w:t>
      </w:r>
    </w:p>
    <w:p>
      <w:pPr>
        <w:spacing w:after="0" w:line="19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U.S. NOL carryforwards and research and development tax credit carryforwards in the income tax returns filed included unrecognized tax benefits. The deferred tax assets recognized for those NOLs and tax credits are presented net of these unrecognized tax benefits.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has approximately $1.3 million of windfall tax benefits from previous stock option exercises that have not been recognized as of December 31, 2016. This amount will not be recognized until such time the deduction would reduce our U.S. income taxes payable. The Company used ASC 740 ordering when determining when excess tax benefits had been realized. Effective January 1, 2017, the Company will adopt new guidance (ASU 2016-09) and will record excess tax benefits or tax deficiencies from stock based compensation to the consolidated statement of income within the provision for income taxes rather than in the consolidated balance sheet within additional paid-in capital. However, the Company expects to recognize approximately $1.3 million of windfall tax benefits as a cumulative effect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adjustment to opening retained earnings in the first quarter of 2017 upon adoption of ASU 2016-09. See Note B “New Accounting Standards” for additional information.</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 reconciliation of the U.S. federal income tax rate of 35% for the years ended December 31, to the Company’s effective income tax rate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taxes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Non-deductible/non-taxable items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differences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Foreign permanent differences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valuation allowance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(13,063)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(1,729)</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Section 382 limitation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Changes in tax laws or rates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8"/>
                <w:szCs w:val="18"/>
                <w:color w:val="auto"/>
              </w:rPr>
            </w:pPr>
          </w:p>
        </w:tc>
      </w:tr>
      <w:tr>
        <w:trPr>
          <w:trHeight w:val="217"/>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1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(10,231)</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Foreign permanent differences includes the effects of this deduction, along with the effects of other foreign permanent differences and intercompany transactions.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Company’s wholly owned subsidiary, Prime World is a tax-exempt entity under the Income Tax Code of the British Virgin Islands.</w:t>
      </w:r>
    </w:p>
    <w:p>
      <w:pPr>
        <w:spacing w:after="0" w:line="168" w:lineRule="exact"/>
        <w:rPr>
          <w:sz w:val="20"/>
          <w:szCs w:val="20"/>
          <w:color w:val="auto"/>
        </w:rPr>
      </w:pPr>
    </w:p>
    <w:p>
      <w:pPr>
        <w:ind w:right="300" w:firstLine="648"/>
        <w:spacing w:after="0" w:line="272" w:lineRule="auto"/>
        <w:rPr>
          <w:sz w:val="20"/>
          <w:szCs w:val="20"/>
          <w:color w:val="auto"/>
        </w:rPr>
      </w:pPr>
      <w:r>
        <w:rPr>
          <w:rFonts w:ascii="Arial" w:cs="Arial" w:eastAsia="Arial" w:hAnsi="Arial"/>
          <w:sz w:val="18"/>
          <w:szCs w:val="18"/>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2014. Global Technology, Inc. renewed its National high-tech enterprise certificate and was therefore extended its three-year tax preferential status from November 2014 to September 2017. Effective January 1, 2016, China expanded the scope of the National high-tech enterprise to include additional deductions for qualifying research and development.</w:t>
      </w:r>
    </w:p>
    <w:p>
      <w:pPr>
        <w:spacing w:after="0" w:line="174"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211D1E"/>
        </w:rPr>
        <w:t>In general, it is the Company’s practice and intention to reinvest the earnings of its non-U.S. subsidiaries in those operations. As of December 31, 2016, the Company had not made a provision for U.S. or additional foreign withholding taxes on approximately $6.6 million of the excess of the amount for financial reporting over the tax basis of investments in foreign subsidiaries that is indefinitely reinvested. Generally, such amounts become subject to U.S. taxation upon the remittance of dividends and under certain other circumstances. It is not practicable to estimate the amount of deferred tax liability related to investments in these foreign subsidiaries.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2016, December 31, 2015 and December 31, 2014, the total amount of unrecognized tax benefit was $1.8 million, $1.8 million, and $1.7 million, respectively. The following is a tabular reconciliation of the total amounts of unrecognized tax benefits: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2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8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 January 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$ 1,659</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1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tax positions in prior period</w:t>
            </w:r>
          </w:p>
        </w:tc>
        <w:tc>
          <w:tcPr>
            <w:tcW w:w="1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(2,200)</w:t>
            </w:r>
          </w:p>
        </w:tc>
        <w:tc>
          <w:tcPr>
            <w:tcW w:w="120" w:type="dxa"/>
            <w:vAlign w:val="bottom"/>
            <w:shd w:val="clear" w:color="auto" w:fill="CCEEFF"/>
          </w:tcPr>
          <w:p>
            <w:pPr>
              <w:spacing w:after="0"/>
              <w:rPr>
                <w:sz w:val="18"/>
                <w:szCs w:val="18"/>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Unrecognized tax benefits — December 31</w:t>
            </w:r>
          </w:p>
        </w:tc>
        <w:tc>
          <w:tcPr>
            <w:tcW w:w="16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$ 1,797</w:t>
            </w:r>
          </w:p>
        </w:tc>
        <w:tc>
          <w:tcPr>
            <w:tcW w:w="2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$ 1,797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As of December 31, 2016 and 2015, the Company had $1.8 million of unrecognized tax benefits related to U.S. tax benefits recognized for prior branch losses and research and development credits, respectively. As of December 31, 2014, the Company had $1.7 million of unrecognized tax benefits related to U.S. tax benefits recognized for prior year branch losses.</w:t>
      </w:r>
    </w:p>
    <w:p>
      <w:pPr>
        <w:ind w:right="520"/>
        <w:spacing w:after="0" w:line="323" w:lineRule="auto"/>
        <w:rPr>
          <w:sz w:val="20"/>
          <w:szCs w:val="20"/>
          <w:color w:val="auto"/>
        </w:rPr>
      </w:pPr>
      <w:r>
        <w:rPr>
          <w:rFonts w:ascii="Arial" w:cs="Arial" w:eastAsia="Arial" w:hAnsi="Arial"/>
          <w:sz w:val="16"/>
          <w:szCs w:val="16"/>
          <w:color w:val="auto"/>
        </w:rPr>
        <w:t>If recognized, $1.8 million would have an impact on the Company’s effective tax rate. The Company believes that it is reasonably possible that none of its remaining unrecognized tax positions may be recognized by the end of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9" w:firstLine="648"/>
        <w:spacing w:after="0" w:line="264" w:lineRule="auto"/>
        <w:rPr>
          <w:sz w:val="20"/>
          <w:szCs w:val="20"/>
          <w:color w:val="auto"/>
        </w:rPr>
      </w:pPr>
      <w:r>
        <w:rPr>
          <w:rFonts w:ascii="Arial" w:cs="Arial" w:eastAsia="Arial" w:hAnsi="Arial"/>
          <w:sz w:val="18"/>
          <w:szCs w:val="18"/>
          <w:color w:val="auto"/>
        </w:rPr>
        <w:t>The Company recognizes interest accrued related to unrecognized tax benefits and penalties as income tax expense. Related to the unrecognized tax benefits noted above, it has not accrued penalties or interest during 2016 as a result of net operating losses. During 2015, the Company also accrued no penalties or interest.</w:t>
      </w:r>
    </w:p>
    <w:p>
      <w:pPr>
        <w:spacing w:after="0" w:line="181" w:lineRule="exact"/>
        <w:rPr>
          <w:sz w:val="20"/>
          <w:szCs w:val="20"/>
          <w:color w:val="auto"/>
        </w:rPr>
      </w:pPr>
    </w:p>
    <w:p>
      <w:pPr>
        <w:ind w:right="19" w:firstLine="648"/>
        <w:spacing w:after="0" w:line="297" w:lineRule="auto"/>
        <w:rPr>
          <w:sz w:val="20"/>
          <w:szCs w:val="20"/>
          <w:color w:val="auto"/>
        </w:rPr>
      </w:pPr>
      <w:r>
        <w:rPr>
          <w:rFonts w:ascii="Arial" w:cs="Arial" w:eastAsia="Arial" w:hAnsi="Arial"/>
          <w:sz w:val="16"/>
          <w:szCs w:val="16"/>
          <w:color w:val="auto"/>
        </w:rPr>
        <w:t>The Company is subject to taxation in the United States and various states and foreign jurisdictions. The Company’s open tax years subject to examination in the U.S. federal and state jurisdictions are 2013 through 2015. To the extent allowed by law, the taxing authorities may have the right to examine prior periods where net operating losses or tax credits were generated and carried forward, and make adjustments up to the amount of the net operating loss or tax credit carryforward. The Company is subject to examination for tax years 2008 forward for various foreign jurisdictions.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1200" w:hanging="225"/>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25" w:lineRule="exact"/>
        <w:rPr>
          <w:rFonts w:ascii="Arial" w:cs="Arial" w:eastAsia="Arial" w:hAnsi="Arial"/>
          <w:sz w:val="18"/>
          <w:szCs w:val="18"/>
          <w:color w:val="auto"/>
        </w:rPr>
      </w:pPr>
    </w:p>
    <w:p>
      <w:pPr>
        <w:ind w:left="1200" w:hanging="225"/>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225" w:lineRule="exact"/>
        <w:rPr>
          <w:rFonts w:ascii="Arial" w:cs="Arial" w:eastAsia="Arial" w:hAnsi="Arial"/>
          <w:sz w:val="18"/>
          <w:szCs w:val="18"/>
          <w:color w:val="auto"/>
        </w:rPr>
      </w:pPr>
    </w:p>
    <w:p>
      <w:pPr>
        <w:ind w:left="1200" w:hanging="225"/>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225" w:lineRule="exact"/>
        <w:rPr>
          <w:rFonts w:ascii="Arial" w:cs="Arial" w:eastAsia="Arial" w:hAnsi="Arial"/>
          <w:sz w:val="18"/>
          <w:szCs w:val="18"/>
          <w:color w:val="auto"/>
        </w:rPr>
      </w:pPr>
    </w:p>
    <w:p>
      <w:pPr>
        <w:ind w:left="1200" w:hanging="225"/>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225" w:lineRule="exact"/>
        <w:rPr>
          <w:rFonts w:ascii="Arial" w:cs="Arial" w:eastAsia="Arial" w:hAnsi="Arial"/>
          <w:sz w:val="18"/>
          <w:szCs w:val="18"/>
          <w:color w:val="auto"/>
        </w:rPr>
      </w:pPr>
    </w:p>
    <w:p>
      <w:pPr>
        <w:ind w:left="1120" w:hanging="145"/>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25" w:lineRule="exact"/>
        <w:rPr>
          <w:sz w:val="20"/>
          <w:szCs w:val="20"/>
          <w:color w:val="auto"/>
        </w:rPr>
      </w:pPr>
    </w:p>
    <w:p>
      <w:pPr>
        <w:ind w:right="99" w:firstLine="648"/>
        <w:spacing w:after="0" w:line="273" w:lineRule="auto"/>
        <w:rPr>
          <w:sz w:val="20"/>
          <w:szCs w:val="20"/>
          <w:color w:val="auto"/>
        </w:rPr>
      </w:pPr>
      <w:r>
        <w:rPr>
          <w:rFonts w:ascii="Arial" w:cs="Arial" w:eastAsia="Arial" w:hAnsi="Arial"/>
          <w:sz w:val="17"/>
          <w:szCs w:val="17"/>
          <w:color w:val="auto"/>
        </w:rPr>
        <w:t>The Company issues stock options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and restrictive stock units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Weighted</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6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7"/>
              </w:rPr>
              <w:t>Share</w:t>
            </w:r>
          </w:p>
        </w:tc>
        <w:tc>
          <w:tcPr>
            <w:tcW w:w="7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Weighted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on Date of</w:t>
            </w:r>
          </w:p>
        </w:tc>
        <w:tc>
          <w:tcPr>
            <w:tcW w:w="780" w:type="dxa"/>
            <w:vAlign w:val="bottom"/>
            <w:gridSpan w:val="2"/>
          </w:tcPr>
          <w:p>
            <w:pPr>
              <w:jc w:val="right"/>
              <w:ind w:right="50"/>
              <w:spacing w:after="0" w:line="149" w:lineRule="exact"/>
              <w:rPr>
                <w:sz w:val="20"/>
                <w:szCs w:val="20"/>
                <w:color w:val="auto"/>
              </w:rPr>
            </w:pPr>
            <w:r>
              <w:rPr>
                <w:rFonts w:ascii="Arial" w:cs="Arial" w:eastAsia="Arial" w:hAnsi="Arial"/>
                <w:sz w:val="14"/>
                <w:szCs w:val="14"/>
                <w:b w:val="1"/>
                <w:bCs w:val="1"/>
                <w:color w:val="auto"/>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6"/>
          </w:tcPr>
          <w:p>
            <w:pPr>
              <w:jc w:val="right"/>
              <w:ind w:right="541"/>
              <w:spacing w:after="0" w:line="142" w:lineRule="exact"/>
              <w:rPr>
                <w:sz w:val="20"/>
                <w:szCs w:val="20"/>
                <w:color w:val="auto"/>
              </w:rPr>
            </w:pPr>
            <w:r>
              <w:rPr>
                <w:rFonts w:ascii="Arial" w:cs="Arial" w:eastAsia="Arial" w:hAnsi="Arial"/>
                <w:sz w:val="14"/>
                <w:szCs w:val="14"/>
                <w:b w:val="1"/>
                <w:bCs w:val="1"/>
                <w:color w:val="auto"/>
              </w:rPr>
              <w:t>(in thousands, except price data)</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4.17</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13.84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7.24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5.43</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Outstanding, December 31, 2014</w:t>
            </w:r>
          </w:p>
        </w:tc>
        <w:tc>
          <w:tcPr>
            <w:tcW w:w="680" w:type="dxa"/>
            <w:vAlign w:val="bottom"/>
          </w:tcPr>
          <w:p>
            <w:pPr>
              <w:jc w:val="right"/>
              <w:spacing w:after="0"/>
              <w:rPr>
                <w:sz w:val="20"/>
                <w:szCs w:val="20"/>
                <w:color w:val="auto"/>
              </w:rPr>
            </w:pPr>
            <w:r>
              <w:rPr>
                <w:rFonts w:ascii="Arial" w:cs="Arial" w:eastAsia="Arial" w:hAnsi="Arial"/>
                <w:sz w:val="18"/>
                <w:szCs w:val="18"/>
                <w:color w:val="auto"/>
              </w:rPr>
              <w:t>1,423</w:t>
            </w:r>
          </w:p>
        </w:tc>
        <w:tc>
          <w:tcPr>
            <w:tcW w:w="26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8.96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4.48</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16.53</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8.96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4.43</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10,598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Exercised</w:t>
            </w: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6.91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9"/>
              <w:spacing w:after="0"/>
              <w:rPr>
                <w:sz w:val="20"/>
                <w:szCs w:val="20"/>
                <w:color w:val="auto"/>
              </w:rPr>
            </w:pPr>
            <w:r>
              <w:rPr>
                <w:rFonts w:ascii="Arial" w:cs="Arial" w:eastAsia="Arial" w:hAnsi="Arial"/>
                <w:sz w:val="18"/>
                <w:szCs w:val="18"/>
                <w:color w:val="auto"/>
              </w:rPr>
              <w:t>19.90</w:t>
            </w:r>
          </w:p>
        </w:tc>
        <w:tc>
          <w:tcPr>
            <w:tcW w:w="24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2.56</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3.29</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December 31, 2016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9.40</w:t>
            </w: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4.90</w:t>
            </w:r>
          </w:p>
        </w:tc>
        <w:tc>
          <w:tcPr>
            <w:tcW w:w="90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auto"/>
              </w:rPr>
              <w:t>6.412</w:t>
            </w:r>
          </w:p>
        </w:tc>
        <w:tc>
          <w:tcPr>
            <w:tcW w:w="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15,872</w:t>
            </w:r>
          </w:p>
        </w:tc>
        <w:tc>
          <w:tcPr>
            <w:tcW w:w="0" w:type="dxa"/>
            <w:vAlign w:val="bottom"/>
          </w:tcPr>
          <w:p>
            <w:pPr>
              <w:spacing w:after="0"/>
              <w:rPr>
                <w:sz w:val="1"/>
                <w:szCs w:val="1"/>
                <w:color w:val="auto"/>
              </w:rPr>
            </w:pPr>
          </w:p>
        </w:tc>
      </w:tr>
      <w:tr>
        <w:trPr>
          <w:trHeight w:val="23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December 31, 2016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9.18</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4.78</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6.333</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12,499</w:t>
            </w:r>
          </w:p>
        </w:tc>
        <w:tc>
          <w:tcPr>
            <w:tcW w:w="0" w:type="dxa"/>
            <w:vAlign w:val="bottom"/>
          </w:tcPr>
          <w:p>
            <w:pPr>
              <w:spacing w:after="0"/>
              <w:rPr>
                <w:sz w:val="1"/>
                <w:szCs w:val="1"/>
                <w:color w:val="auto"/>
              </w:rPr>
            </w:pPr>
          </w:p>
        </w:tc>
      </w:tr>
      <w:tr>
        <w:trPr>
          <w:trHeight w:val="210"/>
        </w:trPr>
        <w:tc>
          <w:tcPr>
            <w:tcW w:w="436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1,122</w:t>
            </w:r>
          </w:p>
        </w:tc>
        <w:tc>
          <w:tcPr>
            <w:tcW w:w="260" w:type="dxa"/>
            <w:vAlign w:val="bottom"/>
          </w:tcPr>
          <w:p>
            <w:pPr>
              <w:ind w:left="140"/>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9.39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ind w:left="6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4.90</w:t>
            </w:r>
          </w:p>
        </w:tc>
        <w:tc>
          <w:tcPr>
            <w:tcW w:w="900" w:type="dxa"/>
            <w:vAlign w:val="bottom"/>
          </w:tcPr>
          <w:p>
            <w:pPr>
              <w:jc w:val="right"/>
              <w:ind w:right="41"/>
              <w:spacing w:after="0" w:line="203" w:lineRule="exact"/>
              <w:rPr>
                <w:sz w:val="20"/>
                <w:szCs w:val="20"/>
                <w:color w:val="auto"/>
              </w:rPr>
            </w:pPr>
            <w:r>
              <w:rPr>
                <w:rFonts w:ascii="Arial" w:cs="Arial" w:eastAsia="Arial" w:hAnsi="Arial"/>
                <w:sz w:val="18"/>
                <w:szCs w:val="18"/>
                <w:color w:val="auto"/>
              </w:rPr>
              <w:t>6.409</w:t>
            </w:r>
          </w:p>
        </w:tc>
        <w:tc>
          <w:tcPr>
            <w:tcW w:w="180" w:type="dxa"/>
            <w:vAlign w:val="bottom"/>
          </w:tcPr>
          <w:p>
            <w:pPr>
              <w:ind w:left="80"/>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87"/>
              </w:rPr>
              <w:t>15,767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December 31, 2016, there was approximately $0.8 million of unrecognized stock option expense, net of estimated forfeitures, which is expected to be recognized over 0.8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1"/>
              </w:rPr>
              <w:t>Weighted</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w:t>
            </w:r>
          </w:p>
        </w:tc>
        <w:tc>
          <w:tcPr>
            <w:tcW w:w="1140" w:type="dxa"/>
            <w:vAlign w:val="bottom"/>
            <w:gridSpan w:val="2"/>
          </w:tcPr>
          <w:p>
            <w:pPr>
              <w:jc w:val="center"/>
              <w:ind w:left="21"/>
              <w:spacing w:after="0" w:line="149" w:lineRule="exact"/>
              <w:rPr>
                <w:sz w:val="20"/>
                <w:szCs w:val="20"/>
                <w:color w:val="auto"/>
              </w:rPr>
            </w:pPr>
            <w:r>
              <w:rPr>
                <w:rFonts w:ascii="Arial" w:cs="Arial" w:eastAsia="Arial" w:hAnsi="Arial"/>
                <w:sz w:val="14"/>
                <w:szCs w:val="14"/>
                <w:b w:val="1"/>
                <w:bCs w:val="1"/>
                <w:color w:val="auto"/>
                <w:w w:val="89"/>
              </w:rPr>
              <w:t>Average Share</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140" w:type="dxa"/>
            <w:vAlign w:val="bottom"/>
            <w:gridSpan w:val="2"/>
          </w:tcPr>
          <w:p>
            <w:pPr>
              <w:jc w:val="center"/>
              <w:ind w:left="61"/>
              <w:spacing w:after="0" w:line="149" w:lineRule="exact"/>
              <w:rPr>
                <w:sz w:val="20"/>
                <w:szCs w:val="20"/>
                <w:color w:val="auto"/>
              </w:rPr>
            </w:pPr>
            <w:r>
              <w:rPr>
                <w:rFonts w:ascii="Arial" w:cs="Arial" w:eastAsia="Arial" w:hAnsi="Arial"/>
                <w:sz w:val="14"/>
                <w:szCs w:val="14"/>
                <w:b w:val="1"/>
                <w:bCs w:val="1"/>
                <w:color w:val="auto"/>
                <w:w w:val="93"/>
              </w:rPr>
              <w:t>Price on Date</w:t>
            </w: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Average Fair</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8"/>
              </w:rPr>
              <w:t>of Release</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4"/>
              </w:rPr>
              <w:t>(in thousands, except price data)</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18.45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10.57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18.20</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18.22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9"/>
              <w:spacing w:after="0"/>
              <w:rPr>
                <w:sz w:val="20"/>
                <w:szCs w:val="20"/>
                <w:color w:val="auto"/>
              </w:rPr>
            </w:pPr>
            <w:r>
              <w:rPr>
                <w:rFonts w:ascii="Arial" w:cs="Arial" w:eastAsia="Arial" w:hAnsi="Arial"/>
                <w:sz w:val="18"/>
                <w:szCs w:val="18"/>
                <w:color w:val="auto"/>
              </w:rPr>
              <w:t>13.62</w:t>
            </w:r>
          </w:p>
        </w:tc>
        <w:tc>
          <w:tcPr>
            <w:tcW w:w="18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18.24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15.73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13.50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14.08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15.38</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14.79</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12,128</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December 31, 2016</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ind w:left="8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tcPr>
          <w:p>
            <w:pPr>
              <w:jc w:val="right"/>
              <w:ind w:right="92"/>
              <w:spacing w:after="0" w:line="203" w:lineRule="exact"/>
              <w:rPr>
                <w:sz w:val="20"/>
                <w:szCs w:val="20"/>
                <w:color w:val="auto"/>
              </w:rPr>
            </w:pPr>
            <w:r>
              <w:rPr>
                <w:rFonts w:ascii="Arial" w:cs="Arial" w:eastAsia="Arial" w:hAnsi="Arial"/>
                <w:sz w:val="18"/>
                <w:szCs w:val="18"/>
                <w:color w:val="auto"/>
              </w:rPr>
              <w:t>11.41</w:t>
            </w:r>
          </w:p>
        </w:tc>
        <w:tc>
          <w:tcPr>
            <w:tcW w:w="140" w:type="dxa"/>
            <w:vAlign w:val="bottom"/>
            <w:tcBorders>
              <w:bottom w:val="single" w:sz="8" w:color="CCEEFF"/>
            </w:tcBorders>
          </w:tcPr>
          <w:p>
            <w:pPr>
              <w:ind w:left="40"/>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14.77</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11,752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aggregate intrinsic value of RSUs and RSAs outstanding at December 31, 2016 was $12.1 million. Unrecognized compensation expense related to these RSUs and RSAs at December 31, 2016 was $6.3 million. This expense is expected to be recognized over 2.91 years.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recognizes compensation expense on a straight-line basis over the applicable vesting term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estimated the fair value of employee stock options at the date of the grant using the Black-Scholes option-pricing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1180" w:type="dxa"/>
            <w:vAlign w:val="bottom"/>
            <w:tcBorders>
              <w:bottom w:val="single" w:sz="8" w:color="CCEEFF"/>
            </w:tcBorders>
          </w:tcPr>
          <w:p>
            <w:pPr>
              <w:spacing w:after="0"/>
              <w:rPr>
                <w:sz w:val="14"/>
                <w:szCs w:val="14"/>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18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4"/>
              </w:rPr>
              <w:t>%</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gridSpan w:val="2"/>
          </w:tcPr>
          <w:p>
            <w:pPr>
              <w:jc w:val="right"/>
              <w:ind w:right="950"/>
              <w:spacing w:after="0"/>
              <w:rPr>
                <w:sz w:val="20"/>
                <w:szCs w:val="20"/>
                <w:color w:val="auto"/>
              </w:rPr>
            </w:pPr>
            <w:r>
              <w:rPr>
                <w:rFonts w:ascii="Arial" w:cs="Arial" w:eastAsia="Arial" w:hAnsi="Arial"/>
                <w:sz w:val="18"/>
                <w:szCs w:val="18"/>
                <w:color w:val="auto"/>
              </w:rPr>
              <w:t>1.89 %</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180" w:type="dxa"/>
            <w:vAlign w:val="bottom"/>
            <w:shd w:val="clear" w:color="auto" w:fill="CCEEFF"/>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tcPr>
          <w:p>
            <w:pPr>
              <w:jc w:val="right"/>
              <w:ind w:right="1150"/>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Estimated forfeitures</w:t>
            </w:r>
          </w:p>
        </w:tc>
        <w:tc>
          <w:tcPr>
            <w:tcW w:w="17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7.50 %</w:t>
            </w: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2016, the Company issued RSUs and RSAs as share-based compensation to employees and ceased issuing stock options. The Company estimates the fair value of RSU and RSA at the fair market value on the grant date and assumes an estimated forfeiture rate.</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there had been no market for the Company’s common stock prior to its initial public offering, the expected volatility for options granted to date was derived from an analysis of reported data for a peer group of companies that issued options with similar terms. The expected volatility had been determined using an average of the expected volatility reported by this peer group of companies. The Company used a risk free interest rate based on the 10-year Treasury as reported during the period. The expected term of the options had been determined utilizing the simplified method which calculates a simple average based on vesting period and option life. The Company does not anticipate paying dividends in the near future. Estimated forfeitures are based on historical experience and future work force projections.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Employee share-based compensation expenses recognized for the years ended December 31, were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 by expense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4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rPr>
              <w:t>2,695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1,760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$ 3,833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$ 2,120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2,061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19"/>
        </w:trPr>
        <w:tc>
          <w:tcPr>
            <w:tcW w:w="4880" w:type="dxa"/>
            <w:vAlign w:val="bottom"/>
          </w:tcPr>
          <w:p>
            <w:pPr>
              <w:spacing w:after="0"/>
              <w:rPr>
                <w:sz w:val="20"/>
                <w:szCs w:val="20"/>
                <w:color w:val="auto"/>
              </w:rPr>
            </w:pPr>
            <w:r>
              <w:rPr>
                <w:rFonts w:ascii="Arial" w:cs="Arial" w:eastAsia="Arial" w:hAnsi="Arial"/>
                <w:sz w:val="18"/>
                <w:szCs w:val="18"/>
                <w:color w:val="auto"/>
              </w:rPr>
              <w:t>Share-Based compensation - by award type</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27"/>
        </w:trPr>
        <w:tc>
          <w:tcPr>
            <w:tcW w:w="4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48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6"/>
          </w:tcPr>
          <w:p>
            <w:pPr>
              <w:ind w:left="60"/>
              <w:spacing w:after="0"/>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1,460</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$ 1,538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2,373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84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3,833</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gridSpan w:val="2"/>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$ 2,120</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220" w:firstLine="648"/>
        <w:spacing w:after="0" w:line="308" w:lineRule="auto"/>
        <w:rPr>
          <w:sz w:val="20"/>
          <w:szCs w:val="20"/>
          <w:color w:val="auto"/>
        </w:rPr>
      </w:pPr>
      <w:r>
        <w:rPr>
          <w:rFonts w:ascii="Arial" w:cs="Arial" w:eastAsia="Arial" w:hAnsi="Arial"/>
          <w:sz w:val="17"/>
          <w:szCs w:val="17"/>
          <w:color w:val="auto"/>
        </w:rPr>
        <w:t>The Company’s Amended and Restated Certificate of Incorporation authorizes the issuance of up to 45,000,000 shares of common stock, all of which have been designated voting common stock.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1200" w:firstLine="648"/>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up to 5,000,000 shares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 and 2015, the Company had no outstanding warrants to purchase common or preferred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On September 25, 2013, the Company’s registration statement on Form S-1 for its initial public offering was declared effective by the Securities and Exchange Commission. The offering commenced on September 26, and the Company sold 3.6 million shares of its common stock in its initial public offering at a price of $10.00 per share, providing proceeds of $31.5 million, net of expenses and underwriting discounts and commissions. The Company’s initial public offering closed on October 1, 2013.</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March 19, 2014, the Company sold 2.0 million shares of its common stock in a secondary offering at a price of $24.25 per share, providing proceeds of $45.7 million, net of expenses and underwriting discounts and commissions. The Company’s sale of 1.6 million shares in the secondary offering closed on March 25, 2014 and the Company’s sale of an additional 0.4 million shares as a result of the underwriters’ exercise of their option to purchase additional shares closed on March 28, 2014.</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June 3, 2015, the Company filed a Registration Statement on Form S-3 (the “Form S-3”) with the Securities and Exchange Commission effective June 23, 2015, providing for the public offer and sale of certain securities of the Company from time to time, at its discretion, up to an aggregate amount of $140 million. In connection with the Company’s Form S-3, the Company entered into an Equity Distribution Agreement with Raymond James &amp; Associates, Inc. (the “sales agent”) pursuant to which the Company may issue and sell shares of the Company’s stock having an aggregate offering price of up to $40 million (the “ATM Offering”) from time to time through the sales agent. On July 16, 2015, the Company commenced sales of common stock through the ATM Offering. The Company completed its ATM Offering in August 2015 and sold 1.9 million shares at a weighted average price of $21.54 per share, providing proceeds of $38.6 million, net of expenses and underwriting discounts and commissions.</w:t>
      </w:r>
    </w:p>
    <w:p>
      <w:pPr>
        <w:spacing w:after="0" w:line="18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October 17, 2016, the Company filed a Registration Statement on Form S-3 (the “Form S-3”) with the Securities and Exchange Commission effective November 1, 2016, providing for the public offer and sale of certain securities of the Company from time to time, at its discretion, up to an aggregate amount of $250 million. In connection with the Company’s Form S-3, the Company entered into an Equity Distribution Agreement with Raymond James &amp; Associates, Inc. (the “sales agent”) pursuant to which the Company may issue and sell shares of the Company’s stock having an aggregate offering price of up to $50.0 million (the “Second ATM Offering”) from time to time through the sales agent. On November 22, 2016, the Company commenced sales of common stock through the ATM Offering. As of December 31, 2016, the Company sold 1.1 million shares of common stock at a weighted average price of $24.85 per share, providing proceeds of $27.2 million, net of expenses and underwriting discounts and commissions.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Recovery of Stockholder Short Swing Profit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November 2015, a member of the board of directors of the Company paid $6,000 to the Company, representing the disgorgement of short swing profits under Section 16(b) under the Exchange Act. The amount was recorded as additional paid-in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N—SEGMENT AND GEOGRAPHIC INFORMATION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14"/>
          </w:tcPr>
          <w:p>
            <w:pPr>
              <w:ind w:left="1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37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4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115"/>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right"/>
              <w:ind w:right="1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7"/>
              </w:rPr>
              <w:t>(in thousands)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6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18,035</w:t>
            </w:r>
          </w:p>
        </w:tc>
        <w:tc>
          <w:tcPr>
            <w:tcW w:w="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16,766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  30,723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Taiwan</w:t>
            </w:r>
          </w:p>
        </w:tc>
        <w:tc>
          <w:tcPr>
            <w:tcW w:w="3240" w:type="dxa"/>
            <w:vAlign w:val="bottom"/>
            <w:gridSpan w:val="4"/>
          </w:tcPr>
          <w:p>
            <w:pPr>
              <w:jc w:val="right"/>
              <w:spacing w:after="0"/>
              <w:rPr>
                <w:sz w:val="20"/>
                <w:szCs w:val="20"/>
                <w:color w:val="auto"/>
              </w:rPr>
            </w:pPr>
            <w:r>
              <w:rPr>
                <w:rFonts w:ascii="Arial" w:cs="Arial" w:eastAsia="Arial" w:hAnsi="Arial"/>
                <w:sz w:val="18"/>
                <w:szCs w:val="18"/>
                <w:color w:val="auto"/>
              </w:rPr>
              <w:t>161,611</w:t>
            </w:r>
          </w:p>
        </w:tc>
        <w:tc>
          <w:tcPr>
            <w:tcW w:w="4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141,107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77,680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2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81,067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$ 260,713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$ 189,903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2"/>
              </w:rPr>
              <w:t>$ 130,449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14"/>
          </w:tcPr>
          <w:p>
            <w:pPr>
              <w:jc w:val="center"/>
              <w:ind w:right="28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3780" w:type="dxa"/>
            <w:vAlign w:val="bottom"/>
            <w:vMerge w:val="restart"/>
          </w:tcPr>
          <w:p>
            <w:pPr>
              <w:spacing w:after="0"/>
              <w:rPr>
                <w:sz w:val="20"/>
                <w:szCs w:val="20"/>
                <w:color w:val="auto"/>
              </w:rPr>
            </w:pPr>
            <w:r>
              <w:rPr>
                <w:rFonts w:ascii="Arial" w:cs="Arial" w:eastAsia="Arial" w:hAnsi="Arial"/>
                <w:sz w:val="18"/>
                <w:szCs w:val="18"/>
                <w:color w:val="auto"/>
              </w:rPr>
              <w:t>Long-lived assets:</w:t>
            </w: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66,028</w:t>
            </w:r>
          </w:p>
        </w:tc>
        <w:tc>
          <w:tcPr>
            <w:tcW w:w="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44,280</w:t>
            </w: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$ 15,875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Taiwan</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48,728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45,420</w:t>
            </w:r>
          </w:p>
        </w:tc>
        <w:tc>
          <w:tcPr>
            <w:tcW w:w="1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35,688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2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24,753</w:t>
            </w: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252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148,869</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gridSpan w:val="2"/>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7"/>
              </w:rPr>
              <w:t>$ 114,453</w:t>
            </w:r>
          </w:p>
        </w:tc>
        <w:tc>
          <w:tcPr>
            <w:tcW w:w="1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$ 69,571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serves four primary markets, the internet data center, CATV, FTTH and telecom markets.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total revenues in 2016, the Company earned $201.3 million, or 77.2%, from the internet data center market,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$43.6 million, or 16.7%, from the CATV market, $1.6 million, or 0.6%, from the FTTH market and $12.9 million, or 5.0%,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the telecom market.  Of the Company’s total revenues in 2015, the Company earned $123.2 million, or 64.9%,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internet data center market, $53.7 million, or 28.3%, from the CATV market, $2.5 million, or 1.3%, from the FTTH market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$9.7 million, or 5.1%, from the telecom market. Of the Company’s total revenues in 2014, the Company earned</w:t>
      </w:r>
    </w:p>
    <w:p>
      <w:pPr>
        <w:spacing w:after="0" w:line="21" w:lineRule="exact"/>
        <w:rPr>
          <w:sz w:val="20"/>
          <w:szCs w:val="20"/>
          <w:color w:val="auto"/>
        </w:rPr>
      </w:pPr>
    </w:p>
    <w:p>
      <w:pPr>
        <w:ind w:right="1040"/>
        <w:spacing w:after="0" w:line="290" w:lineRule="auto"/>
        <w:rPr>
          <w:sz w:val="20"/>
          <w:szCs w:val="20"/>
          <w:color w:val="auto"/>
        </w:rPr>
      </w:pPr>
      <w:r>
        <w:rPr>
          <w:rFonts w:ascii="Arial" w:cs="Arial" w:eastAsia="Arial" w:hAnsi="Arial"/>
          <w:sz w:val="17"/>
          <w:szCs w:val="17"/>
          <w:color w:val="auto"/>
        </w:rPr>
        <w:t>$64.4 million, or 49.4%, from the internet data center market, $47.4 million, or 36.3%, from the CATV market, $13.6 million, or 10.4%, from the FTTH market and $3.9 million, or 3.0%, from the telecom 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O—MAJOR CUSTOMERS</w:t>
      </w:r>
    </w:p>
    <w:p>
      <w:pPr>
        <w:spacing w:after="0" w:line="22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The Company currently derives its revenues from customers in the United States and throughout the rest of the world. Generally, the Company does not require deposits or other collateral to support customer receivables. The Company performs an initial and periodic credit evaluation of its customers and maintains an allowance for uncollectible accounts for potential uncollectible accounts. The historical amount of losses on uncollectible accounts has been within the Company’s estimates. The Company generates much of its revenue from a limited number of customers. In 2016, 2015 and 2014, its top five customers represented 87.8%, 81.8% and 72.0% of its revenue, respectively. In 2016, Amazon, Microsoft and Arris represented 54.6%, 18.3 % and 5.8% of its revenue, respectively. In 2015, Amazon, Microsoft and Cisco represented 52.5%, 11.6% and 10.4% of its revenue, respectively. In 2014, Amazon, Cisco and a leading internet service provider represented 45.8%, 8.9% and 6.7% of its revenue, respectively. The five largest receivable balances for customers represented an aggregate of 88.3%, and 80.0% of total accounts receivable at December 31, 2016 and 2015, respectively. As of December 31, 2016, Amazon and Arris represented 62.1% and 10.6% of total accounts receivable, respectively. As of December 31, 2015, Amazon and Wesco represented 51.4% and 14.4% of total accounts receivable, respectively.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P—EMPLOYEE BENEFIT PLANS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contributions of $0.6 million, $0.4 million and $0.2 million to the 401(k) plan for the years ended December 31, 2016, 2015 and 2014, respectively.</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Employees of the Company’s Taiwan branch participate in a pension program under the Taiwan Labor Pension Act. Pension expense for Global was $0.6 million, $0.3 million and $0.4 million in the years ended for the year ended December 31, 2016, 2015 and 2014, respectively. Pension expense for the Company’s Taiwan branch was $0.8 million, $0.6 million and $0.4 million for the years ended December 31, 2016, 2015 and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Company conducts part of its operations from leased facilities and also leases equipment. Rent expense was $1.1 million, $1.1 million and $0.8 million for the years ended December 31, 2016, 2015 and 2014, respectively.</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December 31, 2016, the approximate minimum rental commitments under noncancellable leases in excess of one year that expire at varying dates through 2029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r>
      <w:tr>
        <w:trPr>
          <w:trHeight w:val="142"/>
        </w:trPr>
        <w:tc>
          <w:tcPr>
            <w:tcW w:w="6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120" w:type="dxa"/>
            <w:vAlign w:val="bottom"/>
            <w:shd w:val="clear" w:color="auto" w:fill="CCEEFF"/>
          </w:tcPr>
          <w:p>
            <w:pPr>
              <w:spacing w:after="0"/>
              <w:rPr>
                <w:sz w:val="18"/>
                <w:szCs w:val="18"/>
                <w:color w:val="auto"/>
              </w:rPr>
            </w:pPr>
          </w:p>
        </w:tc>
      </w:tr>
      <w:tr>
        <w:trPr>
          <w:trHeight w:val="217"/>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12,724</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Consultancy Agreements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has entered into employment and indemnification agreements with three executive officers.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has also entered into employment and indemnification agreement with one other executive officer. These agreements provide that if their employment is terminated as a result of a change of control of the Company, the Company will be required to pay a severance payment in an amount equal to their six months of their annual base salary, and other additional compensation due under the terms of the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 may be party to litigation, claims or assessments in the ordinary course of business. Management is not aware of any of these matters that would have a material effect on the financial condition, results of operations or cash flows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evaluated subsequent events through the date the financial statements were issued.</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6"/>
          <w:szCs w:val="16"/>
          <w:color w:val="auto"/>
        </w:rPr>
        <w:t>On January 25, 2017, the Company’s Taiwan branch entered into an early Termination Agreement with Chailease Finance Company Ltd. (Chailease), to terminate the Purchase and Sale Contract and the Finance Lease Agreement (Lease Agreement) executed on June 30, 2015. Under the terms of the Termination Agreement, the Company agreed to pay approximately $1.2 million to Chailease which includes all costs and expenses associated with the early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termination. Chailease agreed to transfer title to the Company of all property contemplated under the Lease Agreement.</w:t>
      </w:r>
    </w:p>
    <w:p>
      <w:pPr>
        <w:spacing w:after="0" w:line="22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On February 27, 2017, the Company repaid the outstanding balance of $2.9 million on an existing $5.0 million term loan and repaid the outstanding balance of $9.5 million on an existing $10.0 million equipment term loan with East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West Bank. As a result of such repayments, both the term loan and the equipment loan with East West Bank have been terminated.</w:t>
      </w:r>
    </w:p>
    <w:p>
      <w:pPr>
        <w:spacing w:after="0" w:line="1" w:lineRule="exact"/>
        <w:rPr>
          <w:sz w:val="20"/>
          <w:szCs w:val="20"/>
          <w:color w:val="auto"/>
        </w:rPr>
      </w:pPr>
    </w:p>
    <w:p>
      <w:pPr>
        <w:ind w:right="160" w:firstLine="648"/>
        <w:spacing w:after="0" w:line="256" w:lineRule="auto"/>
        <w:rPr>
          <w:sz w:val="20"/>
          <w:szCs w:val="20"/>
          <w:color w:val="auto"/>
        </w:rPr>
      </w:pPr>
      <w:r>
        <w:rPr>
          <w:rFonts w:ascii="Arial" w:cs="Arial" w:eastAsia="Arial" w:hAnsi="Arial"/>
          <w:sz w:val="19"/>
          <w:szCs w:val="19"/>
          <w:color w:val="auto"/>
        </w:rPr>
        <w:t>Between February 28, 2017 and March 2, 2017, the Company had sold 459,020 shares under the ATM Offering at a weighted average price $47.98 per share, providing proceeds of $21.6 million, net of expenses and underwriting discounts and commissions. As of March 2, 2017, the Company had completed its ATM Offering and sold a total of 1,584,620 shares at a weighted average price of $31.55, raising net proceeds of $48.8 million, net of expenses and underwriting discounts and commissions.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S—SELECTED QUARTERLY FINANCIAL DATA (UNAUDITED)</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set forth a summary of the Company’s quarterly financial information for each of the four quarters for the years ended December 31,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2016</w:t>
            </w: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Second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3600" w:type="dxa"/>
            <w:vAlign w:val="bottom"/>
            <w:gridSpan w:val="2"/>
            <w:vMerge w:val="continue"/>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8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50,422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55,254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70,137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84,900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Cost of goods sold</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36,169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37,952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46,976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52,662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17,302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32,238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Gross margin</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15,809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15,330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16,401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 (loss) before taxes</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 (loss)</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17,736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 (loss) per share—basic</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60" w:type="dxa"/>
            <w:vAlign w:val="bottom"/>
            <w:gridSpan w:val="3"/>
          </w:tcPr>
          <w:p>
            <w:pPr>
              <w:jc w:val="right"/>
              <w:ind w:right="1120"/>
              <w:spacing w:after="0"/>
              <w:rPr>
                <w:sz w:val="20"/>
                <w:szCs w:val="20"/>
                <w:color w:val="auto"/>
              </w:rPr>
            </w:pPr>
            <w:r>
              <w:rPr>
                <w:rFonts w:ascii="Arial" w:cs="Arial" w:eastAsia="Arial" w:hAnsi="Arial"/>
                <w:sz w:val="18"/>
                <w:szCs w:val="18"/>
                <w:color w:val="auto"/>
              </w:rPr>
              <w:t>F - 30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Second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57,085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52,952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32,901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39,032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37,334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11,367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10,842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11,931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5,889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 (loss) before taxes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6,224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6,089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income (loss) per share—basic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jc w:val="right"/>
        <w:ind w:right="139"/>
        <w:spacing w:after="0"/>
        <w:rPr>
          <w:sz w:val="20"/>
          <w:szCs w:val="20"/>
          <w:color w:val="auto"/>
        </w:rPr>
      </w:pPr>
      <w:r>
        <w:rPr>
          <w:rFonts w:ascii="Arial" w:cs="Arial" w:eastAsia="Arial" w:hAnsi="Arial"/>
          <w:sz w:val="22"/>
          <w:szCs w:val="22"/>
          <w:b w:val="1"/>
          <w:bCs w:val="1"/>
          <w:color w:val="auto"/>
        </w:rPr>
        <w:t>Exhibit 10.6</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APPLIED OPTOELECTRONICS, INC.</w:t>
      </w:r>
    </w:p>
    <w:p>
      <w:pPr>
        <w:jc w:val="center"/>
        <w:ind w:right="-20"/>
        <w:spacing w:after="0" w:line="230" w:lineRule="auto"/>
        <w:rPr>
          <w:sz w:val="20"/>
          <w:szCs w:val="20"/>
          <w:color w:val="auto"/>
        </w:rPr>
      </w:pPr>
      <w:r>
        <w:rPr>
          <w:rFonts w:ascii="Arial" w:cs="Arial" w:eastAsia="Arial" w:hAnsi="Arial"/>
          <w:sz w:val="22"/>
          <w:szCs w:val="22"/>
          <w:b w:val="1"/>
          <w:bCs w:val="1"/>
          <w:color w:val="auto"/>
        </w:rPr>
        <w:t>AMENDED AND RESTATED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2013 EQUITY INCENTIVE PLAN</w:t>
      </w:r>
    </w:p>
    <w:p>
      <w:pPr>
        <w:spacing w:after="0" w:line="200" w:lineRule="exact"/>
        <w:rPr>
          <w:sz w:val="20"/>
          <w:szCs w:val="20"/>
          <w:color w:val="auto"/>
        </w:rPr>
      </w:pPr>
    </w:p>
    <w:p>
      <w:pPr>
        <w:spacing w:after="0" w:line="258" w:lineRule="exact"/>
        <w:rPr>
          <w:sz w:val="20"/>
          <w:szCs w:val="20"/>
          <w:color w:val="auto"/>
        </w:rPr>
      </w:pPr>
    </w:p>
    <w:p>
      <w:pPr>
        <w:jc w:val="both"/>
        <w:ind w:left="160" w:right="139" w:firstLine="648"/>
        <w:spacing w:after="0" w:line="272" w:lineRule="auto"/>
        <w:rPr>
          <w:sz w:val="20"/>
          <w:szCs w:val="20"/>
          <w:color w:val="auto"/>
        </w:rPr>
      </w:pPr>
      <w:r>
        <w:rPr>
          <w:rFonts w:ascii="Arial" w:cs="Arial" w:eastAsia="Arial" w:hAnsi="Arial"/>
          <w:sz w:val="19"/>
          <w:szCs w:val="19"/>
          <w:color w:val="auto"/>
        </w:rPr>
        <w:t>The Applied Optoelectronics, Inc. 2013 Equity Incentive Plan (the “Original Plan”) was originally approved by the Board of Directors (the “Board”) of Applied Optoelectronic, Inc. (the “Company”) on April 12, 2013 and by the Company’s stockholders on May 21, 2013. Effective as of August 20, 2013, the Company’s outstanding shares were subject to a 30:1 reverse stock split (the “Reverse Stock Split”). As of January 1st of each subsequent year, Shares have been automatically added to the Plan pursuant to Section 3(a) of the Original Plan (such Shares, the “Additional Shares”). In addition, effective as of January 1, 2017, the Board approved certain amendments to the Plan to increase tax withholding on Restricted Stock to satisfy tax obligations (the “Withholding Amendments”). The Board has approved this Amended and Restated 2013 Equity Incentive Plan effective as of January 1, 2017 to reflect the adjustments to the number of authorized Shares under the Plan resulting from (i) the Reverse Stock Split and (ii) the addition of the Additional Shares, and to incorporate the Withholding Amendments.</w:t>
      </w:r>
    </w:p>
    <w:p>
      <w:pPr>
        <w:spacing w:after="0" w:line="200" w:lineRule="exact"/>
        <w:rPr>
          <w:sz w:val="20"/>
          <w:szCs w:val="20"/>
          <w:color w:val="auto"/>
        </w:rPr>
      </w:pPr>
    </w:p>
    <w:p>
      <w:pPr>
        <w:spacing w:after="0" w:line="210" w:lineRule="exact"/>
        <w:rPr>
          <w:sz w:val="20"/>
          <w:szCs w:val="20"/>
          <w:color w:val="auto"/>
        </w:rPr>
      </w:pPr>
    </w:p>
    <w:p>
      <w:pPr>
        <w:jc w:val="both"/>
        <w:ind w:left="160" w:right="139" w:firstLine="639"/>
        <w:spacing w:after="0" w:line="278" w:lineRule="auto"/>
        <w:tabs>
          <w:tab w:leader="none" w:pos="150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Purpose of the Plan</w:t>
      </w:r>
      <w:r>
        <w:rPr>
          <w:rFonts w:ascii="Arial" w:cs="Arial" w:eastAsia="Arial" w:hAnsi="Arial"/>
          <w:sz w:val="18"/>
          <w:szCs w:val="18"/>
          <w:color w:val="auto"/>
        </w:rPr>
        <w:t>. The purpose of the Plan is to: (i) attract and retain the best available personnel for positions of substantial responsibility, (ii) provide additional incentive to Employees, Directors and Consultants, and (iii) promote the success of the Company's business. The Plan permits the grant of Incentive Stock Options, Nonstatutory Stock Options, Stock Appreciation Rights, Restricted Stock, Restricted Stock Units, Performance Units, Performance Shares, and Other Stock Based Awards.</w:t>
      </w:r>
    </w:p>
    <w:p>
      <w:pPr>
        <w:spacing w:after="0" w:line="165" w:lineRule="exact"/>
        <w:rPr>
          <w:rFonts w:ascii="Arial" w:cs="Arial" w:eastAsia="Arial" w:hAnsi="Arial"/>
          <w:sz w:val="18"/>
          <w:szCs w:val="18"/>
          <w:color w:val="auto"/>
        </w:rPr>
      </w:pPr>
    </w:p>
    <w:p>
      <w:pPr>
        <w:ind w:left="1480" w:hanging="681"/>
        <w:spacing w:after="0"/>
        <w:tabs>
          <w:tab w:leader="none" w:pos="148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Definition</w:t>
      </w:r>
      <w:r>
        <w:rPr>
          <w:rFonts w:ascii="Arial" w:cs="Arial" w:eastAsia="Arial" w:hAnsi="Arial"/>
          <w:sz w:val="20"/>
          <w:szCs w:val="20"/>
          <w:color w:val="auto"/>
        </w:rPr>
        <w:t>. As used in this Plan, the following definitions shall apply:</w:t>
      </w:r>
    </w:p>
    <w:p>
      <w:pPr>
        <w:spacing w:after="0" w:line="209" w:lineRule="exact"/>
        <w:rPr>
          <w:rFonts w:ascii="Arial" w:cs="Arial" w:eastAsia="Arial" w:hAnsi="Arial"/>
          <w:sz w:val="20"/>
          <w:szCs w:val="20"/>
          <w:color w:val="auto"/>
        </w:rPr>
      </w:pPr>
    </w:p>
    <w:p>
      <w:pPr>
        <w:ind w:left="160" w:right="159" w:firstLine="1287"/>
        <w:spacing w:after="0" w:line="267" w:lineRule="auto"/>
        <w:tabs>
          <w:tab w:leader="none" w:pos="2212" w:val="left"/>
        </w:tabs>
        <w:numPr>
          <w:ilvl w:val="1"/>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Administrator</w:t>
      </w:r>
      <w:r>
        <w:rPr>
          <w:rFonts w:ascii="Arial" w:cs="Arial" w:eastAsia="Arial" w:hAnsi="Arial"/>
          <w:sz w:val="20"/>
          <w:szCs w:val="20"/>
          <w:color w:val="auto"/>
        </w:rPr>
        <w:t>" means the Board or any of its Committees that shall be administering the Plan, in accordance with Section 4 of the Plan.</w:t>
      </w:r>
    </w:p>
    <w:p>
      <w:pPr>
        <w:spacing w:after="0" w:line="163" w:lineRule="exact"/>
        <w:rPr>
          <w:rFonts w:ascii="Arial" w:cs="Arial" w:eastAsia="Arial" w:hAnsi="Arial"/>
          <w:sz w:val="20"/>
          <w:szCs w:val="20"/>
          <w:color w:val="auto"/>
        </w:rPr>
      </w:pPr>
    </w:p>
    <w:p>
      <w:pPr>
        <w:jc w:val="both"/>
        <w:ind w:left="160" w:right="139" w:firstLine="1287"/>
        <w:spacing w:after="0" w:line="246" w:lineRule="auto"/>
        <w:tabs>
          <w:tab w:leader="none" w:pos="2142" w:val="left"/>
        </w:tabs>
        <w:numPr>
          <w:ilvl w:val="1"/>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Laws</w:t>
      </w:r>
      <w:r>
        <w:rPr>
          <w:rFonts w:ascii="Arial" w:cs="Arial" w:eastAsia="Arial" w:hAnsi="Arial"/>
          <w:sz w:val="20"/>
          <w:szCs w:val="20"/>
          <w:color w:val="auto"/>
        </w:rPr>
        <w:t>" means the requirements relating to the administration of equity-based awards or equity compensation plans under U.S. federal and state corporate laws, U.S. federal and state securities laws, the Code, any stock exchange or quotation system on which the Common Stock is listed or quoted and the applicable laws of any foreign country or jurisdiction where Awards are, or shall be, granted under the Plan.</w:t>
      </w:r>
    </w:p>
    <w:p>
      <w:pPr>
        <w:spacing w:after="0" w:line="185" w:lineRule="exact"/>
        <w:rPr>
          <w:rFonts w:ascii="Arial" w:cs="Arial" w:eastAsia="Arial" w:hAnsi="Arial"/>
          <w:sz w:val="20"/>
          <w:szCs w:val="20"/>
          <w:color w:val="auto"/>
        </w:rPr>
      </w:pPr>
    </w:p>
    <w:p>
      <w:pPr>
        <w:jc w:val="both"/>
        <w:ind w:left="160" w:right="139" w:firstLine="1287"/>
        <w:spacing w:after="0" w:line="253" w:lineRule="auto"/>
        <w:tabs>
          <w:tab w:leader="none" w:pos="2158" w:val="left"/>
        </w:tabs>
        <w:numPr>
          <w:ilvl w:val="1"/>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Award</w:t>
      </w:r>
      <w:r>
        <w:rPr>
          <w:rFonts w:ascii="Arial" w:cs="Arial" w:eastAsia="Arial" w:hAnsi="Arial"/>
          <w:sz w:val="20"/>
          <w:szCs w:val="20"/>
          <w:color w:val="auto"/>
        </w:rPr>
        <w:t>" means, individually or collectively, a grant under the Plan of Options, SARs, Restricted Stock, Restricted Stock Units, Performance Units, Performance Shares or Other Stock Based Awards.</w:t>
      </w:r>
    </w:p>
    <w:p>
      <w:pPr>
        <w:spacing w:after="0" w:line="177" w:lineRule="exact"/>
        <w:rPr>
          <w:rFonts w:ascii="Arial" w:cs="Arial" w:eastAsia="Arial" w:hAnsi="Arial"/>
          <w:sz w:val="20"/>
          <w:szCs w:val="20"/>
          <w:color w:val="auto"/>
        </w:rPr>
      </w:pPr>
    </w:p>
    <w:p>
      <w:pPr>
        <w:jc w:val="both"/>
        <w:ind w:left="160" w:right="139" w:firstLine="1287"/>
        <w:spacing w:after="0" w:line="253" w:lineRule="auto"/>
        <w:tabs>
          <w:tab w:leader="none" w:pos="2169" w:val="left"/>
        </w:tabs>
        <w:numPr>
          <w:ilvl w:val="1"/>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Award Agreement</w:t>
      </w:r>
      <w:r>
        <w:rPr>
          <w:rFonts w:ascii="Arial" w:cs="Arial" w:eastAsia="Arial" w:hAnsi="Arial"/>
          <w:sz w:val="20"/>
          <w:szCs w:val="20"/>
          <w:color w:val="auto"/>
        </w:rPr>
        <w:t>" means the written or electronic agreement setting forth the terms and provisions applicable to each Award granted under the Plan. The Award Agreement is subject to the terms and conditions of the Plan.</w:t>
      </w:r>
    </w:p>
    <w:p>
      <w:pPr>
        <w:spacing w:after="0" w:line="177" w:lineRule="exact"/>
        <w:rPr>
          <w:rFonts w:ascii="Arial" w:cs="Arial" w:eastAsia="Arial" w:hAnsi="Arial"/>
          <w:sz w:val="20"/>
          <w:szCs w:val="20"/>
          <w:color w:val="auto"/>
        </w:rPr>
      </w:pPr>
    </w:p>
    <w:p>
      <w:pPr>
        <w:ind w:left="2120" w:hanging="673"/>
        <w:spacing w:after="0"/>
        <w:tabs>
          <w:tab w:leader="none" w:pos="2120" w:val="left"/>
        </w:tabs>
        <w:numPr>
          <w:ilvl w:val="1"/>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Awarded Stock</w:t>
      </w:r>
      <w:r>
        <w:rPr>
          <w:rFonts w:ascii="Arial" w:cs="Arial" w:eastAsia="Arial" w:hAnsi="Arial"/>
          <w:sz w:val="20"/>
          <w:szCs w:val="20"/>
          <w:color w:val="auto"/>
        </w:rPr>
        <w:t>" means the Common Stock subject to an Award.</w:t>
      </w:r>
    </w:p>
    <w:p>
      <w:pPr>
        <w:spacing w:after="0" w:line="215" w:lineRule="exact"/>
        <w:rPr>
          <w:rFonts w:ascii="Arial" w:cs="Arial" w:eastAsia="Arial" w:hAnsi="Arial"/>
          <w:sz w:val="20"/>
          <w:szCs w:val="20"/>
          <w:color w:val="auto"/>
        </w:rPr>
      </w:pPr>
    </w:p>
    <w:p>
      <w:pPr>
        <w:ind w:left="2160" w:hanging="713"/>
        <w:spacing w:after="0"/>
        <w:tabs>
          <w:tab w:leader="none" w:pos="2160" w:val="left"/>
        </w:tabs>
        <w:numPr>
          <w:ilvl w:val="1"/>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215" w:lineRule="exact"/>
        <w:rPr>
          <w:rFonts w:ascii="Arial" w:cs="Arial" w:eastAsia="Arial" w:hAnsi="Arial"/>
          <w:sz w:val="20"/>
          <w:szCs w:val="20"/>
          <w:color w:val="auto"/>
        </w:rPr>
      </w:pPr>
    </w:p>
    <w:p>
      <w:pPr>
        <w:ind w:left="160" w:right="159" w:firstLine="1287"/>
        <w:spacing w:after="0" w:line="267" w:lineRule="auto"/>
        <w:tabs>
          <w:tab w:leader="none" w:pos="2142" w:val="left"/>
        </w:tabs>
        <w:numPr>
          <w:ilvl w:val="1"/>
          <w:numId w:val="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except as otherwise provided in the Award Agreement, the occurrence of any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255270</wp:posOffset>
            </wp:positionV>
            <wp:extent cx="554863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4" w:name="page105"/>
    <w:bookmarkEnd w:id="104"/>
    <w:p>
      <w:pPr>
        <w:jc w:val="both"/>
        <w:ind w:left="160" w:right="139" w:firstLine="1935"/>
        <w:spacing w:after="0" w:line="247" w:lineRule="auto"/>
        <w:tabs>
          <w:tab w:leader="none" w:pos="2841"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"person" (as such term is used in Sections 13(d) and 14(d) of the Exchange Act) becomes the "beneficial owner" (as defined in Rule 13d-3 of the Exchange Act), directly or indirectly, of securities of the Company representing 50% or more of the total voting power represented by the Company's then outstanding voting securities;</w:t>
      </w:r>
    </w:p>
    <w:p>
      <w:pPr>
        <w:spacing w:after="0" w:line="188" w:lineRule="exact"/>
        <w:rPr>
          <w:rFonts w:ascii="Arial" w:cs="Arial" w:eastAsia="Arial" w:hAnsi="Arial"/>
          <w:sz w:val="20"/>
          <w:szCs w:val="20"/>
          <w:color w:val="auto"/>
        </w:rPr>
      </w:pPr>
    </w:p>
    <w:p>
      <w:pPr>
        <w:jc w:val="both"/>
        <w:ind w:left="160" w:right="139" w:firstLine="1935"/>
        <w:spacing w:after="0" w:line="278" w:lineRule="auto"/>
        <w:tabs>
          <w:tab w:leader="none" w:pos="28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sale or disposition by the Company of all or substantially all of the Company's assets other than (A) the sale or disposition of all or substantially all of the assets of the Company to a person or persons who beneficially own, directly or indirectly, at least 50% or more of the combined voting power of the outstanding voting securities of the Company at the time of the sale or (B) pursuant to a spin-off type transaction, directly or indirectly, of such assets to the Company's stockholders;</w:t>
      </w:r>
    </w:p>
    <w:p>
      <w:pPr>
        <w:spacing w:after="0" w:line="165" w:lineRule="exact"/>
        <w:rPr>
          <w:rFonts w:ascii="Arial" w:cs="Arial" w:eastAsia="Arial" w:hAnsi="Arial"/>
          <w:sz w:val="18"/>
          <w:szCs w:val="18"/>
          <w:color w:val="auto"/>
        </w:rPr>
      </w:pPr>
    </w:p>
    <w:p>
      <w:pPr>
        <w:jc w:val="both"/>
        <w:ind w:left="160" w:right="139" w:firstLine="1935"/>
        <w:spacing w:after="0" w:line="243" w:lineRule="auto"/>
        <w:tabs>
          <w:tab w:leader="none" w:pos="2883" w:val="left"/>
        </w:tabs>
        <w:numPr>
          <w:ilvl w:val="1"/>
          <w:numId w:val="51"/>
        </w:numPr>
        <w:rPr>
          <w:rFonts w:ascii="Arial" w:cs="Arial" w:eastAsia="Arial" w:hAnsi="Arial"/>
          <w:sz w:val="20"/>
          <w:szCs w:val="20"/>
          <w:color w:val="auto"/>
        </w:rPr>
      </w:pPr>
      <w:r>
        <w:rPr>
          <w:rFonts w:ascii="Arial" w:cs="Arial" w:eastAsia="Arial" w:hAnsi="Arial"/>
          <w:sz w:val="20"/>
          <w:szCs w:val="20"/>
          <w:color w:val="auto"/>
        </w:rPr>
        <w:t>A change in the composition of the Board occurring within a two-year period as a result of which fewer than a majority of the directors are Incumbent Directors. "Incumbent Directors" are directors who either (A) are Directors as of the effective date of the Plan,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or</w:t>
      </w:r>
    </w:p>
    <w:p>
      <w:pPr>
        <w:spacing w:after="0" w:line="193" w:lineRule="exact"/>
        <w:rPr>
          <w:rFonts w:ascii="Arial" w:cs="Arial" w:eastAsia="Arial" w:hAnsi="Arial"/>
          <w:sz w:val="20"/>
          <w:szCs w:val="20"/>
          <w:color w:val="auto"/>
        </w:rPr>
      </w:pPr>
    </w:p>
    <w:p>
      <w:pPr>
        <w:jc w:val="both"/>
        <w:ind w:left="160" w:right="139" w:firstLine="1935"/>
        <w:spacing w:after="0" w:line="243" w:lineRule="auto"/>
        <w:tabs>
          <w:tab w:leader="none" w:pos="2831" w:val="left"/>
        </w:tabs>
        <w:numPr>
          <w:ilvl w:val="1"/>
          <w:numId w:val="51"/>
        </w:numPr>
        <w:rPr>
          <w:rFonts w:ascii="Arial" w:cs="Arial" w:eastAsia="Arial" w:hAnsi="Arial"/>
          <w:sz w:val="20"/>
          <w:szCs w:val="20"/>
          <w:color w:val="auto"/>
        </w:rPr>
      </w:pPr>
      <w:r>
        <w:rPr>
          <w:rFonts w:ascii="Arial" w:cs="Arial" w:eastAsia="Arial" w:hAnsi="Arial"/>
          <w:sz w:val="20"/>
          <w:szCs w:val="20"/>
          <w:color w:val="auto"/>
        </w:rPr>
        <w:t>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50% of the total voting power represented by the voting securities of the Company or such surviving entity or its parent outstanding immediately after such merger or consolidation.</w:t>
      </w:r>
    </w:p>
    <w:p>
      <w:pPr>
        <w:spacing w:after="0" w:line="190" w:lineRule="exact"/>
        <w:rPr>
          <w:rFonts w:ascii="Arial" w:cs="Arial" w:eastAsia="Arial" w:hAnsi="Arial"/>
          <w:sz w:val="20"/>
          <w:szCs w:val="20"/>
          <w:color w:val="auto"/>
        </w:rPr>
      </w:pPr>
    </w:p>
    <w:p>
      <w:pPr>
        <w:jc w:val="both"/>
        <w:ind w:left="160" w:right="139" w:firstLine="1287"/>
        <w:spacing w:after="0" w:line="253" w:lineRule="auto"/>
        <w:tabs>
          <w:tab w:leader="none" w:pos="2182" w:val="left"/>
        </w:tabs>
        <w:numPr>
          <w:ilvl w:val="0"/>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and the U.S. Treasury regulations promulgated thereunder. Any reference to a section of the Code shall be a reference to any successor or amended section of the Code.</w:t>
      </w:r>
    </w:p>
    <w:p>
      <w:pPr>
        <w:spacing w:after="0" w:line="177" w:lineRule="exact"/>
        <w:rPr>
          <w:rFonts w:ascii="Arial" w:cs="Arial" w:eastAsia="Arial" w:hAnsi="Arial"/>
          <w:sz w:val="20"/>
          <w:szCs w:val="20"/>
          <w:color w:val="auto"/>
        </w:rPr>
      </w:pPr>
    </w:p>
    <w:p>
      <w:pPr>
        <w:ind w:left="160" w:right="159" w:firstLine="1287"/>
        <w:spacing w:after="0" w:line="267" w:lineRule="auto"/>
        <w:tabs>
          <w:tab w:leader="none" w:pos="2206" w:val="left"/>
        </w:tabs>
        <w:numPr>
          <w:ilvl w:val="0"/>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Committee</w:t>
      </w:r>
      <w:r>
        <w:rPr>
          <w:rFonts w:ascii="Arial" w:cs="Arial" w:eastAsia="Arial" w:hAnsi="Arial"/>
          <w:sz w:val="20"/>
          <w:szCs w:val="20"/>
          <w:color w:val="auto"/>
        </w:rPr>
        <w:t>" means a committee of Directors or other individuals satisfying Applicable Laws appointed by the Board in accordance with Section 4 of the Plan.</w:t>
      </w:r>
    </w:p>
    <w:p>
      <w:pPr>
        <w:spacing w:after="0" w:line="163" w:lineRule="exact"/>
        <w:rPr>
          <w:rFonts w:ascii="Arial" w:cs="Arial" w:eastAsia="Arial" w:hAnsi="Arial"/>
          <w:sz w:val="20"/>
          <w:szCs w:val="20"/>
          <w:color w:val="auto"/>
        </w:rPr>
      </w:pPr>
    </w:p>
    <w:p>
      <w:pPr>
        <w:jc w:val="both"/>
        <w:ind w:left="160" w:right="139" w:firstLine="1287"/>
        <w:spacing w:after="0" w:line="253" w:lineRule="auto"/>
        <w:tabs>
          <w:tab w:leader="none" w:pos="2179" w:val="left"/>
        </w:tabs>
        <w:numPr>
          <w:ilvl w:val="0"/>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Stock</w:t>
      </w:r>
      <w:r>
        <w:rPr>
          <w:rFonts w:ascii="Arial" w:cs="Arial" w:eastAsia="Arial" w:hAnsi="Arial"/>
          <w:sz w:val="20"/>
          <w:szCs w:val="20"/>
          <w:color w:val="auto"/>
        </w:rPr>
        <w:t>" means the Common Stock of the Company, or in the case of Performance Units, Restricted Stock Units, and certain Other Stock Based Awards, the cash equivalent thereof, as applicable.</w:t>
      </w:r>
    </w:p>
    <w:p>
      <w:pPr>
        <w:spacing w:after="0" w:line="177" w:lineRule="exact"/>
        <w:rPr>
          <w:rFonts w:ascii="Arial" w:cs="Arial" w:eastAsia="Arial" w:hAnsi="Arial"/>
          <w:sz w:val="20"/>
          <w:szCs w:val="20"/>
          <w:color w:val="auto"/>
        </w:rPr>
      </w:pPr>
    </w:p>
    <w:p>
      <w:pPr>
        <w:ind w:left="160" w:right="159" w:firstLine="1287"/>
        <w:spacing w:after="0" w:line="267" w:lineRule="auto"/>
        <w:tabs>
          <w:tab w:leader="none" w:pos="2142" w:val="left"/>
        </w:tabs>
        <w:numPr>
          <w:ilvl w:val="0"/>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Applied Optoelectronics, Inc., a Delaware corporation, and any successor to Applied Optoelectronics, Inc.</w:t>
      </w:r>
    </w:p>
    <w:p>
      <w:pPr>
        <w:spacing w:after="0" w:line="163" w:lineRule="exact"/>
        <w:rPr>
          <w:rFonts w:ascii="Arial" w:cs="Arial" w:eastAsia="Arial" w:hAnsi="Arial"/>
          <w:sz w:val="20"/>
          <w:szCs w:val="20"/>
          <w:color w:val="auto"/>
        </w:rPr>
      </w:pPr>
    </w:p>
    <w:p>
      <w:pPr>
        <w:ind w:left="160" w:right="159" w:firstLine="1287"/>
        <w:spacing w:after="0" w:line="267" w:lineRule="auto"/>
        <w:tabs>
          <w:tab w:leader="none" w:pos="2152" w:val="left"/>
        </w:tabs>
        <w:numPr>
          <w:ilvl w:val="0"/>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Consultant</w:t>
      </w:r>
      <w:r>
        <w:rPr>
          <w:rFonts w:ascii="Arial" w:cs="Arial" w:eastAsia="Arial" w:hAnsi="Arial"/>
          <w:sz w:val="20"/>
          <w:szCs w:val="20"/>
          <w:color w:val="auto"/>
        </w:rPr>
        <w:t>" means any person, including an advisor, engaged by the Company or a Parent or Subsidiary to render services to such entity.</w:t>
      </w:r>
    </w:p>
    <w:p>
      <w:pPr>
        <w:spacing w:after="0" w:line="163" w:lineRule="exact"/>
        <w:rPr>
          <w:rFonts w:ascii="Arial" w:cs="Arial" w:eastAsia="Arial" w:hAnsi="Arial"/>
          <w:sz w:val="20"/>
          <w:szCs w:val="20"/>
          <w:color w:val="auto"/>
        </w:rPr>
      </w:pPr>
    </w:p>
    <w:p>
      <w:pPr>
        <w:ind w:left="2140" w:hanging="693"/>
        <w:spacing w:after="0"/>
        <w:tabs>
          <w:tab w:leader="none" w:pos="21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w:t>
      </w:r>
      <w:r>
        <w:rPr>
          <w:rFonts w:ascii="Arial" w:cs="Arial" w:eastAsia="Arial" w:hAnsi="Arial"/>
          <w:sz w:val="20"/>
          <w:szCs w:val="20"/>
          <w:color w:val="auto"/>
        </w:rPr>
        <w:t>" means a member of the Board.</w:t>
      </w:r>
    </w:p>
    <w:p>
      <w:pPr>
        <w:spacing w:after="0" w:line="215" w:lineRule="exact"/>
        <w:rPr>
          <w:rFonts w:ascii="Arial" w:cs="Arial" w:eastAsia="Arial" w:hAnsi="Arial"/>
          <w:sz w:val="20"/>
          <w:szCs w:val="20"/>
          <w:color w:val="auto"/>
        </w:rPr>
      </w:pPr>
    </w:p>
    <w:p>
      <w:pPr>
        <w:jc w:val="both"/>
        <w:ind w:left="160" w:right="139" w:firstLine="1287"/>
        <w:spacing w:after="0" w:line="236" w:lineRule="exact"/>
        <w:tabs>
          <w:tab w:leader="none" w:pos="2155"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total and permanent disability as defined in Section 22(e)(3) of the Code, provided that in the case of Awards other than Incentive Stock Options, the Administrator in its sole discretion may determine whether a permanent and total disability exists in accordance with uniform and non</w:t>
      </w:r>
      <w:r>
        <w:rPr>
          <w:rFonts w:ascii="MS PGothic" w:cs="MS PGothic" w:eastAsia="MS PGothic" w:hAnsi="MS PGothic"/>
          <w:sz w:val="19"/>
          <w:szCs w:val="19"/>
          <w:color w:val="auto"/>
        </w:rPr>
        <w:t>‑</w:t>
      </w:r>
      <w:r>
        <w:rPr>
          <w:rFonts w:ascii="Arial" w:cs="Arial" w:eastAsia="Arial" w:hAnsi="Arial"/>
          <w:sz w:val="19"/>
          <w:szCs w:val="19"/>
          <w:color w:val="auto"/>
        </w:rPr>
        <w:t>discriminatory standards adopted by the Administrator from time to time.</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5" w:name="page106"/>
    <w:bookmarkEnd w:id="105"/>
    <w:p>
      <w:pPr>
        <w:jc w:val="both"/>
        <w:ind w:left="160" w:right="159" w:firstLine="1287"/>
        <w:spacing w:after="0" w:line="331" w:lineRule="auto"/>
        <w:tabs>
          <w:tab w:leader="none" w:pos="2209"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Equivalent</w:t>
      </w:r>
      <w:r>
        <w:rPr>
          <w:rFonts w:ascii="Arial" w:cs="Arial" w:eastAsia="Arial" w:hAnsi="Arial"/>
          <w:sz w:val="16"/>
          <w:szCs w:val="16"/>
          <w:color w:val="auto"/>
        </w:rPr>
        <w:t>" means a credit, made at the sole discretion of the Administrator, to the account of a Participant in an amount equal to the value of dividends paid on one Share for each Share represented by an Award held by such Participant. Under no circumstances shall the payment of a Dividend Equivalent be made contingent on the exercise of an Option or Stock Appreciation Right.</w:t>
      </w:r>
    </w:p>
    <w:p>
      <w:pPr>
        <w:spacing w:after="0" w:line="120" w:lineRule="exact"/>
        <w:rPr>
          <w:rFonts w:ascii="Arial" w:cs="Arial" w:eastAsia="Arial" w:hAnsi="Arial"/>
          <w:sz w:val="16"/>
          <w:szCs w:val="16"/>
          <w:color w:val="auto"/>
        </w:rPr>
      </w:pPr>
    </w:p>
    <w:p>
      <w:pPr>
        <w:jc w:val="both"/>
        <w:ind w:left="160" w:right="159" w:firstLine="1287"/>
        <w:spacing w:after="0" w:line="273" w:lineRule="auto"/>
        <w:tabs>
          <w:tab w:leader="none" w:pos="2155" w:val="left"/>
        </w:tabs>
        <w:numPr>
          <w:ilvl w:val="0"/>
          <w:numId w:val="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w:t>
      </w:r>
      <w:r>
        <w:rPr>
          <w:rFonts w:ascii="Arial" w:cs="Arial" w:eastAsia="Arial" w:hAnsi="Arial"/>
          <w:sz w:val="19"/>
          <w:szCs w:val="19"/>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59" w:lineRule="exact"/>
        <w:rPr>
          <w:rFonts w:ascii="Arial" w:cs="Arial" w:eastAsia="Arial" w:hAnsi="Arial"/>
          <w:sz w:val="19"/>
          <w:szCs w:val="19"/>
          <w:color w:val="auto"/>
        </w:rPr>
      </w:pPr>
    </w:p>
    <w:p>
      <w:pPr>
        <w:ind w:left="2140" w:hanging="693"/>
        <w:spacing w:after="0"/>
        <w:tabs>
          <w:tab w:leader="none" w:pos="21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w:t>
      </w:r>
    </w:p>
    <w:p>
      <w:pPr>
        <w:spacing w:after="0" w:line="215" w:lineRule="exact"/>
        <w:rPr>
          <w:rFonts w:ascii="Arial" w:cs="Arial" w:eastAsia="Arial" w:hAnsi="Arial"/>
          <w:sz w:val="20"/>
          <w:szCs w:val="20"/>
          <w:color w:val="auto"/>
        </w:rPr>
      </w:pPr>
    </w:p>
    <w:p>
      <w:pPr>
        <w:jc w:val="both"/>
        <w:ind w:left="160" w:right="139" w:firstLine="1287"/>
        <w:spacing w:after="0" w:line="246" w:lineRule="auto"/>
        <w:tabs>
          <w:tab w:leader="none" w:pos="2176" w:val="left"/>
        </w:tabs>
        <w:numPr>
          <w:ilvl w:val="0"/>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Program</w:t>
      </w:r>
      <w:r>
        <w:rPr>
          <w:rFonts w:ascii="Arial" w:cs="Arial" w:eastAsia="Arial" w:hAnsi="Arial"/>
          <w:sz w:val="20"/>
          <w:szCs w:val="20"/>
          <w:color w:val="auto"/>
        </w:rPr>
        <w:t>"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terms and conditions of any Exchange Program shall be determined by the Administrator in its sole discretion.</w:t>
      </w:r>
    </w:p>
    <w:p>
      <w:pPr>
        <w:spacing w:after="0" w:line="185" w:lineRule="exact"/>
        <w:rPr>
          <w:rFonts w:ascii="Arial" w:cs="Arial" w:eastAsia="Arial" w:hAnsi="Arial"/>
          <w:sz w:val="20"/>
          <w:szCs w:val="20"/>
          <w:color w:val="auto"/>
        </w:rPr>
      </w:pPr>
    </w:p>
    <w:p>
      <w:pPr>
        <w:ind w:left="2120" w:hanging="673"/>
        <w:spacing w:after="0"/>
        <w:tabs>
          <w:tab w:leader="none" w:pos="2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Common Stock determined</w:t>
      </w:r>
    </w:p>
    <w:p>
      <w:pPr>
        <w:spacing w:after="0" w:line="44"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as follows:</w:t>
      </w:r>
    </w:p>
    <w:p>
      <w:pPr>
        <w:spacing w:after="0" w:line="199" w:lineRule="exact"/>
        <w:rPr>
          <w:rFonts w:ascii="Arial" w:cs="Arial" w:eastAsia="Arial" w:hAnsi="Arial"/>
          <w:sz w:val="18"/>
          <w:szCs w:val="18"/>
          <w:color w:val="auto"/>
        </w:rPr>
      </w:pPr>
    </w:p>
    <w:p>
      <w:pPr>
        <w:jc w:val="both"/>
        <w:ind w:left="160" w:right="139" w:firstLine="1935"/>
        <w:spacing w:after="0" w:line="243" w:lineRule="auto"/>
        <w:tabs>
          <w:tab w:leader="none" w:pos="2841" w:val="left"/>
        </w:tabs>
        <w:numPr>
          <w:ilvl w:val="1"/>
          <w:numId w:val="53"/>
        </w:numPr>
        <w:rPr>
          <w:rFonts w:ascii="Arial" w:cs="Arial" w:eastAsia="Arial" w:hAnsi="Arial"/>
          <w:sz w:val="20"/>
          <w:szCs w:val="20"/>
          <w:color w:val="auto"/>
        </w:rPr>
      </w:pPr>
      <w:r>
        <w:rPr>
          <w:rFonts w:ascii="Arial" w:cs="Arial" w:eastAsia="Arial" w:hAnsi="Arial"/>
          <w:sz w:val="20"/>
          <w:szCs w:val="20"/>
          <w:color w:val="auto"/>
        </w:rPr>
        <w:t>If the Common Stock is listed on any established stock exchange or a national market system, including without limitation the NASDAQ Global Select Market, the NASDAQ Global Market (formerly the NASDAQ National Market) or the NASDAQ Capital Market (formerly the NASDAQ SmallCap Market) of the NASDAQ Stock Market, the Fair Market Value shall be the closing sales price for such stock (or the closing bid, if no sales were reported) as quoted on such exchange or system for the day of determination, as reported in The Wall Street Journal or such other source as the Administrator deems reliable;</w:t>
      </w:r>
    </w:p>
    <w:p>
      <w:pPr>
        <w:spacing w:after="0" w:line="193" w:lineRule="exact"/>
        <w:rPr>
          <w:rFonts w:ascii="Arial" w:cs="Arial" w:eastAsia="Arial" w:hAnsi="Arial"/>
          <w:sz w:val="20"/>
          <w:szCs w:val="20"/>
          <w:color w:val="auto"/>
        </w:rPr>
      </w:pPr>
    </w:p>
    <w:p>
      <w:pPr>
        <w:jc w:val="both"/>
        <w:ind w:left="160" w:right="159" w:firstLine="1935"/>
        <w:spacing w:after="0" w:line="282" w:lineRule="auto"/>
        <w:tabs>
          <w:tab w:leader="none" w:pos="28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the Common Stock is regularly quoted by a recognized securities dealer but selling prices are not reported, the Fair Market Value of a Share of Common Stock shall be the mean between the high bid and low asked prices for the Common Stock for the day of determination, as reported in The Wall Street Journal or such other source as the Administrator deems reliable; or</w:t>
      </w:r>
    </w:p>
    <w:p>
      <w:pPr>
        <w:spacing w:after="0" w:line="161" w:lineRule="exact"/>
        <w:rPr>
          <w:rFonts w:ascii="Arial" w:cs="Arial" w:eastAsia="Arial" w:hAnsi="Arial"/>
          <w:sz w:val="18"/>
          <w:szCs w:val="18"/>
          <w:color w:val="auto"/>
        </w:rPr>
      </w:pPr>
    </w:p>
    <w:p>
      <w:pPr>
        <w:ind w:left="160" w:right="159" w:firstLine="1935"/>
        <w:spacing w:after="0" w:line="260" w:lineRule="auto"/>
        <w:tabs>
          <w:tab w:leader="none" w:pos="2869" w:val="left"/>
        </w:tabs>
        <w:numPr>
          <w:ilvl w:val="1"/>
          <w:numId w:val="53"/>
        </w:numPr>
        <w:rPr>
          <w:rFonts w:ascii="Arial" w:cs="Arial" w:eastAsia="Arial" w:hAnsi="Arial"/>
          <w:sz w:val="20"/>
          <w:szCs w:val="20"/>
          <w:color w:val="auto"/>
        </w:rPr>
      </w:pPr>
      <w:r>
        <w:rPr>
          <w:rFonts w:ascii="Arial" w:cs="Arial" w:eastAsia="Arial" w:hAnsi="Arial"/>
          <w:sz w:val="20"/>
          <w:szCs w:val="20"/>
          <w:color w:val="auto"/>
        </w:rPr>
        <w:t>In the absence of an established market for the Common Stock, the Fair Market Value shall be determined in good faith by the Administrator.</w:t>
      </w:r>
    </w:p>
    <w:p>
      <w:pPr>
        <w:spacing w:after="0" w:line="176" w:lineRule="exact"/>
        <w:rPr>
          <w:rFonts w:ascii="Arial" w:cs="Arial" w:eastAsia="Arial" w:hAnsi="Arial"/>
          <w:sz w:val="20"/>
          <w:szCs w:val="20"/>
          <w:color w:val="auto"/>
        </w:rPr>
      </w:pPr>
    </w:p>
    <w:p>
      <w:pPr>
        <w:jc w:val="both"/>
        <w:ind w:left="160" w:right="139" w:firstLine="1935"/>
        <w:spacing w:after="0" w:line="246" w:lineRule="auto"/>
        <w:tabs>
          <w:tab w:leader="none" w:pos="2872" w:val="left"/>
        </w:tabs>
        <w:numPr>
          <w:ilvl w:val="1"/>
          <w:numId w:val="53"/>
        </w:numPr>
        <w:rPr>
          <w:rFonts w:ascii="Arial" w:cs="Arial" w:eastAsia="Arial" w:hAnsi="Arial"/>
          <w:sz w:val="20"/>
          <w:szCs w:val="20"/>
          <w:color w:val="auto"/>
        </w:rPr>
      </w:pPr>
      <w:r>
        <w:rPr>
          <w:rFonts w:ascii="Arial" w:cs="Arial" w:eastAsia="Arial" w:hAnsi="Arial"/>
          <w:sz w:val="20"/>
          <w:szCs w:val="20"/>
          <w:color w:val="auto"/>
        </w:rPr>
        <w:t>Notwithstanding the preceding, for federal, state, and local income tax reporting purposes and for such other purposes as the Administrator deems appropriate, the Fair Market Value shall be determined by the Administrator in accordance with uniform and nondiscriminatory standards adopted by it from time to time.</w:t>
      </w:r>
    </w:p>
    <w:p>
      <w:pPr>
        <w:spacing w:after="0" w:line="185" w:lineRule="exact"/>
        <w:rPr>
          <w:rFonts w:ascii="Arial" w:cs="Arial" w:eastAsia="Arial" w:hAnsi="Arial"/>
          <w:sz w:val="20"/>
          <w:szCs w:val="20"/>
          <w:color w:val="auto"/>
        </w:rPr>
      </w:pPr>
    </w:p>
    <w:p>
      <w:pPr>
        <w:jc w:val="both"/>
        <w:ind w:left="160" w:right="139" w:firstLine="1287"/>
        <w:spacing w:after="0" w:line="253" w:lineRule="auto"/>
        <w:tabs>
          <w:tab w:leader="none" w:pos="2206" w:val="left"/>
        </w:tabs>
        <w:numPr>
          <w:ilvl w:val="0"/>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Incentive Stock Option</w:t>
      </w:r>
      <w:r>
        <w:rPr>
          <w:rFonts w:ascii="Arial" w:cs="Arial" w:eastAsia="Arial" w:hAnsi="Arial"/>
          <w:sz w:val="20"/>
          <w:szCs w:val="20"/>
          <w:color w:val="auto"/>
        </w:rPr>
        <w:t>" means an Option intended to qualify and receive favorable tax treatment as an incentive stock option within the meaning of Section 422 of the Code, as designated in the applicable Award Agreement.</w:t>
      </w:r>
    </w:p>
    <w:p>
      <w:pPr>
        <w:spacing w:after="0" w:line="177" w:lineRule="exact"/>
        <w:rPr>
          <w:rFonts w:ascii="Arial" w:cs="Arial" w:eastAsia="Arial" w:hAnsi="Arial"/>
          <w:sz w:val="20"/>
          <w:szCs w:val="20"/>
          <w:color w:val="auto"/>
        </w:rPr>
      </w:pPr>
    </w:p>
    <w:p>
      <w:pPr>
        <w:ind w:left="160" w:right="139" w:firstLine="1287"/>
        <w:spacing w:after="0" w:line="267" w:lineRule="auto"/>
        <w:tabs>
          <w:tab w:leader="none" w:pos="2142" w:val="left"/>
        </w:tabs>
        <w:numPr>
          <w:ilvl w:val="0"/>
          <w:numId w:val="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Nonstatutory Stock Option</w:t>
      </w:r>
      <w:r>
        <w:rPr>
          <w:rFonts w:ascii="Arial" w:cs="Arial" w:eastAsia="Arial" w:hAnsi="Arial"/>
          <w:sz w:val="20"/>
          <w:szCs w:val="20"/>
          <w:color w:val="auto"/>
        </w:rPr>
        <w:t>" means an Option that by its terms does not qualify or is not intended to qualify as an Incentive Stock Option.</w:t>
      </w:r>
    </w:p>
    <w:p>
      <w:pPr>
        <w:spacing w:after="0" w:line="163" w:lineRule="exact"/>
        <w:rPr>
          <w:rFonts w:ascii="Arial" w:cs="Arial" w:eastAsia="Arial" w:hAnsi="Arial"/>
          <w:sz w:val="20"/>
          <w:szCs w:val="20"/>
          <w:color w:val="auto"/>
        </w:rPr>
      </w:pPr>
    </w:p>
    <w:p>
      <w:pPr>
        <w:ind w:left="2160" w:hanging="713"/>
        <w:spacing w:after="0"/>
        <w:tabs>
          <w:tab w:leader="none" w:pos="2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option to purchase Common Stock granted pursuant to the Plan.</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06" w:name="page107"/>
    <w:bookmarkEnd w:id="106"/>
    <w:p>
      <w:pPr>
        <w:jc w:val="both"/>
        <w:ind w:left="160" w:right="139" w:firstLine="1287"/>
        <w:spacing w:after="0" w:line="253" w:lineRule="auto"/>
        <w:tabs>
          <w:tab w:leader="none" w:pos="2172" w:val="left"/>
        </w:tabs>
        <w:numPr>
          <w:ilvl w:val="0"/>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Stock Based Awards</w:t>
      </w:r>
      <w:r>
        <w:rPr>
          <w:rFonts w:ascii="Arial" w:cs="Arial" w:eastAsia="Arial" w:hAnsi="Arial"/>
          <w:sz w:val="20"/>
          <w:szCs w:val="20"/>
          <w:color w:val="auto"/>
        </w:rPr>
        <w:t>" means any other awards not specifically described in the Plan that are valued in whole or in part by reference to, or are otherwise based on, Shares and are created by the Administrator pursuant to Section 12.</w:t>
      </w:r>
    </w:p>
    <w:p>
      <w:pPr>
        <w:spacing w:after="0" w:line="178" w:lineRule="exact"/>
        <w:rPr>
          <w:rFonts w:ascii="Arial" w:cs="Arial" w:eastAsia="Arial" w:hAnsi="Arial"/>
          <w:sz w:val="20"/>
          <w:szCs w:val="20"/>
          <w:color w:val="auto"/>
        </w:rPr>
      </w:pPr>
    </w:p>
    <w:p>
      <w:pPr>
        <w:ind w:left="2200" w:hanging="753"/>
        <w:spacing w:after="0"/>
        <w:tabs>
          <w:tab w:leader="none" w:pos="22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Outside Director</w:t>
      </w:r>
      <w:r>
        <w:rPr>
          <w:rFonts w:ascii="Arial" w:cs="Arial" w:eastAsia="Arial" w:hAnsi="Arial"/>
          <w:sz w:val="19"/>
          <w:szCs w:val="19"/>
          <w:color w:val="auto"/>
        </w:rPr>
        <w:t>" means an "outside director" within the meaning of Section</w:t>
      </w:r>
    </w:p>
    <w:p>
      <w:pPr>
        <w:spacing w:after="0" w:line="33"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20"/>
          <w:szCs w:val="20"/>
          <w:color w:val="auto"/>
        </w:rPr>
        <w:t>162(m) of the Code.</w:t>
      </w:r>
    </w:p>
    <w:p>
      <w:pPr>
        <w:spacing w:after="0" w:line="193" w:lineRule="exact"/>
        <w:rPr>
          <w:rFonts w:ascii="Arial" w:cs="Arial" w:eastAsia="Arial" w:hAnsi="Arial"/>
          <w:sz w:val="19"/>
          <w:szCs w:val="19"/>
          <w:color w:val="auto"/>
        </w:rPr>
      </w:pPr>
    </w:p>
    <w:p>
      <w:pPr>
        <w:ind w:left="160" w:right="159" w:firstLine="1287"/>
        <w:spacing w:after="0" w:line="267" w:lineRule="auto"/>
        <w:tabs>
          <w:tab w:leader="none" w:pos="2182" w:val="left"/>
        </w:tabs>
        <w:numPr>
          <w:ilvl w:val="0"/>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w:t>
      </w:r>
      <w:r>
        <w:rPr>
          <w:rFonts w:ascii="Arial" w:cs="Arial" w:eastAsia="Arial" w:hAnsi="Arial"/>
          <w:sz w:val="20"/>
          <w:szCs w:val="20"/>
          <w:color w:val="auto"/>
        </w:rPr>
        <w:t>" means a "parent corporation" with respect to the Company, whether now or hereafter existing, as defined in Section 424(e) of the Code.</w:t>
      </w:r>
    </w:p>
    <w:p>
      <w:pPr>
        <w:spacing w:after="0" w:line="163" w:lineRule="exact"/>
        <w:rPr>
          <w:rFonts w:ascii="Arial" w:cs="Arial" w:eastAsia="Arial" w:hAnsi="Arial"/>
          <w:sz w:val="20"/>
          <w:szCs w:val="20"/>
          <w:color w:val="auto"/>
        </w:rPr>
      </w:pPr>
    </w:p>
    <w:p>
      <w:pPr>
        <w:ind w:left="2140" w:hanging="693"/>
        <w:spacing w:after="0"/>
        <w:tabs>
          <w:tab w:leader="none" w:pos="2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w:t>
      </w:r>
      <w:r>
        <w:rPr>
          <w:rFonts w:ascii="Arial" w:cs="Arial" w:eastAsia="Arial" w:hAnsi="Arial"/>
          <w:sz w:val="18"/>
          <w:szCs w:val="18"/>
          <w:color w:val="auto"/>
        </w:rPr>
        <w:t>t" means a Service Provider who has been granted an Award under the</w:t>
      </w:r>
    </w:p>
    <w:p>
      <w:pPr>
        <w:spacing w:after="0" w:line="44"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Plan.</w:t>
      </w:r>
    </w:p>
    <w:p>
      <w:pPr>
        <w:spacing w:after="0" w:line="194" w:lineRule="exact"/>
        <w:rPr>
          <w:sz w:val="20"/>
          <w:szCs w:val="20"/>
          <w:color w:val="auto"/>
        </w:rPr>
      </w:pPr>
    </w:p>
    <w:p>
      <w:pPr>
        <w:jc w:val="both"/>
        <w:ind w:left="160" w:right="139" w:firstLine="1287"/>
        <w:spacing w:after="0" w:line="270" w:lineRule="auto"/>
        <w:tabs>
          <w:tab w:leader="none" w:pos="21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Goals</w:t>
      </w:r>
      <w:r>
        <w:rPr>
          <w:rFonts w:ascii="Arial" w:cs="Arial" w:eastAsia="Arial" w:hAnsi="Arial"/>
          <w:sz w:val="18"/>
          <w:szCs w:val="18"/>
          <w:color w:val="auto"/>
        </w:rPr>
        <w:t>" means goals which have been established by the Committee in connection with an Award and are based on one or more of the following criteria, as determined by the Committee in its absolute and sole discretion: net income; cash flow; cash flow on investment; pre-tax or post-tax profit levels or earnings; operating income or earnings; return on investment; earned value added; expense reduction levels; free cash flow; free cash flow per share; earnings per share; net earnings per share; net earnings from continuing operations; sales growth; sales volume; economic profit; expense reduction; controlled expenses; return on assets; return on net assets; return on equity; return on capital; return on sales; return on invested capital; organic revenue; growth in managed assets; total shareholder return; stock price; stock price appreciation; EBITA; adjusted EBITA; EBITDA; adjusted EBITDA; return in excess of cost of capital; profit in excess of cost of capital; net operating profit after tax; operating margin; profit margin; adjusted revenue; revenue; net revenue; operating revenue; net cash provided by operating activities; net cash provided by operating activities per share; cash conversion percentage; new sales; net new sales; cancellations; gross margin; gross margin percentage; revenue before deferral; regulatory body approval for commercialization of a product; implementation or completion of critical projects; research; in-licensing; out-licensing; product development; government relations; compliance; mergers; and acquisitions or sales of assets or subsidiaries.</w:t>
      </w:r>
    </w:p>
    <w:p>
      <w:pPr>
        <w:spacing w:after="0" w:line="163" w:lineRule="exact"/>
        <w:rPr>
          <w:rFonts w:ascii="Arial" w:cs="Arial" w:eastAsia="Arial" w:hAnsi="Arial"/>
          <w:sz w:val="18"/>
          <w:szCs w:val="18"/>
          <w:color w:val="auto"/>
        </w:rPr>
      </w:pPr>
    </w:p>
    <w:p>
      <w:pPr>
        <w:ind w:left="160" w:right="159" w:firstLine="1287"/>
        <w:spacing w:after="0" w:line="267" w:lineRule="auto"/>
        <w:tabs>
          <w:tab w:leader="none" w:pos="2173" w:val="left"/>
        </w:tabs>
        <w:numPr>
          <w:ilvl w:val="0"/>
          <w:numId w:val="5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Performance Period</w:t>
      </w:r>
      <w:r>
        <w:rPr>
          <w:rFonts w:ascii="Arial" w:cs="Arial" w:eastAsia="Arial" w:hAnsi="Arial"/>
          <w:sz w:val="20"/>
          <w:szCs w:val="20"/>
          <w:color w:val="auto"/>
        </w:rPr>
        <w:t>" means the time period during which the Performance Goals or performance objectives must be met.</w:t>
      </w:r>
    </w:p>
    <w:p>
      <w:pPr>
        <w:spacing w:after="0" w:line="163" w:lineRule="exact"/>
        <w:rPr>
          <w:rFonts w:ascii="Arial" w:cs="Arial" w:eastAsia="Arial" w:hAnsi="Arial"/>
          <w:sz w:val="20"/>
          <w:szCs w:val="20"/>
          <w:color w:val="auto"/>
        </w:rPr>
      </w:pPr>
    </w:p>
    <w:p>
      <w:pPr>
        <w:ind w:left="160" w:right="159" w:firstLine="1287"/>
        <w:spacing w:after="0" w:line="267" w:lineRule="auto"/>
        <w:tabs>
          <w:tab w:leader="none" w:pos="2151" w:val="left"/>
        </w:tabs>
        <w:numPr>
          <w:ilvl w:val="0"/>
          <w:numId w:val="5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Performance Share</w:t>
      </w:r>
      <w:r>
        <w:rPr>
          <w:rFonts w:ascii="Arial" w:cs="Arial" w:eastAsia="Arial" w:hAnsi="Arial"/>
          <w:sz w:val="20"/>
          <w:szCs w:val="20"/>
          <w:color w:val="auto"/>
        </w:rPr>
        <w:t>" means Shares issued pursuant to a Performance Share Award under Section 10 of the Plan.</w:t>
      </w:r>
    </w:p>
    <w:p>
      <w:pPr>
        <w:spacing w:after="0" w:line="163" w:lineRule="exact"/>
        <w:rPr>
          <w:rFonts w:ascii="Arial" w:cs="Arial" w:eastAsia="Arial" w:hAnsi="Arial"/>
          <w:sz w:val="20"/>
          <w:szCs w:val="20"/>
          <w:color w:val="auto"/>
        </w:rPr>
      </w:pPr>
    </w:p>
    <w:p>
      <w:pPr>
        <w:jc w:val="both"/>
        <w:ind w:left="160" w:right="139" w:firstLine="1287"/>
        <w:spacing w:after="0" w:line="253" w:lineRule="auto"/>
        <w:tabs>
          <w:tab w:leader="none" w:pos="2187" w:val="left"/>
        </w:tabs>
        <w:numPr>
          <w:ilvl w:val="0"/>
          <w:numId w:val="5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Performance Unit</w:t>
      </w:r>
      <w:r>
        <w:rPr>
          <w:rFonts w:ascii="Arial" w:cs="Arial" w:eastAsia="Arial" w:hAnsi="Arial"/>
          <w:sz w:val="20"/>
          <w:szCs w:val="20"/>
          <w:color w:val="auto"/>
        </w:rPr>
        <w:t>" means, pursuant to Section 10 of the Plan, an unfunded and unsecured promise to deliver Shares, cash or other securities equal to the value set forth in the Award Agreement.</w:t>
      </w:r>
    </w:p>
    <w:p>
      <w:pPr>
        <w:spacing w:after="0" w:line="177" w:lineRule="exact"/>
        <w:rPr>
          <w:rFonts w:ascii="Arial" w:cs="Arial" w:eastAsia="Arial" w:hAnsi="Arial"/>
          <w:sz w:val="20"/>
          <w:szCs w:val="20"/>
          <w:color w:val="auto"/>
        </w:rPr>
      </w:pPr>
    </w:p>
    <w:p>
      <w:pPr>
        <w:jc w:val="both"/>
        <w:ind w:left="160" w:right="139" w:firstLine="1287"/>
        <w:spacing w:after="0" w:line="285" w:lineRule="auto"/>
        <w:tabs>
          <w:tab w:leader="none" w:pos="21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Performance Goals or other target levels of performance, or the occurrence of other events as determined by the Administrator.</w:t>
      </w:r>
    </w:p>
    <w:p>
      <w:pPr>
        <w:spacing w:after="0" w:line="151" w:lineRule="exact"/>
        <w:rPr>
          <w:rFonts w:ascii="Arial" w:cs="Arial" w:eastAsia="Arial" w:hAnsi="Arial"/>
          <w:sz w:val="18"/>
          <w:szCs w:val="18"/>
          <w:color w:val="auto"/>
        </w:rPr>
      </w:pPr>
    </w:p>
    <w:p>
      <w:pPr>
        <w:jc w:val="both"/>
        <w:ind w:left="160" w:right="139" w:firstLine="1287"/>
        <w:spacing w:after="0" w:line="253" w:lineRule="auto"/>
        <w:tabs>
          <w:tab w:leader="none" w:pos="2184" w:val="left"/>
        </w:tabs>
        <w:numPr>
          <w:ilvl w:val="0"/>
          <w:numId w:val="5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w:t>
      </w:r>
      <w:r>
        <w:rPr>
          <w:rFonts w:ascii="Arial" w:cs="Arial" w:eastAsia="Arial" w:hAnsi="Arial"/>
          <w:sz w:val="20"/>
          <w:szCs w:val="20"/>
          <w:color w:val="auto"/>
        </w:rPr>
        <w:t>" means this Amended and Restated 2013 Equity Incentive Plan. The Plan was originally approved by the Board on April 12, 2013 and by the Company's stockholders on May 21, 2013 and was amended and restated by the Board on January 1, 2017.</w:t>
      </w:r>
    </w:p>
    <w:p>
      <w:pPr>
        <w:spacing w:after="0" w:line="177" w:lineRule="exact"/>
        <w:rPr>
          <w:rFonts w:ascii="Arial" w:cs="Arial" w:eastAsia="Arial" w:hAnsi="Arial"/>
          <w:sz w:val="20"/>
          <w:szCs w:val="20"/>
          <w:color w:val="auto"/>
        </w:rPr>
      </w:pPr>
    </w:p>
    <w:p>
      <w:pPr>
        <w:ind w:left="160" w:right="159" w:firstLine="1287"/>
        <w:spacing w:after="0" w:line="267" w:lineRule="auto"/>
        <w:tabs>
          <w:tab w:leader="none" w:pos="2227" w:val="left"/>
        </w:tabs>
        <w:numPr>
          <w:ilvl w:val="0"/>
          <w:numId w:val="5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Prior Plans</w:t>
      </w:r>
      <w:r>
        <w:rPr>
          <w:rFonts w:ascii="Arial" w:cs="Arial" w:eastAsia="Arial" w:hAnsi="Arial"/>
          <w:sz w:val="20"/>
          <w:szCs w:val="20"/>
          <w:color w:val="auto"/>
        </w:rPr>
        <w:t>" means the Company's 1998 Share Incentive Plan, 2000 Share Incentive Plan, 2004 Share Incentive Plan and 2006 Incentive Share Plan.</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07" w:name="page108"/>
    <w:bookmarkEnd w:id="107"/>
    <w:p>
      <w:pPr>
        <w:ind w:left="160" w:right="139" w:firstLine="1287"/>
        <w:spacing w:after="0" w:line="268" w:lineRule="auto"/>
        <w:tabs>
          <w:tab w:leader="none" w:pos="2214"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Stock</w:t>
      </w:r>
      <w:r>
        <w:rPr>
          <w:rFonts w:ascii="Arial" w:cs="Arial" w:eastAsia="Arial" w:hAnsi="Arial"/>
          <w:sz w:val="20"/>
          <w:szCs w:val="20"/>
          <w:color w:val="auto"/>
        </w:rPr>
        <w:t>" means Shares issued pursuant to a Restricted Stock Award under Section 8 or issued pursuant to the early exercise of an Option.</w:t>
      </w:r>
    </w:p>
    <w:p>
      <w:pPr>
        <w:spacing w:after="0" w:line="162" w:lineRule="exact"/>
        <w:rPr>
          <w:rFonts w:ascii="Arial" w:cs="Arial" w:eastAsia="Arial" w:hAnsi="Arial"/>
          <w:sz w:val="20"/>
          <w:szCs w:val="20"/>
          <w:color w:val="auto"/>
        </w:rPr>
      </w:pPr>
    </w:p>
    <w:p>
      <w:pPr>
        <w:jc w:val="both"/>
        <w:ind w:left="160" w:right="139" w:firstLine="1287"/>
        <w:spacing w:after="0" w:line="248" w:lineRule="auto"/>
        <w:tabs>
          <w:tab w:leader="none" w:pos="22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Stock Unit</w:t>
      </w:r>
      <w:r>
        <w:rPr>
          <w:rFonts w:ascii="Arial" w:cs="Arial" w:eastAsia="Arial" w:hAnsi="Arial"/>
          <w:sz w:val="20"/>
          <w:szCs w:val="20"/>
          <w:color w:val="auto"/>
        </w:rPr>
        <w:t>" means, pursuant to Sections 4 and 11 of the Plan, an unfunded and unsecured promise to deliver Shares, cash or other securities equal in value to the Fair Market Value of one Share in the Company on the date of vesting or settlement, or as otherwise set forth in the Award Agreement.</w:t>
      </w:r>
    </w:p>
    <w:p>
      <w:pPr>
        <w:spacing w:after="0" w:line="183" w:lineRule="exact"/>
        <w:rPr>
          <w:rFonts w:ascii="Arial" w:cs="Arial" w:eastAsia="Arial" w:hAnsi="Arial"/>
          <w:sz w:val="20"/>
          <w:szCs w:val="20"/>
          <w:color w:val="auto"/>
        </w:rPr>
      </w:pPr>
    </w:p>
    <w:p>
      <w:pPr>
        <w:ind w:left="160" w:right="159" w:firstLine="1287"/>
        <w:spacing w:after="0" w:line="243" w:lineRule="exact"/>
        <w:tabs>
          <w:tab w:leader="none" w:pos="22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Rule 16b-3</w:t>
      </w:r>
      <w:r>
        <w:rPr>
          <w:rFonts w:ascii="Arial" w:cs="Arial" w:eastAsia="Arial" w:hAnsi="Arial"/>
          <w:sz w:val="20"/>
          <w:szCs w:val="20"/>
          <w:color w:val="auto"/>
        </w:rPr>
        <w:t>" means Rule 16b-3 of the Exchange Act or any successor to Rule 16b</w:t>
      </w:r>
      <w:r>
        <w:rPr>
          <w:rFonts w:ascii="MS PGothic" w:cs="MS PGothic" w:eastAsia="MS PGothic" w:hAnsi="MS PGothic"/>
          <w:sz w:val="20"/>
          <w:szCs w:val="20"/>
          <w:color w:val="auto"/>
        </w:rPr>
        <w:t>‑</w:t>
      </w:r>
      <w:r>
        <w:rPr>
          <w:rFonts w:ascii="Arial" w:cs="Arial" w:eastAsia="Arial" w:hAnsi="Arial"/>
          <w:sz w:val="20"/>
          <w:szCs w:val="20"/>
          <w:color w:val="auto"/>
        </w:rPr>
        <w:t>3, as in effect when discretion is being exercised with respect to the Plan.</w:t>
      </w:r>
    </w:p>
    <w:p>
      <w:pPr>
        <w:spacing w:after="0" w:line="190" w:lineRule="exact"/>
        <w:rPr>
          <w:rFonts w:ascii="Arial" w:cs="Arial" w:eastAsia="Arial" w:hAnsi="Arial"/>
          <w:sz w:val="20"/>
          <w:szCs w:val="20"/>
          <w:color w:val="auto"/>
        </w:rPr>
      </w:pPr>
    </w:p>
    <w:p>
      <w:pPr>
        <w:ind w:left="2160" w:hanging="713"/>
        <w:spacing w:after="0"/>
        <w:tabs>
          <w:tab w:leader="none" w:pos="21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Section 16(b)</w:t>
      </w:r>
      <w:r>
        <w:rPr>
          <w:rFonts w:ascii="Arial" w:cs="Arial" w:eastAsia="Arial" w:hAnsi="Arial"/>
          <w:sz w:val="20"/>
          <w:szCs w:val="20"/>
          <w:color w:val="auto"/>
        </w:rPr>
        <w:t>" means Section 16(b) of the Exchange Act.</w:t>
      </w:r>
    </w:p>
    <w:p>
      <w:pPr>
        <w:spacing w:after="0" w:line="215" w:lineRule="exact"/>
        <w:rPr>
          <w:rFonts w:ascii="Arial" w:cs="Arial" w:eastAsia="Arial" w:hAnsi="Arial"/>
          <w:sz w:val="20"/>
          <w:szCs w:val="20"/>
          <w:color w:val="auto"/>
        </w:rPr>
      </w:pPr>
    </w:p>
    <w:p>
      <w:pPr>
        <w:ind w:left="2180" w:hanging="733"/>
        <w:spacing w:after="0"/>
        <w:tabs>
          <w:tab w:leader="none" w:pos="21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Service Provider</w:t>
      </w:r>
      <w:r>
        <w:rPr>
          <w:rFonts w:ascii="Arial" w:cs="Arial" w:eastAsia="Arial" w:hAnsi="Arial"/>
          <w:sz w:val="20"/>
          <w:szCs w:val="20"/>
          <w:color w:val="auto"/>
        </w:rPr>
        <w:t>" means an Employee, Director or Consultant.</w:t>
      </w:r>
    </w:p>
    <w:p>
      <w:pPr>
        <w:spacing w:after="0" w:line="215" w:lineRule="exact"/>
        <w:rPr>
          <w:rFonts w:ascii="Arial" w:cs="Arial" w:eastAsia="Arial" w:hAnsi="Arial"/>
          <w:sz w:val="20"/>
          <w:szCs w:val="20"/>
          <w:color w:val="auto"/>
        </w:rPr>
      </w:pPr>
    </w:p>
    <w:p>
      <w:pPr>
        <w:ind w:left="2220" w:hanging="773"/>
        <w:spacing w:after="0"/>
        <w:tabs>
          <w:tab w:leader="none" w:pos="22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w:t>
      </w:r>
      <w:r>
        <w:rPr>
          <w:rFonts w:ascii="Arial" w:cs="Arial" w:eastAsia="Arial" w:hAnsi="Arial"/>
          <w:sz w:val="20"/>
          <w:szCs w:val="20"/>
          <w:color w:val="auto"/>
        </w:rPr>
        <w:t>"  means a share of Common Stock, as adjusted in accordance with</w:t>
      </w:r>
    </w:p>
    <w:p>
      <w:pPr>
        <w:spacing w:after="0" w:line="21" w:lineRule="exact"/>
        <w:rPr>
          <w:rFonts w:ascii="Arial" w:cs="Arial" w:eastAsia="Arial" w:hAnsi="Arial"/>
          <w:sz w:val="20"/>
          <w:szCs w:val="20"/>
          <w:color w:val="auto"/>
        </w:rPr>
      </w:pPr>
    </w:p>
    <w:p>
      <w:pPr>
        <w:ind w:left="160"/>
        <w:spacing w:after="0"/>
        <w:rPr>
          <w:rFonts w:ascii="Arial" w:cs="Arial" w:eastAsia="Arial" w:hAnsi="Arial"/>
          <w:sz w:val="20"/>
          <w:szCs w:val="20"/>
          <w:color w:val="auto"/>
        </w:rPr>
      </w:pPr>
      <w:r>
        <w:rPr>
          <w:rFonts w:ascii="Arial" w:cs="Arial" w:eastAsia="Arial" w:hAnsi="Arial"/>
          <w:sz w:val="20"/>
          <w:szCs w:val="20"/>
          <w:color w:val="auto"/>
        </w:rPr>
        <w:t>Section 15 of the Plan.</w:t>
      </w:r>
    </w:p>
    <w:p>
      <w:pPr>
        <w:spacing w:after="0" w:line="193" w:lineRule="exact"/>
        <w:rPr>
          <w:rFonts w:ascii="Arial" w:cs="Arial" w:eastAsia="Arial" w:hAnsi="Arial"/>
          <w:sz w:val="20"/>
          <w:szCs w:val="20"/>
          <w:color w:val="auto"/>
        </w:rPr>
      </w:pPr>
    </w:p>
    <w:p>
      <w:pPr>
        <w:jc w:val="both"/>
        <w:ind w:left="160" w:right="159" w:firstLine="1287"/>
        <w:spacing w:after="0" w:line="285" w:lineRule="auto"/>
        <w:tabs>
          <w:tab w:leader="none" w:pos="2173"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color w:val="auto"/>
        </w:rPr>
        <w:t>SAR</w:t>
      </w:r>
      <w:r>
        <w:rPr>
          <w:rFonts w:ascii="Arial" w:cs="Arial" w:eastAsia="Arial" w:hAnsi="Arial"/>
          <w:sz w:val="18"/>
          <w:szCs w:val="18"/>
          <w:color w:val="auto"/>
        </w:rPr>
        <w:t>" means, pursuant to Section 9 of the Plan, an unfunded and unsecured promise to deliver Shares, cash or other securities equal in value to the difference between the Fair Market Value of a Share as of the date such SAR is exercised/settled and the Fair Market Value of a Share as of the date such SAR was granted, or as otherwise set forth in the Award Agreement.</w:t>
      </w:r>
    </w:p>
    <w:p>
      <w:pPr>
        <w:spacing w:after="0" w:line="151" w:lineRule="exact"/>
        <w:rPr>
          <w:rFonts w:ascii="Arial" w:cs="Arial" w:eastAsia="Arial" w:hAnsi="Arial"/>
          <w:sz w:val="18"/>
          <w:szCs w:val="18"/>
          <w:color w:val="auto"/>
        </w:rPr>
      </w:pPr>
    </w:p>
    <w:p>
      <w:pPr>
        <w:ind w:left="160" w:right="139" w:firstLine="1287"/>
        <w:spacing w:after="0" w:line="267" w:lineRule="auto"/>
        <w:tabs>
          <w:tab w:leader="none" w:pos="2187" w:val="left"/>
        </w:tabs>
        <w:numPr>
          <w:ilvl w:val="1"/>
          <w:numId w:val="5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 "subsidiary corporation" with respect to the Company, whether now or hereafter existing, as defined in Section 424(f) of the Code.</w:t>
      </w:r>
    </w:p>
    <w:p>
      <w:pPr>
        <w:spacing w:after="0" w:line="169" w:lineRule="exact"/>
        <w:rPr>
          <w:rFonts w:ascii="Arial" w:cs="Arial" w:eastAsia="Arial" w:hAnsi="Arial"/>
          <w:sz w:val="20"/>
          <w:szCs w:val="20"/>
          <w:color w:val="auto"/>
        </w:rPr>
      </w:pPr>
    </w:p>
    <w:p>
      <w:pPr>
        <w:ind w:left="1480" w:hanging="681"/>
        <w:spacing w:after="0"/>
        <w:tabs>
          <w:tab w:leader="none" w:pos="148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Stock Subject to the Plan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60" w:right="139" w:firstLine="1287"/>
        <w:spacing w:after="0" w:line="269" w:lineRule="auto"/>
        <w:tabs>
          <w:tab w:leader="none" w:pos="214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15 of the Plan, the maximum aggregate number of Shares that may be issued pursuant to all Awards under the Plan is 2,016,037 Shares, representing the remaining shares available for issuance under the Prior Plans, plus the amount of outstanding Common Stock subject to Lapsed Awards (defined below) under the Prior Plans, plus the Additional Shares that were previously added to the Plan through January 1, 2017. The maximum number of Shares that may be subject to Incentive Stock Option treatment is 2,016,037. The maximum aggregate number of Shares that may be issued pursuant to all awards under the Plan shall increase annually on the first day of each fiscal year following the adoption of the Plan by the number of Shares equal to the lesser of (i) two percent of the total issued and outstanding common shares of the Company on the first day of such fiscal year (ii) 333,333 Shares or (iii) such lesser amount determined by the Board. Shares shall not be deemed to have been issued pursuant to the Plan with respect to any portion of an Award that is settled in cash. Upon payment in Shares pursuant to the exercise of an Award, the number of Shares available for issuance under the Plan shall be reduced only by the number of Shares actually issued in such payment. If a Participant pays the exercise price (or purchase price, if applicable) of an Award through the tender of Shares, or if Shares are tendered or withheld to satisfy any Company withholding obligations, the number of Shares so tendered or withheld shall again be available for issuance pursuant to future Awards under the Plan; provided that any shares of Restricted Stock withheld to satisfy any Company withholding obligations in excess of the minimum amount required to be withheld shall no longer be available for issuance pursuant to future Awards under the Plan.</w:t>
      </w:r>
    </w:p>
    <w:p>
      <w:pPr>
        <w:spacing w:after="0" w:line="170" w:lineRule="exact"/>
        <w:rPr>
          <w:rFonts w:ascii="Arial" w:cs="Arial" w:eastAsia="Arial" w:hAnsi="Arial"/>
          <w:sz w:val="18"/>
          <w:szCs w:val="18"/>
          <w:color w:val="auto"/>
        </w:rPr>
      </w:pPr>
    </w:p>
    <w:p>
      <w:pPr>
        <w:ind w:left="160" w:right="159" w:firstLine="1287"/>
        <w:spacing w:after="0" w:line="287" w:lineRule="auto"/>
        <w:tabs>
          <w:tab w:leader="none" w:pos="2169"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Lapsed Awards</w:t>
      </w:r>
      <w:r>
        <w:rPr>
          <w:rFonts w:ascii="Arial" w:cs="Arial" w:eastAsia="Arial" w:hAnsi="Arial"/>
          <w:sz w:val="19"/>
          <w:szCs w:val="19"/>
          <w:color w:val="auto"/>
        </w:rPr>
        <w:t>. If any outstanding Award expires or is terminated or canceled without having been exercised or settled in full, or if Shares acquired pursuant to an Award subject to</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08" w:name="page109"/>
    <w:bookmarkEnd w:id="108"/>
    <w:p>
      <w:pPr>
        <w:jc w:val="both"/>
        <w:ind w:left="1440" w:right="139"/>
        <w:spacing w:after="0" w:line="261" w:lineRule="auto"/>
        <w:rPr>
          <w:sz w:val="20"/>
          <w:szCs w:val="20"/>
          <w:color w:val="auto"/>
        </w:rPr>
      </w:pPr>
      <w:r>
        <w:rPr>
          <w:rFonts w:ascii="Arial" w:cs="Arial" w:eastAsia="Arial" w:hAnsi="Arial"/>
          <w:sz w:val="19"/>
          <w:szCs w:val="19"/>
          <w:color w:val="auto"/>
        </w:rPr>
        <w:t>forfeiture or repurchase are forfeited or repurchased by the Company, the Shares allocable to the terminated portion of the Award or the forfeited or repurchased Shares shall again be available for grant under the Plan (the "</w:t>
      </w:r>
      <w:r>
        <w:rPr>
          <w:rFonts w:ascii="Arial" w:cs="Arial" w:eastAsia="Arial" w:hAnsi="Arial"/>
          <w:sz w:val="19"/>
          <w:szCs w:val="19"/>
          <w:b w:val="1"/>
          <w:bCs w:val="1"/>
          <w:color w:val="auto"/>
        </w:rPr>
        <w:t>Lapsed Awards</w:t>
      </w:r>
      <w:r>
        <w:rPr>
          <w:rFonts w:ascii="Arial" w:cs="Arial" w:eastAsia="Arial" w:hAnsi="Arial"/>
          <w:sz w:val="19"/>
          <w:szCs w:val="19"/>
          <w:color w:val="auto"/>
        </w:rPr>
        <w:t>"). Similarly, the shares subject to Lapsed Awards under the Prior Plans shall add to the maximum number of Shares that are available for grant under Section 3(a) of the Plan.</w:t>
      </w:r>
    </w:p>
    <w:p>
      <w:pPr>
        <w:spacing w:after="0" w:line="177" w:lineRule="exact"/>
        <w:rPr>
          <w:sz w:val="20"/>
          <w:szCs w:val="20"/>
          <w:color w:val="auto"/>
        </w:rPr>
      </w:pPr>
    </w:p>
    <w:p>
      <w:pPr>
        <w:ind w:left="160" w:right="159" w:firstLine="1287"/>
        <w:spacing w:after="0" w:line="316" w:lineRule="auto"/>
        <w:tabs>
          <w:tab w:leader="none" w:pos="2131"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the Plan, shall at all times reserve and keep available such number of Shares as shall be sufficient to satisfy the requirements of the Plan.</w:t>
      </w:r>
    </w:p>
    <w:p>
      <w:pPr>
        <w:spacing w:after="0" w:line="130" w:lineRule="exact"/>
        <w:rPr>
          <w:rFonts w:ascii="Arial" w:cs="Arial" w:eastAsia="Arial" w:hAnsi="Arial"/>
          <w:sz w:val="18"/>
          <w:szCs w:val="18"/>
          <w:color w:val="auto"/>
        </w:rPr>
      </w:pPr>
    </w:p>
    <w:p>
      <w:pPr>
        <w:ind w:left="1480" w:hanging="681"/>
        <w:spacing w:after="0"/>
        <w:tabs>
          <w:tab w:leader="none" w:pos="148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Administration of the Plan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120" w:hanging="673"/>
        <w:spacing w:after="0"/>
        <w:tabs>
          <w:tab w:leader="none" w:pos="2120"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Procedure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60" w:right="139" w:firstLine="1935"/>
        <w:spacing w:after="0" w:line="260" w:lineRule="auto"/>
        <w:tabs>
          <w:tab w:leader="none" w:pos="2841" w:val="left"/>
        </w:tabs>
        <w:numPr>
          <w:ilvl w:val="2"/>
          <w:numId w:val="59"/>
        </w:numPr>
        <w:rPr>
          <w:rFonts w:ascii="Arial" w:cs="Arial" w:eastAsia="Arial" w:hAnsi="Arial"/>
          <w:sz w:val="20"/>
          <w:szCs w:val="20"/>
          <w:color w:val="auto"/>
        </w:rPr>
      </w:pPr>
      <w:r>
        <w:rPr>
          <w:rFonts w:ascii="Arial" w:cs="Arial" w:eastAsia="Arial" w:hAnsi="Arial"/>
          <w:sz w:val="20"/>
          <w:szCs w:val="20"/>
          <w:u w:val="single" w:color="auto"/>
          <w:color w:val="auto"/>
        </w:rPr>
        <w:t>Multiple Administrative Bodies</w:t>
      </w:r>
      <w:r>
        <w:rPr>
          <w:rFonts w:ascii="Arial" w:cs="Arial" w:eastAsia="Arial" w:hAnsi="Arial"/>
          <w:sz w:val="20"/>
          <w:szCs w:val="20"/>
          <w:color w:val="auto"/>
        </w:rPr>
        <w:t>. Different Committees with respect to different groups of Service Providers may administer the Plan.</w:t>
      </w:r>
    </w:p>
    <w:p>
      <w:pPr>
        <w:spacing w:after="0" w:line="176" w:lineRule="exact"/>
        <w:rPr>
          <w:rFonts w:ascii="Arial" w:cs="Arial" w:eastAsia="Arial" w:hAnsi="Arial"/>
          <w:sz w:val="20"/>
          <w:szCs w:val="20"/>
          <w:color w:val="auto"/>
        </w:rPr>
      </w:pPr>
    </w:p>
    <w:p>
      <w:pPr>
        <w:jc w:val="both"/>
        <w:ind w:left="160" w:right="139" w:firstLine="1935"/>
        <w:spacing w:after="0" w:line="246" w:lineRule="auto"/>
        <w:tabs>
          <w:tab w:leader="none" w:pos="2855" w:val="left"/>
        </w:tabs>
        <w:numPr>
          <w:ilvl w:val="2"/>
          <w:numId w:val="59"/>
        </w:numPr>
        <w:rPr>
          <w:rFonts w:ascii="Arial" w:cs="Arial" w:eastAsia="Arial" w:hAnsi="Arial"/>
          <w:sz w:val="20"/>
          <w:szCs w:val="20"/>
          <w:color w:val="auto"/>
        </w:rPr>
      </w:pPr>
      <w:r>
        <w:rPr>
          <w:rFonts w:ascii="Arial" w:cs="Arial" w:eastAsia="Arial" w:hAnsi="Arial"/>
          <w:sz w:val="20"/>
          <w:szCs w:val="20"/>
          <w:u w:val="single" w:color="auto"/>
          <w:color w:val="auto"/>
        </w:rPr>
        <w:t>Section 162(m)</w:t>
      </w:r>
      <w:r>
        <w:rPr>
          <w:rFonts w:ascii="Arial" w:cs="Arial" w:eastAsia="Arial" w:hAnsi="Arial"/>
          <w:sz w:val="20"/>
          <w:szCs w:val="20"/>
          <w:color w:val="auto"/>
        </w:rPr>
        <w:t>. To the extent that the Administrator determines it to be desirable and necessary to qualify Awards granted under this Plan as "performance-based compensation" within the meaning of Section 162(m) of the Code, the Plan shall be administered by a Committee of two or more Outside Directors.</w:t>
      </w:r>
    </w:p>
    <w:p>
      <w:pPr>
        <w:spacing w:after="0" w:line="191" w:lineRule="exact"/>
        <w:rPr>
          <w:rFonts w:ascii="Arial" w:cs="Arial" w:eastAsia="Arial" w:hAnsi="Arial"/>
          <w:sz w:val="20"/>
          <w:szCs w:val="20"/>
          <w:color w:val="auto"/>
        </w:rPr>
      </w:pPr>
    </w:p>
    <w:p>
      <w:pPr>
        <w:ind w:left="160" w:right="159" w:firstLine="1935"/>
        <w:spacing w:after="0" w:line="287" w:lineRule="auto"/>
        <w:tabs>
          <w:tab w:leader="none" w:pos="2856" w:val="left"/>
        </w:tabs>
        <w:numPr>
          <w:ilvl w:val="2"/>
          <w:numId w:val="59"/>
        </w:numPr>
        <w:rPr>
          <w:rFonts w:ascii="Arial" w:cs="Arial" w:eastAsia="Arial" w:hAnsi="Arial"/>
          <w:sz w:val="19"/>
          <w:szCs w:val="19"/>
          <w:color w:val="auto"/>
        </w:rPr>
      </w:pPr>
      <w:r>
        <w:rPr>
          <w:rFonts w:ascii="Arial" w:cs="Arial" w:eastAsia="Arial" w:hAnsi="Arial"/>
          <w:sz w:val="19"/>
          <w:szCs w:val="19"/>
          <w:u w:val="single" w:color="auto"/>
          <w:color w:val="auto"/>
        </w:rPr>
        <w:t>Rule 16b-3</w:t>
      </w:r>
      <w:r>
        <w:rPr>
          <w:rFonts w:ascii="Arial" w:cs="Arial" w:eastAsia="Arial" w:hAnsi="Arial"/>
          <w:sz w:val="19"/>
          <w:szCs w:val="19"/>
          <w:color w:val="auto"/>
        </w:rPr>
        <w:t>. If a transaction is intended to be exempt under Rule 16b-3 of the Exchange Act, it shall be structured to satisfy the requirements for exemption under Rule 16b-3.</w:t>
      </w:r>
    </w:p>
    <w:p>
      <w:pPr>
        <w:spacing w:after="0" w:line="152" w:lineRule="exact"/>
        <w:rPr>
          <w:rFonts w:ascii="Arial" w:cs="Arial" w:eastAsia="Arial" w:hAnsi="Arial"/>
          <w:sz w:val="19"/>
          <w:szCs w:val="19"/>
          <w:color w:val="auto"/>
        </w:rPr>
      </w:pPr>
    </w:p>
    <w:p>
      <w:pPr>
        <w:ind w:left="2840" w:hanging="745"/>
        <w:spacing w:after="0"/>
        <w:tabs>
          <w:tab w:leader="none" w:pos="2840" w:val="left"/>
        </w:tabs>
        <w:numPr>
          <w:ilvl w:val="2"/>
          <w:numId w:val="59"/>
        </w:numPr>
        <w:rPr>
          <w:rFonts w:ascii="Arial" w:cs="Arial" w:eastAsia="Arial" w:hAnsi="Arial"/>
          <w:sz w:val="19"/>
          <w:szCs w:val="19"/>
          <w:color w:val="auto"/>
        </w:rPr>
      </w:pPr>
      <w:r>
        <w:rPr>
          <w:rFonts w:ascii="Arial" w:cs="Arial" w:eastAsia="Arial" w:hAnsi="Arial"/>
          <w:sz w:val="19"/>
          <w:szCs w:val="19"/>
          <w:u w:val="single" w:color="auto"/>
          <w:color w:val="auto"/>
        </w:rPr>
        <w:t>Other Administration</w:t>
      </w:r>
      <w:r>
        <w:rPr>
          <w:rFonts w:ascii="Arial" w:cs="Arial" w:eastAsia="Arial" w:hAnsi="Arial"/>
          <w:sz w:val="19"/>
          <w:szCs w:val="19"/>
          <w:color w:val="auto"/>
        </w:rPr>
        <w:t>.  Other than as provided above, the Plan shall be</w:t>
      </w:r>
    </w:p>
    <w:p>
      <w:pPr>
        <w:spacing w:after="0" w:line="27"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20"/>
          <w:szCs w:val="20"/>
          <w:color w:val="auto"/>
        </w:rPr>
        <w:t>administered by (A) the Board or (B) a Committee constituted to satisfy Applicable Laws.</w:t>
      </w:r>
    </w:p>
    <w:p>
      <w:pPr>
        <w:spacing w:after="0" w:line="199" w:lineRule="exact"/>
        <w:rPr>
          <w:rFonts w:ascii="Arial" w:cs="Arial" w:eastAsia="Arial" w:hAnsi="Arial"/>
          <w:sz w:val="19"/>
          <w:szCs w:val="19"/>
          <w:color w:val="auto"/>
        </w:rPr>
      </w:pPr>
    </w:p>
    <w:p>
      <w:pPr>
        <w:jc w:val="both"/>
        <w:ind w:left="160" w:right="139" w:firstLine="1935"/>
        <w:spacing w:after="0" w:line="235" w:lineRule="exact"/>
        <w:tabs>
          <w:tab w:leader="none" w:pos="2857" w:val="left"/>
        </w:tabs>
        <w:numPr>
          <w:ilvl w:val="2"/>
          <w:numId w:val="59"/>
        </w:numPr>
        <w:rPr>
          <w:rFonts w:ascii="Arial" w:cs="Arial" w:eastAsia="Arial" w:hAnsi="Arial"/>
          <w:sz w:val="20"/>
          <w:szCs w:val="20"/>
          <w:color w:val="auto"/>
        </w:rPr>
      </w:pPr>
      <w:r>
        <w:rPr>
          <w:rFonts w:ascii="Arial" w:cs="Arial" w:eastAsia="Arial" w:hAnsi="Arial"/>
          <w:sz w:val="20"/>
          <w:szCs w:val="20"/>
          <w:u w:val="single" w:color="auto"/>
          <w:color w:val="auto"/>
        </w:rPr>
        <w:t>Delegation of Authority for Day</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to</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Day Administration</w:t>
      </w:r>
      <w:r>
        <w:rPr>
          <w:rFonts w:ascii="Arial" w:cs="Arial" w:eastAsia="Arial" w:hAnsi="Arial"/>
          <w:sz w:val="20"/>
          <w:szCs w:val="20"/>
          <w:color w:val="auto"/>
        </w:rPr>
        <w:t>. Except to the extent prohibited by Applicable Law, the Administrator may delegate to one or more individuals the day-to-day administration of the Plan and any of the functions assigned to it in this Plan. Such delegation may be revoked at any time.</w:t>
      </w:r>
    </w:p>
    <w:p>
      <w:pPr>
        <w:spacing w:after="0" w:line="195" w:lineRule="exact"/>
        <w:rPr>
          <w:rFonts w:ascii="Arial" w:cs="Arial" w:eastAsia="Arial" w:hAnsi="Arial"/>
          <w:sz w:val="20"/>
          <w:szCs w:val="20"/>
          <w:color w:val="auto"/>
        </w:rPr>
      </w:pPr>
    </w:p>
    <w:p>
      <w:pPr>
        <w:jc w:val="both"/>
        <w:ind w:left="160" w:right="139" w:firstLine="1287"/>
        <w:spacing w:after="0" w:line="250" w:lineRule="auto"/>
        <w:tabs>
          <w:tab w:leader="none" w:pos="2142"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Powers of the Administrator</w:t>
      </w:r>
      <w:r>
        <w:rPr>
          <w:rFonts w:ascii="Arial" w:cs="Arial" w:eastAsia="Arial" w:hAnsi="Arial"/>
          <w:sz w:val="20"/>
          <w:szCs w:val="20"/>
          <w:color w:val="auto"/>
        </w:rPr>
        <w:t>. Subject to the provisions of the Plan, and in the case of a Committee, subject to the specific duties delegated by the Board to the Committee, the Administrator shall have the authority, in its discretion to:</w:t>
      </w:r>
    </w:p>
    <w:p>
      <w:pPr>
        <w:spacing w:after="0" w:line="186" w:lineRule="exact"/>
        <w:rPr>
          <w:rFonts w:ascii="Arial" w:cs="Arial" w:eastAsia="Arial" w:hAnsi="Arial"/>
          <w:sz w:val="20"/>
          <w:szCs w:val="20"/>
          <w:color w:val="auto"/>
        </w:rPr>
      </w:pPr>
    </w:p>
    <w:p>
      <w:pPr>
        <w:ind w:left="2800" w:hanging="705"/>
        <w:spacing w:after="0"/>
        <w:tabs>
          <w:tab w:leader="none" w:pos="2800" w:val="left"/>
        </w:tabs>
        <w:numPr>
          <w:ilvl w:val="2"/>
          <w:numId w:val="59"/>
        </w:numPr>
        <w:rPr>
          <w:rFonts w:ascii="Arial" w:cs="Arial" w:eastAsia="Arial" w:hAnsi="Arial"/>
          <w:sz w:val="20"/>
          <w:szCs w:val="20"/>
          <w:color w:val="auto"/>
        </w:rPr>
      </w:pPr>
      <w:r>
        <w:rPr>
          <w:rFonts w:ascii="Arial" w:cs="Arial" w:eastAsia="Arial" w:hAnsi="Arial"/>
          <w:sz w:val="20"/>
          <w:szCs w:val="20"/>
          <w:color w:val="auto"/>
        </w:rPr>
        <w:t>determine the Fair Market Value of Awards;</w:t>
      </w:r>
    </w:p>
    <w:p>
      <w:pPr>
        <w:spacing w:after="0" w:line="215" w:lineRule="exact"/>
        <w:rPr>
          <w:rFonts w:ascii="Arial" w:cs="Arial" w:eastAsia="Arial" w:hAnsi="Arial"/>
          <w:sz w:val="20"/>
          <w:szCs w:val="20"/>
          <w:color w:val="auto"/>
        </w:rPr>
      </w:pPr>
    </w:p>
    <w:p>
      <w:pPr>
        <w:ind w:left="2860" w:hanging="765"/>
        <w:spacing w:after="0"/>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select the Service Providers to whom Awards may be granted under this</w:t>
      </w:r>
    </w:p>
    <w:p>
      <w:pPr>
        <w:spacing w:after="0" w:line="38"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Plan;</w:t>
      </w:r>
    </w:p>
    <w:p>
      <w:pPr>
        <w:spacing w:after="0" w:line="199" w:lineRule="exact"/>
        <w:rPr>
          <w:rFonts w:ascii="Arial" w:cs="Arial" w:eastAsia="Arial" w:hAnsi="Arial"/>
          <w:sz w:val="18"/>
          <w:szCs w:val="18"/>
          <w:color w:val="auto"/>
        </w:rPr>
      </w:pPr>
    </w:p>
    <w:p>
      <w:pPr>
        <w:ind w:left="2840" w:hanging="745"/>
        <w:spacing w:after="0"/>
        <w:tabs>
          <w:tab w:leader="none" w:pos="2840" w:val="left"/>
        </w:tabs>
        <w:numPr>
          <w:ilvl w:val="2"/>
          <w:numId w:val="59"/>
        </w:numPr>
        <w:rPr>
          <w:rFonts w:ascii="Arial" w:cs="Arial" w:eastAsia="Arial" w:hAnsi="Arial"/>
          <w:sz w:val="16"/>
          <w:szCs w:val="16"/>
          <w:color w:val="auto"/>
        </w:rPr>
      </w:pPr>
      <w:r>
        <w:rPr>
          <w:rFonts w:ascii="Arial" w:cs="Arial" w:eastAsia="Arial" w:hAnsi="Arial"/>
          <w:sz w:val="16"/>
          <w:szCs w:val="16"/>
          <w:color w:val="auto"/>
        </w:rPr>
        <w:t>determine the number of Shares to be covered by each Award granted under</w:t>
      </w:r>
    </w:p>
    <w:p>
      <w:pPr>
        <w:spacing w:after="0" w:line="61"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20"/>
          <w:szCs w:val="20"/>
          <w:color w:val="auto"/>
        </w:rPr>
        <w:t>this Plan;</w:t>
      </w:r>
    </w:p>
    <w:p>
      <w:pPr>
        <w:spacing w:after="0" w:line="199" w:lineRule="exact"/>
        <w:rPr>
          <w:rFonts w:ascii="Arial" w:cs="Arial" w:eastAsia="Arial" w:hAnsi="Arial"/>
          <w:sz w:val="16"/>
          <w:szCs w:val="16"/>
          <w:color w:val="auto"/>
        </w:rPr>
      </w:pPr>
    </w:p>
    <w:p>
      <w:pPr>
        <w:ind w:left="2820" w:hanging="725"/>
        <w:spacing w:after="0"/>
        <w:tabs>
          <w:tab w:leader="none" w:pos="2820" w:val="left"/>
        </w:tabs>
        <w:numPr>
          <w:ilvl w:val="2"/>
          <w:numId w:val="59"/>
        </w:numPr>
        <w:rPr>
          <w:rFonts w:ascii="Arial" w:cs="Arial" w:eastAsia="Arial" w:hAnsi="Arial"/>
          <w:sz w:val="20"/>
          <w:szCs w:val="20"/>
          <w:color w:val="auto"/>
        </w:rPr>
      </w:pPr>
      <w:r>
        <w:rPr>
          <w:rFonts w:ascii="Arial" w:cs="Arial" w:eastAsia="Arial" w:hAnsi="Arial"/>
          <w:sz w:val="20"/>
          <w:szCs w:val="20"/>
          <w:color w:val="auto"/>
        </w:rPr>
        <w:t>approve forms of Award Agreements for use under the Plan;</w:t>
      </w:r>
    </w:p>
    <w:p>
      <w:pPr>
        <w:spacing w:after="0" w:line="215" w:lineRule="exact"/>
        <w:rPr>
          <w:rFonts w:ascii="Arial" w:cs="Arial" w:eastAsia="Arial" w:hAnsi="Arial"/>
          <w:sz w:val="20"/>
          <w:szCs w:val="20"/>
          <w:color w:val="auto"/>
        </w:rPr>
      </w:pPr>
    </w:p>
    <w:p>
      <w:pPr>
        <w:jc w:val="both"/>
        <w:ind w:left="160" w:right="139" w:firstLine="1935"/>
        <w:spacing w:after="0" w:line="243" w:lineRule="auto"/>
        <w:tabs>
          <w:tab w:leader="none" w:pos="2830" w:val="left"/>
        </w:tabs>
        <w:numPr>
          <w:ilvl w:val="2"/>
          <w:numId w:val="59"/>
        </w:numPr>
        <w:rPr>
          <w:rFonts w:ascii="Arial" w:cs="Arial" w:eastAsia="Arial" w:hAnsi="Arial"/>
          <w:sz w:val="20"/>
          <w:szCs w:val="20"/>
          <w:color w:val="auto"/>
        </w:rPr>
      </w:pPr>
      <w:r>
        <w:rPr>
          <w:rFonts w:ascii="Arial" w:cs="Arial" w:eastAsia="Arial" w:hAnsi="Arial"/>
          <w:sz w:val="20"/>
          <w:szCs w:val="20"/>
          <w:color w:val="auto"/>
        </w:rPr>
        <w:t>determine the terms and conditions, not inconsistent with the terms of the Plan, of any Award granted under this Plan, including but not limited to, the exercise price, the time or times when Awards may be exercised (which may be based on Performance Goals or other performance criteria), any vesting acceleration or waiver of forfeiture or repurchase restrictions, and any restriction or limitation regarding any Award or the Shares relating thereto, based in each case on such factors as the Administrator, in its sole discretion, shall determine;</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9" w:name="page110"/>
    <w:bookmarkEnd w:id="109"/>
    <w:p>
      <w:pPr>
        <w:jc w:val="both"/>
        <w:ind w:left="160" w:right="139" w:firstLine="1935"/>
        <w:spacing w:after="0" w:line="250" w:lineRule="auto"/>
        <w:tabs>
          <w:tab w:leader="none" w:pos="2831"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reduce, with or without Participant consent, the exercise price of any Award to the then current Fair Market Value (or a higher value) if the Fair Market Value of the Common Stock covered by such Award shall have declined since the date the Award was granted;</w:t>
      </w:r>
    </w:p>
    <w:p>
      <w:pPr>
        <w:spacing w:after="0" w:line="187" w:lineRule="exact"/>
        <w:rPr>
          <w:rFonts w:ascii="Arial" w:cs="Arial" w:eastAsia="Arial" w:hAnsi="Arial"/>
          <w:sz w:val="20"/>
          <w:szCs w:val="20"/>
          <w:color w:val="auto"/>
        </w:rPr>
      </w:pPr>
    </w:p>
    <w:p>
      <w:pPr>
        <w:ind w:left="2840" w:hanging="745"/>
        <w:spacing w:after="0"/>
        <w:tabs>
          <w:tab w:leader="none" w:pos="28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institute an Exchange Program;</w:t>
      </w:r>
    </w:p>
    <w:p>
      <w:pPr>
        <w:spacing w:after="0" w:line="215" w:lineRule="exact"/>
        <w:rPr>
          <w:rFonts w:ascii="Arial" w:cs="Arial" w:eastAsia="Arial" w:hAnsi="Arial"/>
          <w:sz w:val="20"/>
          <w:szCs w:val="20"/>
          <w:color w:val="auto"/>
        </w:rPr>
      </w:pPr>
    </w:p>
    <w:p>
      <w:pPr>
        <w:ind w:left="2880" w:hanging="785"/>
        <w:spacing w:after="0"/>
        <w:tabs>
          <w:tab w:leader="none" w:pos="2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construe and interpret the terms of the Plan and Awards granted pursuant to</w:t>
      </w:r>
    </w:p>
    <w:p>
      <w:pPr>
        <w:spacing w:after="0" w:line="61"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20"/>
          <w:szCs w:val="20"/>
          <w:color w:val="auto"/>
        </w:rPr>
        <w:t>the Plan;</w:t>
      </w:r>
    </w:p>
    <w:p>
      <w:pPr>
        <w:spacing w:after="0" w:line="199" w:lineRule="exact"/>
        <w:rPr>
          <w:rFonts w:ascii="Arial" w:cs="Arial" w:eastAsia="Arial" w:hAnsi="Arial"/>
          <w:sz w:val="16"/>
          <w:szCs w:val="16"/>
          <w:color w:val="auto"/>
        </w:rPr>
      </w:pPr>
    </w:p>
    <w:p>
      <w:pPr>
        <w:ind w:left="160" w:right="139" w:firstLine="1935"/>
        <w:spacing w:after="0" w:line="260" w:lineRule="auto"/>
        <w:tabs>
          <w:tab w:leader="none" w:pos="2872" w:val="left"/>
        </w:tabs>
        <w:numPr>
          <w:ilvl w:val="0"/>
          <w:numId w:val="60"/>
        </w:numPr>
        <w:rPr>
          <w:rFonts w:ascii="Arial" w:cs="Arial" w:eastAsia="Arial" w:hAnsi="Arial"/>
          <w:sz w:val="20"/>
          <w:szCs w:val="20"/>
          <w:color w:val="auto"/>
        </w:rPr>
      </w:pPr>
      <w:r>
        <w:rPr>
          <w:rFonts w:ascii="Arial" w:cs="Arial" w:eastAsia="Arial" w:hAnsi="Arial"/>
          <w:sz w:val="20"/>
          <w:szCs w:val="20"/>
          <w:color w:val="auto"/>
        </w:rPr>
        <w:t>prescribe, amend and rescind rules and regulations relating to the Plan, including rules and regulations relating to sub-plans;</w:t>
      </w:r>
    </w:p>
    <w:p>
      <w:pPr>
        <w:spacing w:after="0" w:line="176" w:lineRule="exact"/>
        <w:rPr>
          <w:rFonts w:ascii="Arial" w:cs="Arial" w:eastAsia="Arial" w:hAnsi="Arial"/>
          <w:sz w:val="20"/>
          <w:szCs w:val="20"/>
          <w:color w:val="auto"/>
        </w:rPr>
      </w:pPr>
    </w:p>
    <w:p>
      <w:pPr>
        <w:jc w:val="both"/>
        <w:ind w:left="160" w:right="139" w:firstLine="1935"/>
        <w:spacing w:after="0" w:line="233" w:lineRule="exact"/>
        <w:tabs>
          <w:tab w:leader="none" w:pos="2857" w:val="left"/>
        </w:tabs>
        <w:numPr>
          <w:ilvl w:val="0"/>
          <w:numId w:val="60"/>
        </w:numPr>
        <w:rPr>
          <w:rFonts w:ascii="Arial" w:cs="Arial" w:eastAsia="Arial" w:hAnsi="Arial"/>
          <w:sz w:val="19"/>
          <w:szCs w:val="19"/>
          <w:color w:val="auto"/>
        </w:rPr>
      </w:pPr>
      <w:r>
        <w:rPr>
          <w:rFonts w:ascii="Arial" w:cs="Arial" w:eastAsia="Arial" w:hAnsi="Arial"/>
          <w:sz w:val="19"/>
          <w:szCs w:val="19"/>
          <w:color w:val="auto"/>
        </w:rPr>
        <w:t>amend the terms of any outstanding Award, including the discretionary authority to extend the post</w:t>
      </w:r>
      <w:r>
        <w:rPr>
          <w:rFonts w:ascii="MS PGothic" w:cs="MS PGothic" w:eastAsia="MS PGothic" w:hAnsi="MS PGothic"/>
          <w:sz w:val="19"/>
          <w:szCs w:val="19"/>
          <w:color w:val="auto"/>
        </w:rPr>
        <w:t>‑</w:t>
      </w:r>
      <w:r>
        <w:rPr>
          <w:rFonts w:ascii="Arial" w:cs="Arial" w:eastAsia="Arial" w:hAnsi="Arial"/>
          <w:sz w:val="19"/>
          <w:szCs w:val="19"/>
          <w:color w:val="auto"/>
        </w:rPr>
        <w:t>termination exercise period of Awards and accelerate the satisfaction of any vesting criteria or waiver of forfeiture or repurchase restrictions, provided that any amendment that would adversely affect the Participant's rights under an outstanding Award shall not be made without the Participant's written consent. Notwithstanding the foregoing, an amendment shall not be treated as adversely affecting the rights of the Participant if the amendment causes an Incentive Stock Option to become a Nonstatutory Stock Option or if the amendment is made to the minimum extent necessary to avoid the adverse tax consequences of Section 409A of the Code.</w:t>
      </w:r>
    </w:p>
    <w:p>
      <w:pPr>
        <w:spacing w:after="0" w:line="195" w:lineRule="exact"/>
        <w:rPr>
          <w:rFonts w:ascii="Arial" w:cs="Arial" w:eastAsia="Arial" w:hAnsi="Arial"/>
          <w:sz w:val="19"/>
          <w:szCs w:val="19"/>
          <w:color w:val="auto"/>
        </w:rPr>
      </w:pPr>
    </w:p>
    <w:p>
      <w:pPr>
        <w:jc w:val="both"/>
        <w:ind w:left="160" w:right="139" w:firstLine="1935"/>
        <w:spacing w:after="0" w:line="274" w:lineRule="auto"/>
        <w:tabs>
          <w:tab w:leader="none" w:pos="28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allow Participants to satisfy withholding tax obligations by electing to have the Company withhold from the Shares or cash to be issued upon exercise or vesting of an Award up to the number of Shares or cash having a Fair Market Value equal to the amount required to be withheld bsed on the maximum individual income tax rate in the applicable jurisdiction. The Fair Market Value of any Shares to be withheld shall be determined on the date that the amount of tax to be withheld is to be determined, and all elections by a Participant to have Shares or cash withheld for this purpose shall be made in such form and under such conditions as the Administrator may deem necessary or advisable;</w:t>
      </w:r>
    </w:p>
    <w:p>
      <w:pPr>
        <w:spacing w:after="0" w:line="169" w:lineRule="exact"/>
        <w:rPr>
          <w:rFonts w:ascii="Arial" w:cs="Arial" w:eastAsia="Arial" w:hAnsi="Arial"/>
          <w:sz w:val="18"/>
          <w:szCs w:val="18"/>
          <w:color w:val="auto"/>
        </w:rPr>
      </w:pPr>
    </w:p>
    <w:p>
      <w:pPr>
        <w:ind w:left="2860" w:hanging="765"/>
        <w:spacing w:after="0"/>
        <w:tabs>
          <w:tab w:leader="none" w:pos="2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authorize any person to execute on behalf of the Company any instrument</w:t>
      </w:r>
    </w:p>
    <w:p>
      <w:pPr>
        <w:spacing w:after="0" w:line="38"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required to effect the grant of an Award previously granted by the Administrator;</w:t>
      </w:r>
    </w:p>
    <w:p>
      <w:pPr>
        <w:spacing w:after="0" w:line="199" w:lineRule="exact"/>
        <w:rPr>
          <w:rFonts w:ascii="Arial" w:cs="Arial" w:eastAsia="Arial" w:hAnsi="Arial"/>
          <w:sz w:val="18"/>
          <w:szCs w:val="18"/>
          <w:color w:val="auto"/>
        </w:rPr>
      </w:pPr>
    </w:p>
    <w:p>
      <w:pPr>
        <w:ind w:left="2920" w:hanging="825"/>
        <w:spacing w:after="0"/>
        <w:tabs>
          <w:tab w:leader="none" w:pos="29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allow a Participant to defer the receipt of the payment of cash or the</w:t>
      </w:r>
    </w:p>
    <w:p>
      <w:pPr>
        <w:spacing w:after="0" w:line="27" w:lineRule="exact"/>
        <w:rPr>
          <w:rFonts w:ascii="Arial" w:cs="Arial" w:eastAsia="Arial" w:hAnsi="Arial"/>
          <w:sz w:val="19"/>
          <w:szCs w:val="19"/>
          <w:color w:val="auto"/>
        </w:rPr>
      </w:pPr>
    </w:p>
    <w:p>
      <w:pPr>
        <w:ind w:left="160"/>
        <w:spacing w:after="0"/>
        <w:rPr>
          <w:rFonts w:ascii="Arial" w:cs="Arial" w:eastAsia="Arial" w:hAnsi="Arial"/>
          <w:sz w:val="19"/>
          <w:szCs w:val="19"/>
          <w:color w:val="auto"/>
        </w:rPr>
      </w:pPr>
      <w:r>
        <w:rPr>
          <w:rFonts w:ascii="Arial" w:cs="Arial" w:eastAsia="Arial" w:hAnsi="Arial"/>
          <w:sz w:val="20"/>
          <w:szCs w:val="20"/>
          <w:color w:val="auto"/>
        </w:rPr>
        <w:t>delivery of Shares that would otherwise be due to the Participant under an Award;</w:t>
      </w:r>
    </w:p>
    <w:p>
      <w:pPr>
        <w:spacing w:after="0" w:line="199" w:lineRule="exact"/>
        <w:rPr>
          <w:rFonts w:ascii="Arial" w:cs="Arial" w:eastAsia="Arial" w:hAnsi="Arial"/>
          <w:sz w:val="19"/>
          <w:szCs w:val="19"/>
          <w:color w:val="auto"/>
        </w:rPr>
      </w:pPr>
    </w:p>
    <w:p>
      <w:pPr>
        <w:ind w:left="2920" w:hanging="825"/>
        <w:spacing w:after="0"/>
        <w:tabs>
          <w:tab w:leader="none" w:pos="29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determine whether Awards shall be settled in Shares, cash or in a</w:t>
      </w:r>
    </w:p>
    <w:p>
      <w:pPr>
        <w:spacing w:after="0" w:line="15" w:lineRule="exact"/>
        <w:rPr>
          <w:rFonts w:ascii="Arial" w:cs="Arial" w:eastAsia="Arial" w:hAnsi="Arial"/>
          <w:sz w:val="20"/>
          <w:szCs w:val="20"/>
          <w:color w:val="auto"/>
        </w:rPr>
      </w:pPr>
    </w:p>
    <w:p>
      <w:pPr>
        <w:ind w:left="160"/>
        <w:spacing w:after="0"/>
        <w:rPr>
          <w:rFonts w:ascii="Arial" w:cs="Arial" w:eastAsia="Arial" w:hAnsi="Arial"/>
          <w:sz w:val="20"/>
          <w:szCs w:val="20"/>
          <w:color w:val="auto"/>
        </w:rPr>
      </w:pPr>
      <w:r>
        <w:rPr>
          <w:rFonts w:ascii="Arial" w:cs="Arial" w:eastAsia="Arial" w:hAnsi="Arial"/>
          <w:sz w:val="20"/>
          <w:szCs w:val="20"/>
          <w:color w:val="auto"/>
        </w:rPr>
        <w:t>combination of Shares and cash;</w:t>
      </w:r>
    </w:p>
    <w:p>
      <w:pPr>
        <w:spacing w:after="0" w:line="199" w:lineRule="exact"/>
        <w:rPr>
          <w:rFonts w:ascii="Arial" w:cs="Arial" w:eastAsia="Arial" w:hAnsi="Arial"/>
          <w:sz w:val="20"/>
          <w:szCs w:val="20"/>
          <w:color w:val="auto"/>
        </w:rPr>
      </w:pPr>
    </w:p>
    <w:p>
      <w:pPr>
        <w:ind w:left="2820" w:hanging="725"/>
        <w:spacing w:after="0"/>
        <w:tabs>
          <w:tab w:leader="none" w:pos="28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determine whether Awards shall be adjusted for Dividend Equivalents;</w:t>
      </w:r>
    </w:p>
    <w:p>
      <w:pPr>
        <w:spacing w:after="0" w:line="227" w:lineRule="exact"/>
        <w:rPr>
          <w:rFonts w:ascii="Arial" w:cs="Arial" w:eastAsia="Arial" w:hAnsi="Arial"/>
          <w:sz w:val="19"/>
          <w:szCs w:val="19"/>
          <w:color w:val="auto"/>
        </w:rPr>
      </w:pPr>
    </w:p>
    <w:p>
      <w:pPr>
        <w:ind w:left="2860" w:hanging="765"/>
        <w:spacing w:after="0"/>
        <w:tabs>
          <w:tab w:leader="none" w:pos="28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create Other Stock Based Awards for issuance under the Plan;</w:t>
      </w:r>
    </w:p>
    <w:p>
      <w:pPr>
        <w:spacing w:after="0" w:line="215" w:lineRule="exact"/>
        <w:rPr>
          <w:rFonts w:ascii="Arial" w:cs="Arial" w:eastAsia="Arial" w:hAnsi="Arial"/>
          <w:sz w:val="20"/>
          <w:szCs w:val="20"/>
          <w:color w:val="auto"/>
        </w:rPr>
      </w:pPr>
    </w:p>
    <w:p>
      <w:pPr>
        <w:ind w:left="160" w:right="139" w:firstLine="1935"/>
        <w:spacing w:after="0" w:line="316" w:lineRule="auto"/>
        <w:tabs>
          <w:tab w:leader="none" w:pos="29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program whereby Service Providers designated by the Administrator can reduce compensation otherwise payable in cash in exchange for Awards under the Plan;</w:t>
      </w:r>
    </w:p>
    <w:p>
      <w:pPr>
        <w:spacing w:after="0" w:line="130" w:lineRule="exact"/>
        <w:rPr>
          <w:rFonts w:ascii="Arial" w:cs="Arial" w:eastAsia="Arial" w:hAnsi="Arial"/>
          <w:sz w:val="18"/>
          <w:szCs w:val="18"/>
          <w:color w:val="auto"/>
        </w:rPr>
      </w:pPr>
    </w:p>
    <w:p>
      <w:pPr>
        <w:jc w:val="both"/>
        <w:ind w:left="160" w:right="139" w:firstLine="1935"/>
        <w:spacing w:after="0" w:line="244" w:lineRule="auto"/>
        <w:tabs>
          <w:tab w:leader="none" w:pos="2973" w:val="left"/>
        </w:tabs>
        <w:numPr>
          <w:ilvl w:val="0"/>
          <w:numId w:val="60"/>
        </w:numPr>
        <w:rPr>
          <w:rFonts w:ascii="Arial" w:cs="Arial" w:eastAsia="Arial" w:hAnsi="Arial"/>
          <w:sz w:val="20"/>
          <w:szCs w:val="20"/>
          <w:color w:val="auto"/>
        </w:rPr>
      </w:pPr>
      <w:r>
        <w:rPr>
          <w:rFonts w:ascii="Arial" w:cs="Arial" w:eastAsia="Arial" w:hAnsi="Arial"/>
          <w:sz w:val="20"/>
          <w:szCs w:val="20"/>
          <w:color w:val="auto"/>
        </w:rPr>
        <w:t>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and (B) restrictions as to the use of a specified brokerage firm for such resales or other transfers;</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0" w:name="page111"/>
    <w:bookmarkEnd w:id="110"/>
    <w:p>
      <w:pPr>
        <w:jc w:val="both"/>
        <w:ind w:left="160" w:right="159" w:firstLine="1935"/>
        <w:spacing w:after="0" w:line="283" w:lineRule="auto"/>
        <w:tabs>
          <w:tab w:leader="none" w:pos="29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one or more programs under the Plan to permit selected Participants the opportunity to elect to defer receipt of consideration upon exercise of an Award, satisfaction of Performance Goals or other performance criteria, or other event that absent the election, would entitle the Participant to payment or receipt of Shares or other consideration under an Award; and</w:t>
      </w:r>
    </w:p>
    <w:p>
      <w:pPr>
        <w:spacing w:after="0" w:line="159" w:lineRule="exact"/>
        <w:rPr>
          <w:rFonts w:ascii="Arial" w:cs="Arial" w:eastAsia="Arial" w:hAnsi="Arial"/>
          <w:sz w:val="18"/>
          <w:szCs w:val="18"/>
          <w:color w:val="auto"/>
        </w:rPr>
      </w:pPr>
    </w:p>
    <w:p>
      <w:pPr>
        <w:ind w:left="160" w:right="159" w:firstLine="1935"/>
        <w:spacing w:after="0" w:line="260" w:lineRule="auto"/>
        <w:tabs>
          <w:tab w:leader="none" w:pos="2862" w:val="left"/>
        </w:tabs>
        <w:numPr>
          <w:ilvl w:val="0"/>
          <w:numId w:val="61"/>
        </w:numPr>
        <w:rPr>
          <w:rFonts w:ascii="Arial" w:cs="Arial" w:eastAsia="Arial" w:hAnsi="Arial"/>
          <w:sz w:val="20"/>
          <w:szCs w:val="20"/>
          <w:color w:val="auto"/>
        </w:rPr>
      </w:pPr>
      <w:r>
        <w:rPr>
          <w:rFonts w:ascii="Arial" w:cs="Arial" w:eastAsia="Arial" w:hAnsi="Arial"/>
          <w:sz w:val="20"/>
          <w:szCs w:val="20"/>
          <w:color w:val="auto"/>
        </w:rPr>
        <w:t>make all other determinations that the Administrator deems necessary or advisable for administering the Plan.</w:t>
      </w:r>
    </w:p>
    <w:p>
      <w:pPr>
        <w:spacing w:after="0" w:line="177" w:lineRule="exact"/>
        <w:rPr>
          <w:sz w:val="20"/>
          <w:szCs w:val="20"/>
          <w:color w:val="auto"/>
        </w:rPr>
      </w:pPr>
    </w:p>
    <w:p>
      <w:pPr>
        <w:jc w:val="both"/>
        <w:ind w:left="160" w:right="139"/>
        <w:spacing w:after="0" w:line="250" w:lineRule="auto"/>
        <w:rPr>
          <w:sz w:val="20"/>
          <w:szCs w:val="20"/>
          <w:color w:val="auto"/>
        </w:rPr>
      </w:pPr>
      <w:r>
        <w:rPr>
          <w:rFonts w:ascii="Arial" w:cs="Arial" w:eastAsia="Arial" w:hAnsi="Arial"/>
          <w:sz w:val="20"/>
          <w:szCs w:val="20"/>
          <w:color w:val="auto"/>
        </w:rPr>
        <w:t>The express grant in the Plan of any specific power to the Administrator shall not be construed as limiting any power or authority of the Administrator. However, the Administrator may not exercise any right or power reserved to the Board.</w:t>
      </w:r>
    </w:p>
    <w:p>
      <w:pPr>
        <w:spacing w:after="0" w:line="186" w:lineRule="exact"/>
        <w:rPr>
          <w:sz w:val="20"/>
          <w:szCs w:val="20"/>
          <w:color w:val="auto"/>
        </w:rPr>
      </w:pPr>
    </w:p>
    <w:p>
      <w:pPr>
        <w:ind w:left="160" w:right="159" w:firstLine="1287"/>
        <w:spacing w:after="0" w:line="316" w:lineRule="auto"/>
        <w:tabs>
          <w:tab w:leader="none" w:pos="2144" w:val="left"/>
        </w:tabs>
        <w:numPr>
          <w:ilvl w:val="2"/>
          <w:numId w:val="62"/>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actions and interpretations shall be final, conclusive and binding on all persons having an interest in the Plan.</w:t>
      </w:r>
    </w:p>
    <w:p>
      <w:pPr>
        <w:spacing w:after="0" w:line="130" w:lineRule="exact"/>
        <w:rPr>
          <w:rFonts w:ascii="Arial" w:cs="Arial" w:eastAsia="Arial" w:hAnsi="Arial"/>
          <w:sz w:val="18"/>
          <w:szCs w:val="18"/>
          <w:color w:val="auto"/>
        </w:rPr>
      </w:pPr>
    </w:p>
    <w:p>
      <w:pPr>
        <w:jc w:val="both"/>
        <w:ind w:left="160" w:right="139" w:firstLine="1287"/>
        <w:spacing w:after="0" w:line="272" w:lineRule="auto"/>
        <w:tabs>
          <w:tab w:leader="none" w:pos="2142" w:val="left"/>
        </w:tabs>
        <w:numPr>
          <w:ilvl w:val="2"/>
          <w:numId w:val="6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defend and indemnify members of the Board, officers and Employees of the Company or of a Parent or Subsidiary whom authority to act for the Board, the Administrator or the Company is delegated ("</w:t>
      </w:r>
      <w:r>
        <w:rPr>
          <w:rFonts w:ascii="Arial" w:cs="Arial" w:eastAsia="Arial" w:hAnsi="Arial"/>
          <w:sz w:val="18"/>
          <w:szCs w:val="18"/>
          <w:b w:val="1"/>
          <w:bCs w:val="1"/>
          <w:color w:val="auto"/>
        </w:rPr>
        <w:t>Indemnitees</w:t>
      </w:r>
      <w:r>
        <w:rPr>
          <w:rFonts w:ascii="Arial" w:cs="Arial" w:eastAsia="Arial" w:hAnsi="Arial"/>
          <w:sz w:val="18"/>
          <w:szCs w:val="18"/>
          <w:color w:val="auto"/>
        </w:rPr>
        <w:t>") to the maximum extent permitted by law against</w:t>
      </w:r>
    </w:p>
    <w:p>
      <w:pPr>
        <w:spacing w:after="0" w:line="1" w:lineRule="exact"/>
        <w:rPr>
          <w:rFonts w:ascii="Arial" w:cs="Arial" w:eastAsia="Arial" w:hAnsi="Arial"/>
          <w:sz w:val="18"/>
          <w:szCs w:val="18"/>
          <w:color w:val="auto"/>
        </w:rPr>
      </w:pPr>
    </w:p>
    <w:p>
      <w:pPr>
        <w:jc w:val="both"/>
        <w:ind w:left="160" w:right="139" w:hanging="9"/>
        <w:spacing w:after="0" w:line="253" w:lineRule="auto"/>
        <w:tabs>
          <w:tab w:leader="none" w:pos="418" w:val="left"/>
        </w:tabs>
        <w:numPr>
          <w:ilvl w:val="0"/>
          <w:numId w:val="63"/>
        </w:numPr>
        <w:rPr>
          <w:rFonts w:ascii="Arial" w:cs="Arial" w:eastAsia="Arial" w:hAnsi="Arial"/>
          <w:sz w:val="19"/>
          <w:szCs w:val="19"/>
          <w:color w:val="auto"/>
        </w:rPr>
      </w:pPr>
      <w:r>
        <w:rPr>
          <w:rFonts w:ascii="Arial" w:cs="Arial" w:eastAsia="Arial" w:hAnsi="Arial"/>
          <w:sz w:val="19"/>
          <w:szCs w:val="19"/>
          <w:color w:val="auto"/>
        </w:rPr>
        <w:t>all reasonable expenses, including reasonable attorneys' fees incurred in connection with the defense of any claim, investigation, action, suit or proceeding, or in connection with any appeal therein (collectively, a "</w:t>
      </w:r>
      <w:r>
        <w:rPr>
          <w:rFonts w:ascii="Arial" w:cs="Arial" w:eastAsia="Arial" w:hAnsi="Arial"/>
          <w:sz w:val="19"/>
          <w:szCs w:val="19"/>
          <w:b w:val="1"/>
          <w:bCs w:val="1"/>
          <w:color w:val="auto"/>
        </w:rPr>
        <w:t>Claim</w:t>
      </w:r>
      <w:r>
        <w:rPr>
          <w:rFonts w:ascii="Arial" w:cs="Arial" w:eastAsia="Arial" w:hAnsi="Arial"/>
          <w:sz w:val="19"/>
          <w:szCs w:val="19"/>
          <w:color w:val="auto"/>
        </w:rPr>
        <w:t>"), to which any of them is a party by reason of any action taken or failure to act in connection with the Plan, or in connection with any Award granted under the Plan; and (ii) all amounts required to be paid by them in settlement the Claim (provided the settlement is approved by the Company) or required to be paid by them in satisfaction of a judgment in any Claim. However, no person shall be entitled to indemnification to the extent he is determined in such Claim to be liable for gross negligence, bad faith or intentional misconduct. In addition, to be entitled to indemnification, the Indemnitee must, within 30 days after written notice of the Claim, offer the Company, in writing, the opportunity, at the Company's expense, to defend the Claim. The right to indemnification shall be in addition to all other rights of indemnification available to the Indemnitee.</w:t>
      </w:r>
    </w:p>
    <w:p>
      <w:pPr>
        <w:spacing w:after="0" w:line="186" w:lineRule="exact"/>
        <w:rPr>
          <w:rFonts w:ascii="Arial" w:cs="Arial" w:eastAsia="Arial" w:hAnsi="Arial"/>
          <w:sz w:val="19"/>
          <w:szCs w:val="19"/>
          <w:color w:val="auto"/>
        </w:rPr>
      </w:pPr>
    </w:p>
    <w:p>
      <w:pPr>
        <w:jc w:val="both"/>
        <w:ind w:left="160" w:right="139" w:firstLine="639"/>
        <w:spacing w:after="0" w:line="273" w:lineRule="auto"/>
        <w:tabs>
          <w:tab w:leader="none" w:pos="1546" w:val="left"/>
        </w:tabs>
        <w:numPr>
          <w:ilvl w:val="1"/>
          <w:numId w:val="63"/>
        </w:numPr>
        <w:rPr>
          <w:rFonts w:ascii="Arial" w:cs="Arial" w:eastAsia="Arial" w:hAnsi="Arial"/>
          <w:sz w:val="19"/>
          <w:szCs w:val="19"/>
          <w:color w:val="auto"/>
        </w:rPr>
      </w:pPr>
      <w:r>
        <w:rPr>
          <w:rFonts w:ascii="Arial" w:cs="Arial" w:eastAsia="Arial" w:hAnsi="Arial"/>
          <w:sz w:val="19"/>
          <w:szCs w:val="19"/>
          <w:b w:val="1"/>
          <w:bCs w:val="1"/>
          <w:color w:val="auto"/>
        </w:rPr>
        <w:t>Eligibility</w:t>
      </w:r>
      <w:r>
        <w:rPr>
          <w:rFonts w:ascii="Arial" w:cs="Arial" w:eastAsia="Arial" w:hAnsi="Arial"/>
          <w:sz w:val="19"/>
          <w:szCs w:val="19"/>
          <w:color w:val="auto"/>
        </w:rPr>
        <w:t>. Nonstatutory Stock Options, Stock Appreciation Rights,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Performance Units, Performance Shares, and Other Stock Based Awards may be granted to Service Providers. Incentive Stock Options may be granted only to Employees.</w:t>
      </w:r>
    </w:p>
    <w:p>
      <w:pPr>
        <w:spacing w:after="0" w:line="165" w:lineRule="exact"/>
        <w:rPr>
          <w:rFonts w:ascii="Arial" w:cs="Arial" w:eastAsia="Arial" w:hAnsi="Arial"/>
          <w:sz w:val="19"/>
          <w:szCs w:val="19"/>
          <w:color w:val="auto"/>
        </w:rPr>
      </w:pPr>
    </w:p>
    <w:p>
      <w:pPr>
        <w:ind w:left="1480" w:hanging="681"/>
        <w:spacing w:after="0"/>
        <w:tabs>
          <w:tab w:leader="none" w:pos="1480"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60" w:right="139" w:firstLine="1287"/>
        <w:spacing w:after="0" w:line="273" w:lineRule="auto"/>
        <w:tabs>
          <w:tab w:leader="none" w:pos="2144"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$100,000 Limitation for Incentive Stock Options</w:t>
      </w:r>
      <w:r>
        <w:rPr>
          <w:rFonts w:ascii="Arial" w:cs="Arial" w:eastAsia="Arial" w:hAnsi="Arial"/>
          <w:sz w:val="18"/>
          <w:szCs w:val="18"/>
          <w:color w:val="auto"/>
        </w:rPr>
        <w:t>. Each Option shall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a Participant during any calendar year (under all plans of the Company and any Parent or Subsidiary) exceeds $100,000, such Options shall be treated as Nonstatutory Stock Options. For purposes of this Section 6(a), Incentive Stock Options shall be taken into account in the order in which they were granted. The Fair Market Value of the Shares shall be determined as of the time the Options with respect to such Shares are granted.</w:t>
      </w:r>
    </w:p>
    <w:p>
      <w:pPr>
        <w:spacing w:after="0" w:line="169" w:lineRule="exact"/>
        <w:rPr>
          <w:rFonts w:ascii="Arial" w:cs="Arial" w:eastAsia="Arial" w:hAnsi="Arial"/>
          <w:sz w:val="18"/>
          <w:szCs w:val="18"/>
          <w:color w:val="auto"/>
        </w:rPr>
      </w:pPr>
    </w:p>
    <w:p>
      <w:pPr>
        <w:jc w:val="both"/>
        <w:ind w:left="160" w:right="139" w:firstLine="1287"/>
        <w:spacing w:after="0" w:line="278" w:lineRule="auto"/>
        <w:tabs>
          <w:tab w:leader="none" w:pos="2142" w:val="left"/>
        </w:tabs>
        <w:numPr>
          <w:ilvl w:val="2"/>
          <w:numId w:val="63"/>
        </w:numPr>
        <w:rPr>
          <w:rFonts w:ascii="Arial" w:cs="Arial" w:eastAsia="Arial" w:hAnsi="Arial"/>
          <w:sz w:val="18"/>
          <w:szCs w:val="18"/>
          <w:color w:val="auto"/>
        </w:rPr>
      </w:pPr>
      <w:r>
        <w:rPr>
          <w:rFonts w:ascii="Arial" w:cs="Arial" w:eastAsia="Arial" w:hAnsi="Arial"/>
          <w:sz w:val="18"/>
          <w:szCs w:val="18"/>
          <w:u w:val="single" w:color="auto"/>
          <w:color w:val="auto"/>
        </w:rPr>
        <w:t>Special Annual Limits</w:t>
      </w:r>
      <w:r>
        <w:rPr>
          <w:rFonts w:ascii="Arial" w:cs="Arial" w:eastAsia="Arial" w:hAnsi="Arial"/>
          <w:sz w:val="18"/>
          <w:szCs w:val="18"/>
          <w:color w:val="auto"/>
        </w:rPr>
        <w:t>. Subject to Section 15 of the Plan, the maximum number of Shares that may be subject to Options or Stock Appreciation Rights granted to any Service Provider in any calendar year shall equal 600,000 Shares and contain an exercise price equal to the Fair Market Value of the Common Stock as of the date of grant. Subject to Section 15 of the Plan, the maximum number of Shares that may be subject to Restricted Stock, Restricted Stock Units, Performance Shares, Performance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1" w:name="page112"/>
    <w:bookmarkEnd w:id="111"/>
    <w:p>
      <w:pPr>
        <w:jc w:val="both"/>
        <w:ind w:left="160" w:right="139"/>
        <w:spacing w:after="0" w:line="292" w:lineRule="auto"/>
        <w:rPr>
          <w:sz w:val="20"/>
          <w:szCs w:val="20"/>
          <w:color w:val="auto"/>
        </w:rPr>
      </w:pPr>
      <w:r>
        <w:rPr>
          <w:rFonts w:ascii="Arial" w:cs="Arial" w:eastAsia="Arial" w:hAnsi="Arial"/>
          <w:sz w:val="18"/>
          <w:szCs w:val="18"/>
          <w:color w:val="auto"/>
        </w:rPr>
        <w:t>Units and Other Stock Based Awards, Other Stock Based Awards granted to any Service Provider in any calendar year shall equal 600,000 Shares. Subject to Section 15 of the Plan, the maximum dollar amount that may be subject to cash awards granted to any Service Provider in any calendar year shall equal $5,000,000.</w:t>
      </w:r>
    </w:p>
    <w:p>
      <w:pPr>
        <w:spacing w:after="0" w:line="150" w:lineRule="exact"/>
        <w:rPr>
          <w:sz w:val="20"/>
          <w:szCs w:val="20"/>
          <w:color w:val="auto"/>
        </w:rPr>
      </w:pPr>
    </w:p>
    <w:p>
      <w:pPr>
        <w:ind w:left="1480" w:hanging="681"/>
        <w:spacing w:after="0"/>
        <w:tabs>
          <w:tab w:leader="none" w:pos="148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Options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60" w:right="139" w:firstLine="1287"/>
        <w:spacing w:after="0" w:line="258" w:lineRule="auto"/>
        <w:tabs>
          <w:tab w:leader="none" w:pos="2198"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Term of Option</w:t>
      </w:r>
      <w:r>
        <w:rPr>
          <w:rFonts w:ascii="Arial" w:cs="Arial" w:eastAsia="Arial" w:hAnsi="Arial"/>
          <w:sz w:val="19"/>
          <w:szCs w:val="19"/>
          <w:color w:val="auto"/>
        </w:rPr>
        <w:t>. The term of each Option shall be stated in the Award Agreement. In the case of an Incentive Stock Option, the term shall be 10 years from the date of grant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shall be five years from the date of grant or such shorter term as may be provided in the Award Agreement.</w:t>
      </w:r>
    </w:p>
    <w:p>
      <w:pPr>
        <w:spacing w:after="0" w:line="179" w:lineRule="exact"/>
        <w:rPr>
          <w:rFonts w:ascii="Arial" w:cs="Arial" w:eastAsia="Arial" w:hAnsi="Arial"/>
          <w:sz w:val="19"/>
          <w:szCs w:val="19"/>
          <w:color w:val="auto"/>
        </w:rPr>
      </w:pPr>
    </w:p>
    <w:p>
      <w:pPr>
        <w:ind w:left="2140" w:hanging="693"/>
        <w:spacing w:after="0"/>
        <w:tabs>
          <w:tab w:leader="none" w:pos="2140"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Option Exercise Price and Consideration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60" w:right="159" w:firstLine="1935"/>
        <w:spacing w:after="0" w:line="316" w:lineRule="auto"/>
        <w:tabs>
          <w:tab w:leader="none" w:pos="2827"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shall be determined by the Administrator, subject to the following:</w:t>
      </w:r>
    </w:p>
    <w:p>
      <w:pPr>
        <w:spacing w:after="0" w:line="130" w:lineRule="exact"/>
        <w:rPr>
          <w:rFonts w:ascii="Arial" w:cs="Arial" w:eastAsia="Arial" w:hAnsi="Arial"/>
          <w:sz w:val="18"/>
          <w:szCs w:val="18"/>
          <w:color w:val="auto"/>
        </w:rPr>
      </w:pPr>
    </w:p>
    <w:p>
      <w:pPr>
        <w:ind w:left="3420" w:hanging="676"/>
        <w:spacing w:after="0"/>
        <w:tabs>
          <w:tab w:leader="none" w:pos="3420" w:val="left"/>
        </w:tabs>
        <w:numPr>
          <w:ilvl w:val="3"/>
          <w:numId w:val="64"/>
        </w:numPr>
        <w:rPr>
          <w:rFonts w:ascii="Arial" w:cs="Arial" w:eastAsia="Arial" w:hAnsi="Arial"/>
          <w:sz w:val="20"/>
          <w:szCs w:val="20"/>
          <w:color w:val="auto"/>
        </w:rPr>
      </w:pPr>
      <w:r>
        <w:rPr>
          <w:rFonts w:ascii="Arial" w:cs="Arial" w:eastAsia="Arial" w:hAnsi="Arial"/>
          <w:sz w:val="20"/>
          <w:szCs w:val="20"/>
          <w:color w:val="auto"/>
        </w:rPr>
        <w:t>In the case of an Incentive Stock Option</w:t>
      </w:r>
    </w:p>
    <w:p>
      <w:pPr>
        <w:spacing w:after="0" w:line="215" w:lineRule="exact"/>
        <w:rPr>
          <w:rFonts w:ascii="Arial" w:cs="Arial" w:eastAsia="Arial" w:hAnsi="Arial"/>
          <w:sz w:val="20"/>
          <w:szCs w:val="20"/>
          <w:color w:val="auto"/>
        </w:rPr>
      </w:pPr>
    </w:p>
    <w:p>
      <w:pPr>
        <w:jc w:val="both"/>
        <w:ind w:left="160" w:right="159" w:firstLine="3232"/>
        <w:spacing w:after="0" w:line="246" w:lineRule="auto"/>
        <w:tabs>
          <w:tab w:leader="none" w:pos="4171" w:val="left"/>
        </w:tabs>
        <w:numPr>
          <w:ilvl w:val="4"/>
          <w:numId w:val="64"/>
        </w:numPr>
        <w:rPr>
          <w:rFonts w:ascii="Arial" w:cs="Arial" w:eastAsia="Arial" w:hAnsi="Arial"/>
          <w:sz w:val="20"/>
          <w:szCs w:val="20"/>
          <w:color w:val="auto"/>
        </w:rPr>
      </w:pPr>
      <w:r>
        <w:rPr>
          <w:rFonts w:ascii="Arial" w:cs="Arial" w:eastAsia="Arial" w:hAnsi="Arial"/>
          <w:sz w:val="20"/>
          <w:szCs w:val="20"/>
          <w:color w:val="auto"/>
        </w:rPr>
        <w:t>granted to an Employee who, at the time the Incentive Stock Option is granted, owns stock representing more than 10% of the total combined voting power of all classes of stock of the Company or any Parent or Subsidiary, the per Share exercise price shall be no less than 110% of the Fair Market Value per Share on the date of grant.</w:t>
      </w:r>
    </w:p>
    <w:p>
      <w:pPr>
        <w:spacing w:after="0" w:line="191" w:lineRule="exact"/>
        <w:rPr>
          <w:rFonts w:ascii="Arial" w:cs="Arial" w:eastAsia="Arial" w:hAnsi="Arial"/>
          <w:sz w:val="20"/>
          <w:szCs w:val="20"/>
          <w:color w:val="auto"/>
        </w:rPr>
      </w:pPr>
    </w:p>
    <w:p>
      <w:pPr>
        <w:jc w:val="both"/>
        <w:ind w:left="160" w:right="139" w:firstLine="3232"/>
        <w:spacing w:after="0" w:line="250" w:lineRule="auto"/>
        <w:tabs>
          <w:tab w:leader="none" w:pos="4106" w:val="left"/>
        </w:tabs>
        <w:numPr>
          <w:ilvl w:val="4"/>
          <w:numId w:val="64"/>
        </w:numPr>
        <w:rPr>
          <w:rFonts w:ascii="Arial" w:cs="Arial" w:eastAsia="Arial" w:hAnsi="Arial"/>
          <w:sz w:val="20"/>
          <w:szCs w:val="20"/>
          <w:color w:val="auto"/>
        </w:rPr>
      </w:pPr>
      <w:r>
        <w:rPr>
          <w:rFonts w:ascii="Arial" w:cs="Arial" w:eastAsia="Arial" w:hAnsi="Arial"/>
          <w:sz w:val="20"/>
          <w:szCs w:val="20"/>
          <w:color w:val="auto"/>
        </w:rPr>
        <w:t>granted to any Employee other than an Employee described in paragraph (A) immediately above, the per Share exercise price shall be no less than 100% of the Fair Market Value per Share on the date of grant.</w:t>
      </w:r>
    </w:p>
    <w:p>
      <w:pPr>
        <w:spacing w:after="0" w:line="186" w:lineRule="exact"/>
        <w:rPr>
          <w:rFonts w:ascii="Arial" w:cs="Arial" w:eastAsia="Arial" w:hAnsi="Arial"/>
          <w:sz w:val="20"/>
          <w:szCs w:val="20"/>
          <w:color w:val="auto"/>
        </w:rPr>
      </w:pPr>
    </w:p>
    <w:p>
      <w:pPr>
        <w:jc w:val="both"/>
        <w:ind w:left="160" w:right="159" w:firstLine="2584"/>
        <w:spacing w:after="0" w:line="250" w:lineRule="auto"/>
        <w:tabs>
          <w:tab w:leader="none" w:pos="3452" w:val="left"/>
        </w:tabs>
        <w:numPr>
          <w:ilvl w:val="3"/>
          <w:numId w:val="64"/>
        </w:numPr>
        <w:rPr>
          <w:rFonts w:ascii="Arial" w:cs="Arial" w:eastAsia="Arial" w:hAnsi="Arial"/>
          <w:sz w:val="20"/>
          <w:szCs w:val="20"/>
          <w:color w:val="auto"/>
        </w:rPr>
      </w:pPr>
      <w:r>
        <w:rPr>
          <w:rFonts w:ascii="Arial" w:cs="Arial" w:eastAsia="Arial" w:hAnsi="Arial"/>
          <w:sz w:val="20"/>
          <w:szCs w:val="20"/>
          <w:color w:val="auto"/>
        </w:rPr>
        <w:t>In the case of a Nonstatutory Stock Option, the per Share exercise price shall be determined by the Administrator, but shall not be less than Fair Market Value per Share on the date of grant.</w:t>
      </w:r>
    </w:p>
    <w:p>
      <w:pPr>
        <w:spacing w:after="0" w:line="186" w:lineRule="exact"/>
        <w:rPr>
          <w:rFonts w:ascii="Arial" w:cs="Arial" w:eastAsia="Arial" w:hAnsi="Arial"/>
          <w:sz w:val="20"/>
          <w:szCs w:val="20"/>
          <w:color w:val="auto"/>
        </w:rPr>
      </w:pPr>
    </w:p>
    <w:p>
      <w:pPr>
        <w:jc w:val="both"/>
        <w:ind w:left="160" w:right="139" w:firstLine="2584"/>
        <w:spacing w:after="0" w:line="269" w:lineRule="auto"/>
        <w:tabs>
          <w:tab w:leader="none" w:pos="3452" w:val="left"/>
        </w:tabs>
        <w:numPr>
          <w:ilvl w:val="3"/>
          <w:numId w:val="64"/>
        </w:numPr>
        <w:rPr>
          <w:rFonts w:ascii="Arial" w:cs="Arial" w:eastAsia="Arial" w:hAnsi="Arial"/>
          <w:sz w:val="19"/>
          <w:szCs w:val="19"/>
          <w:color w:val="auto"/>
        </w:rPr>
      </w:pPr>
      <w:r>
        <w:rPr>
          <w:rFonts w:ascii="Arial" w:cs="Arial" w:eastAsia="Arial" w:hAnsi="Arial"/>
          <w:sz w:val="19"/>
          <w:szCs w:val="19"/>
          <w:color w:val="auto"/>
        </w:rPr>
        <w:t>Notwithstanding the foregoing, Options may be granted with a per Share exercise price of less than 100% of the Fair Market Value per Share on the date of grant pursuant to a transaction described in, and in a manner consistent with, Section 424(a) of the Code.</w:t>
      </w:r>
    </w:p>
    <w:p>
      <w:pPr>
        <w:spacing w:after="0" w:line="170" w:lineRule="exact"/>
        <w:rPr>
          <w:rFonts w:ascii="Arial" w:cs="Arial" w:eastAsia="Arial" w:hAnsi="Arial"/>
          <w:sz w:val="19"/>
          <w:szCs w:val="19"/>
          <w:color w:val="auto"/>
        </w:rPr>
      </w:pPr>
    </w:p>
    <w:p>
      <w:pPr>
        <w:jc w:val="both"/>
        <w:ind w:left="160" w:right="139" w:firstLine="1935"/>
        <w:spacing w:after="0" w:line="246" w:lineRule="auto"/>
        <w:tabs>
          <w:tab w:leader="none" w:pos="2855" w:val="left"/>
        </w:tabs>
        <w:numPr>
          <w:ilvl w:val="2"/>
          <w:numId w:val="64"/>
        </w:numPr>
        <w:rPr>
          <w:rFonts w:ascii="Arial" w:cs="Arial" w:eastAsia="Arial" w:hAnsi="Arial"/>
          <w:sz w:val="20"/>
          <w:szCs w:val="20"/>
          <w:color w:val="auto"/>
        </w:rPr>
      </w:pPr>
      <w:r>
        <w:rPr>
          <w:rFonts w:ascii="Arial" w:cs="Arial" w:eastAsia="Arial" w:hAnsi="Arial"/>
          <w:sz w:val="20"/>
          <w:szCs w:val="20"/>
          <w:u w:val="single" w:color="auto"/>
          <w:color w:val="auto"/>
        </w:rPr>
        <w:t>Waiting Period and Exercise Dates</w:t>
      </w:r>
      <w:r>
        <w:rPr>
          <w:rFonts w:ascii="Arial" w:cs="Arial" w:eastAsia="Arial" w:hAnsi="Arial"/>
          <w:sz w:val="20"/>
          <w:szCs w:val="20"/>
          <w:color w:val="auto"/>
        </w:rPr>
        <w:t>. At the time an Option is granted, the Administrator shall fix the period within which the Option may be exercised and shall determine any conditions that must be satisfied before the Option may be exercised. The Administrator, in its sole discretion, may accelerate the satisfaction of such conditions at any time.</w:t>
      </w:r>
    </w:p>
    <w:p>
      <w:pPr>
        <w:spacing w:after="0" w:line="191" w:lineRule="exact"/>
        <w:rPr>
          <w:rFonts w:ascii="Arial" w:cs="Arial" w:eastAsia="Arial" w:hAnsi="Arial"/>
          <w:sz w:val="20"/>
          <w:szCs w:val="20"/>
          <w:color w:val="auto"/>
        </w:rPr>
      </w:pPr>
    </w:p>
    <w:p>
      <w:pPr>
        <w:jc w:val="both"/>
        <w:ind w:left="160" w:right="139" w:firstLine="1287"/>
        <w:spacing w:after="0" w:line="263" w:lineRule="auto"/>
        <w:tabs>
          <w:tab w:leader="none" w:pos="2144"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Form of Consideration</w:t>
      </w:r>
      <w:r>
        <w:rPr>
          <w:rFonts w:ascii="Arial" w:cs="Arial" w:eastAsia="Arial" w:hAnsi="Arial"/>
          <w:sz w:val="19"/>
          <w:szCs w:val="19"/>
          <w:color w:val="auto"/>
        </w:rPr>
        <w:t>.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to the extent permitted by Applicable Laws, may consist entirely of:</w:t>
      </w:r>
    </w:p>
    <w:p>
      <w:pPr>
        <w:spacing w:after="0" w:line="176" w:lineRule="exact"/>
        <w:rPr>
          <w:rFonts w:ascii="Arial" w:cs="Arial" w:eastAsia="Arial" w:hAnsi="Arial"/>
          <w:sz w:val="19"/>
          <w:szCs w:val="19"/>
          <w:color w:val="auto"/>
        </w:rPr>
      </w:pPr>
    </w:p>
    <w:p>
      <w:pPr>
        <w:ind w:left="2800" w:hanging="705"/>
        <w:spacing w:after="0"/>
        <w:tabs>
          <w:tab w:leader="none" w:pos="2800" w:val="left"/>
        </w:tabs>
        <w:numPr>
          <w:ilvl w:val="2"/>
          <w:numId w:val="64"/>
        </w:numPr>
        <w:rPr>
          <w:rFonts w:ascii="Arial" w:cs="Arial" w:eastAsia="Arial" w:hAnsi="Arial"/>
          <w:sz w:val="20"/>
          <w:szCs w:val="20"/>
          <w:color w:val="auto"/>
        </w:rPr>
      </w:pPr>
      <w:r>
        <w:rPr>
          <w:rFonts w:ascii="Arial" w:cs="Arial" w:eastAsia="Arial" w:hAnsi="Arial"/>
          <w:sz w:val="20"/>
          <w:szCs w:val="20"/>
          <w:color w:val="auto"/>
        </w:rPr>
        <w:t>cash;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2" w:name="page113"/>
    <w:bookmarkEnd w:id="112"/>
    <w:p>
      <w:pPr>
        <w:ind w:left="2840" w:hanging="745"/>
        <w:spacing w:after="0"/>
        <w:tabs>
          <w:tab w:leader="none" w:pos="2840" w:val="left"/>
        </w:tabs>
        <w:numPr>
          <w:ilvl w:val="1"/>
          <w:numId w:val="65"/>
        </w:numPr>
        <w:rPr>
          <w:rFonts w:ascii="Arial" w:cs="Arial" w:eastAsia="Arial" w:hAnsi="Arial"/>
          <w:sz w:val="20"/>
          <w:szCs w:val="20"/>
          <w:color w:val="auto"/>
        </w:rPr>
      </w:pPr>
      <w:r>
        <w:rPr>
          <w:rFonts w:ascii="Arial" w:cs="Arial" w:eastAsia="Arial" w:hAnsi="Arial"/>
          <w:sz w:val="20"/>
          <w:szCs w:val="20"/>
          <w:color w:val="auto"/>
        </w:rPr>
        <w:t>check;</w:t>
      </w:r>
    </w:p>
    <w:p>
      <w:pPr>
        <w:spacing w:after="0" w:line="216" w:lineRule="exact"/>
        <w:rPr>
          <w:rFonts w:ascii="Arial" w:cs="Arial" w:eastAsia="Arial" w:hAnsi="Arial"/>
          <w:sz w:val="20"/>
          <w:szCs w:val="20"/>
          <w:color w:val="auto"/>
        </w:rPr>
      </w:pPr>
    </w:p>
    <w:p>
      <w:pPr>
        <w:ind w:left="2840" w:hanging="745"/>
        <w:spacing w:after="0"/>
        <w:tabs>
          <w:tab w:leader="none" w:pos="28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other Shares which meet the conditions established by the Administrator to</w:t>
      </w:r>
    </w:p>
    <w:p>
      <w:pPr>
        <w:spacing w:after="0" w:line="38"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avoid adverse accounting consequences (as determined by the Administrator);</w:t>
      </w:r>
    </w:p>
    <w:p>
      <w:pPr>
        <w:spacing w:after="0" w:line="199" w:lineRule="exact"/>
        <w:rPr>
          <w:rFonts w:ascii="Arial" w:cs="Arial" w:eastAsia="Arial" w:hAnsi="Arial"/>
          <w:sz w:val="18"/>
          <w:szCs w:val="18"/>
          <w:color w:val="auto"/>
        </w:rPr>
      </w:pPr>
    </w:p>
    <w:p>
      <w:pPr>
        <w:ind w:left="160" w:right="159" w:firstLine="1935"/>
        <w:spacing w:after="0" w:line="260" w:lineRule="auto"/>
        <w:tabs>
          <w:tab w:leader="none" w:pos="2845" w:val="left"/>
        </w:tabs>
        <w:numPr>
          <w:ilvl w:val="1"/>
          <w:numId w:val="65"/>
        </w:numPr>
        <w:rPr>
          <w:rFonts w:ascii="Arial" w:cs="Arial" w:eastAsia="Arial" w:hAnsi="Arial"/>
          <w:sz w:val="20"/>
          <w:szCs w:val="20"/>
          <w:color w:val="auto"/>
        </w:rPr>
      </w:pPr>
      <w:r>
        <w:rPr>
          <w:rFonts w:ascii="Arial" w:cs="Arial" w:eastAsia="Arial" w:hAnsi="Arial"/>
          <w:sz w:val="20"/>
          <w:szCs w:val="20"/>
          <w:color w:val="auto"/>
        </w:rPr>
        <w:t>consideration received by the Company under a cashless exercise program implemented by the Company in connection with the Plan;</w:t>
      </w:r>
    </w:p>
    <w:p>
      <w:pPr>
        <w:spacing w:after="0" w:line="176" w:lineRule="exact"/>
        <w:rPr>
          <w:rFonts w:ascii="Arial" w:cs="Arial" w:eastAsia="Arial" w:hAnsi="Arial"/>
          <w:sz w:val="20"/>
          <w:szCs w:val="20"/>
          <w:color w:val="auto"/>
        </w:rPr>
      </w:pPr>
    </w:p>
    <w:p>
      <w:pPr>
        <w:jc w:val="both"/>
        <w:ind w:left="160" w:right="159" w:firstLine="1935"/>
        <w:spacing w:after="0" w:line="250" w:lineRule="auto"/>
        <w:tabs>
          <w:tab w:leader="none" w:pos="2857" w:val="left"/>
        </w:tabs>
        <w:numPr>
          <w:ilvl w:val="1"/>
          <w:numId w:val="65"/>
        </w:numPr>
        <w:rPr>
          <w:rFonts w:ascii="Arial" w:cs="Arial" w:eastAsia="Arial" w:hAnsi="Arial"/>
          <w:sz w:val="20"/>
          <w:szCs w:val="20"/>
          <w:color w:val="auto"/>
        </w:rPr>
      </w:pPr>
      <w:r>
        <w:rPr>
          <w:rFonts w:ascii="Arial" w:cs="Arial" w:eastAsia="Arial" w:hAnsi="Arial"/>
          <w:sz w:val="20"/>
          <w:szCs w:val="20"/>
          <w:color w:val="auto"/>
        </w:rPr>
        <w:t>a reduction in the amount of any Company liability to the Participant, including any liability attributable to the Participant's participation in any Company-sponsored deferred compensation program or arrangement;</w:t>
      </w:r>
    </w:p>
    <w:p>
      <w:pPr>
        <w:spacing w:after="0" w:line="186" w:lineRule="exact"/>
        <w:rPr>
          <w:rFonts w:ascii="Arial" w:cs="Arial" w:eastAsia="Arial" w:hAnsi="Arial"/>
          <w:sz w:val="20"/>
          <w:szCs w:val="20"/>
          <w:color w:val="auto"/>
        </w:rPr>
      </w:pPr>
    </w:p>
    <w:p>
      <w:pPr>
        <w:ind w:left="2820" w:hanging="725"/>
        <w:spacing w:after="0"/>
        <w:tabs>
          <w:tab w:leader="none" w:pos="28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combination of the foregoing methods of payment; or</w:t>
      </w:r>
    </w:p>
    <w:p>
      <w:pPr>
        <w:spacing w:after="0" w:line="215" w:lineRule="exact"/>
        <w:rPr>
          <w:rFonts w:ascii="Arial" w:cs="Arial" w:eastAsia="Arial" w:hAnsi="Arial"/>
          <w:sz w:val="20"/>
          <w:szCs w:val="20"/>
          <w:color w:val="auto"/>
        </w:rPr>
      </w:pPr>
    </w:p>
    <w:p>
      <w:pPr>
        <w:ind w:left="2860" w:hanging="765"/>
        <w:spacing w:after="0"/>
        <w:tabs>
          <w:tab w:leader="none" w:pos="2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other consideration and method of payment for the issuance of Shares</w:t>
      </w:r>
    </w:p>
    <w:p>
      <w:pPr>
        <w:spacing w:after="0" w:line="38"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permitted by Applicable Laws.</w:t>
      </w:r>
    </w:p>
    <w:p>
      <w:pPr>
        <w:spacing w:after="0" w:line="199" w:lineRule="exact"/>
        <w:rPr>
          <w:rFonts w:ascii="Arial" w:cs="Arial" w:eastAsia="Arial" w:hAnsi="Arial"/>
          <w:sz w:val="18"/>
          <w:szCs w:val="18"/>
          <w:color w:val="auto"/>
        </w:rPr>
      </w:pPr>
    </w:p>
    <w:p>
      <w:pPr>
        <w:ind w:left="2140" w:hanging="693"/>
        <w:spacing w:after="0"/>
        <w:tabs>
          <w:tab w:leader="none" w:pos="214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60" w:right="139" w:firstLine="1935"/>
        <w:spacing w:after="0" w:line="269" w:lineRule="auto"/>
        <w:tabs>
          <w:tab w:leader="none" w:pos="280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under this Plan shall be exercisable according to the terms of the Plan and at such times and under such conditions as determined by the Administrator and set forth in the Award Agreement. An Option shall be deemed exercised when the Company receives: (x) written or electronic notice of exercise (in accordance with the Award Agreement) from the person entitled to exercise the Option, and (y) full payment for the Shares with respect to which the Option is exercised (including provision for any applicable tax withholding). Full payment may consist of any consideration and method of payment authorized by the Administrator and permitted by the Award Agreement and the Plan. Shares issued upon exercise of an Option shall be issued in the name of the Participant or, if requested by the Participant, in the name of the Participant and his spouse. Until the Shares are issued (as evidenced by the appropriate entry on the books of the Company or of a duly authorized transfer agent of the Company), no right to vote or receive dividends or any other rights as a stockholder shall exist with respect to the Awarded Stock,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15 of the Plan or the applicable Award Agreement. Exercising an Option in any manner shall decrease the number of Shares thereafter available for sale under the Option, by the number of Shares as to which the Option is exercised.</w:t>
      </w:r>
    </w:p>
    <w:p>
      <w:pPr>
        <w:spacing w:after="0" w:line="175" w:lineRule="exact"/>
        <w:rPr>
          <w:rFonts w:ascii="Arial" w:cs="Arial" w:eastAsia="Arial" w:hAnsi="Arial"/>
          <w:sz w:val="18"/>
          <w:szCs w:val="18"/>
          <w:color w:val="auto"/>
        </w:rPr>
      </w:pPr>
    </w:p>
    <w:p>
      <w:pPr>
        <w:jc w:val="both"/>
        <w:ind w:left="160" w:right="139" w:firstLine="1935"/>
        <w:spacing w:after="0" w:line="255" w:lineRule="auto"/>
        <w:tabs>
          <w:tab w:leader="none" w:pos="2841"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 as a Service Provider</w:t>
      </w:r>
      <w:r>
        <w:rPr>
          <w:rFonts w:ascii="Arial" w:cs="Arial" w:eastAsia="Arial" w:hAnsi="Arial"/>
          <w:sz w:val="19"/>
          <w:szCs w:val="19"/>
          <w:color w:val="auto"/>
        </w:rPr>
        <w:t>. If a Participant ceases to be a Service Provider, other than upon the Participant's death or Disability, the Participant may exercise his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shall remain exercisable for 30 days following the Participant's termination after which the Option shall terminate. Unless otherwise provided by the Administrator, if on the date of termination the Participant is not vested as to his entire Option, the Shares covered by the unvested portion of the Option shall revert to the Plan. If the Participant does not exercise his Option as to all of the vested Shares within the time specified by the Award Agreement, the Option shall terminate, and the remaining Shares covered by the Option shall revert to the Plan.</w:t>
      </w:r>
    </w:p>
    <w:p>
      <w:pPr>
        <w:spacing w:after="0" w:line="187" w:lineRule="exact"/>
        <w:rPr>
          <w:rFonts w:ascii="Arial" w:cs="Arial" w:eastAsia="Arial" w:hAnsi="Arial"/>
          <w:sz w:val="19"/>
          <w:szCs w:val="19"/>
          <w:color w:val="auto"/>
        </w:rPr>
      </w:pPr>
    </w:p>
    <w:p>
      <w:pPr>
        <w:ind w:left="160" w:right="139" w:firstLine="1935"/>
        <w:spacing w:after="0" w:line="287" w:lineRule="auto"/>
        <w:tabs>
          <w:tab w:leader="none" w:pos="2856"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Disability of Participant</w:t>
      </w:r>
      <w:r>
        <w:rPr>
          <w:rFonts w:ascii="Arial" w:cs="Arial" w:eastAsia="Arial" w:hAnsi="Arial"/>
          <w:sz w:val="19"/>
          <w:szCs w:val="19"/>
          <w:color w:val="auto"/>
        </w:rPr>
        <w:t>. If a Participant ceases to be a Service Provider as a result of his Disability, the Participant may exercise his Option, to the extent vested, within the time</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3" w:name="page114"/>
    <w:bookmarkEnd w:id="113"/>
    <w:p>
      <w:pPr>
        <w:jc w:val="both"/>
        <w:ind w:left="2100" w:right="139"/>
        <w:spacing w:after="0" w:line="242" w:lineRule="auto"/>
        <w:rPr>
          <w:sz w:val="20"/>
          <w:szCs w:val="20"/>
          <w:color w:val="auto"/>
        </w:rPr>
      </w:pPr>
      <w:r>
        <w:rPr>
          <w:rFonts w:ascii="Arial" w:cs="Arial" w:eastAsia="Arial" w:hAnsi="Arial"/>
          <w:sz w:val="20"/>
          <w:szCs w:val="20"/>
          <w:color w:val="auto"/>
        </w:rPr>
        <w:t>specified in the Award Agreement (but in no event later than the expiration of the term of the Option as set forth in the Award Agreement). If no time for exercise of the Option on Disability is specified in the Award Agreement, the Option shall remain exercisable for 24 months following the Participant's termination for Disability. Unless otherwise provided by the Administrator, on the date of termination for Disability, the unvested portion of the Option shall revert to the Plan. If after termination for Disability, the Participant does not exercise his Option as to all of the vested Shares within the time specified by the Award Agreement, the Option shall terminate and the remaining Shares covered by such Option shall revert to the Plan.</w:t>
      </w:r>
    </w:p>
    <w:p>
      <w:pPr>
        <w:spacing w:after="0" w:line="194" w:lineRule="exact"/>
        <w:rPr>
          <w:sz w:val="20"/>
          <w:szCs w:val="20"/>
          <w:color w:val="auto"/>
        </w:rPr>
      </w:pPr>
    </w:p>
    <w:p>
      <w:pPr>
        <w:jc w:val="both"/>
        <w:ind w:left="160" w:right="139" w:firstLine="1935"/>
        <w:spacing w:after="0" w:line="270" w:lineRule="auto"/>
        <w:tabs>
          <w:tab w:leader="none" w:pos="2858"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If a Participant dies while a Service Provider, the Option, to the extent vested, may be exercised within the time specified in the Award Agreement (but in no event may the Option be exercised later than the expiration of the term of the Option as set forth in the Award Agreement), by the beneficiary designated by the Participant prior to his death; provided that such designation must be acceptable to the Administrator. If no beneficiary has been designated by the Participant, then the Option may be exercised by the personal representative of the Participant's estate, or by the persons to whom the Option is transferred pursuant to the Participant's will or in accordance with the laws of descent and distribution. If the Award Agreement does not specify a time within which the Option must be exercised following a Participant's death, it shall be exercisable for 24 months following his death. Unless otherwise provided by the Administrator, if at the time of death, the Participant is not vested as to his entire Option, the Shares covered by the unvested portion of the Option shall immediately revert to the Plan. If the Option is not exercised as to all of the vested Shares within the time specified by the Administrator, the Option shall terminate, and the remaining Shares covered by such Option shall revert to the Plan.</w:t>
      </w:r>
    </w:p>
    <w:p>
      <w:pPr>
        <w:spacing w:after="0" w:line="173" w:lineRule="exact"/>
        <w:rPr>
          <w:rFonts w:ascii="Arial" w:cs="Arial" w:eastAsia="Arial" w:hAnsi="Arial"/>
          <w:sz w:val="18"/>
          <w:szCs w:val="18"/>
          <w:color w:val="auto"/>
        </w:rPr>
      </w:pPr>
    </w:p>
    <w:p>
      <w:pPr>
        <w:ind w:left="1480" w:hanging="681"/>
        <w:spacing w:after="0"/>
        <w:tabs>
          <w:tab w:leader="none" w:pos="148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Restricted Stock</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60" w:right="159" w:firstLine="1287"/>
        <w:spacing w:after="0" w:line="250" w:lineRule="auto"/>
        <w:tabs>
          <w:tab w:leader="none" w:pos="2158"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w:t>
      </w:r>
      <w:r>
        <w:rPr>
          <w:rFonts w:ascii="Arial" w:cs="Arial" w:eastAsia="Arial" w:hAnsi="Arial"/>
          <w:sz w:val="20"/>
          <w:szCs w:val="20"/>
          <w:color w:val="auto"/>
        </w:rPr>
        <w:t>. Subject to the terms and provisions of the Plan, the Administrator, at any time and from time to time, may grant Shares of Restricted Stock to Service Providers in such amounts as the Administrator, in its sole discretion, shall determine.</w:t>
      </w:r>
    </w:p>
    <w:p>
      <w:pPr>
        <w:spacing w:after="0" w:line="186" w:lineRule="exact"/>
        <w:rPr>
          <w:rFonts w:ascii="Arial" w:cs="Arial" w:eastAsia="Arial" w:hAnsi="Arial"/>
          <w:sz w:val="20"/>
          <w:szCs w:val="20"/>
          <w:color w:val="auto"/>
        </w:rPr>
      </w:pPr>
    </w:p>
    <w:p>
      <w:pPr>
        <w:jc w:val="both"/>
        <w:ind w:left="160" w:right="139" w:firstLine="1287"/>
        <w:spacing w:after="0" w:line="244" w:lineRule="auto"/>
        <w:tabs>
          <w:tab w:leader="none" w:pos="2142"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Restricted Stock Agreement</w:t>
      </w:r>
      <w:r>
        <w:rPr>
          <w:rFonts w:ascii="Arial" w:cs="Arial" w:eastAsia="Arial" w:hAnsi="Arial"/>
          <w:sz w:val="20"/>
          <w:szCs w:val="20"/>
          <w:color w:val="auto"/>
        </w:rPr>
        <w:t>. Each Award of Restricted Stock shall be evidenced by an Award Agreement that shall specify the Period of Restriction, the number of Shares granted, and such other terms and conditions as the Administrator, in its sole discretion, shall determine. Unless the Administrator determines otherwise, Shares of Restricted Stock shall be held by the Company as escrow agent until the restrictions on the Shares have lapsed.</w:t>
      </w:r>
    </w:p>
    <w:p>
      <w:pPr>
        <w:spacing w:after="0" w:line="194" w:lineRule="exact"/>
        <w:rPr>
          <w:rFonts w:ascii="Arial" w:cs="Arial" w:eastAsia="Arial" w:hAnsi="Arial"/>
          <w:sz w:val="20"/>
          <w:szCs w:val="20"/>
          <w:color w:val="auto"/>
        </w:rPr>
      </w:pPr>
    </w:p>
    <w:p>
      <w:pPr>
        <w:jc w:val="both"/>
        <w:ind w:left="160" w:right="139" w:firstLine="1287"/>
        <w:spacing w:after="0" w:line="246" w:lineRule="auto"/>
        <w:tabs>
          <w:tab w:leader="none" w:pos="2131"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Removal of Restrictions</w:t>
      </w:r>
      <w:r>
        <w:rPr>
          <w:rFonts w:ascii="Arial" w:cs="Arial" w:eastAsia="Arial" w:hAnsi="Arial"/>
          <w:sz w:val="20"/>
          <w:szCs w:val="20"/>
          <w:color w:val="auto"/>
        </w:rPr>
        <w:t>. Except as otherwise provided in this Section 8, Shares of Restricted Stock covered by each Award made under the Plan shall be released from escrow as soon as practical after the last day of the Period of Restriction. The Administrator, in its sole discretion, may accelerate the time at which any restrictions shall lapse or be removed.</w:t>
      </w:r>
    </w:p>
    <w:p>
      <w:pPr>
        <w:spacing w:after="0" w:line="191" w:lineRule="exact"/>
        <w:rPr>
          <w:rFonts w:ascii="Arial" w:cs="Arial" w:eastAsia="Arial" w:hAnsi="Arial"/>
          <w:sz w:val="20"/>
          <w:szCs w:val="20"/>
          <w:color w:val="auto"/>
        </w:rPr>
      </w:pPr>
    </w:p>
    <w:p>
      <w:pPr>
        <w:jc w:val="both"/>
        <w:ind w:left="160" w:right="139" w:firstLine="1287"/>
        <w:spacing w:after="0" w:line="250" w:lineRule="auto"/>
        <w:tabs>
          <w:tab w:leader="none" w:pos="2155"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Voting Rights</w:t>
      </w:r>
      <w:r>
        <w:rPr>
          <w:rFonts w:ascii="Arial" w:cs="Arial" w:eastAsia="Arial" w:hAnsi="Arial"/>
          <w:sz w:val="20"/>
          <w:szCs w:val="20"/>
          <w:color w:val="auto"/>
        </w:rPr>
        <w:t>. During the Period of Restriction, Service Providers holding Shares of Restricted Stock may exercise full voting rights with respect to those Shares, unless the Administrator determines otherwise.</w:t>
      </w:r>
    </w:p>
    <w:p>
      <w:pPr>
        <w:spacing w:after="0" w:line="186" w:lineRule="exact"/>
        <w:rPr>
          <w:rFonts w:ascii="Arial" w:cs="Arial" w:eastAsia="Arial" w:hAnsi="Arial"/>
          <w:sz w:val="20"/>
          <w:szCs w:val="20"/>
          <w:color w:val="auto"/>
        </w:rPr>
      </w:pPr>
    </w:p>
    <w:p>
      <w:pPr>
        <w:jc w:val="both"/>
        <w:ind w:left="160" w:right="139" w:firstLine="1287"/>
        <w:spacing w:after="0" w:line="260" w:lineRule="auto"/>
        <w:tabs>
          <w:tab w:leader="none" w:pos="2185"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Dividends and Other Distributions</w:t>
      </w:r>
      <w:r>
        <w:rPr>
          <w:rFonts w:ascii="Arial" w:cs="Arial" w:eastAsia="Arial" w:hAnsi="Arial"/>
          <w:sz w:val="19"/>
          <w:szCs w:val="19"/>
          <w:color w:val="auto"/>
        </w:rPr>
        <w:t>. During the Period of Restriction, Service Providers holding Shares of Restricted Stock shall be entitled to receive all dividends and other distributions paid with respect to such Shares unless otherwise provided in the Award Agreement. If any dividends or distributions are paid in Shares, the Shares shall be subject to the same restrictions on transferability and forfeitability as the Shares of Restricted Stock with respect to which they were paid.</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4" w:name="page115"/>
    <w:bookmarkEnd w:id="114"/>
    <w:p>
      <w:pPr>
        <w:jc w:val="both"/>
        <w:ind w:left="160" w:right="159" w:firstLine="1287"/>
        <w:spacing w:after="0" w:line="250" w:lineRule="auto"/>
        <w:tabs>
          <w:tab w:leader="none" w:pos="2203"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Return of Restricted Stock to Company</w:t>
      </w:r>
      <w:r>
        <w:rPr>
          <w:rFonts w:ascii="Arial" w:cs="Arial" w:eastAsia="Arial" w:hAnsi="Arial"/>
          <w:sz w:val="20"/>
          <w:szCs w:val="20"/>
          <w:color w:val="auto"/>
        </w:rPr>
        <w:t>. On the date set forth in the Award Agreement, the Restricted Stock for which restrictions have not lapsed shall revert to the Company and again shall become available for grant under the Plan.</w:t>
      </w:r>
    </w:p>
    <w:p>
      <w:pPr>
        <w:spacing w:after="0" w:line="187" w:lineRule="exact"/>
        <w:rPr>
          <w:rFonts w:ascii="Arial" w:cs="Arial" w:eastAsia="Arial" w:hAnsi="Arial"/>
          <w:sz w:val="20"/>
          <w:szCs w:val="20"/>
          <w:color w:val="auto"/>
        </w:rPr>
      </w:pPr>
    </w:p>
    <w:p>
      <w:pPr>
        <w:ind w:left="1480" w:hanging="681"/>
        <w:spacing w:after="0"/>
        <w:tabs>
          <w:tab w:leader="none" w:pos="148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Stock Appreciation Rights</w:t>
      </w:r>
    </w:p>
    <w:p>
      <w:pPr>
        <w:spacing w:after="0" w:line="215" w:lineRule="exact"/>
        <w:rPr>
          <w:rFonts w:ascii="Arial" w:cs="Arial" w:eastAsia="Arial" w:hAnsi="Arial"/>
          <w:sz w:val="20"/>
          <w:szCs w:val="20"/>
          <w:color w:val="auto"/>
        </w:rPr>
      </w:pPr>
    </w:p>
    <w:p>
      <w:pPr>
        <w:jc w:val="both"/>
        <w:ind w:left="160" w:right="139" w:firstLine="1287"/>
        <w:spacing w:after="0" w:line="243" w:lineRule="auto"/>
        <w:tabs>
          <w:tab w:leader="none" w:pos="2158"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Grant of SARs</w:t>
      </w:r>
      <w:r>
        <w:rPr>
          <w:rFonts w:ascii="Arial" w:cs="Arial" w:eastAsia="Arial" w:hAnsi="Arial"/>
          <w:sz w:val="20"/>
          <w:szCs w:val="20"/>
          <w:color w:val="auto"/>
        </w:rPr>
        <w:t>. Subject to the terms and conditions of the Plan, a SAR may be granted to Service Providers at any time and from time to time as shall be determined by the Administrator, in its sole discretion. The Administrator shall have complete discretion to determine the number of SARs granted to any Service Provider. The Administrator, subject to the provisions of the Plan, shall have complete discretion to determine the terms and conditions of SARs granted under the Plan, including the sole discretion to accelerate exercisability at any time.</w:t>
      </w:r>
    </w:p>
    <w:p>
      <w:pPr>
        <w:spacing w:after="0" w:line="196" w:lineRule="exact"/>
        <w:rPr>
          <w:rFonts w:ascii="Arial" w:cs="Arial" w:eastAsia="Arial" w:hAnsi="Arial"/>
          <w:sz w:val="20"/>
          <w:szCs w:val="20"/>
          <w:color w:val="auto"/>
        </w:rPr>
      </w:pPr>
    </w:p>
    <w:p>
      <w:pPr>
        <w:jc w:val="both"/>
        <w:ind w:left="160" w:right="159" w:firstLine="1287"/>
        <w:spacing w:after="0" w:line="250" w:lineRule="auto"/>
        <w:tabs>
          <w:tab w:leader="none" w:pos="2142"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SAR Agreement</w:t>
      </w:r>
      <w:r>
        <w:rPr>
          <w:rFonts w:ascii="Arial" w:cs="Arial" w:eastAsia="Arial" w:hAnsi="Arial"/>
          <w:sz w:val="20"/>
          <w:szCs w:val="20"/>
          <w:color w:val="auto"/>
        </w:rPr>
        <w:t>. Each SAR grant shall be evidenced by an Award Agreement that shall specify the exercise price, the term, the conditions of exercise, and such other terms and conditions as the Administrator, in its sole discretion, shall determine.</w:t>
      </w:r>
    </w:p>
    <w:p>
      <w:pPr>
        <w:spacing w:after="0" w:line="186" w:lineRule="exact"/>
        <w:rPr>
          <w:rFonts w:ascii="Arial" w:cs="Arial" w:eastAsia="Arial" w:hAnsi="Arial"/>
          <w:sz w:val="20"/>
          <w:szCs w:val="20"/>
          <w:color w:val="auto"/>
        </w:rPr>
      </w:pPr>
    </w:p>
    <w:p>
      <w:pPr>
        <w:jc w:val="both"/>
        <w:ind w:left="160" w:right="139" w:firstLine="1287"/>
        <w:spacing w:after="0" w:line="291" w:lineRule="auto"/>
        <w:tabs>
          <w:tab w:leader="none" w:pos="2158"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Expiration of SARs</w:t>
      </w:r>
      <w:r>
        <w:rPr>
          <w:rFonts w:ascii="Arial" w:cs="Arial" w:eastAsia="Arial" w:hAnsi="Arial"/>
          <w:sz w:val="18"/>
          <w:szCs w:val="18"/>
          <w:color w:val="auto"/>
        </w:rPr>
        <w:t>. A SAR granted under the Plan shall expire upon the date determined by the Administrator, in its sole discretion, as set forth in the Award Agreement. Notwithstanding the foregoing, the rules of Sections 7(d)(ii), 7(d)(iii) and 7(d)(iv) shall also apply to SARs.</w:t>
      </w:r>
    </w:p>
    <w:p>
      <w:pPr>
        <w:spacing w:after="0" w:line="151" w:lineRule="exact"/>
        <w:rPr>
          <w:rFonts w:ascii="Arial" w:cs="Arial" w:eastAsia="Arial" w:hAnsi="Arial"/>
          <w:sz w:val="18"/>
          <w:szCs w:val="18"/>
          <w:color w:val="auto"/>
        </w:rPr>
      </w:pPr>
    </w:p>
    <w:p>
      <w:pPr>
        <w:ind w:left="160" w:right="139" w:firstLine="1287"/>
        <w:spacing w:after="0" w:line="260" w:lineRule="auto"/>
        <w:tabs>
          <w:tab w:leader="none" w:pos="2142"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Payment of SAR Amount</w:t>
      </w:r>
      <w:r>
        <w:rPr>
          <w:rFonts w:ascii="Arial" w:cs="Arial" w:eastAsia="Arial" w:hAnsi="Arial"/>
          <w:sz w:val="20"/>
          <w:szCs w:val="20"/>
          <w:color w:val="auto"/>
        </w:rPr>
        <w:t>. Upon exercise of a SAR, a Participant shall be entitled to receive payment from the Company in an amount determined by multiplying:</w:t>
      </w:r>
    </w:p>
    <w:p>
      <w:pPr>
        <w:spacing w:after="0" w:line="176" w:lineRule="exact"/>
        <w:rPr>
          <w:rFonts w:ascii="Arial" w:cs="Arial" w:eastAsia="Arial" w:hAnsi="Arial"/>
          <w:sz w:val="20"/>
          <w:szCs w:val="20"/>
          <w:color w:val="auto"/>
        </w:rPr>
      </w:pPr>
    </w:p>
    <w:p>
      <w:pPr>
        <w:ind w:left="160" w:right="159" w:firstLine="1935"/>
        <w:spacing w:after="0" w:line="260" w:lineRule="auto"/>
        <w:tabs>
          <w:tab w:leader="none" w:pos="2827" w:val="left"/>
        </w:tabs>
        <w:numPr>
          <w:ilvl w:val="2"/>
          <w:numId w:val="70"/>
        </w:numPr>
        <w:rPr>
          <w:rFonts w:ascii="Arial" w:cs="Arial" w:eastAsia="Arial" w:hAnsi="Arial"/>
          <w:sz w:val="20"/>
          <w:szCs w:val="20"/>
          <w:color w:val="auto"/>
        </w:rPr>
      </w:pPr>
      <w:r>
        <w:rPr>
          <w:rFonts w:ascii="Arial" w:cs="Arial" w:eastAsia="Arial" w:hAnsi="Arial"/>
          <w:sz w:val="20"/>
          <w:szCs w:val="20"/>
          <w:color w:val="auto"/>
        </w:rPr>
        <w:t>The difference between the Fair Market Value of a Share on the date of exercise over the exercise price; times</w:t>
      </w:r>
    </w:p>
    <w:p>
      <w:pPr>
        <w:spacing w:after="0" w:line="176" w:lineRule="exact"/>
        <w:rPr>
          <w:rFonts w:ascii="Arial" w:cs="Arial" w:eastAsia="Arial" w:hAnsi="Arial"/>
          <w:sz w:val="20"/>
          <w:szCs w:val="20"/>
          <w:color w:val="auto"/>
        </w:rPr>
      </w:pPr>
    </w:p>
    <w:p>
      <w:pPr>
        <w:ind w:left="2840" w:hanging="745"/>
        <w:spacing w:after="0"/>
        <w:tabs>
          <w:tab w:leader="none" w:pos="2840" w:val="left"/>
        </w:tabs>
        <w:numPr>
          <w:ilvl w:val="2"/>
          <w:numId w:val="70"/>
        </w:numPr>
        <w:rPr>
          <w:rFonts w:ascii="Arial" w:cs="Arial" w:eastAsia="Arial" w:hAnsi="Arial"/>
          <w:sz w:val="20"/>
          <w:szCs w:val="20"/>
          <w:color w:val="auto"/>
        </w:rPr>
      </w:pPr>
      <w:r>
        <w:rPr>
          <w:rFonts w:ascii="Arial" w:cs="Arial" w:eastAsia="Arial" w:hAnsi="Arial"/>
          <w:sz w:val="20"/>
          <w:szCs w:val="20"/>
          <w:color w:val="auto"/>
        </w:rPr>
        <w:t>The number of Shares with respect to which the SAR is exercised.</w:t>
      </w:r>
    </w:p>
    <w:p>
      <w:pPr>
        <w:spacing w:after="0" w:line="215" w:lineRule="exact"/>
        <w:rPr>
          <w:rFonts w:ascii="Arial" w:cs="Arial" w:eastAsia="Arial" w:hAnsi="Arial"/>
          <w:sz w:val="20"/>
          <w:szCs w:val="20"/>
          <w:color w:val="auto"/>
        </w:rPr>
      </w:pPr>
    </w:p>
    <w:p>
      <w:pPr>
        <w:ind w:left="2860" w:hanging="765"/>
        <w:spacing w:after="0"/>
        <w:tabs>
          <w:tab w:leader="none" w:pos="286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At the sole discretion of the Administrator, the payment upon the exercise</w:t>
      </w:r>
    </w:p>
    <w:p>
      <w:pPr>
        <w:spacing w:after="0" w:line="38"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of a SAR may be in cash, in Shares of equivalent value, or in some combination thereof.</w:t>
      </w:r>
    </w:p>
    <w:p>
      <w:pPr>
        <w:spacing w:after="0" w:line="199" w:lineRule="exact"/>
        <w:rPr>
          <w:rFonts w:ascii="Arial" w:cs="Arial" w:eastAsia="Arial" w:hAnsi="Arial"/>
          <w:sz w:val="18"/>
          <w:szCs w:val="18"/>
          <w:color w:val="auto"/>
        </w:rPr>
      </w:pPr>
    </w:p>
    <w:p>
      <w:pPr>
        <w:ind w:left="1480" w:hanging="681"/>
        <w:spacing w:after="0"/>
        <w:tabs>
          <w:tab w:leader="none" w:pos="148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Performance Units and Performance Shares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60" w:right="139" w:firstLine="1287"/>
        <w:spacing w:after="0" w:line="244" w:lineRule="auto"/>
        <w:tabs>
          <w:tab w:leader="none" w:pos="2158"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Grant of Performance Units and Performance Shares</w:t>
      </w:r>
      <w:r>
        <w:rPr>
          <w:rFonts w:ascii="Arial" w:cs="Arial" w:eastAsia="Arial" w:hAnsi="Arial"/>
          <w:sz w:val="20"/>
          <w:szCs w:val="20"/>
          <w:color w:val="auto"/>
        </w:rPr>
        <w:t>. Subject to the terms and conditions of the Plan, Performance Units and Performance Shares may be granted to Service Providers at any time and from time to time, as shall be determined by the Administrator in its sole discretion. The Administrator shall have complete discretion in determining the number of Performance Units and Performance Shares granted to each Service Provider.</w:t>
      </w:r>
    </w:p>
    <w:p>
      <w:pPr>
        <w:spacing w:after="0" w:line="194" w:lineRule="exact"/>
        <w:rPr>
          <w:rFonts w:ascii="Arial" w:cs="Arial" w:eastAsia="Arial" w:hAnsi="Arial"/>
          <w:sz w:val="20"/>
          <w:szCs w:val="20"/>
          <w:color w:val="auto"/>
        </w:rPr>
      </w:pPr>
    </w:p>
    <w:p>
      <w:pPr>
        <w:jc w:val="both"/>
        <w:ind w:left="160" w:right="139" w:firstLine="1287"/>
        <w:spacing w:after="0" w:line="291" w:lineRule="auto"/>
        <w:tabs>
          <w:tab w:leader="none" w:pos="2142"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Value of Performance Units and Performance Shares</w:t>
      </w:r>
      <w:r>
        <w:rPr>
          <w:rFonts w:ascii="Arial" w:cs="Arial" w:eastAsia="Arial" w:hAnsi="Arial"/>
          <w:sz w:val="18"/>
          <w:szCs w:val="18"/>
          <w:color w:val="auto"/>
        </w:rPr>
        <w:t>. Each Performance Unit shall have an initial value established by the Administrator on or before the date of grant. Each Performance Share shall have an initial value equal to the Fair Market Value of a Share on the date of grant.</w:t>
      </w:r>
    </w:p>
    <w:p>
      <w:pPr>
        <w:spacing w:after="0" w:line="151" w:lineRule="exact"/>
        <w:rPr>
          <w:rFonts w:ascii="Arial" w:cs="Arial" w:eastAsia="Arial" w:hAnsi="Arial"/>
          <w:sz w:val="18"/>
          <w:szCs w:val="18"/>
          <w:color w:val="auto"/>
        </w:rPr>
      </w:pPr>
    </w:p>
    <w:p>
      <w:pPr>
        <w:jc w:val="both"/>
        <w:ind w:left="160" w:right="139" w:firstLine="1287"/>
        <w:spacing w:after="0" w:line="232" w:lineRule="exact"/>
        <w:tabs>
          <w:tab w:leader="none" w:pos="2131"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Administrator shall set Performance Goals or other performance objectives in its sole discretion which, depending on the extent to which they are met, shall determine the number or value of Performance Units and Performance Shares that shall be paid out to the Participant. Each award of Performance Units or Performance Shares shall be evidenced by an Award Agreement that shall specify the Performance Period and such other terms and conditions as the Administrator in its sole discretion shall determine. The Administrator may set Performance Goals or performance objectives based upon the achievement of Company</w:t>
      </w:r>
      <w:r>
        <w:rPr>
          <w:rFonts w:ascii="MS PGothic" w:cs="MS PGothic" w:eastAsia="MS PGothic" w:hAnsi="MS PGothic"/>
          <w:sz w:val="18"/>
          <w:szCs w:val="18"/>
          <w:color w:val="auto"/>
        </w:rPr>
        <w:t>‑</w:t>
      </w:r>
      <w:r>
        <w:rPr>
          <w:rFonts w:ascii="Arial" w:cs="Arial" w:eastAsia="Arial" w:hAnsi="Arial"/>
          <w:sz w:val="18"/>
          <w:szCs w:val="18"/>
          <w:color w:val="auto"/>
        </w:rPr>
        <w:t>wide, divisional,</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5" w:name="page116"/>
    <w:bookmarkEnd w:id="115"/>
    <w:p>
      <w:pPr>
        <w:ind w:left="1440" w:right="159"/>
        <w:spacing w:after="0" w:line="288" w:lineRule="auto"/>
        <w:rPr>
          <w:sz w:val="20"/>
          <w:szCs w:val="20"/>
          <w:color w:val="auto"/>
        </w:rPr>
      </w:pPr>
      <w:r>
        <w:rPr>
          <w:rFonts w:ascii="Arial" w:cs="Arial" w:eastAsia="Arial" w:hAnsi="Arial"/>
          <w:sz w:val="19"/>
          <w:szCs w:val="19"/>
          <w:color w:val="auto"/>
        </w:rPr>
        <w:t>or individual goals (including solely continued service), applicable federal or state securities laws, or any other basis determined by the Administrator in its sole discretion.</w:t>
      </w:r>
    </w:p>
    <w:p>
      <w:pPr>
        <w:spacing w:after="0" w:line="152" w:lineRule="exact"/>
        <w:rPr>
          <w:sz w:val="20"/>
          <w:szCs w:val="20"/>
          <w:color w:val="auto"/>
        </w:rPr>
      </w:pPr>
    </w:p>
    <w:p>
      <w:pPr>
        <w:jc w:val="both"/>
        <w:ind w:left="160" w:right="139" w:firstLine="1287"/>
        <w:spacing w:after="0" w:line="258" w:lineRule="auto"/>
        <w:tabs>
          <w:tab w:leader="none" w:pos="2196"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Earning of Performance Units and Performance Shares</w:t>
      </w:r>
      <w:r>
        <w:rPr>
          <w:rFonts w:ascii="Arial" w:cs="Arial" w:eastAsia="Arial" w:hAnsi="Arial"/>
          <w:sz w:val="19"/>
          <w:szCs w:val="19"/>
          <w:color w:val="auto"/>
        </w:rPr>
        <w:t>. After the applicable Performance Period has ended, the holder of Performance Units or Performance Shares shall be entitled to receive a payout of the number of Performance Units or Performance Shares earned by the Participant over the Performance Period, to be determined as a function of the extent to which the corresponding Performance Goals or performance objectives have been achieved. After the grant of Performance Units or Performance Shares, the Administrator, in its sole discretion, may reduce or waive any performance objectives for the Performance Unit or Performance Share.</w:t>
      </w:r>
    </w:p>
    <w:p>
      <w:pPr>
        <w:spacing w:after="0" w:line="179" w:lineRule="exact"/>
        <w:rPr>
          <w:rFonts w:ascii="Arial" w:cs="Arial" w:eastAsia="Arial" w:hAnsi="Arial"/>
          <w:sz w:val="19"/>
          <w:szCs w:val="19"/>
          <w:color w:val="auto"/>
        </w:rPr>
      </w:pPr>
    </w:p>
    <w:p>
      <w:pPr>
        <w:jc w:val="both"/>
        <w:ind w:left="160" w:right="139" w:firstLine="1287"/>
        <w:spacing w:after="0" w:line="243" w:lineRule="auto"/>
        <w:tabs>
          <w:tab w:leader="none" w:pos="2252"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Form and Timing of Payment of Performance Units and Performance Shares</w:t>
      </w:r>
      <w:r>
        <w:rPr>
          <w:rFonts w:ascii="Arial" w:cs="Arial" w:eastAsia="Arial" w:hAnsi="Arial"/>
          <w:sz w:val="20"/>
          <w:szCs w:val="20"/>
          <w:color w:val="auto"/>
        </w:rPr>
        <w:t>. Payment of earned Performance Units and Performance Shares shall be made after the expiration of the applicable Performance Period at the time determined by the Administrator. The Administrator, in its sole discretion, may pay earned Performance Units and Performance Shares in the form of cash, in Shares (which have an aggregate Fair Market Value equal to the value of the earned Performance Units or Performance Shares, as applicable, at the close of the applicable Performance Period) or in a combination of cash and Shares.</w:t>
      </w:r>
    </w:p>
    <w:p>
      <w:pPr>
        <w:spacing w:after="0" w:line="193" w:lineRule="exact"/>
        <w:rPr>
          <w:rFonts w:ascii="Arial" w:cs="Arial" w:eastAsia="Arial" w:hAnsi="Arial"/>
          <w:sz w:val="20"/>
          <w:szCs w:val="20"/>
          <w:color w:val="auto"/>
        </w:rPr>
      </w:pPr>
    </w:p>
    <w:p>
      <w:pPr>
        <w:jc w:val="both"/>
        <w:ind w:left="160" w:right="139" w:firstLine="1287"/>
        <w:spacing w:after="0" w:line="250" w:lineRule="auto"/>
        <w:tabs>
          <w:tab w:leader="none" w:pos="2163"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Cancellation of Performance Units or Performance Shares</w:t>
      </w:r>
      <w:r>
        <w:rPr>
          <w:rFonts w:ascii="Arial" w:cs="Arial" w:eastAsia="Arial" w:hAnsi="Arial"/>
          <w:sz w:val="20"/>
          <w:szCs w:val="20"/>
          <w:color w:val="auto"/>
        </w:rPr>
        <w:t>. On the date set forth in the Award Agreement, all unearned or unvested Performance Units and Performance Shares shall be forfeited to the Company, and again shall be available for grant under the Plan.</w:t>
      </w:r>
    </w:p>
    <w:p>
      <w:pPr>
        <w:spacing w:after="0" w:line="186" w:lineRule="exact"/>
        <w:rPr>
          <w:rFonts w:ascii="Arial" w:cs="Arial" w:eastAsia="Arial" w:hAnsi="Arial"/>
          <w:sz w:val="20"/>
          <w:szCs w:val="20"/>
          <w:color w:val="auto"/>
        </w:rPr>
      </w:pPr>
    </w:p>
    <w:p>
      <w:pPr>
        <w:jc w:val="both"/>
        <w:ind w:left="160" w:right="139" w:firstLine="639"/>
        <w:spacing w:after="0" w:line="246" w:lineRule="auto"/>
        <w:tabs>
          <w:tab w:leader="none" w:pos="1557"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Restricted Stock Units</w:t>
      </w:r>
      <w:r>
        <w:rPr>
          <w:rFonts w:ascii="Arial" w:cs="Arial" w:eastAsia="Arial" w:hAnsi="Arial"/>
          <w:sz w:val="20"/>
          <w:szCs w:val="20"/>
          <w:color w:val="auto"/>
        </w:rPr>
        <w:t>. Restricted Stock Units shall consist of a Restricted Stock, Performance Share or Performance Unit Award that the Administrator, in its sole discretion permits to be paid out in a lump sum, installments or on a deferred basis, in accordance with rules and procedures established by the Administrator</w:t>
      </w:r>
    </w:p>
    <w:p>
      <w:pPr>
        <w:spacing w:after="0" w:line="191" w:lineRule="exact"/>
        <w:rPr>
          <w:rFonts w:ascii="Arial" w:cs="Arial" w:eastAsia="Arial" w:hAnsi="Arial"/>
          <w:sz w:val="20"/>
          <w:szCs w:val="20"/>
          <w:color w:val="auto"/>
        </w:rPr>
      </w:pPr>
    </w:p>
    <w:p>
      <w:pPr>
        <w:jc w:val="both"/>
        <w:ind w:left="160" w:right="139" w:firstLine="639"/>
        <w:spacing w:after="0" w:line="243" w:lineRule="auto"/>
        <w:tabs>
          <w:tab w:leader="none" w:pos="1524"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Other Stock Based Awards</w:t>
      </w:r>
      <w:r>
        <w:rPr>
          <w:rFonts w:ascii="Arial" w:cs="Arial" w:eastAsia="Arial" w:hAnsi="Arial"/>
          <w:sz w:val="20"/>
          <w:szCs w:val="20"/>
          <w:color w:val="auto"/>
        </w:rPr>
        <w:t>. Other Stock Based Awards may be granted either alone, in addition to, or in tandem with, other Awards granted under the Plan and/or cash awards made outside of the Plan. The Administrator shall have authority to determine the Service Providers to whom and the time or times at which Other Stock Based Awards shall be made, the amount of such Other Stock Based Awards, and all other conditions of the Other Stock Based Awards, including any dividend or voting rights and whether the Award should be paid in cash.</w:t>
      </w:r>
    </w:p>
    <w:p>
      <w:pPr>
        <w:spacing w:after="0" w:line="196" w:lineRule="exact"/>
        <w:rPr>
          <w:rFonts w:ascii="Arial" w:cs="Arial" w:eastAsia="Arial" w:hAnsi="Arial"/>
          <w:sz w:val="20"/>
          <w:szCs w:val="20"/>
          <w:color w:val="auto"/>
        </w:rPr>
      </w:pPr>
    </w:p>
    <w:p>
      <w:pPr>
        <w:jc w:val="both"/>
        <w:ind w:left="160" w:right="139" w:firstLine="639"/>
        <w:spacing w:after="0" w:line="255" w:lineRule="auto"/>
        <w:tabs>
          <w:tab w:leader="none" w:pos="1497"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Leaves of Absence</w:t>
      </w:r>
      <w:r>
        <w:rPr>
          <w:rFonts w:ascii="Arial" w:cs="Arial" w:eastAsia="Arial" w:hAnsi="Arial"/>
          <w:sz w:val="19"/>
          <w:szCs w:val="19"/>
          <w:color w:val="auto"/>
        </w:rPr>
        <w:t>. Unless the Administrator provides otherwise, vesting of Awards granted under this Plan shall be suspended during any unpaid leave of absence and shall resume on the date the Participant returns to work on a regular schedule as determined by the Company; provided, however, that no vesting credit shall be awarded for the time vesting has been suspended during such leave of absence. A Service Provider shall not cease to be an Employee in the case of (i) any leave of absence approved by the Company or (ii) transfers between locations of the Company or between the Company, its Parent, or any Subsidiary. For purposes of Incentive Stock Options, no leave of absence may exceed 90 days, unless reemployment upon expiration of such leave is guaranteed by statute or contract. If reemployment upon expiration of a leave of absence approved by the Company is not guaranteed by statute or contract, then at the end of three months following the expiration of the leave of absence, any Incentive Stock Option held by the Participant shall cease to be treated as an Incentive Stock Option and shall be treated for tax purposes as a Nonstatutory Stock Option.</w:t>
      </w:r>
    </w:p>
    <w:p>
      <w:pPr>
        <w:spacing w:after="0" w:line="185" w:lineRule="exact"/>
        <w:rPr>
          <w:rFonts w:ascii="Arial" w:cs="Arial" w:eastAsia="Arial" w:hAnsi="Arial"/>
          <w:sz w:val="19"/>
          <w:szCs w:val="19"/>
          <w:color w:val="auto"/>
        </w:rPr>
      </w:pPr>
    </w:p>
    <w:p>
      <w:pPr>
        <w:jc w:val="both"/>
        <w:ind w:left="160" w:right="139" w:firstLine="639"/>
        <w:spacing w:after="0" w:line="291" w:lineRule="auto"/>
        <w:tabs>
          <w:tab w:leader="none" w:pos="153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shall or by the laws of descent or distribution and may be exercised, during the lifetime of the</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6" w:name="page117"/>
    <w:bookmarkEnd w:id="116"/>
    <w:p>
      <w:pPr>
        <w:ind w:left="800" w:right="159"/>
        <w:spacing w:after="0" w:line="317" w:lineRule="auto"/>
        <w:rPr>
          <w:sz w:val="20"/>
          <w:szCs w:val="20"/>
          <w:color w:val="auto"/>
        </w:rPr>
      </w:pPr>
      <w:r>
        <w:rPr>
          <w:rFonts w:ascii="Arial" w:cs="Arial" w:eastAsia="Arial" w:hAnsi="Arial"/>
          <w:sz w:val="18"/>
          <w:szCs w:val="18"/>
          <w:color w:val="auto"/>
        </w:rPr>
        <w:t>Participant, only by the Participant. If the Administrator makes an Award transferable, such Award shall contain such additional terms and conditions as the Administrator deems appropriate.</w:t>
      </w:r>
    </w:p>
    <w:p>
      <w:pPr>
        <w:spacing w:after="0" w:line="130" w:lineRule="exact"/>
        <w:rPr>
          <w:sz w:val="20"/>
          <w:szCs w:val="20"/>
          <w:color w:val="auto"/>
        </w:rPr>
      </w:pPr>
    </w:p>
    <w:p>
      <w:pPr>
        <w:ind w:left="1480" w:hanging="681"/>
        <w:spacing w:after="0"/>
        <w:tabs>
          <w:tab w:leader="none" w:pos="148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Adjustments; Dissolution or Liquidation; Change in Control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60" w:right="139" w:firstLine="1287"/>
        <w:spacing w:after="0" w:line="232" w:lineRule="exact"/>
        <w:tabs>
          <w:tab w:leader="none" w:pos="2158"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any change in the outstanding Shares of Common Stock by reason of any stock split, stock dividend or other non</w:t>
      </w:r>
      <w:r>
        <w:rPr>
          <w:rFonts w:ascii="MS PGothic" w:cs="MS PGothic" w:eastAsia="MS PGothic" w:hAnsi="MS PGothic"/>
          <w:sz w:val="18"/>
          <w:szCs w:val="18"/>
          <w:color w:val="auto"/>
        </w:rPr>
        <w:t>‑</w:t>
      </w:r>
      <w:r>
        <w:rPr>
          <w:rFonts w:ascii="Arial" w:cs="Arial" w:eastAsia="Arial" w:hAnsi="Arial"/>
          <w:sz w:val="18"/>
          <w:szCs w:val="18"/>
          <w:color w:val="auto"/>
        </w:rPr>
        <w:t>recurring dividends or distributions, recapitalization, merger, consolidation, spin</w:t>
      </w:r>
      <w:r>
        <w:rPr>
          <w:rFonts w:ascii="MS PGothic" w:cs="MS PGothic" w:eastAsia="MS PGothic" w:hAnsi="MS PGothic"/>
          <w:sz w:val="18"/>
          <w:szCs w:val="18"/>
          <w:color w:val="auto"/>
        </w:rPr>
        <w:t>‑</w:t>
      </w:r>
      <w:r>
        <w:rPr>
          <w:rFonts w:ascii="Arial" w:cs="Arial" w:eastAsia="Arial" w:hAnsi="Arial"/>
          <w:sz w:val="18"/>
          <w:szCs w:val="18"/>
          <w:color w:val="auto"/>
        </w:rPr>
        <w:t>off, combination, repurchase or exchange of stock, reorganization, liquidation, dissolution or other similar corporate transaction that affects the Common Stock, an adjustment shall be made, as the Administrator deems necessary or appropriate, in order to prevent dilution or enlargement of the benefits or potential benefits intended to be made available under the Plan. Such adjustment may include an adjustment to the number and class of Shares which may be delivered under the Plan, the number, class and price of Shares subject to outstanding Awards, the number and class of Shares issuable pursuant to Options, and the numerical limits in Sections 3 and 6(b). Notwithstanding the preceding, the number of Shares subject to any Award always shall be a whole number.</w:t>
      </w:r>
    </w:p>
    <w:p>
      <w:pPr>
        <w:spacing w:after="0" w:line="200" w:lineRule="exact"/>
        <w:rPr>
          <w:rFonts w:ascii="Arial" w:cs="Arial" w:eastAsia="Arial" w:hAnsi="Arial"/>
          <w:sz w:val="18"/>
          <w:szCs w:val="18"/>
          <w:color w:val="auto"/>
        </w:rPr>
      </w:pPr>
    </w:p>
    <w:p>
      <w:pPr>
        <w:jc w:val="both"/>
        <w:ind w:left="160" w:right="139" w:firstLine="1287"/>
        <w:spacing w:after="0" w:line="256" w:lineRule="auto"/>
        <w:tabs>
          <w:tab w:leader="none" w:pos="2142"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In the event of the proposed dissolution or liquidation of the Company, the Administrator shall notify each Participant as soon as practical prior to the effective date of the proposed transaction. The Administrator, in its sole discretion, may provide for a Participant to have the right to exercise his Award, to the extent applicable, until 10 days prior to the transaction as to all of the Awarded Stock covered thereby, including Shares as to which the Award would not otherwise be exercisable. In addition, the Administrator may provide that any Company repurchase option or forfeiture rights applicable to any Award shall lapse 100%, and that any Award vesting shall accelerate 100%, provided the proposed dissolution or liquidation takes place at the time and in the manner contemplated. To the extent it has not been previously exercised or vested, an Award shall terminate immediately prior to the consummation of such proposed action.</w:t>
      </w:r>
    </w:p>
    <w:p>
      <w:pPr>
        <w:spacing w:after="0" w:line="181" w:lineRule="exact"/>
        <w:rPr>
          <w:rFonts w:ascii="Arial" w:cs="Arial" w:eastAsia="Arial" w:hAnsi="Arial"/>
          <w:sz w:val="19"/>
          <w:szCs w:val="19"/>
          <w:color w:val="auto"/>
        </w:rPr>
      </w:pPr>
    </w:p>
    <w:p>
      <w:pPr>
        <w:ind w:left="160" w:right="159" w:firstLine="1287"/>
        <w:spacing w:after="0" w:line="260" w:lineRule="auto"/>
        <w:tabs>
          <w:tab w:leader="none" w:pos="2144" w:val="left"/>
        </w:tabs>
        <w:numPr>
          <w:ilvl w:val="1"/>
          <w:numId w:val="73"/>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This Section 15(c) shall apply except to the extent otherwise provided in the Award Agreement.</w:t>
      </w:r>
    </w:p>
    <w:p>
      <w:pPr>
        <w:spacing w:after="0" w:line="176" w:lineRule="exact"/>
        <w:rPr>
          <w:rFonts w:ascii="Arial" w:cs="Arial" w:eastAsia="Arial" w:hAnsi="Arial"/>
          <w:sz w:val="20"/>
          <w:szCs w:val="20"/>
          <w:color w:val="auto"/>
        </w:rPr>
      </w:pPr>
    </w:p>
    <w:p>
      <w:pPr>
        <w:jc w:val="both"/>
        <w:ind w:left="160" w:right="139" w:firstLine="1935"/>
        <w:spacing w:after="0" w:line="268" w:lineRule="auto"/>
        <w:tabs>
          <w:tab w:leader="none" w:pos="2841" w:val="left"/>
        </w:tabs>
        <w:numPr>
          <w:ilvl w:val="2"/>
          <w:numId w:val="73"/>
        </w:numPr>
        <w:rPr>
          <w:rFonts w:ascii="Arial" w:cs="Arial" w:eastAsia="Arial" w:hAnsi="Arial"/>
          <w:sz w:val="18"/>
          <w:szCs w:val="18"/>
          <w:color w:val="auto"/>
        </w:rPr>
      </w:pPr>
      <w:r>
        <w:rPr>
          <w:rFonts w:ascii="Arial" w:cs="Arial" w:eastAsia="Arial" w:hAnsi="Arial"/>
          <w:sz w:val="18"/>
          <w:szCs w:val="18"/>
          <w:u w:val="single" w:color="auto"/>
          <w:color w:val="auto"/>
        </w:rPr>
        <w:t>Stock Options and SARs</w:t>
      </w:r>
      <w:r>
        <w:rPr>
          <w:rFonts w:ascii="Arial" w:cs="Arial" w:eastAsia="Arial" w:hAnsi="Arial"/>
          <w:sz w:val="18"/>
          <w:szCs w:val="18"/>
          <w:color w:val="auto"/>
        </w:rPr>
        <w:t>. In the event of a Change in Control, each outstanding Option and SAR shall be assumed or an equivalent option or SAR substituted by the successor corporation or a Parent or Subsidiary of the successor corporation. Unless determined otherwise by the Administrator, if the successor corporation refuses to assume or substitute for the Option or SAR, the Participant shall fully vest in and have the right to exercise the Option or SAR as to all of the Awarded Stock, including Shares as to which it would not otherwise be vested or exercisable. If an Option or SAR is not assumed or substituted on the Change in Control, the Administrator shall notify the Participant in writing or electronically that the Option or SAR shall be exercisable, to the extent vested, for a period of up to 15 days from the date of such notice, and the Option or SAR shall terminate upon the expiration of such period. For the purposes of this Section 15(c)(i), the Option or SAR shall be considered assumed if, following the Change in Control, the option or SAR confers the right to purchase or receive, for each Share of Awarded Stock subject to the Option or SAR immediately prior to the Change in Control, the consideration (whether securities, cash, or property) received in the Change in Control by holders of Common Stock for each Share held on the effective date of the transaction (and if holders were offered a choice of consideration, the type of consideration chosen by the holders of a majority of the outstanding Shares). However, if the consideration received in the Change in Control is not solely common stock of the successor corporation or its Parent, the Administrator may, with the consent of the successor corporation, provide for the consideration to be received upon the exercise of the Option or SAR, for each share of Awarded Stock subject to the Option or SAR, to be solely common stock of the successor corporation or its Parent equal in Fair Market Value to the per share consideration received by holders of Common Stock in the Change in Control. Notwithstanding anything in this Plan to the contrary, an Award</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7" w:name="page118"/>
    <w:bookmarkEnd w:id="117"/>
    <w:p>
      <w:pPr>
        <w:jc w:val="both"/>
        <w:ind w:left="160" w:right="139"/>
        <w:spacing w:after="0" w:line="234" w:lineRule="exact"/>
        <w:rPr>
          <w:sz w:val="20"/>
          <w:szCs w:val="20"/>
          <w:color w:val="auto"/>
        </w:rPr>
      </w:pPr>
      <w:r>
        <w:rPr>
          <w:rFonts w:ascii="Arial" w:cs="Arial" w:eastAsia="Arial" w:hAnsi="Arial"/>
          <w:sz w:val="20"/>
          <w:szCs w:val="20"/>
          <w:color w:val="auto"/>
        </w:rPr>
        <w:t>that vests, is earned, or is paid</w:t>
      </w:r>
      <w:r>
        <w:rPr>
          <w:rFonts w:ascii="MS PGothic" w:cs="MS PGothic" w:eastAsia="MS PGothic" w:hAnsi="MS PGothic"/>
          <w:sz w:val="20"/>
          <w:szCs w:val="20"/>
          <w:color w:val="auto"/>
        </w:rPr>
        <w:t>‑</w:t>
      </w:r>
      <w:r>
        <w:rPr>
          <w:rFonts w:ascii="Arial" w:cs="Arial" w:eastAsia="Arial" w:hAnsi="Arial"/>
          <w:sz w:val="20"/>
          <w:szCs w:val="20"/>
          <w:color w:val="auto"/>
        </w:rPr>
        <w:t>out upon the satisfaction of one or more performance objectives shall not be considered assumed if the Company or its successor modifies any of the performance objectives without the Participant's consent; provided, however, a modification to performance objectives only to reflect the successor corporation's post</w:t>
      </w:r>
      <w:r>
        <w:rPr>
          <w:rFonts w:ascii="MS PGothic" w:cs="MS PGothic" w:eastAsia="MS PGothic" w:hAnsi="MS PGothic"/>
          <w:sz w:val="20"/>
          <w:szCs w:val="20"/>
          <w:color w:val="auto"/>
        </w:rPr>
        <w:t>‑</w:t>
      </w:r>
      <w:r>
        <w:rPr>
          <w:rFonts w:ascii="Arial" w:cs="Arial" w:eastAsia="Arial" w:hAnsi="Arial"/>
          <w:sz w:val="20"/>
          <w:szCs w:val="20"/>
          <w:color w:val="auto"/>
        </w:rPr>
        <w:t>Change in Control corporate structure shall not be deemed to invalidate an otherwise valid Award assumption.</w:t>
      </w:r>
    </w:p>
    <w:p>
      <w:pPr>
        <w:spacing w:after="0" w:line="399" w:lineRule="exact"/>
        <w:rPr>
          <w:sz w:val="20"/>
          <w:szCs w:val="20"/>
          <w:color w:val="auto"/>
        </w:rPr>
      </w:pPr>
    </w:p>
    <w:p>
      <w:pPr>
        <w:jc w:val="both"/>
        <w:ind w:left="160" w:right="139" w:firstLine="1935"/>
        <w:spacing w:after="0" w:line="231" w:lineRule="exact"/>
        <w:tabs>
          <w:tab w:leader="none" w:pos="2841"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Restricted Stock, Performance Shares, Performance Units, Restricted Stock Units and Other Stock Based Awards</w:t>
      </w:r>
      <w:r>
        <w:rPr>
          <w:rFonts w:ascii="Arial" w:cs="Arial" w:eastAsia="Arial" w:hAnsi="Arial"/>
          <w:sz w:val="18"/>
          <w:szCs w:val="18"/>
          <w:color w:val="auto"/>
        </w:rPr>
        <w:t>. In the event of a Change in Control, each outstanding Award of Restricted Stock, Restricted Stock Unit, Performance Share, Performance Unit, and Other Stock Based Award shall be assumed or an equivalent Restricted Stock, Restricted Stock Unit, Performance Share, Performance Unit, and Other Stock Based Award shall be substituted by the successor corporation or a Parent or Subsidiary of the successor corporation. Unless determined otherwise by the Administrator, if the successor corporation refuses to assume or substitute for the Award, the Participant shall fully vest in the Award, including as to Shares or Units that would not otherwise be vested, all applicable restrictions shall lapse, and all performance objectives and other vesting criteria shall be deemed achieved at targeted levels. For the purposes of this Section 15(c)(ii), an Award of Restricted Stock, Restricted Stock Units, Performance Shares, Performance Units, and Other Stock Based Awards shall be considered assumed if, following the Change in Control, the award confers the right to purchase or receive, for each Share subject to the Award immediately prior to the Change in Control (and if a Restricted Stock Unit or Performance Unit, for each Share as determined based on the then current value of the unit),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However, if the consideration received in the Change in Control is not solely common stock of the successor corporation or its Parent, the Administrator may, with the consent of the successor corporation, provide that the consideration to be received for each Share (and if a Restricted Stock Unit or Performance Unit, for each Share as determined based on the then current value of the unit) be solely common stock of the successor corporation or its Parent equal in fair market value to the per share consideration received by holders of Common Stock in the Change in Control. Notwithstanding anything in this Plan to the contrary, an Award that vests, is earned, or is paid</w:t>
      </w:r>
      <w:r>
        <w:rPr>
          <w:rFonts w:ascii="MS PGothic" w:cs="MS PGothic" w:eastAsia="MS PGothic" w:hAnsi="MS PGothic"/>
          <w:sz w:val="18"/>
          <w:szCs w:val="18"/>
          <w:color w:val="auto"/>
        </w:rPr>
        <w:t>‑</w:t>
      </w:r>
      <w:r>
        <w:rPr>
          <w:rFonts w:ascii="Arial" w:cs="Arial" w:eastAsia="Arial" w:hAnsi="Arial"/>
          <w:sz w:val="18"/>
          <w:szCs w:val="18"/>
          <w:color w:val="auto"/>
        </w:rPr>
        <w:t>out upon the satisfaction of one or more performance objectives shall not be considered assumed if the Company or its successor modifies any of the performance objectives without the Participant's consent; provided, however, a modification to the performance objectives only to reflect the successor corporation's post</w:t>
      </w:r>
      <w:r>
        <w:rPr>
          <w:rFonts w:ascii="MS PGothic" w:cs="MS PGothic" w:eastAsia="MS PGothic" w:hAnsi="MS PGothic"/>
          <w:sz w:val="18"/>
          <w:szCs w:val="18"/>
          <w:color w:val="auto"/>
        </w:rPr>
        <w:t>‑</w:t>
      </w:r>
      <w:r>
        <w:rPr>
          <w:rFonts w:ascii="Arial" w:cs="Arial" w:eastAsia="Arial" w:hAnsi="Arial"/>
          <w:sz w:val="18"/>
          <w:szCs w:val="18"/>
          <w:color w:val="auto"/>
        </w:rPr>
        <w:t>Change in Control corporate structure shall not be deemed to invalidate an otherwise valid Award assumption.</w:t>
      </w:r>
    </w:p>
    <w:p>
      <w:pPr>
        <w:spacing w:after="0" w:line="197" w:lineRule="exact"/>
        <w:rPr>
          <w:rFonts w:ascii="Arial" w:cs="Arial" w:eastAsia="Arial" w:hAnsi="Arial"/>
          <w:sz w:val="18"/>
          <w:szCs w:val="18"/>
          <w:color w:val="auto"/>
        </w:rPr>
      </w:pPr>
    </w:p>
    <w:p>
      <w:pPr>
        <w:ind w:left="2840" w:hanging="745"/>
        <w:spacing w:after="0"/>
        <w:tabs>
          <w:tab w:leader="none" w:pos="2840"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Outside Director Awards</w:t>
      </w:r>
      <w:r>
        <w:rPr>
          <w:rFonts w:ascii="Arial" w:cs="Arial" w:eastAsia="Arial" w:hAnsi="Arial"/>
          <w:sz w:val="18"/>
          <w:szCs w:val="18"/>
          <w:color w:val="auto"/>
        </w:rPr>
        <w:t>. Notwithstanding any provision of Sections 15(c)</w:t>
      </w:r>
    </w:p>
    <w:p>
      <w:pPr>
        <w:spacing w:after="0" w:line="38" w:lineRule="exact"/>
        <w:rPr>
          <w:rFonts w:ascii="Arial" w:cs="Arial" w:eastAsia="Arial" w:hAnsi="Arial"/>
          <w:sz w:val="18"/>
          <w:szCs w:val="18"/>
          <w:color w:val="auto"/>
        </w:rPr>
      </w:pPr>
    </w:p>
    <w:p>
      <w:pPr>
        <w:jc w:val="both"/>
        <w:ind w:left="160" w:right="139" w:hanging="9"/>
        <w:spacing w:after="0" w:line="254" w:lineRule="auto"/>
        <w:tabs>
          <w:tab w:leader="none" w:pos="422" w:val="left"/>
        </w:tabs>
        <w:numPr>
          <w:ilvl w:val="0"/>
          <w:numId w:val="75"/>
        </w:numPr>
        <w:rPr>
          <w:rFonts w:ascii="Arial" w:cs="Arial" w:eastAsia="Arial" w:hAnsi="Arial"/>
          <w:sz w:val="19"/>
          <w:szCs w:val="19"/>
          <w:color w:val="auto"/>
        </w:rPr>
      </w:pPr>
      <w:r>
        <w:rPr>
          <w:rFonts w:ascii="Arial" w:cs="Arial" w:eastAsia="Arial" w:hAnsi="Arial"/>
          <w:sz w:val="19"/>
          <w:szCs w:val="19"/>
          <w:color w:val="auto"/>
        </w:rPr>
        <w:t>or 15(c)(ii) to the contrary, with respect to Awards granted to an Outside Director that are assumed or substituted for, if on the date of or following the assumption or substitution, the Participant's status as a Director or a director of the successor corporation, as applicable, is terminated other than upon a voluntary resignation by the Participant, then the Participant shall fully vest in and have the right to exercise his Options and Stock Appreciation Rights as to all of the Award, including Shares as to which such Awards would not otherwise be vested or exercisable, and all restrictions on Restricted Stock and Restricted Stock Units, as applicable, shall lapse, and, with respect to Performance Shares, Performance Units, and Other Stock Based Awards, all performance goals and other vesting criteria shall be deemed achieved at target levels and all other terms and conditions met.</w:t>
      </w:r>
    </w:p>
    <w:p>
      <w:pPr>
        <w:spacing w:after="0" w:line="185" w:lineRule="exact"/>
        <w:rPr>
          <w:rFonts w:ascii="Arial" w:cs="Arial" w:eastAsia="Arial" w:hAnsi="Arial"/>
          <w:sz w:val="19"/>
          <w:szCs w:val="19"/>
          <w:color w:val="auto"/>
        </w:rPr>
      </w:pPr>
    </w:p>
    <w:p>
      <w:pPr>
        <w:jc w:val="both"/>
        <w:ind w:left="160" w:right="139" w:firstLine="639"/>
        <w:spacing w:after="0" w:line="246" w:lineRule="auto"/>
        <w:tabs>
          <w:tab w:leader="none" w:pos="1510"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Date of Grant</w:t>
      </w:r>
      <w:r>
        <w:rPr>
          <w:rFonts w:ascii="Arial" w:cs="Arial" w:eastAsia="Arial" w:hAnsi="Arial"/>
          <w:sz w:val="20"/>
          <w:szCs w:val="20"/>
          <w:color w:val="auto"/>
        </w:rPr>
        <w:t>. The date of grant of an Award shall be, for all purposes, the date on which the Administrator makes the determination granting such Award, or a later date as is determined by the Administrator. Notice of the determination shall be provided to each Participant within a reasonable time after the date of such grant.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8" w:name="page119"/>
    <w:bookmarkEnd w:id="118"/>
    <w:p>
      <w:pPr>
        <w:jc w:val="both"/>
        <w:ind w:left="160" w:right="139" w:firstLine="639"/>
        <w:spacing w:after="0" w:line="250" w:lineRule="auto"/>
        <w:tabs>
          <w:tab w:leader="none" w:pos="1497"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Stockholder Approval and Term of Plan</w:t>
      </w:r>
      <w:r>
        <w:rPr>
          <w:rFonts w:ascii="Arial" w:cs="Arial" w:eastAsia="Arial" w:hAnsi="Arial"/>
          <w:sz w:val="20"/>
          <w:szCs w:val="20"/>
          <w:color w:val="auto"/>
        </w:rPr>
        <w:t>. The Plan became effective on September 26, 2013 and thereafter shall continue in effect for a term of ten years unless terminated earlier under Section 18 of the Plan.</w:t>
      </w:r>
    </w:p>
    <w:p>
      <w:pPr>
        <w:spacing w:after="0" w:line="187" w:lineRule="exact"/>
        <w:rPr>
          <w:rFonts w:ascii="Arial" w:cs="Arial" w:eastAsia="Arial" w:hAnsi="Arial"/>
          <w:sz w:val="20"/>
          <w:szCs w:val="20"/>
          <w:color w:val="auto"/>
        </w:rPr>
      </w:pPr>
    </w:p>
    <w:p>
      <w:pPr>
        <w:ind w:left="1480" w:hanging="681"/>
        <w:spacing w:after="0"/>
        <w:tabs>
          <w:tab w:leader="none" w:pos="148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 of the Plan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120" w:hanging="673"/>
        <w:spacing w:after="0"/>
        <w:tabs>
          <w:tab w:leader="none" w:pos="212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w:t>
      </w:r>
    </w:p>
    <w:p>
      <w:pPr>
        <w:spacing w:after="0" w:line="38"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terminate the Plan.</w:t>
      </w:r>
    </w:p>
    <w:p>
      <w:pPr>
        <w:spacing w:after="0" w:line="199" w:lineRule="exact"/>
        <w:rPr>
          <w:rFonts w:ascii="Arial" w:cs="Arial" w:eastAsia="Arial" w:hAnsi="Arial"/>
          <w:sz w:val="18"/>
          <w:szCs w:val="18"/>
          <w:color w:val="auto"/>
        </w:rPr>
      </w:pPr>
    </w:p>
    <w:p>
      <w:pPr>
        <w:ind w:left="160" w:right="139" w:firstLine="1287"/>
        <w:spacing w:after="0" w:line="260" w:lineRule="auto"/>
        <w:tabs>
          <w:tab w:leader="none" w:pos="2142"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Company shall obtain stockholder approval of any Plan amendment to the extent necessary to comply with Applicable Laws.</w:t>
      </w:r>
    </w:p>
    <w:p>
      <w:pPr>
        <w:spacing w:after="0" w:line="176" w:lineRule="exact"/>
        <w:rPr>
          <w:rFonts w:ascii="Arial" w:cs="Arial" w:eastAsia="Arial" w:hAnsi="Arial"/>
          <w:sz w:val="20"/>
          <w:szCs w:val="20"/>
          <w:color w:val="auto"/>
        </w:rPr>
      </w:pPr>
    </w:p>
    <w:p>
      <w:pPr>
        <w:jc w:val="both"/>
        <w:ind w:left="160" w:right="139" w:firstLine="1287"/>
        <w:spacing w:after="0" w:line="243" w:lineRule="auto"/>
        <w:tabs>
          <w:tab w:leader="none" w:pos="2158"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Effect of Amendment or Termination</w:t>
      </w:r>
      <w:r>
        <w:rPr>
          <w:rFonts w:ascii="Arial" w:cs="Arial" w:eastAsia="Arial" w:hAnsi="Arial"/>
          <w:sz w:val="20"/>
          <w:szCs w:val="20"/>
          <w:color w:val="auto"/>
        </w:rPr>
        <w:t>. No amendment, alteration, suspension, or termination of the Plan shall materially or adversely impair the rights of any Participant, unless otherwise mutually agreed upon by the Participant and the Administrator, which agreement must be in writing and signed by the Participant and the Company. Termination of the Plan shall not affect the Administrator's ability to exercise the powers granted to it under this Plan with respect to Awards granted under the Plan prior to the date of termination.</w:t>
      </w:r>
    </w:p>
    <w:p>
      <w:pPr>
        <w:spacing w:after="0" w:line="196" w:lineRule="exact"/>
        <w:rPr>
          <w:rFonts w:ascii="Arial" w:cs="Arial" w:eastAsia="Arial" w:hAnsi="Arial"/>
          <w:sz w:val="20"/>
          <w:szCs w:val="20"/>
          <w:color w:val="auto"/>
        </w:rPr>
      </w:pPr>
    </w:p>
    <w:p>
      <w:pPr>
        <w:ind w:left="1480" w:hanging="681"/>
        <w:spacing w:after="0"/>
        <w:tabs>
          <w:tab w:leader="none" w:pos="148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Conditions upon issuance of shares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60" w:right="159" w:firstLine="1287"/>
        <w:spacing w:after="0" w:line="246" w:lineRule="auto"/>
        <w:tabs>
          <w:tab w:leader="none" w:pos="2131"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Legal Compliance</w:t>
      </w:r>
      <w:r>
        <w:rPr>
          <w:rFonts w:ascii="Arial" w:cs="Arial" w:eastAsia="Arial" w:hAnsi="Arial"/>
          <w:sz w:val="20"/>
          <w:szCs w:val="20"/>
          <w:color w:val="auto"/>
        </w:rPr>
        <w:t>. Shares shall not be issued pursuant to the exercise of an Award unless the exercise of the Award and the issuance and delivery of such Shares shall comply with Applicable Laws and shall be further subject to the approval of counsel for the Company with respect to such compliance.</w:t>
      </w:r>
    </w:p>
    <w:p>
      <w:pPr>
        <w:spacing w:after="0" w:line="191" w:lineRule="exact"/>
        <w:rPr>
          <w:rFonts w:ascii="Arial" w:cs="Arial" w:eastAsia="Arial" w:hAnsi="Arial"/>
          <w:sz w:val="20"/>
          <w:szCs w:val="20"/>
          <w:color w:val="auto"/>
        </w:rPr>
      </w:pPr>
    </w:p>
    <w:p>
      <w:pPr>
        <w:jc w:val="both"/>
        <w:ind w:left="160" w:right="139" w:firstLine="1287"/>
        <w:spacing w:after="0" w:line="244" w:lineRule="auto"/>
        <w:tabs>
          <w:tab w:leader="none" w:pos="2155" w:val="left"/>
        </w:tabs>
        <w:numPr>
          <w:ilvl w:val="1"/>
          <w:numId w:val="76"/>
        </w:numPr>
        <w:rPr>
          <w:rFonts w:ascii="Arial" w:cs="Arial" w:eastAsia="Arial" w:hAnsi="Arial"/>
          <w:sz w:val="20"/>
          <w:szCs w:val="20"/>
          <w:color w:val="auto"/>
        </w:rPr>
      </w:pPr>
      <w:r>
        <w:rPr>
          <w:rFonts w:ascii="Arial" w:cs="Arial" w:eastAsia="Arial" w:hAnsi="Arial"/>
          <w:sz w:val="20"/>
          <w:szCs w:val="20"/>
          <w:u w:val="single" w:color="auto"/>
          <w:color w:val="auto"/>
        </w:rPr>
        <w:t>Investment Representations</w:t>
      </w:r>
      <w:r>
        <w:rPr>
          <w:rFonts w:ascii="Arial" w:cs="Arial" w:eastAsia="Arial" w:hAnsi="Arial"/>
          <w:sz w:val="20"/>
          <w:szCs w:val="20"/>
          <w:color w:val="auto"/>
        </w:rPr>
        <w:t>. As a condition to the exercise or receipt of an Award, the Company may require the person exercising or receiving the Award to represent and warrant at the time of any such exercise or receipt that the Shares are being purchased only for investment and without any present intention to sell or distribute the Shares if, in the opinion of counsel for the Company, such a representation is required.</w:t>
      </w:r>
    </w:p>
    <w:p>
      <w:pPr>
        <w:spacing w:after="0" w:line="194" w:lineRule="exact"/>
        <w:rPr>
          <w:rFonts w:ascii="Arial" w:cs="Arial" w:eastAsia="Arial" w:hAnsi="Arial"/>
          <w:sz w:val="20"/>
          <w:szCs w:val="20"/>
          <w:color w:val="auto"/>
        </w:rPr>
      </w:pPr>
    </w:p>
    <w:p>
      <w:pPr>
        <w:jc w:val="both"/>
        <w:ind w:left="160" w:right="139" w:firstLine="1287"/>
        <w:spacing w:after="0" w:line="232" w:lineRule="exact"/>
        <w:tabs>
          <w:tab w:leader="none" w:pos="215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No Shares shall be delivered under the Plan to any Participant or other person until the Participant or other person has made arrangements acceptable to the Administrator for the satisfaction of any non</w:t>
      </w:r>
      <w:r>
        <w:rPr>
          <w:rFonts w:ascii="MS PGothic" w:cs="MS PGothic" w:eastAsia="MS PGothic" w:hAnsi="MS PGothic"/>
          <w:sz w:val="18"/>
          <w:szCs w:val="18"/>
          <w:color w:val="auto"/>
        </w:rPr>
        <w:t>‑</w:t>
      </w:r>
      <w:r>
        <w:rPr>
          <w:rFonts w:ascii="Arial" w:cs="Arial" w:eastAsia="Arial" w:hAnsi="Arial"/>
          <w:sz w:val="18"/>
          <w:szCs w:val="18"/>
          <w:color w:val="auto"/>
        </w:rPr>
        <w:t>U.S., U.S.</w:t>
      </w:r>
      <w:r>
        <w:rPr>
          <w:rFonts w:ascii="MS PGothic" w:cs="MS PGothic" w:eastAsia="MS PGothic" w:hAnsi="MS PGothic"/>
          <w:sz w:val="18"/>
          <w:szCs w:val="18"/>
          <w:color w:val="auto"/>
        </w:rPr>
        <w:t>‑</w:t>
      </w:r>
      <w:r>
        <w:rPr>
          <w:rFonts w:ascii="Arial" w:cs="Arial" w:eastAsia="Arial" w:hAnsi="Arial"/>
          <w:sz w:val="18"/>
          <w:szCs w:val="18"/>
          <w:color w:val="auto"/>
        </w:rPr>
        <w:t>federal, U.S.</w:t>
      </w:r>
      <w:r>
        <w:rPr>
          <w:rFonts w:ascii="MS PGothic" w:cs="MS PGothic" w:eastAsia="MS PGothic" w:hAnsi="MS PGothic"/>
          <w:sz w:val="18"/>
          <w:szCs w:val="18"/>
          <w:color w:val="auto"/>
        </w:rPr>
        <w:t>‑</w:t>
      </w:r>
      <w:r>
        <w:rPr>
          <w:rFonts w:ascii="Arial" w:cs="Arial" w:eastAsia="Arial" w:hAnsi="Arial"/>
          <w:sz w:val="18"/>
          <w:szCs w:val="18"/>
          <w:color w:val="auto"/>
        </w:rPr>
        <w:t>state, or local income and employment tax withholding obligations, including, without limitation, obligations incident to the receipt of Shares. Upon exercise or vesting of an Award, the Company shall withhold or collect from the Participant an amount sufficient to satisfy such tax obligations, including, but not limited to, by surrender of up to the whole number of Shares covered by the Award sufficient to satisfy the withholding obligations incident to the exercise or vesting of an Award based on the maximum individual income tax rate in the applicable jurisdiction.</w:t>
      </w:r>
    </w:p>
    <w:p>
      <w:pPr>
        <w:spacing w:after="0" w:line="196" w:lineRule="exact"/>
        <w:rPr>
          <w:rFonts w:ascii="Arial" w:cs="Arial" w:eastAsia="Arial" w:hAnsi="Arial"/>
          <w:sz w:val="18"/>
          <w:szCs w:val="18"/>
          <w:color w:val="auto"/>
        </w:rPr>
      </w:pPr>
    </w:p>
    <w:p>
      <w:pPr>
        <w:jc w:val="both"/>
        <w:ind w:left="160" w:right="139" w:firstLine="639"/>
        <w:spacing w:after="0" w:line="278" w:lineRule="auto"/>
        <w:tabs>
          <w:tab w:leader="none" w:pos="153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Notwithstanding any contrary provision of the Plan or an Award to the contrary, if any one or more of the provisions (or any part thereof) of this Plan or the Awards shall be held invalid, illegal, or unenforceable in any respect, such provision shall be modified so as to make it valid, legal, and enforceable, and the validity, legality, and enforceability of the remaining provisions (or any part thereof) of the Plan or Award, as applicable, shall not in any way be affected or impaired thereby.</w:t>
      </w:r>
    </w:p>
    <w:p>
      <w:pPr>
        <w:spacing w:after="0" w:line="165" w:lineRule="exact"/>
        <w:rPr>
          <w:rFonts w:ascii="Arial" w:cs="Arial" w:eastAsia="Arial" w:hAnsi="Arial"/>
          <w:sz w:val="18"/>
          <w:szCs w:val="18"/>
          <w:color w:val="auto"/>
        </w:rPr>
      </w:pPr>
    </w:p>
    <w:p>
      <w:pPr>
        <w:jc w:val="both"/>
        <w:ind w:left="160" w:right="139" w:firstLine="639"/>
        <w:spacing w:after="0" w:line="282" w:lineRule="auto"/>
        <w:tabs>
          <w:tab w:leader="none" w:pos="151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Inability to Obtain Authority</w:t>
      </w:r>
      <w:r>
        <w:rPr>
          <w:rFonts w:ascii="Arial" w:cs="Arial" w:eastAsia="Arial" w:hAnsi="Arial"/>
          <w:sz w:val="18"/>
          <w:szCs w:val="18"/>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9" w:name="page120"/>
    <w:bookmarkEnd w:id="119"/>
    <w:p>
      <w:pPr>
        <w:jc w:val="both"/>
        <w:ind w:left="160" w:right="139" w:firstLine="639"/>
        <w:spacing w:after="0" w:line="250" w:lineRule="auto"/>
        <w:tabs>
          <w:tab w:leader="none" w:pos="1497"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 Rights to Awards</w:t>
      </w:r>
      <w:r>
        <w:rPr>
          <w:rFonts w:ascii="Arial" w:cs="Arial" w:eastAsia="Arial" w:hAnsi="Arial"/>
          <w:sz w:val="20"/>
          <w:szCs w:val="20"/>
          <w:color w:val="auto"/>
        </w:rPr>
        <w:t>. No eligible Service Provider or other person shall have any claim to be granted any Award pursuant to the Plan, and neither the Company nor the Administrator shall be obligated to treat Participants or any other person uniformly.</w:t>
      </w:r>
    </w:p>
    <w:p>
      <w:pPr>
        <w:spacing w:after="0" w:line="187" w:lineRule="exact"/>
        <w:rPr>
          <w:rFonts w:ascii="Arial" w:cs="Arial" w:eastAsia="Arial" w:hAnsi="Arial"/>
          <w:sz w:val="20"/>
          <w:szCs w:val="20"/>
          <w:color w:val="auto"/>
        </w:rPr>
      </w:pPr>
    </w:p>
    <w:p>
      <w:pPr>
        <w:jc w:val="both"/>
        <w:ind w:left="160" w:right="139" w:firstLine="639"/>
        <w:spacing w:after="0" w:line="250" w:lineRule="auto"/>
        <w:tabs>
          <w:tab w:leader="none" w:pos="1497"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 Stockholder Rights</w:t>
      </w:r>
      <w:r>
        <w:rPr>
          <w:rFonts w:ascii="Arial" w:cs="Arial" w:eastAsia="Arial" w:hAnsi="Arial"/>
          <w:sz w:val="20"/>
          <w:szCs w:val="20"/>
          <w:color w:val="auto"/>
        </w:rPr>
        <w:t>. Except as otherwise provided in an Award Agreement, a Participant shall have none of the rights of a stockholder with respect to Shares covered by an Award until the Participant becomes the record owner of the Shares.</w:t>
      </w:r>
    </w:p>
    <w:p>
      <w:pPr>
        <w:spacing w:after="0" w:line="186" w:lineRule="exact"/>
        <w:rPr>
          <w:rFonts w:ascii="Arial" w:cs="Arial" w:eastAsia="Arial" w:hAnsi="Arial"/>
          <w:sz w:val="20"/>
          <w:szCs w:val="20"/>
          <w:color w:val="auto"/>
        </w:rPr>
      </w:pPr>
    </w:p>
    <w:p>
      <w:pPr>
        <w:jc w:val="both"/>
        <w:ind w:left="160" w:right="159" w:firstLine="639"/>
        <w:spacing w:after="0" w:line="250" w:lineRule="auto"/>
        <w:tabs>
          <w:tab w:leader="none" w:pos="1551"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shall be issued and the Administrator shall determine, in its sole discretion, whether cash shall be given in lieu of fractional Shares or whether such fractional Shares shall be eliminated by rounding up or down as appropriate.</w:t>
      </w:r>
    </w:p>
    <w:p>
      <w:pPr>
        <w:spacing w:after="0" w:line="186" w:lineRule="exact"/>
        <w:rPr>
          <w:rFonts w:ascii="Arial" w:cs="Arial" w:eastAsia="Arial" w:hAnsi="Arial"/>
          <w:sz w:val="20"/>
          <w:szCs w:val="20"/>
          <w:color w:val="auto"/>
        </w:rPr>
      </w:pPr>
    </w:p>
    <w:p>
      <w:pPr>
        <w:jc w:val="both"/>
        <w:ind w:left="160" w:right="159" w:firstLine="639"/>
        <w:spacing w:after="0" w:line="250" w:lineRule="auto"/>
        <w:tabs>
          <w:tab w:leader="none" w:pos="1497"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Plan, all Award Agreements, and all related matters, shall be governed by the laws of the State of Texas, without regard to choice of law principles that direct the application of the laws of another state.</w:t>
      </w:r>
    </w:p>
    <w:p>
      <w:pPr>
        <w:spacing w:after="0" w:line="186" w:lineRule="exact"/>
        <w:rPr>
          <w:rFonts w:ascii="Arial" w:cs="Arial" w:eastAsia="Arial" w:hAnsi="Arial"/>
          <w:sz w:val="20"/>
          <w:szCs w:val="20"/>
          <w:color w:val="auto"/>
        </w:rPr>
      </w:pPr>
    </w:p>
    <w:p>
      <w:pPr>
        <w:jc w:val="both"/>
        <w:ind w:left="160" w:right="159" w:firstLine="639"/>
        <w:spacing w:after="0" w:line="246" w:lineRule="auto"/>
        <w:tabs>
          <w:tab w:leader="none" w:pos="151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 Effect on Terms of Employment or Consulting Relationship</w:t>
      </w:r>
      <w:r>
        <w:rPr>
          <w:rFonts w:ascii="Arial" w:cs="Arial" w:eastAsia="Arial" w:hAnsi="Arial"/>
          <w:sz w:val="20"/>
          <w:szCs w:val="20"/>
          <w:color w:val="auto"/>
        </w:rPr>
        <w:t>. The Plan shall not confer upon any Participant any right as a Service Provider, nor shall it interfere in any way with his right or the right of the Company or a Parent or Subsidiary to terminate the Participant's service at any time, with or without cause, and with or without notice.</w:t>
      </w:r>
    </w:p>
    <w:p>
      <w:pPr>
        <w:spacing w:after="0" w:line="191" w:lineRule="exact"/>
        <w:rPr>
          <w:rFonts w:ascii="Arial" w:cs="Arial" w:eastAsia="Arial" w:hAnsi="Arial"/>
          <w:sz w:val="20"/>
          <w:szCs w:val="20"/>
          <w:color w:val="auto"/>
        </w:rPr>
      </w:pPr>
    </w:p>
    <w:p>
      <w:pPr>
        <w:jc w:val="both"/>
        <w:ind w:left="160" w:right="139" w:firstLine="639"/>
        <w:spacing w:after="0" w:line="254" w:lineRule="auto"/>
        <w:tabs>
          <w:tab w:leader="none" w:pos="1524"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Unfunded Obligation</w:t>
      </w:r>
      <w:r>
        <w:rPr>
          <w:rFonts w:ascii="Arial" w:cs="Arial" w:eastAsia="Arial" w:hAnsi="Arial"/>
          <w:sz w:val="19"/>
          <w:szCs w:val="19"/>
          <w:color w:val="auto"/>
        </w:rPr>
        <w:t>. This Section 27 shall only apply to Awards that are not settled in Shares. Participants shall have the status of general unsecured creditors of the Company. Any amounts payable to Participants pursuant to the Plan shall be unfunded and unsecured obligations for all purposes, including, without limitation, Title I of the Employee Retirement Income Security Act of 1974, as amended. Neither the Company nor any Parent or Subsidiary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under this Plan. Any investments or the creation or maintenance of any trust for any Participant account shall not create or constitute a trust or fiduciary relationship between the Administrator, the Company or any Parent or Subsidiary and Participant, or otherwise create any vested or beneficial interest in any Participant or the Participant's creditors in any assets of the Company or Parent or Subsidiary. The Participants shall have no claim against the Company or any Parent or Subsidiary for any changes in the value of any assets that may be invested or reinvested by the Company with respect to the Plan.</w:t>
      </w:r>
    </w:p>
    <w:p>
      <w:pPr>
        <w:spacing w:after="0" w:line="193" w:lineRule="exact"/>
        <w:rPr>
          <w:rFonts w:ascii="Arial" w:cs="Arial" w:eastAsia="Arial" w:hAnsi="Arial"/>
          <w:sz w:val="19"/>
          <w:szCs w:val="19"/>
          <w:color w:val="auto"/>
        </w:rPr>
      </w:pPr>
    </w:p>
    <w:p>
      <w:pPr>
        <w:jc w:val="both"/>
        <w:ind w:left="160" w:right="139" w:firstLine="639"/>
        <w:spacing w:after="0" w:line="244" w:lineRule="auto"/>
        <w:tabs>
          <w:tab w:leader="none" w:pos="1551"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It is the intention of the Company that no Award shall be "deferred compensation" subject to Section 409A of the Code, unless and to the extent that the Administrator specifically determines otherwise, and the Plan and the terms and conditions of all Awards shall be interpreted accordingly. The following rules shall apply to Awards intended to be subject to Section 409A of the Code ("409A Awards"):</w:t>
      </w:r>
    </w:p>
    <w:p>
      <w:pPr>
        <w:spacing w:after="0" w:line="194" w:lineRule="exact"/>
        <w:rPr>
          <w:rFonts w:ascii="Arial" w:cs="Arial" w:eastAsia="Arial" w:hAnsi="Arial"/>
          <w:sz w:val="20"/>
          <w:szCs w:val="20"/>
          <w:color w:val="auto"/>
        </w:rPr>
      </w:pPr>
    </w:p>
    <w:p>
      <w:pPr>
        <w:jc w:val="both"/>
        <w:ind w:left="160" w:right="139" w:firstLine="1287"/>
        <w:spacing w:after="0" w:line="234" w:lineRule="exact"/>
        <w:tabs>
          <w:tab w:leader="none" w:pos="2131" w:val="left"/>
        </w:tabs>
        <w:numPr>
          <w:ilvl w:val="1"/>
          <w:numId w:val="77"/>
        </w:numPr>
        <w:rPr>
          <w:rFonts w:ascii="Arial" w:cs="Arial" w:eastAsia="Arial" w:hAnsi="Arial"/>
          <w:sz w:val="19"/>
          <w:szCs w:val="19"/>
          <w:color w:val="auto"/>
        </w:rPr>
      </w:pPr>
      <w:r>
        <w:rPr>
          <w:rFonts w:ascii="Arial" w:cs="Arial" w:eastAsia="Arial" w:hAnsi="Arial"/>
          <w:sz w:val="19"/>
          <w:szCs w:val="19"/>
          <w:color w:val="auto"/>
        </w:rPr>
        <w:t>Any distribution of a 409A Award following a separation from service that would be subject to Section 409A(a)(2)(A)(i) of the Code as a distribution following a separation from service of a "specified employee" (as defined under Section 409A(a)(2)(B)(i) of the Code) shall occur no earlier than the expiration of the six</w:t>
      </w:r>
      <w:r>
        <w:rPr>
          <w:rFonts w:ascii="MS PGothic" w:cs="MS PGothic" w:eastAsia="MS PGothic" w:hAnsi="MS PGothic"/>
          <w:sz w:val="19"/>
          <w:szCs w:val="19"/>
          <w:color w:val="auto"/>
        </w:rPr>
        <w:t>‑</w:t>
      </w:r>
      <w:r>
        <w:rPr>
          <w:rFonts w:ascii="Arial" w:cs="Arial" w:eastAsia="Arial" w:hAnsi="Arial"/>
          <w:sz w:val="19"/>
          <w:szCs w:val="19"/>
          <w:color w:val="auto"/>
        </w:rPr>
        <w:t>month period following such separation from service.</w:t>
      </w:r>
    </w:p>
    <w:p>
      <w:pPr>
        <w:spacing w:after="0" w:line="198" w:lineRule="exact"/>
        <w:rPr>
          <w:rFonts w:ascii="Arial" w:cs="Arial" w:eastAsia="Arial" w:hAnsi="Arial"/>
          <w:sz w:val="19"/>
          <w:szCs w:val="19"/>
          <w:color w:val="auto"/>
        </w:rPr>
      </w:pPr>
    </w:p>
    <w:p>
      <w:pPr>
        <w:jc w:val="both"/>
        <w:ind w:left="160" w:right="159" w:firstLine="1287"/>
        <w:spacing w:after="0" w:line="291" w:lineRule="auto"/>
        <w:tabs>
          <w:tab w:leader="none" w:pos="2142"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the case of a 409A Award providing for distribution or settlement upon vesting or lapse of a risk of forfeiture, if the time of such distribution or settlement is not otherwise specified in the Plan or Award Agreement or other governing document, the distribution or settlement shall be made no</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0" w:name="page121"/>
    <w:bookmarkEnd w:id="120"/>
    <w:p>
      <w:pPr>
        <w:ind w:left="1440" w:right="159"/>
        <w:spacing w:after="0" w:line="262" w:lineRule="auto"/>
        <w:rPr>
          <w:sz w:val="20"/>
          <w:szCs w:val="20"/>
          <w:color w:val="auto"/>
        </w:rPr>
      </w:pPr>
      <w:r>
        <w:rPr>
          <w:rFonts w:ascii="Arial" w:cs="Arial" w:eastAsia="Arial" w:hAnsi="Arial"/>
          <w:sz w:val="20"/>
          <w:szCs w:val="20"/>
          <w:color w:val="auto"/>
        </w:rPr>
        <w:t>later than March 15 of the calendar year following the calendar year in which such 409A Award vested or the risk of forfeiture lapsed.</w:t>
      </w:r>
    </w:p>
    <w:p>
      <w:pPr>
        <w:spacing w:after="0" w:line="174" w:lineRule="exact"/>
        <w:rPr>
          <w:sz w:val="20"/>
          <w:szCs w:val="20"/>
          <w:color w:val="auto"/>
        </w:rPr>
      </w:pPr>
    </w:p>
    <w:p>
      <w:pPr>
        <w:jc w:val="both"/>
        <w:ind w:left="160" w:right="139" w:firstLine="1287"/>
        <w:spacing w:after="0" w:line="246" w:lineRule="auto"/>
        <w:tabs>
          <w:tab w:leader="none" w:pos="2158" w:val="left"/>
        </w:tabs>
        <w:numPr>
          <w:ilvl w:val="1"/>
          <w:numId w:val="78"/>
        </w:numPr>
        <w:rPr>
          <w:rFonts w:ascii="Arial" w:cs="Arial" w:eastAsia="Arial" w:hAnsi="Arial"/>
          <w:sz w:val="20"/>
          <w:szCs w:val="20"/>
          <w:color w:val="auto"/>
        </w:rPr>
      </w:pPr>
      <w:r>
        <w:rPr>
          <w:rFonts w:ascii="Arial" w:cs="Arial" w:eastAsia="Arial" w:hAnsi="Arial"/>
          <w:sz w:val="20"/>
          <w:szCs w:val="20"/>
          <w:color w:val="auto"/>
        </w:rPr>
        <w:t>In the case of any distribution of any other 409A Award, if the timing of such distribution is not otherwise specified in the Plan or Award Agreement or other governing document, the distribution shall be made not later than the end of the calendar year during which the settlement of the 409A Award is specified to occur.</w:t>
      </w:r>
    </w:p>
    <w:p>
      <w:pPr>
        <w:spacing w:after="0" w:line="191" w:lineRule="exact"/>
        <w:rPr>
          <w:rFonts w:ascii="Arial" w:cs="Arial" w:eastAsia="Arial" w:hAnsi="Arial"/>
          <w:sz w:val="20"/>
          <w:szCs w:val="20"/>
          <w:color w:val="auto"/>
        </w:rPr>
      </w:pPr>
    </w:p>
    <w:p>
      <w:pPr>
        <w:jc w:val="both"/>
        <w:ind w:left="160" w:right="139" w:firstLine="639"/>
        <w:spacing w:after="0" w:line="244" w:lineRule="auto"/>
        <w:tabs>
          <w:tab w:leader="none" w:pos="1551"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Construction</w:t>
      </w:r>
      <w:r>
        <w:rPr>
          <w:rFonts w:ascii="Arial" w:cs="Arial" w:eastAsia="Arial" w:hAnsi="Arial"/>
          <w:sz w:val="20"/>
          <w:szCs w:val="20"/>
          <w:color w:val="auto"/>
        </w:rPr>
        <w:t>. Headings in this Plan are included for convenience and shall not be considered in the interpretation of the Plan. References to sections are to Sections of this Plan unless otherwise indicated. Pronouns shall be construed to include the masculine, feminine, neutral, singular or plural as the identity of the antecedent may require. This Plan shall be construed according to its fair meaning and shall not be strictly construed against the Company.</w:t>
      </w:r>
    </w:p>
    <w:p>
      <w:pPr>
        <w:spacing w:after="0" w:line="392" w:lineRule="exact"/>
        <w:rPr>
          <w:rFonts w:ascii="Arial" w:cs="Arial" w:eastAsia="Arial" w:hAnsi="Arial"/>
          <w:sz w:val="20"/>
          <w:szCs w:val="20"/>
          <w:color w:val="auto"/>
        </w:rPr>
      </w:pPr>
    </w:p>
    <w:p>
      <w:pPr>
        <w:ind w:left="3700"/>
        <w:spacing w:after="0"/>
        <w:rPr>
          <w:rFonts w:ascii="Arial" w:cs="Arial" w:eastAsia="Arial" w:hAnsi="Arial"/>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jc w:val="both"/>
        <w:spacing w:after="0" w:line="234" w:lineRule="exact"/>
        <w:rPr>
          <w:sz w:val="20"/>
          <w:szCs w:val="20"/>
          <w:color w:val="auto"/>
        </w:rPr>
      </w:pPr>
      <w:r>
        <w:rPr>
          <w:rFonts w:ascii="Arial" w:cs="Arial" w:eastAsia="Arial" w:hAnsi="Arial"/>
          <w:sz w:val="19"/>
          <w:szCs w:val="19"/>
          <w:color w:val="auto"/>
        </w:rPr>
        <w:t>We have issued our report dated March 9, 2017, with respect to the consolidated financial statements included in the Annual Report of Applied Optoelectronics, Inc. on Form 10</w:t>
      </w:r>
      <w:r>
        <w:rPr>
          <w:rFonts w:ascii="MS PGothic" w:cs="MS PGothic" w:eastAsia="MS PGothic" w:hAnsi="MS PGothic"/>
          <w:sz w:val="19"/>
          <w:szCs w:val="19"/>
          <w:color w:val="auto"/>
        </w:rPr>
        <w:t>‑</w:t>
      </w:r>
      <w:r>
        <w:rPr>
          <w:rFonts w:ascii="Arial" w:cs="Arial" w:eastAsia="Arial" w:hAnsi="Arial"/>
          <w:sz w:val="19"/>
          <w:szCs w:val="19"/>
          <w:color w:val="auto"/>
        </w:rPr>
        <w:t>K for the year ended December 31, 2016. We consent to the incorporation by reference of said report in the Registration Statements of Applied Optoelectronics, Inc. on Forms S-8 (File No. 333-192407) and on Forms S-3 (File No. 333-214146).</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144" w:lineRule="exact"/>
        <w:rPr>
          <w:sz w:val="20"/>
          <w:szCs w:val="20"/>
          <w:color w:val="auto"/>
        </w:rPr>
      </w:pPr>
    </w:p>
    <w:p>
      <w:pPr>
        <w:ind w:left="600" w:hanging="181"/>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144" w:lineRule="exact"/>
        <w:rPr>
          <w:rFonts w:ascii="Arial" w:cs="Arial" w:eastAsia="Arial" w:hAnsi="Arial"/>
          <w:sz w:val="18"/>
          <w:szCs w:val="18"/>
          <w:color w:val="auto"/>
        </w:rPr>
      </w:pPr>
    </w:p>
    <w:p>
      <w:pPr>
        <w:ind w:right="160" w:firstLine="419"/>
        <w:spacing w:after="0" w:line="224" w:lineRule="auto"/>
        <w:tabs>
          <w:tab w:leader="none" w:pos="5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419"/>
        <w:spacing w:after="0" w:line="224" w:lineRule="auto"/>
        <w:tabs>
          <w:tab w:leader="none" w:pos="5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0" w:firstLine="419"/>
        <w:spacing w:after="0" w:line="224" w:lineRule="auto"/>
        <w:tabs>
          <w:tab w:leader="none" w:pos="5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420" w:right="40" w:hanging="12"/>
        <w:spacing w:after="0" w:line="219" w:lineRule="auto"/>
        <w:tabs>
          <w:tab w:leader="none" w:pos="654"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420" w:hanging="12"/>
        <w:spacing w:after="0" w:line="259" w:lineRule="auto"/>
        <w:tabs>
          <w:tab w:leader="none" w:pos="664"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420" w:right="300" w:hanging="12"/>
        <w:spacing w:after="0" w:line="224" w:lineRule="auto"/>
        <w:tabs>
          <w:tab w:leader="none" w:pos="654"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420" w:right="100" w:hanging="12"/>
        <w:spacing w:after="0" w:line="219" w:lineRule="auto"/>
        <w:tabs>
          <w:tab w:leader="none" w:pos="6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right="120" w:firstLine="419"/>
        <w:spacing w:after="0" w:line="224" w:lineRule="auto"/>
        <w:tabs>
          <w:tab w:leader="none" w:pos="5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400" w:firstLine="8"/>
        <w:spacing w:after="0" w:line="224" w:lineRule="auto"/>
        <w:tabs>
          <w:tab w:leader="none" w:pos="6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400" w:right="40" w:firstLine="8"/>
        <w:spacing w:after="0" w:line="235"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2017</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Chih-Hsiang (Thompson) Lin</w:t>
      </w:r>
    </w:p>
    <w:p>
      <w:pPr>
        <w:spacing w:after="0"/>
        <w:rPr>
          <w:sz w:val="20"/>
          <w:szCs w:val="20"/>
          <w:color w:val="auto"/>
        </w:rPr>
      </w:pPr>
      <w:r>
        <w:rPr>
          <w:rFonts w:ascii="Arial" w:cs="Arial" w:eastAsia="Arial" w:hAnsi="Arial"/>
          <w:sz w:val="18"/>
          <w:szCs w:val="18"/>
          <w:color w:val="auto"/>
        </w:rPr>
        <w:t>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144" w:lineRule="exact"/>
        <w:rPr>
          <w:sz w:val="20"/>
          <w:szCs w:val="20"/>
          <w:color w:val="auto"/>
        </w:rPr>
      </w:pPr>
    </w:p>
    <w:p>
      <w:pPr>
        <w:ind w:left="600" w:hanging="181"/>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144" w:lineRule="exact"/>
        <w:rPr>
          <w:rFonts w:ascii="Arial" w:cs="Arial" w:eastAsia="Arial" w:hAnsi="Arial"/>
          <w:sz w:val="18"/>
          <w:szCs w:val="18"/>
          <w:color w:val="auto"/>
        </w:rPr>
      </w:pPr>
    </w:p>
    <w:p>
      <w:pPr>
        <w:ind w:right="160" w:firstLine="419"/>
        <w:spacing w:after="0" w:line="224" w:lineRule="auto"/>
        <w:tabs>
          <w:tab w:leader="none" w:pos="5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419"/>
        <w:spacing w:after="0" w:line="224" w:lineRule="auto"/>
        <w:tabs>
          <w:tab w:leader="none" w:pos="5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0" w:firstLine="419"/>
        <w:spacing w:after="0" w:line="224" w:lineRule="auto"/>
        <w:tabs>
          <w:tab w:leader="none" w:pos="5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480" w:right="20" w:firstLine="9"/>
        <w:spacing w:after="0" w:line="219" w:lineRule="auto"/>
        <w:tabs>
          <w:tab w:leader="none" w:pos="725"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480" w:right="100" w:firstLine="9"/>
        <w:spacing w:after="0" w:line="219" w:lineRule="auto"/>
        <w:tabs>
          <w:tab w:leader="none" w:pos="735"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480" w:right="220" w:firstLine="9"/>
        <w:spacing w:after="0" w:line="224" w:lineRule="auto"/>
        <w:tabs>
          <w:tab w:leader="none" w:pos="725"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480" w:right="20" w:firstLine="9"/>
        <w:spacing w:after="0" w:line="219" w:lineRule="auto"/>
        <w:tabs>
          <w:tab w:leader="none" w:pos="735"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right="120" w:firstLine="419"/>
        <w:spacing w:after="0" w:line="224" w:lineRule="auto"/>
        <w:tabs>
          <w:tab w:leader="none" w:pos="5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480" w:right="300" w:firstLine="9"/>
        <w:spacing w:after="0" w:line="224" w:lineRule="auto"/>
        <w:tabs>
          <w:tab w:leader="none" w:pos="725"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480" w:right="220" w:firstLine="9"/>
        <w:spacing w:after="0" w:line="235" w:lineRule="auto"/>
        <w:tabs>
          <w:tab w:leader="none" w:pos="735"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Stefan J. Murry</w:t>
      </w: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ind w:right="40" w:firstLine="416"/>
        <w:spacing w:after="0" w:line="23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22" w:lineRule="exact"/>
        <w:rPr>
          <w:sz w:val="20"/>
          <w:szCs w:val="20"/>
          <w:color w:val="auto"/>
        </w:rPr>
      </w:pPr>
    </w:p>
    <w:p>
      <w:pPr>
        <w:ind w:right="40" w:firstLine="419"/>
        <w:spacing w:after="0" w:line="224" w:lineRule="auto"/>
        <w:tabs>
          <w:tab w:leader="none" w:pos="5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2016, to which this Certification is attached as Exhibit 32.1 (the “Annual Report”) fully complies with the requirements of Section 13(a) or Section 15(d) of the Exchange Act; and</w:t>
      </w:r>
    </w:p>
    <w:p>
      <w:pPr>
        <w:spacing w:after="0" w:line="122" w:lineRule="exact"/>
        <w:rPr>
          <w:rFonts w:ascii="Arial" w:cs="Arial" w:eastAsia="Arial" w:hAnsi="Arial"/>
          <w:sz w:val="18"/>
          <w:szCs w:val="18"/>
          <w:color w:val="auto"/>
        </w:rPr>
      </w:pPr>
    </w:p>
    <w:p>
      <w:pPr>
        <w:ind w:right="180" w:firstLine="419"/>
        <w:spacing w:after="0" w:line="235" w:lineRule="auto"/>
        <w:tabs>
          <w:tab w:leader="none" w:pos="5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9th day of March, 2017.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spacing w:after="0"/>
              <w:rPr>
                <w:sz w:val="20"/>
                <w:szCs w:val="20"/>
                <w:color w:val="auto"/>
              </w:rPr>
            </w:pPr>
            <w:r>
              <w:rPr>
                <w:rFonts w:ascii="Arial" w:cs="Arial" w:eastAsia="Arial" w:hAnsi="Arial"/>
                <w:sz w:val="18"/>
                <w:szCs w:val="18"/>
                <w:color w:val="auto"/>
              </w:rPr>
              <w:t>/s/ CHIH-HSIANG (THOMPSON) LIN</w:t>
            </w:r>
          </w:p>
        </w:tc>
        <w:tc>
          <w:tcPr>
            <w:tcW w:w="4420" w:type="dxa"/>
            <w:vAlign w:val="bottom"/>
          </w:tcPr>
          <w:p>
            <w:pPr>
              <w:spacing w:after="0"/>
              <w:rPr>
                <w:sz w:val="20"/>
                <w:szCs w:val="20"/>
                <w:color w:val="auto"/>
              </w:rPr>
            </w:pPr>
            <w:r>
              <w:rPr>
                <w:rFonts w:ascii="Arial" w:cs="Arial" w:eastAsia="Arial" w:hAnsi="Arial"/>
                <w:sz w:val="18"/>
                <w:szCs w:val="18"/>
                <w:color w:val="auto"/>
              </w:rPr>
              <w:t>/s/ STEFAN J. MURRY</w:t>
            </w:r>
          </w:p>
        </w:tc>
      </w:tr>
      <w:tr>
        <w:trPr>
          <w:trHeight w:val="142"/>
        </w:trPr>
        <w:tc>
          <w:tcPr>
            <w:tcW w:w="20" w:type="dxa"/>
            <w:vAlign w:val="bottom"/>
          </w:tcPr>
          <w:p>
            <w:pPr>
              <w:spacing w:after="0"/>
              <w:rPr>
                <w:sz w:val="12"/>
                <w:szCs w:val="12"/>
                <w:color w:val="auto"/>
              </w:rPr>
            </w:pPr>
          </w:p>
        </w:tc>
        <w:tc>
          <w:tcPr>
            <w:tcW w:w="43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Chih-Hsiang (Thompson) Lin</w:t>
            </w:r>
          </w:p>
        </w:tc>
        <w:tc>
          <w:tcPr>
            <w:tcW w:w="240" w:type="dxa"/>
            <w:vAlign w:val="bottom"/>
          </w:tcPr>
          <w:p>
            <w:pPr>
              <w:spacing w:after="0"/>
              <w:rPr>
                <w:sz w:val="12"/>
                <w:szCs w:val="12"/>
                <w:color w:val="auto"/>
              </w:rPr>
            </w:pPr>
          </w:p>
        </w:tc>
        <w:tc>
          <w:tcPr>
            <w:tcW w:w="442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Stefan J. Murry</w:t>
            </w: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4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20" w:lineRule="exact"/>
        <w:rPr>
          <w:sz w:val="20"/>
          <w:szCs w:val="20"/>
          <w:color w:val="auto"/>
        </w:rPr>
      </w:pPr>
    </w:p>
    <w:p>
      <w:pPr>
        <w:jc w:val="both"/>
        <w:ind w:right="140"/>
        <w:spacing w:after="0" w:line="232" w:lineRule="auto"/>
        <w:rPr>
          <w:sz w:val="20"/>
          <w:szCs w:val="20"/>
          <w:color w:val="auto"/>
        </w:rPr>
      </w:pPr>
      <w:r>
        <w:rPr>
          <w:rFonts w:ascii="Arial" w:cs="Arial" w:eastAsia="Arial" w:hAnsi="Arial"/>
          <w:sz w:val="17"/>
          <w:szCs w:val="17"/>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A"/>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lowerLetter"/>
      <w:start w:val="1"/>
    </w:lvl>
  </w:abstractNum>
  <w:abstractNum w:abstractNumId="17">
    <w:nsid w:val="79A1DEAA"/>
    <w:multiLevelType w:val="hybridMultilevel"/>
    <w:lvl w:ilvl="0">
      <w:lvlJc w:val="left"/>
      <w:lvlText w:val="%1."/>
      <w:numFmt w:val="lowerLetter"/>
      <w:start w:val="2"/>
    </w:lvl>
  </w:abstractNum>
  <w:abstractNum w:abstractNumId="18">
    <w:nsid w:val="75C6C33A"/>
    <w:multiLevelType w:val="hybridMultilevel"/>
    <w:lvl w:ilvl="0">
      <w:lvlJc w:val="left"/>
      <w:lvlText w:val="%1."/>
      <w:numFmt w:val="lowerLetter"/>
      <w:start w:val="3"/>
    </w:lvl>
  </w:abstractNum>
  <w:abstractNum w:abstractNumId="19">
    <w:nsid w:val="12E685FB"/>
    <w:multiLevelType w:val="hybridMultilevel"/>
    <w:lvl w:ilvl="0">
      <w:lvlJc w:val="left"/>
      <w:lvlText w:val="(%1)"/>
      <w:numFmt w:val="decimal"/>
      <w:start w:val="2"/>
    </w:lvl>
  </w:abstractNum>
  <w:abstractNum w:abstractNumId="20">
    <w:nsid w:val="70C6A529"/>
    <w:multiLevelType w:val="hybridMultilevel"/>
    <w:lvl w:ilvl="0">
      <w:lvlJc w:val="left"/>
      <w:lvlText w:val="\endash "/>
      <w:numFmt w:val="bullet"/>
      <w:start w:val="1"/>
    </w:lvl>
  </w:abstractNum>
  <w:abstractNum w:abstractNumId="21">
    <w:nsid w:val="520EEDD1"/>
    <w:multiLevelType w:val="hybridMultilevel"/>
    <w:lvl w:ilvl="0">
      <w:lvlJc w:val="left"/>
      <w:lvlText w:val="\endash "/>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decimal"/>
      <w:start w:val="2"/>
    </w:lvl>
  </w:abstractNum>
  <w:abstractNum w:abstractNumId="27">
    <w:nsid w:val="39386575"/>
    <w:multiLevelType w:val="hybridMultilevel"/>
    <w:lvl w:ilvl="0">
      <w:lvlJc w:val="left"/>
      <w:lvlText w:val="%1."/>
      <w:numFmt w:val="decimal"/>
      <w:start w:val="3"/>
    </w:lvl>
  </w:abstractNum>
  <w:abstractNum w:abstractNumId="28">
    <w:nsid w:val="1CF10FD8"/>
    <w:multiLevelType w:val="hybridMultilevel"/>
    <w:lvl w:ilvl="0">
      <w:lvlJc w:val="left"/>
      <w:lvlText w:val="%1."/>
      <w:numFmt w:val="decimal"/>
      <w:start w:val="4"/>
    </w:lvl>
  </w:abstractNum>
  <w:abstractNum w:abstractNumId="29">
    <w:nsid w:val="180115BE"/>
    <w:multiLevelType w:val="hybridMultilevel"/>
    <w:lvl w:ilvl="0">
      <w:lvlJc w:val="left"/>
      <w:lvlText w:val="%1."/>
      <w:numFmt w:val="decimal"/>
      <w:start w:val="5"/>
    </w:lvl>
  </w:abstractNum>
  <w:abstractNum w:abstractNumId="30">
    <w:nsid w:val="235BA861"/>
    <w:multiLevelType w:val="hybridMultilevel"/>
    <w:lvl w:ilvl="0">
      <w:lvlJc w:val="left"/>
      <w:lvlText w:val="%1."/>
      <w:numFmt w:val="decimal"/>
      <w:start w:val="6"/>
    </w:lvl>
  </w:abstractNum>
  <w:abstractNum w:abstractNumId="31">
    <w:nsid w:val="47398C89"/>
    <w:multiLevelType w:val="hybridMultilevel"/>
    <w:lvl w:ilvl="0">
      <w:lvlJc w:val="left"/>
      <w:lvlText w:val="%1."/>
      <w:numFmt w:val="decimal"/>
      <w:start w:val="7"/>
    </w:lvl>
  </w:abstractNum>
  <w:abstractNum w:abstractNumId="32">
    <w:nsid w:val="354FE9F9"/>
    <w:multiLevelType w:val="hybridMultilevel"/>
    <w:lvl w:ilvl="0">
      <w:lvlJc w:val="left"/>
      <w:lvlText w:val="%1."/>
      <w:numFmt w:val="decimal"/>
      <w:start w:val="8"/>
    </w:lvl>
  </w:abstractNum>
  <w:abstractNum w:abstractNumId="33">
    <w:nsid w:val="15B5AF5C"/>
    <w:multiLevelType w:val="hybridMultilevel"/>
    <w:lvl w:ilvl="0">
      <w:lvlJc w:val="left"/>
      <w:lvlText w:val="%1."/>
      <w:numFmt w:val="decimal"/>
      <w:start w:val="9"/>
    </w:lvl>
  </w:abstractNum>
  <w:abstractNum w:abstractNumId="34">
    <w:nsid w:val="741226BB"/>
    <w:multiLevelType w:val="hybridMultilevel"/>
    <w:lvl w:ilvl="0">
      <w:lvlJc w:val="left"/>
      <w:lvlText w:val="%1."/>
      <w:numFmt w:val="decimal"/>
      <w:start w:val="10"/>
    </w:lvl>
  </w:abstractNum>
  <w:abstractNum w:abstractNumId="35">
    <w:nsid w:val="D34B6A8"/>
    <w:multiLevelType w:val="hybridMultilevel"/>
    <w:lvl w:ilvl="0">
      <w:lvlJc w:val="left"/>
      <w:lvlText w:val="%1."/>
      <w:numFmt w:val="decimal"/>
      <w:start w:val="11"/>
    </w:lvl>
  </w:abstractNum>
  <w:abstractNum w:abstractNumId="36">
    <w:nsid w:val="10233C99"/>
    <w:multiLevelType w:val="hybridMultilevel"/>
    <w:lvl w:ilvl="0">
      <w:lvlJc w:val="left"/>
      <w:lvlText w:val="%1."/>
      <w:numFmt w:val="decimal"/>
      <w:start w:val="12"/>
    </w:lvl>
  </w:abstractNum>
  <w:abstractNum w:abstractNumId="37">
    <w:nsid w:val="3F6AB60F"/>
    <w:multiLevelType w:val="hybridMultilevel"/>
    <w:lvl w:ilvl="0">
      <w:lvlJc w:val="left"/>
      <w:lvlText w:val="%1."/>
      <w:numFmt w:val="decimal"/>
      <w:start w:val="13"/>
    </w:lvl>
  </w:abstractNum>
  <w:abstractNum w:abstractNumId="38">
    <w:nsid w:val="61574095"/>
    <w:multiLevelType w:val="hybridMultilevel"/>
    <w:lvl w:ilvl="0">
      <w:lvlJc w:val="left"/>
      <w:lvlText w:val="%1."/>
      <w:numFmt w:val="decimal"/>
      <w:start w:val="14"/>
    </w:lvl>
  </w:abstractNum>
  <w:abstractNum w:abstractNumId="39">
    <w:nsid w:val="7E0C57B1"/>
    <w:multiLevelType w:val="hybridMultilevel"/>
    <w:lvl w:ilvl="0">
      <w:lvlJc w:val="left"/>
      <w:lvlText w:val="%1."/>
      <w:numFmt w:val="decimal"/>
      <w:start w:val="15"/>
    </w:lvl>
  </w:abstractNum>
  <w:abstractNum w:abstractNumId="40">
    <w:nsid w:val="77AE35EB"/>
    <w:multiLevelType w:val="hybridMultilevel"/>
    <w:lvl w:ilvl="0">
      <w:lvlJc w:val="left"/>
      <w:lvlText w:val="%1."/>
      <w:numFmt w:val="decimal"/>
      <w:start w:val="16"/>
    </w:lvl>
  </w:abstractNum>
  <w:abstractNum w:abstractNumId="41">
    <w:nsid w:val="579BE4F1"/>
    <w:multiLevelType w:val="hybridMultilevel"/>
    <w:lvl w:ilvl="0">
      <w:lvlJc w:val="left"/>
      <w:lvlText w:val="%1."/>
      <w:numFmt w:val="decimal"/>
      <w:start w:val="17"/>
    </w:lvl>
  </w:abstractNum>
  <w:abstractNum w:abstractNumId="42">
    <w:nsid w:val="310C50B3"/>
    <w:multiLevelType w:val="hybridMultilevel"/>
    <w:lvl w:ilvl="0">
      <w:lvlJc w:val="left"/>
      <w:lvlText w:val="%1."/>
      <w:numFmt w:val="decimal"/>
      <w:start w:val="18"/>
    </w:lvl>
  </w:abstractNum>
  <w:abstractNum w:abstractNumId="43">
    <w:nsid w:val="5FF87E05"/>
    <w:multiLevelType w:val="hybridMultilevel"/>
    <w:lvl w:ilvl="0">
      <w:lvlJc w:val="left"/>
      <w:lvlText w:val="%1."/>
      <w:numFmt w:val="decimal"/>
      <w:start w:val="19"/>
    </w:lvl>
  </w:abstractNum>
  <w:abstractNum w:abstractNumId="44">
    <w:nsid w:val="2F305DEF"/>
    <w:multiLevelType w:val="hybridMultilevel"/>
    <w:lvl w:ilvl="0">
      <w:lvlJc w:val="left"/>
      <w:lvlText w:val="%1."/>
      <w:numFmt w:val="decimal"/>
      <w:start w:val="20"/>
    </w:lvl>
  </w:abstractNum>
  <w:abstractNum w:abstractNumId="45">
    <w:nsid w:val="25A70BF7"/>
    <w:multiLevelType w:val="hybridMultilevel"/>
    <w:lvl w:ilvl="0">
      <w:lvlJc w:val="left"/>
      <w:lvlText w:val="%1."/>
      <w:numFmt w:val="decimal"/>
      <w:start w:val="21"/>
    </w:lvl>
  </w:abstractNum>
  <w:abstractNum w:abstractNumId="46">
    <w:nsid w:val="1DBABF00"/>
    <w:multiLevelType w:val="hybridMultilevel"/>
    <w:lvl w:ilvl="0">
      <w:lvlJc w:val="left"/>
      <w:lvlText w:val="%1."/>
      <w:numFmt w:val="decimal"/>
      <w:start w:val="22"/>
    </w:lvl>
  </w:abstractNum>
  <w:abstractNum w:abstractNumId="47">
    <w:nsid w:val="4AD084E9"/>
    <w:multiLevelType w:val="hybridMultilevel"/>
    <w:lvl w:ilvl="0">
      <w:lvlJc w:val="left"/>
      <w:lvlText w:val="%1."/>
      <w:numFmt w:val="decimal"/>
      <w:start w:val="23"/>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1."/>
      <w:numFmt w:val="decimal"/>
      <w:start w:val="1"/>
    </w:lvl>
    <w:lvl w:ilvl="1">
      <w:lvlJc w:val="left"/>
      <w:lvlText w:val="(%2)"/>
      <w:numFmt w:val="lowerLetter"/>
      <w:start w:val="1"/>
    </w:lvl>
  </w:abstractNum>
  <w:abstractNum w:abstractNumId="50">
    <w:nsid w:val="5DB70AE5"/>
    <w:multiLevelType w:val="hybridMultilevel"/>
    <w:lvl w:ilvl="0">
      <w:lvlJc w:val="left"/>
      <w:lvlText w:val="%1"/>
      <w:numFmt w:val="lowerLetter"/>
      <w:start w:val="1"/>
    </w:lvl>
    <w:lvl w:ilvl="1">
      <w:lvlJc w:val="left"/>
      <w:lvlText w:val="(%2)"/>
      <w:numFmt w:val="lowerRoman"/>
      <w:start w:val="1"/>
    </w:lvl>
  </w:abstractNum>
  <w:abstractNum w:abstractNumId="51">
    <w:nsid w:val="100F8FCA"/>
    <w:multiLevelType w:val="hybridMultilevel"/>
    <w:lvl w:ilvl="0">
      <w:lvlJc w:val="left"/>
      <w:lvlText w:val="(%1)"/>
      <w:numFmt w:val="lowerLetter"/>
      <w:start w:val="8"/>
    </w:lvl>
    <w:lvl w:ilvl="1">
      <w:lvlJc w:val="left"/>
      <w:lvlText w:val="%2"/>
      <w:numFmt w:val="lowerRoman"/>
      <w:start w:val="1"/>
    </w:lvl>
  </w:abstractNum>
  <w:abstractNum w:abstractNumId="52">
    <w:nsid w:val="6590700B"/>
    <w:multiLevelType w:val="hybridMultilevel"/>
    <w:lvl w:ilvl="0">
      <w:lvlJc w:val="left"/>
      <w:lvlText w:val="(%1)"/>
      <w:numFmt w:val="lowerLetter"/>
      <w:start w:val="15"/>
    </w:lvl>
    <w:lvl w:ilvl="1">
      <w:lvlJc w:val="left"/>
      <w:lvlText w:val="(%2)"/>
      <w:numFmt w:val="lowerRoman"/>
      <w:start w:val="1"/>
    </w:lvl>
  </w:abstractNum>
  <w:abstractNum w:abstractNumId="53">
    <w:nsid w:val="15014ACB"/>
    <w:multiLevelType w:val="hybridMultilevel"/>
    <w:lvl w:ilvl="0">
      <w:lvlJc w:val="left"/>
      <w:lvlText w:val="(%1)"/>
      <w:numFmt w:val="lowerLetter"/>
      <w:start w:val="23"/>
    </w:lvl>
  </w:abstractNum>
  <w:abstractNum w:abstractNumId="54">
    <w:nsid w:val="5F5E7FD0"/>
    <w:multiLevelType w:val="hybridMultilevel"/>
    <w:lvl w:ilvl="0">
      <w:lvlJc w:val="left"/>
      <w:lvlText w:val="(%1)"/>
      <w:numFmt w:val="lowerLetter"/>
      <w:start w:val="27"/>
    </w:lvl>
  </w:abstractNum>
  <w:abstractNum w:abstractNumId="55">
    <w:nsid w:val="98A3148"/>
    <w:multiLevelType w:val="hybridMultilevel"/>
    <w:lvl w:ilvl="0">
      <w:lvlJc w:val="left"/>
      <w:lvlText w:val="%1"/>
      <w:numFmt w:val="decimal"/>
      <w:start w:val="1"/>
    </w:lvl>
    <w:lvl w:ilvl="1">
      <w:lvlJc w:val="left"/>
      <w:lvlText w:val="(%2)"/>
      <w:numFmt w:val="lowerLetter"/>
      <w:start w:val="34"/>
    </w:lvl>
  </w:abstractNum>
  <w:abstractNum w:abstractNumId="56">
    <w:nsid w:val="799D0247"/>
    <w:multiLevelType w:val="hybridMultilevel"/>
    <w:lvl w:ilvl="0">
      <w:lvlJc w:val="left"/>
      <w:lvlText w:val="%1."/>
      <w:numFmt w:val="decimal"/>
      <w:start w:val="3"/>
    </w:lvl>
    <w:lvl w:ilvl="1">
      <w:lvlJc w:val="left"/>
      <w:lvlText w:val="(%2)"/>
      <w:numFmt w:val="lowerLetter"/>
      <w:start w:val="1"/>
    </w:lvl>
  </w:abstractNum>
  <w:abstractNum w:abstractNumId="57">
    <w:nsid w:val="6B947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8">
    <w:nsid w:val="42C296B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9">
    <w:nsid w:val="168E121F"/>
    <w:multiLevelType w:val="hybridMultilevel"/>
    <w:lvl w:ilvl="0">
      <w:lvlJc w:val="left"/>
      <w:lvlText w:val="(%1)"/>
      <w:numFmt w:val="lowerRoman"/>
      <w:start w:val="6"/>
    </w:lvl>
  </w:abstractNum>
  <w:abstractNum w:abstractNumId="60">
    <w:nsid w:val="1EBA5D23"/>
    <w:multiLevelType w:val="hybridMultilevel"/>
    <w:lvl w:ilvl="0">
      <w:lvlJc w:val="left"/>
      <w:lvlText w:val="(%1)"/>
      <w:numFmt w:val="lowerRoman"/>
      <w:start w:val="19"/>
    </w:lvl>
  </w:abstractNum>
  <w:abstractNum w:abstractNumId="61">
    <w:nsid w:val="661E3F1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62">
    <w:nsid w:val="5DC79EA8"/>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1"/>
    </w:lvl>
  </w:abstractNum>
  <w:abstractNum w:abstractNumId="63">
    <w:nsid w:val="540A471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64">
    <w:nsid w:val="7BD3EE7B"/>
    <w:multiLevelType w:val="hybridMultilevel"/>
    <w:lvl w:ilvl="0">
      <w:lvlJc w:val="left"/>
      <w:lvlText w:val="%1"/>
      <w:numFmt w:val="lowerLetter"/>
      <w:start w:val="1"/>
    </w:lvl>
    <w:lvl w:ilvl="1">
      <w:lvlJc w:val="left"/>
      <w:lvlText w:val="(%2)"/>
      <w:numFmt w:val="lowerRoman"/>
      <w:start w:val="2"/>
    </w:lvl>
  </w:abstractNum>
  <w:abstractNum w:abstractNumId="65">
    <w:nsid w:val="51D9C564"/>
    <w:multiLevelType w:val="hybridMultilevel"/>
    <w:lvl w:ilvl="0">
      <w:lvlJc w:val="left"/>
      <w:lvlText w:val="(%1)"/>
      <w:numFmt w:val="lowerLetter"/>
      <w:start w:val="4"/>
    </w:lvl>
    <w:lvl w:ilvl="1">
      <w:lvlJc w:val="left"/>
      <w:lvlText w:val="(%2)"/>
      <w:numFmt w:val="lowerRoman"/>
      <w:start w:val="1"/>
    </w:lvl>
  </w:abstractNum>
  <w:abstractNum w:abstractNumId="66">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7">
    <w:nsid w:val="BF72B1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8">
    <w:nsid w:val="11447B7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69">
    <w:nsid w:val="42963E5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0">
    <w:nsid w:val="A0382C5"/>
    <w:multiLevelType w:val="hybridMultilevel"/>
    <w:lvl w:ilvl="0">
      <w:lvlJc w:val="left"/>
      <w:lvlText w:val="%1"/>
      <w:numFmt w:val="decimal"/>
      <w:start w:val="1"/>
    </w:lvl>
    <w:lvl w:ilvl="1">
      <w:lvlJc w:val="left"/>
      <w:lvlText w:val="(%2)"/>
      <w:numFmt w:val="lowerLetter"/>
      <w:start w:val="4"/>
    </w:lvl>
  </w:abstractNum>
  <w:abstractNum w:abstractNumId="71">
    <w:nsid w:val="8F2B15E"/>
    <w:multiLevelType w:val="hybridMultilevel"/>
    <w:lvl w:ilvl="0">
      <w:lvlJc w:val="left"/>
      <w:lvlText w:val="%1."/>
      <w:numFmt w:val="decimal"/>
      <w:start w:val="11"/>
    </w:lvl>
    <w:lvl w:ilvl="1">
      <w:lvlJc w:val="left"/>
      <w:lvlText w:val="%2"/>
      <w:numFmt w:val="lowerLetter"/>
      <w:start w:val="1"/>
    </w:lvl>
  </w:abstractNum>
  <w:abstractNum w:abstractNumId="72">
    <w:nsid w:val="1A32234B"/>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73">
    <w:nsid w:val="3B0FD379"/>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74">
    <w:nsid w:val="68EB2F63"/>
    <w:multiLevelType w:val="hybridMultilevel"/>
    <w:lvl w:ilvl="0">
      <w:lvlJc w:val="left"/>
      <w:lvlText w:val="(%1)"/>
      <w:numFmt w:val="lowerRoman"/>
      <w:start w:val="1"/>
    </w:lvl>
    <w:lvl w:ilvl="1">
      <w:lvlJc w:val="left"/>
      <w:lvlText w:val="%2."/>
      <w:numFmt w:val="decimal"/>
      <w:start w:val="16"/>
    </w:lvl>
    <w:lvl w:ilvl="2">
      <w:lvlJc w:val="left"/>
      <w:lvlText w:val="%3"/>
      <w:numFmt w:val="lowerRoman"/>
      <w:start w:val="1"/>
    </w:lvl>
  </w:abstractNum>
  <w:abstractNum w:abstractNumId="75">
    <w:nsid w:val="4962813B"/>
    <w:multiLevelType w:val="hybridMultilevel"/>
    <w:lvl w:ilvl="0">
      <w:lvlJc w:val="left"/>
      <w:lvlText w:val="%1."/>
      <w:numFmt w:val="decimal"/>
      <w:start w:val="17"/>
    </w:lvl>
    <w:lvl w:ilvl="1">
      <w:lvlJc w:val="left"/>
      <w:lvlText w:val="(%2)"/>
      <w:numFmt w:val="lowerLetter"/>
      <w:start w:val="1"/>
    </w:lvl>
  </w:abstractNum>
  <w:abstractNum w:abstractNumId="76">
    <w:nsid w:val="60B6DF70"/>
    <w:multiLevelType w:val="hybridMultilevel"/>
    <w:lvl w:ilvl="0">
      <w:lvlJc w:val="left"/>
      <w:lvlText w:val="%1."/>
      <w:numFmt w:val="decimal"/>
      <w:start w:val="22"/>
    </w:lvl>
    <w:lvl w:ilvl="1">
      <w:lvlJc w:val="left"/>
      <w:lvlText w:val="(%2)"/>
      <w:numFmt w:val="lowerLetter"/>
      <w:start w:val="1"/>
    </w:lvl>
  </w:abstractNum>
  <w:abstractNum w:abstractNumId="77">
    <w:nsid w:val="6A5EE6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78">
    <w:nsid w:val="14330624"/>
    <w:multiLevelType w:val="hybridMultilevel"/>
    <w:lvl w:ilvl="0">
      <w:lvlJc w:val="left"/>
      <w:lvlText w:val="%1."/>
      <w:numFmt w:val="decimal"/>
      <w:start w:val="29"/>
    </w:lvl>
    <w:lvl w:ilvl="1">
      <w:lvlJc w:val="left"/>
      <w:lvlText w:val="%2"/>
      <w:numFmt w:val="lowerLetter"/>
      <w:start w:val="1"/>
    </w:lvl>
    <w:lvl w:ilvl="2">
      <w:lvlJc w:val="left"/>
      <w:lvlText w:val="*"/>
      <w:numFmt w:val="bullet"/>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lowerLetter"/>
      <w:start w:val="1"/>
    </w:lvl>
  </w:abstractNum>
  <w:abstractNum w:abstractNumId="81">
    <w:nsid w:val="71EA1109"/>
    <w:multiLevelType w:val="hybridMultilevel"/>
    <w:lvl w:ilvl="0">
      <w:lvlJc w:val="left"/>
      <w:lvlText w:val="%1."/>
      <w:numFmt w:val="decimal"/>
      <w:start w:val="5"/>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2019-12-29T09:17:54Z</dcterms:created>
  <dcterms:modified xsi:type="dcterms:W3CDTF">2019-12-29T09:17:54Z</dcterms:modified>
</cp:coreProperties>
</file>