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30930_10q.htm"/>
      <w:bookmarkStart w:id="1" w:name="ksaaoi20230930_10q"/>
      <w:bookmarkEnd w:id="0"/>
      <w:bookmarkEnd w:id="1"/>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60"/>
        <w:gridCol w:w="1820"/>
        <w:gridCol w:w="290"/>
        <w:gridCol w:w="2225"/>
        <w:gridCol w:w="29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9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9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9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November 6, 2023 there were 35,536,578 shares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33"/>
        <w:gridCol w:w="9161"/>
        <w:gridCol w:w="411"/>
      </w:tblGrid>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September 30, 2023 (Unaudited) and December 31, 2022</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and Nine Months ended September 30, 2023 and 2022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and Nine Months ended September 30, 2023 and 2022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and Nine Months ended September 30, 2023 and 2022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Nine Months ended September 30, 2023 and 2022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8</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9</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61"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20</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61"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28</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61"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28</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61"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28</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61"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28</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283"/>
              <w:jc w:val="left"/>
              <w:rPr/>
            </w:pPr>
            <w:r>
              <w:rPr/>
              <w:t>Item 5.</w:t>
            </w:r>
          </w:p>
        </w:tc>
        <w:tc>
          <w:tcPr>
            <w:tcW w:w="9161"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29</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6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29</w:t>
              </w:r>
            </w:hyperlink>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33"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30</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869"/>
        <w:gridCol w:w="60"/>
        <w:gridCol w:w="147"/>
        <w:gridCol w:w="894"/>
        <w:gridCol w:w="80"/>
        <w:gridCol w:w="60"/>
        <w:gridCol w:w="143"/>
        <w:gridCol w:w="869"/>
        <w:gridCol w:w="83"/>
      </w:tblGrid>
      <w:tr>
        <w:trPr/>
        <w:tc>
          <w:tcPr>
            <w:tcW w:w="7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24,685</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10,902</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 trade, net of allowance of $1 and $28, respectively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61,175</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Notes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79,679</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6,384</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183,164</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210,184</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5,238</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5,566</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right of use asset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3,699</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408,263</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47,845</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acceptance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12,337</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17,222</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Unearned revenue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liability - operating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liability - financing</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notes payable and long-term debt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57,074</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Convertible senior notes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138,582</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Unearned revenue, Net of Current portion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Non-current lease liability - operating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5,505</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79,506</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223,593</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80,000 shares authorized at $0.001 par value; 34,266 and 28,622 shares issued and outstanding at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391,526</w:t>
            </w:r>
          </w:p>
        </w:tc>
        <w:tc>
          <w:tcPr>
            <w:tcW w:w="83"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2,183</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(251,259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(209,068</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184,670</w:t>
            </w:r>
          </w:p>
        </w:tc>
        <w:tc>
          <w:tcPr>
            <w:tcW w:w="83"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408,263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data)</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377"/>
        <w:gridCol w:w="60"/>
        <w:gridCol w:w="153"/>
        <w:gridCol w:w="1167"/>
        <w:gridCol w:w="98"/>
        <w:gridCol w:w="72"/>
        <w:gridCol w:w="153"/>
        <w:gridCol w:w="1167"/>
        <w:gridCol w:w="80"/>
        <w:gridCol w:w="60"/>
        <w:gridCol w:w="149"/>
        <w:gridCol w:w="1134"/>
        <w:gridCol w:w="95"/>
        <w:gridCol w:w="71"/>
        <w:gridCol w:w="149"/>
        <w:gridCol w:w="1134"/>
        <w:gridCol w:w="86"/>
      </w:tblGrid>
      <w:tr>
        <w:trPr/>
        <w:tc>
          <w:tcPr>
            <w:tcW w:w="43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62,547</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161,233</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42,373</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119,876</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133,832</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20,174</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37,317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27,401</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9,457</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26,633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27,021</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7,631</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7,107</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14,368</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39,870</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33,908</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26,860</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74,134</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68,036</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(6,686</w:t>
            </w:r>
          </w:p>
        </w:tc>
        <w:tc>
          <w:tcPr>
            <w:tcW w:w="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(36,817</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(40,635</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w:t>
            </w:r>
          </w:p>
        </w:tc>
        <w:tc>
          <w:tcPr>
            <w:tcW w:w="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(6,301</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(4,431</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(5,512</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(42,182</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98"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9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9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77"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320"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28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3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28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6" w:type="dxa"/>
            <w:tcBorders/>
            <w:shd w:fill="FFFFFF" w:val="clear"/>
            <w:vAlign w:val="center"/>
          </w:tcPr>
          <w:p>
            <w:pPr>
              <w:pStyle w:val="TableContents"/>
              <w:bidi w:val="0"/>
              <w:spacing w:before="0" w:after="283"/>
              <w:jc w:val="left"/>
              <w:rPr/>
            </w:pPr>
            <w:r>
              <w:rPr/>
              <w:t> </w:t>
            </w:r>
          </w:p>
        </w:tc>
      </w:tr>
      <w:tr>
        <w:trPr/>
        <w:tc>
          <w:tcPr>
            <w:tcW w:w="43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32,774,148</w:t>
            </w:r>
          </w:p>
        </w:tc>
        <w:tc>
          <w:tcPr>
            <w:tcW w:w="9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27,839,245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30,392,483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27,639,671</w:t>
            </w:r>
          </w:p>
        </w:tc>
        <w:tc>
          <w:tcPr>
            <w:tcW w:w="86" w:type="dxa"/>
            <w:tcBorders/>
            <w:shd w:fill="CCEEFF" w:val="clear"/>
            <w:vAlign w:val="center"/>
          </w:tcPr>
          <w:p>
            <w:pPr>
              <w:pStyle w:val="TableContents"/>
              <w:bidi w:val="0"/>
              <w:spacing w:before="0" w:after="283"/>
              <w:jc w:val="left"/>
              <w:rPr/>
            </w:pPr>
            <w:r>
              <w:rPr/>
              <w:t> </w:t>
            </w:r>
          </w:p>
        </w:tc>
      </w:tr>
      <w:tr>
        <w:trPr/>
        <w:tc>
          <w:tcPr>
            <w:tcW w:w="43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32,774,148</w:t>
            </w:r>
          </w:p>
        </w:tc>
        <w:tc>
          <w:tcPr>
            <w:tcW w:w="98"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27,839,245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30,392,483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27,639,671</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9873" w:type="dxa"/>
        <w:jc w:val="left"/>
        <w:tblInd w:w="0" w:type="dxa"/>
        <w:tblLayout w:type="fixed"/>
        <w:tblCellMar>
          <w:top w:w="0" w:type="dxa"/>
          <w:left w:w="0" w:type="dxa"/>
          <w:bottom w:w="0" w:type="dxa"/>
          <w:right w:w="0" w:type="dxa"/>
        </w:tblCellMar>
      </w:tblPr>
      <w:tblGrid>
        <w:gridCol w:w="3890"/>
        <w:gridCol w:w="60"/>
        <w:gridCol w:w="228"/>
        <w:gridCol w:w="997"/>
        <w:gridCol w:w="146"/>
        <w:gridCol w:w="109"/>
        <w:gridCol w:w="228"/>
        <w:gridCol w:w="1189"/>
        <w:gridCol w:w="80"/>
        <w:gridCol w:w="60"/>
        <w:gridCol w:w="207"/>
        <w:gridCol w:w="1080"/>
        <w:gridCol w:w="133"/>
        <w:gridCol w:w="99"/>
        <w:gridCol w:w="207"/>
        <w:gridCol w:w="1080"/>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2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1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(9,671</w:t>
            </w:r>
          </w:p>
        </w:tc>
        <w:tc>
          <w:tcPr>
            <w:tcW w:w="14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(46,561</w:t>
            </w:r>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Nine Months ended September 30, 2023 and 2022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87"/>
      </w:tblGrid>
      <w:tr>
        <w:trPr/>
        <w:tc>
          <w:tcPr>
            <w:tcW w:w="2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31,785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163,259</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options exercised,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(482</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3,235</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22,025</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(718</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(8,953</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34,266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(251,259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178,353</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87"/>
      </w:tblGrid>
      <w:tr>
        <w:trPr/>
        <w:tc>
          <w:tcPr>
            <w:tcW w:w="2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385,531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219,594</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(111</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2,627</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(8,214</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(15,627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30, 2022</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388,316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198,538</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82"/>
        <w:gridCol w:w="60"/>
        <w:gridCol w:w="125"/>
        <w:gridCol w:w="542"/>
        <w:gridCol w:w="71"/>
        <w:gridCol w:w="71"/>
        <w:gridCol w:w="184"/>
        <w:gridCol w:w="436"/>
        <w:gridCol w:w="60"/>
        <w:gridCol w:w="60"/>
        <w:gridCol w:w="69"/>
        <w:gridCol w:w="598"/>
        <w:gridCol w:w="61"/>
        <w:gridCol w:w="61"/>
        <w:gridCol w:w="184"/>
        <w:gridCol w:w="436"/>
        <w:gridCol w:w="60"/>
        <w:gridCol w:w="60"/>
        <w:gridCol w:w="120"/>
        <w:gridCol w:w="665"/>
        <w:gridCol w:w="80"/>
        <w:gridCol w:w="60"/>
        <w:gridCol w:w="205"/>
        <w:gridCol w:w="910"/>
        <w:gridCol w:w="80"/>
        <w:gridCol w:w="60"/>
        <w:gridCol w:w="139"/>
        <w:gridCol w:w="841"/>
        <w:gridCol w:w="80"/>
        <w:gridCol w:w="60"/>
        <w:gridCol w:w="152"/>
        <w:gridCol w:w="846"/>
        <w:gridCol w:w="87"/>
      </w:tblGrid>
      <w:tr>
        <w:trPr/>
        <w:tc>
          <w:tcPr>
            <w:tcW w:w="26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28,623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options exercised,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(640</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8,587</w:t>
            </w:r>
          </w:p>
        </w:tc>
        <w:tc>
          <w:tcPr>
            <w:tcW w:w="87" w:type="dxa"/>
            <w:tcBorders/>
            <w:shd w:fill="FFFFFF" w:val="clear"/>
            <w:vAlign w:val="center"/>
          </w:tcPr>
          <w:p>
            <w:pPr>
              <w:pStyle w:val="TableContents"/>
              <w:bidi w:val="0"/>
              <w:spacing w:before="0" w:after="283"/>
              <w:jc w:val="left"/>
              <w:rPr/>
            </w:pPr>
            <w:r>
              <w:rPr/>
              <w:t> </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32,311</w:t>
            </w:r>
          </w:p>
        </w:tc>
        <w:tc>
          <w:tcPr>
            <w:tcW w:w="87" w:type="dxa"/>
            <w:tcBorders/>
            <w:shd w:fill="CCEEFF" w:val="clear"/>
            <w:vAlign w:val="center"/>
          </w:tcPr>
          <w:p>
            <w:pPr>
              <w:pStyle w:val="TableContents"/>
              <w:bidi w:val="0"/>
              <w:spacing w:before="0" w:after="283"/>
              <w:jc w:val="left"/>
              <w:rPr/>
            </w:pPr>
            <w:r>
              <w:rPr/>
              <w:t> </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rStyle w:val="Emphasis"/>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(4,372</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(42,190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(42,190</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34,266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(251,259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178,353</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875"/>
        <w:gridCol w:w="60"/>
        <w:gridCol w:w="125"/>
        <w:gridCol w:w="545"/>
        <w:gridCol w:w="73"/>
        <w:gridCol w:w="73"/>
        <w:gridCol w:w="184"/>
        <w:gridCol w:w="436"/>
        <w:gridCol w:w="60"/>
        <w:gridCol w:w="60"/>
        <w:gridCol w:w="69"/>
        <w:gridCol w:w="601"/>
        <w:gridCol w:w="61"/>
        <w:gridCol w:w="61"/>
        <w:gridCol w:w="184"/>
        <w:gridCol w:w="436"/>
        <w:gridCol w:w="60"/>
        <w:gridCol w:w="60"/>
        <w:gridCol w:w="120"/>
        <w:gridCol w:w="665"/>
        <w:gridCol w:w="80"/>
        <w:gridCol w:w="60"/>
        <w:gridCol w:w="178"/>
        <w:gridCol w:w="937"/>
        <w:gridCol w:w="80"/>
        <w:gridCol w:w="60"/>
        <w:gridCol w:w="110"/>
        <w:gridCol w:w="665"/>
        <w:gridCol w:w="80"/>
        <w:gridCol w:w="60"/>
        <w:gridCol w:w="152"/>
        <w:gridCol w:w="848"/>
        <w:gridCol w:w="87"/>
      </w:tblGrid>
      <w:tr>
        <w:trPr/>
        <w:tc>
          <w:tcPr>
            <w:tcW w:w="2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January 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27,323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254,570</w:t>
            </w:r>
          </w:p>
        </w:tc>
        <w:tc>
          <w:tcPr>
            <w:tcW w:w="8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7,243</w:t>
            </w:r>
          </w:p>
        </w:tc>
        <w:tc>
          <w:tcPr>
            <w:tcW w:w="87" w:type="dxa"/>
            <w:tcBorders/>
            <w:shd w:fill="CCEEFF" w:val="clear"/>
            <w:vAlign w:val="center"/>
          </w:tcPr>
          <w:p>
            <w:pPr>
              <w:pStyle w:val="TableContents"/>
              <w:bidi w:val="0"/>
              <w:spacing w:before="0" w:after="283"/>
              <w:jc w:val="left"/>
              <w:rPr/>
            </w:pPr>
            <w:r>
              <w:rPr/>
              <w:t> </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w:t>
            </w:r>
          </w:p>
        </w:tc>
        <w:tc>
          <w:tcPr>
            <w:tcW w:w="87" w:type="dxa"/>
            <w:tcBorders/>
            <w:shd w:fill="FFFFFF" w:val="clear"/>
            <w:vAlign w:val="center"/>
          </w:tcPr>
          <w:p>
            <w:pPr>
              <w:pStyle w:val="TableContents"/>
              <w:bidi w:val="0"/>
              <w:spacing w:before="0" w:after="283"/>
              <w:jc w:val="left"/>
              <w:rPr/>
            </w:pPr>
            <w:r>
              <w:rPr/>
              <w:t> </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rStyle w:val="Emphasis"/>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(17,059</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(46,147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2022</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28,058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388,316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198,538</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341"/>
        <w:gridCol w:w="60"/>
        <w:gridCol w:w="195"/>
        <w:gridCol w:w="1020"/>
        <w:gridCol w:w="125"/>
        <w:gridCol w:w="94"/>
        <w:gridCol w:w="195"/>
        <w:gridCol w:w="1091"/>
        <w:gridCol w:w="84"/>
      </w:tblGrid>
      <w:tr>
        <w:trPr/>
        <w:tc>
          <w:tcPr>
            <w:tcW w:w="7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28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28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Allowance of bad debt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3,852</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15,499</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Amortization of debt issuance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Loss (gain) on disposal of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8,587</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Unrealized foreign exchange (gain) loss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2,443</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Accounts receivable, trade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Trade Notes receivable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8,089</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Prepaid income tax</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2,917</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(12,734</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1,384</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(2,251</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(12,992</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10,781</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(2,312</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Accrued Income Tax</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Unearned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9,497</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Lease liability</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(9,479</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(2,915</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(2,450</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(1,948</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(5,158</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(7,336</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47,047</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103,505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(71,834</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(97,298</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42,118</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33,891</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(39,699</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(27,062</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Principal payments of financing lease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Payments of tax withholding on behalf of employees related to share-based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Proceeds from common stock offering,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32,312</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9,276</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5,587</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(4,346</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(6,561</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35,587</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41,136</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31,241</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34,575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net of amounts capitalized</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4,861</w:t>
            </w:r>
          </w:p>
        </w:tc>
        <w:tc>
          <w:tcPr>
            <w:tcW w:w="84" w:type="dxa"/>
            <w:tcBorders/>
            <w:shd w:fill="CCEEFF" w:val="clear"/>
            <w:vAlign w:val="center"/>
          </w:tcPr>
          <w:p>
            <w:pPr>
              <w:pStyle w:val="TableContents"/>
              <w:bidi w:val="0"/>
              <w:spacing w:before="0" w:after="283"/>
              <w:jc w:val="left"/>
              <w:rPr/>
            </w:pPr>
            <w:r>
              <w:rPr/>
              <w:t> </w:t>
            </w:r>
          </w:p>
        </w:tc>
      </w:tr>
      <w:tr>
        <w:trPr/>
        <w:tc>
          <w:tcPr>
            <w:tcW w:w="73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734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734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change in accounts payable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w:t>
            </w:r>
          </w:p>
        </w:tc>
        <w:tc>
          <w:tcPr>
            <w:tcW w:w="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34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Net change in deposits and prepaid for equipment related to property and equipment additions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cable television ("CATV"), internet data center,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 unaudited condensed consolidated financial statements of the Company as of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September 30, 2022</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2022</w:t>
      </w:r>
      <w:r>
        <w:rPr>
          <w:rFonts w:ascii="Times New Roman;Times;serif" w:hAnsi="Times New Roman;Times;serif"/>
          <w:sz w:val="20"/>
        </w:rPr>
        <w:t xml:space="preserve">.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allowance for doubtful accounts, inventory reserve, impairment of long-lived assets, service and product warranty costs, share-based compensation expense, estimated useful lives of property and equipment, and taxes.</w:t>
      </w:r>
    </w:p>
    <w:p>
      <w:pPr>
        <w:pStyle w:val="TextBody"/>
        <w:bidi w:val="0"/>
        <w:spacing w:before="0" w:after="0"/>
        <w:ind w:left="0" w:right="0" w:firstLine="720"/>
        <w:jc w:val="left"/>
        <w:rPr/>
      </w:pPr>
      <w:r>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Termination of the 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 xml:space="preserve">the Company entered into a definitive purchase agreement (the "Purchase Agreement") with Yuhan Optoelectronic Technology (Shanghai) Co., Ltd (the "Purchaser") to divest the Company's manufacturing facilities located in the People's Republic of China and certain assets related to its transceiver business and multi-channel optical sub-assembly products. 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the Company delivered a notice of termination to the Purchaser to terminate the Purchase Agreement as a result of the Purchaser's breach of or omission to observe certain of the Purchaser's obligations under the Purchase Agreement. As a result of the Company's delivery of the termination notice, the Purchase Agreement was terminated.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September 30, 2023</w:t>
      </w:r>
      <w:r>
        <w:rPr>
          <w:rFonts w:ascii="Times New Roman;Times;serif" w:hAnsi="Times New Roman;Times;serif"/>
          <w:sz w:val="20"/>
        </w:rPr>
        <w:t xml:space="preserve">, as compared to the significant accounting policies described in its </w:t>
      </w:r>
      <w:r>
        <w:rPr>
          <w:rStyle w:val="Emphasis"/>
          <w:rFonts w:ascii="Times New Roman;Times;serif" w:hAnsi="Times New Roman;Times;serif"/>
          <w:sz w:val="20"/>
        </w:rPr>
        <w:t>2022</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To date, there have been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recent accounting</w:t>
      </w:r>
      <w:r>
        <w:rPr>
          <w:rFonts w:ascii="Times New Roman" w:hAnsi="Times New Roman"/>
          <w:caps w:val="false"/>
          <w:smallCaps w:val="false"/>
          <w:sz w:val="20"/>
        </w:rPr>
        <w:t xml:space="preserve"> pronouncement </w:t>
      </w:r>
      <w:r>
        <w:rPr>
          <w:rStyle w:val="Emphasis"/>
          <w:rFonts w:ascii="Times New Roman" w:hAnsi="Times New Roman"/>
          <w:caps w:val="false"/>
          <w:smallCaps w:val="false"/>
          <w:sz w:val="20"/>
        </w:rPr>
        <w:t>not</w:t>
      </w:r>
      <w:r>
        <w:rPr>
          <w:rFonts w:ascii="Times New Roman" w:hAnsi="Times New Roman"/>
          <w:caps w:val="false"/>
          <w:smallCaps w:val="false"/>
          <w:sz w:val="20"/>
        </w:rPr>
        <w:t> yet effective that have significance, or potential significance, to our Consolidated Financial Statements. </w:t>
      </w:r>
    </w:p>
    <w:p>
      <w:pPr>
        <w:pStyle w:val="TextBody"/>
        <w:bidi w:val="0"/>
        <w:ind w:left="0" w:right="0" w:firstLine="720"/>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category and is presented below (in thousands):</w:t>
      </w:r>
    </w:p>
    <w:p>
      <w:pPr>
        <w:pStyle w:val="TextBody"/>
        <w:bidi w:val="0"/>
        <w:spacing w:before="0" w:after="0"/>
        <w:ind w:left="0" w:right="0" w:hanging="0"/>
        <w:jc w:val="both"/>
        <w:rPr/>
      </w:pPr>
      <w:r>
        <w:rPr/>
        <w:t>​</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tbl>
      <w:tblPr>
        <w:tblW w:w="504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79"/>
        <w:gridCol w:w="646"/>
        <w:gridCol w:w="185"/>
        <w:gridCol w:w="60"/>
        <w:gridCol w:w="125"/>
        <w:gridCol w:w="695"/>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 Unearned revenue balance as of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was $12.5 million and $3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revenue recognized from the unearned revenue balance wa</w:t>
      </w:r>
      <w:r>
        <w:rPr>
          <w:rFonts w:ascii="Times New Roman;Times;serif" w:hAnsi="Times New Roman;Times;serif"/>
          <w:sz w:val="20"/>
          <w:shd w:fill="FFFFFF" w:val="clear"/>
        </w:rPr>
        <w:t xml:space="preserve">s $1.9 million </w:t>
      </w:r>
      <w:r>
        <w:rPr>
          <w:rFonts w:ascii="Times New Roman;Times;serif" w:hAnsi="Times New Roman;Times;serif"/>
          <w:sz w:val="20"/>
        </w:rPr>
        <w:t xml:space="preserve">and $0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revenue recognized from the unearned revenue balance wa</w:t>
      </w:r>
      <w:r>
        <w:rPr>
          <w:rFonts w:ascii="Times New Roman;Times;serif" w:hAnsi="Times New Roman;Times;serif"/>
          <w:sz w:val="20"/>
          <w:shd w:fill="FFFFFF" w:val="clear"/>
        </w:rPr>
        <w:t xml:space="preserve">s $3.1 million </w:t>
      </w:r>
      <w:r>
        <w:rPr>
          <w:rFonts w:ascii="Times New Roman;Times;serif" w:hAnsi="Times New Roman;Times;serif"/>
          <w:sz w:val="20"/>
        </w:rPr>
        <w:t>and $0 million, respectively.</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Company leases space under non-cancellable operating leases for manufacturing facilities, research and development offices and certain storage facilities and apartments. These leases do </w:t>
      </w:r>
      <w:r>
        <w:rPr>
          <w:rStyle w:val="Emphasis"/>
          <w:rFonts w:ascii="Times New Roman" w:hAnsi="Times New Roman"/>
          <w:sz w:val="20"/>
        </w:rPr>
        <w:t>not</w:t>
      </w:r>
      <w:r>
        <w:rPr>
          <w:rFonts w:ascii="Times New Roman" w:hAnsi="Times New Roman"/>
          <w:sz w:val="20"/>
        </w:rPr>
        <w:t xml:space="preserve"> contain contingent rent provisions. The Company also leases certain machinery, office equipment and a vehicle under an operating lease.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sz w:val="20"/>
        </w:rPr>
        <w:t>one</w:t>
      </w:r>
      <w:r>
        <w:rPr>
          <w:rFonts w:ascii="Times New Roman" w:hAnsi="Times New Roman"/>
          <w:sz w:val="20"/>
        </w:rPr>
        <w:t xml:space="preserv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w:t>
      </w:r>
      <w:r>
        <w:rPr>
          <w:rStyle w:val="Emphasis"/>
          <w:rFonts w:ascii="Times New Roman" w:hAnsi="Times New Roman"/>
          <w:sz w:val="20"/>
        </w:rPr>
        <w:t>one</w:t>
      </w:r>
      <w:r>
        <w:rPr>
          <w:rFonts w:ascii="Times New Roman" w:hAnsi="Times New Roman"/>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160" w:right="0" w:firstLine="540"/>
        <w:jc w:val="left"/>
        <w:rPr/>
      </w:pPr>
      <w:r>
        <w:rPr/>
        <w:t> </w:t>
      </w:r>
    </w:p>
    <w:p>
      <w:pPr>
        <w:pStyle w:val="TextBody"/>
        <w:bidi w:val="0"/>
        <w:spacing w:before="0" w:after="283"/>
        <w:jc w:val="left"/>
        <w:rPr/>
      </w:pPr>
      <w:r>
        <w:rPr>
          <w:rFonts w:ascii="Times New Roman" w:hAnsi="Times New Roman"/>
          <w:sz w:val="20"/>
          <w:shd w:fill="FFFFFF" w:val="clear"/>
        </w:rPr>
        <w:t xml:space="preserve">Lease expense is included under general and administrative expenses and was </w:t>
      </w:r>
      <w:r>
        <w:rPr>
          <w:rFonts w:ascii="Times New Roman" w:hAnsi="Times New Roman"/>
          <w:color w:val="000000"/>
          <w:sz w:val="20"/>
          <w:shd w:fill="FFFFFF" w:val="clear"/>
        </w:rPr>
        <w:t xml:space="preserve">$0.3 million for the </w:t>
      </w:r>
      <w:r>
        <w:rPr>
          <w:rStyle w:val="Emphasis"/>
          <w:rFonts w:ascii="Times New Roman" w:hAnsi="Times New Roman"/>
          <w:color w:val="000000"/>
          <w:sz w:val="20"/>
          <w:shd w:fill="FFFFFF" w:val="clear"/>
        </w:rPr>
        <w:t>three</w:t>
      </w:r>
      <w:r>
        <w:rPr>
          <w:rFonts w:ascii="Times New Roman" w:hAnsi="Times New Roman"/>
          <w:color w:val="000000"/>
          <w:sz w:val="20"/>
          <w:shd w:fill="FFFFFF" w:val="clear"/>
        </w:rPr>
        <w:t xml:space="preserve"> months ended </w:t>
      </w:r>
      <w:r>
        <w:rPr>
          <w:rStyle w:val="Emphasis"/>
          <w:rFonts w:ascii="Times New Roman" w:hAnsi="Times New Roman"/>
          <w:color w:val="000000"/>
          <w:sz w:val="20"/>
          <w:shd w:fill="FFFFFF" w:val="clear"/>
        </w:rPr>
        <w:t xml:space="preserve">September 30, 2023 </w:t>
      </w:r>
      <w:r>
        <w:rPr>
          <w:rFonts w:ascii="Times New Roman" w:hAnsi="Times New Roman"/>
          <w:color w:val="000000"/>
          <w:sz w:val="20"/>
          <w:shd w:fill="FFFFFF" w:val="clear"/>
        </w:rPr>
        <w:t xml:space="preserve">and </w:t>
      </w:r>
      <w:r>
        <w:rPr>
          <w:rStyle w:val="Emphasis"/>
          <w:rFonts w:ascii="Times New Roman" w:hAnsi="Times New Roman"/>
          <w:color w:val="000000"/>
          <w:sz w:val="20"/>
          <w:shd w:fill="FFFFFF" w:val="clear"/>
        </w:rPr>
        <w:t>2022,</w:t>
      </w:r>
      <w:r>
        <w:rPr>
          <w:rFonts w:ascii="Times New Roman" w:hAnsi="Times New Roman"/>
          <w:color w:val="000000"/>
          <w:sz w:val="20"/>
          <w:shd w:fill="FFFFFF" w:val="clear"/>
        </w:rPr>
        <w:t xml:space="preserve"> respectively; the lease expense was $0.9 million for the </w:t>
      </w:r>
      <w:r>
        <w:rPr>
          <w:rStyle w:val="Emphasis"/>
          <w:rFonts w:ascii="Times New Roman" w:hAnsi="Times New Roman"/>
          <w:color w:val="000000"/>
          <w:sz w:val="20"/>
          <w:shd w:fill="FFFFFF" w:val="clear"/>
        </w:rPr>
        <w:t>nine</w:t>
      </w:r>
      <w:r>
        <w:rPr>
          <w:rFonts w:ascii="Times New Roman" w:hAnsi="Times New Roman"/>
          <w:color w:val="000000"/>
          <w:sz w:val="20"/>
          <w:shd w:fill="FFFFFF" w:val="clear"/>
        </w:rPr>
        <w:t xml:space="preserve"> months ended </w:t>
      </w:r>
      <w:r>
        <w:rPr>
          <w:rStyle w:val="Emphasis"/>
          <w:rFonts w:ascii="Times New Roman" w:hAnsi="Times New Roman"/>
          <w:color w:val="000000"/>
          <w:sz w:val="20"/>
          <w:shd w:fill="FFFFFF" w:val="clear"/>
        </w:rPr>
        <w:t xml:space="preserve">September 30, 2023 </w:t>
      </w:r>
      <w:r>
        <w:rPr>
          <w:rFonts w:ascii="Times New Roman" w:hAnsi="Times New Roman"/>
          <w:color w:val="000000"/>
          <w:sz w:val="20"/>
          <w:shd w:fill="FFFFFF" w:val="clear"/>
        </w:rPr>
        <w:t xml:space="preserve">and was $1 million for the </w:t>
      </w:r>
      <w:r>
        <w:rPr>
          <w:rStyle w:val="Emphasis"/>
          <w:rFonts w:ascii="Times New Roman" w:hAnsi="Times New Roman"/>
          <w:color w:val="000000"/>
          <w:sz w:val="20"/>
          <w:shd w:fill="FFFFFF" w:val="clear"/>
        </w:rPr>
        <w:t>nine</w:t>
      </w:r>
      <w:r>
        <w:rPr>
          <w:rFonts w:ascii="Times New Roman" w:hAnsi="Times New Roman"/>
          <w:color w:val="000000"/>
          <w:sz w:val="20"/>
          <w:shd w:fill="FFFFFF" w:val="clear"/>
        </w:rPr>
        <w:t xml:space="preserve"> months ended </w:t>
      </w:r>
      <w:r>
        <w:rPr>
          <w:rStyle w:val="Emphasis"/>
          <w:rFonts w:ascii="Times New Roman" w:hAnsi="Times New Roman"/>
          <w:color w:val="000000"/>
          <w:sz w:val="20"/>
          <w:shd w:fill="FFFFFF" w:val="clear"/>
        </w:rPr>
        <w:t>September 30, 2022</w:t>
      </w:r>
      <w:r>
        <w:rPr>
          <w:rFonts w:ascii="Times New Roman" w:hAnsi="Times New Roman"/>
          <w:color w:val="0782C1"/>
          <w:sz w:val="20"/>
          <w:shd w:fill="FFFFFF" w:val="clear"/>
        </w:rPr>
        <w:t>.</w:t>
      </w:r>
      <w:r>
        <w:rPr>
          <w:sz w:val="20"/>
        </w:rPr>
        <w:t xml:space="preserve">  </w:t>
      </w:r>
      <w:r>
        <w:rPr>
          <w:rFonts w:ascii="Times New Roman" w:hAnsi="Times New Roman"/>
          <w:sz w:val="20"/>
        </w:rPr>
        <w:t>Th</w:t>
      </w:r>
      <w:r>
        <w:rPr>
          <w:sz w:val="20"/>
        </w:rPr>
        <w:t xml:space="preserve"> </w:t>
      </w:r>
      <w:r>
        <w:rPr>
          <w:rFonts w:ascii="Times New Roman" w:hAnsi="Times New Roman"/>
          <w:sz w:val="20"/>
        </w:rPr>
        <w:t>e components of lease expense were as follows for the periods indicated (</w:t>
      </w:r>
      <w:r>
        <w:rPr>
          <w:sz w:val="20"/>
        </w:rPr>
        <w:t xml:space="preserve"> </w:t>
      </w:r>
      <w:r>
        <w:rPr>
          <w:rFonts w:ascii="Times New Roman" w:hAnsi="Times New Roman"/>
          <w:sz w:val="20"/>
        </w:rPr>
        <w:t>in thousands):</w:t>
      </w:r>
      <w:r>
        <w:rPr>
          <w:sz w:val="20"/>
        </w:rPr>
        <w:t xml:space="preserve"> </w:t>
      </w:r>
    </w:p>
    <w:p>
      <w:pPr>
        <w:pStyle w:val="TextBody"/>
        <w:bidi w:val="0"/>
        <w:spacing w:before="0" w:after="0"/>
        <w:ind w:left="0" w:right="0" w:hanging="0"/>
        <w:jc w:val="left"/>
        <w:rPr/>
      </w:pPr>
      <w:r>
        <w:rPr/>
        <w:t>  </w:t>
      </w:r>
    </w:p>
    <w:tbl>
      <w:tblPr>
        <w:tblW w:w="8021" w:type="dxa"/>
        <w:jc w:val="left"/>
        <w:tblInd w:w="0" w:type="dxa"/>
        <w:tblLayout w:type="fixed"/>
        <w:tblCellMar>
          <w:top w:w="0" w:type="dxa"/>
          <w:left w:w="0" w:type="dxa"/>
          <w:bottom w:w="0" w:type="dxa"/>
          <w:right w:w="0" w:type="dxa"/>
        </w:tblCellMar>
      </w:tblPr>
      <w:tblGrid>
        <w:gridCol w:w="2075"/>
        <w:gridCol w:w="60"/>
        <w:gridCol w:w="348"/>
        <w:gridCol w:w="934"/>
        <w:gridCol w:w="167"/>
        <w:gridCol w:w="167"/>
        <w:gridCol w:w="348"/>
        <w:gridCol w:w="934"/>
        <w:gridCol w:w="60"/>
        <w:gridCol w:w="60"/>
        <w:gridCol w:w="337"/>
        <w:gridCol w:w="905"/>
        <w:gridCol w:w="162"/>
        <w:gridCol w:w="162"/>
        <w:gridCol w:w="337"/>
        <w:gridCol w:w="905"/>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lease expense</w:t>
            </w:r>
          </w:p>
        </w:tc>
        <w:tc>
          <w:tcPr>
            <w:tcW w:w="60"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 Term lease expense</w:t>
            </w:r>
          </w:p>
        </w:tc>
        <w:tc>
          <w:tcPr>
            <w:tcW w:w="60" w:type="dxa"/>
            <w:tcBorders/>
            <w:shd w:fill="CCEEFF" w:val="clear"/>
            <w:vAlign w:val="center"/>
          </w:tcPr>
          <w:p>
            <w:pPr>
              <w:pStyle w:val="TableContents"/>
              <w:bidi w:val="0"/>
              <w:spacing w:before="0" w:after="283"/>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September 30, 2023</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4035" w:type="dxa"/>
        <w:jc w:val="left"/>
        <w:tblInd w:w="0" w:type="dxa"/>
        <w:tblLayout w:type="fixed"/>
        <w:tblCellMar>
          <w:top w:w="0" w:type="dxa"/>
          <w:left w:w="0" w:type="dxa"/>
          <w:bottom w:w="0" w:type="dxa"/>
          <w:right w:w="0" w:type="dxa"/>
        </w:tblCellMar>
      </w:tblPr>
      <w:tblGrid>
        <w:gridCol w:w="1760"/>
        <w:gridCol w:w="60"/>
        <w:gridCol w:w="125"/>
        <w:gridCol w:w="860"/>
        <w:gridCol w:w="80"/>
        <w:gridCol w:w="60"/>
        <w:gridCol w:w="125"/>
        <w:gridCol w:w="890"/>
        <w:gridCol w:w="75"/>
      </w:tblGrid>
      <w:tr>
        <w:trPr/>
        <w:tc>
          <w:tcPr>
            <w:tcW w:w="17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Financing</w:t>
            </w:r>
          </w:p>
        </w:tc>
        <w:tc>
          <w:tcPr>
            <w:tcW w:w="75" w:type="dxa"/>
            <w:tcBorders/>
            <w:shd w:fill="FFFFFF" w:val="clear"/>
            <w:vAlign w:val="center"/>
          </w:tcPr>
          <w:p>
            <w:pPr>
              <w:pStyle w:val="TableContents"/>
              <w:bidi w:val="0"/>
              <w:spacing w:before="0" w:after="0"/>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8577" w:type="dxa"/>
        <w:jc w:val="left"/>
        <w:tblInd w:w="0" w:type="dxa"/>
        <w:tblLayout w:type="fixed"/>
        <w:tblCellMar>
          <w:top w:w="0" w:type="dxa"/>
          <w:left w:w="0" w:type="dxa"/>
          <w:bottom w:w="0" w:type="dxa"/>
          <w:right w:w="0" w:type="dxa"/>
        </w:tblCellMar>
      </w:tblPr>
      <w:tblGrid>
        <w:gridCol w:w="5525"/>
        <w:gridCol w:w="60"/>
        <w:gridCol w:w="149"/>
        <w:gridCol w:w="949"/>
        <w:gridCol w:w="462"/>
        <w:gridCol w:w="149"/>
        <w:gridCol w:w="149"/>
        <w:gridCol w:w="949"/>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462"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462"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Remaining Lease Term (Years) - financing leases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462"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Discount Rate - operating leases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w:t>
            </w:r>
          </w:p>
        </w:tc>
        <w:tc>
          <w:tcPr>
            <w:tcW w:w="46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Discount Rate - financing leases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4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633" w:type="dxa"/>
        <w:jc w:val="left"/>
        <w:tblInd w:w="0" w:type="dxa"/>
        <w:tblLayout w:type="fixed"/>
        <w:tblCellMar>
          <w:top w:w="0" w:type="dxa"/>
          <w:left w:w="0" w:type="dxa"/>
          <w:bottom w:w="0" w:type="dxa"/>
          <w:right w:w="0" w:type="dxa"/>
        </w:tblCellMar>
      </w:tblPr>
      <w:tblGrid>
        <w:gridCol w:w="5705"/>
        <w:gridCol w:w="60"/>
        <w:gridCol w:w="337"/>
        <w:gridCol w:w="905"/>
        <w:gridCol w:w="162"/>
        <w:gridCol w:w="162"/>
        <w:gridCol w:w="337"/>
        <w:gridCol w:w="905"/>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42" w:type="dxa"/>
            <w:gridSpan w:val="2"/>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242" w:type="dxa"/>
            <w:gridSpan w:val="2"/>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cash flows from financing lease</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Financing cash flows from financing lease</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418" w:type="dxa"/>
        <w:jc w:val="left"/>
        <w:tblInd w:w="0" w:type="dxa"/>
        <w:tblLayout w:type="fixed"/>
        <w:tblCellMar>
          <w:top w:w="0" w:type="dxa"/>
          <w:left w:w="0" w:type="dxa"/>
          <w:bottom w:w="0" w:type="dxa"/>
          <w:right w:w="0" w:type="dxa"/>
        </w:tblCellMar>
      </w:tblPr>
      <w:tblGrid>
        <w:gridCol w:w="6845"/>
        <w:gridCol w:w="60"/>
        <w:gridCol w:w="207"/>
        <w:gridCol w:w="982"/>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24,685</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10,902</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 xml:space="preserve">Restricted cash includes guarantee deposits for customs duties, China government subsidy fund, and compensating balances associated with certain credit facilities. As of </w:t>
      </w:r>
      <w:r>
        <w:rPr>
          <w:rStyle w:val="Emphasis"/>
          <w:rFonts w:ascii="Times New Roman" w:hAnsi="Times New Roman"/>
          <w:sz w:val="20"/>
        </w:rPr>
        <w:t>September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xml:space="preserve">, there was $6.2 million and $8.7 million of restricted cash required for bank acceptance notes issued to vendors, respectively. In addition, there was $2.5 million and $1.1 million certificate of deposit associated with credit facilities with a bank in China as of </w:t>
      </w:r>
      <w:r>
        <w:rPr>
          <w:rStyle w:val="Emphasis"/>
          <w:rFonts w:ascii="Times New Roman" w:hAnsi="Times New Roman"/>
          <w:sz w:val="20"/>
        </w:rPr>
        <w:t>September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 There was $0.7 million and $1.0 million guarantee deposits for customs duties as of </w:t>
      </w:r>
      <w:r>
        <w:rPr>
          <w:rStyle w:val="Emphasis"/>
          <w:rFonts w:ascii="Times New Roman" w:hAnsi="Times New Roman"/>
          <w:sz w:val="20"/>
        </w:rPr>
        <w:t xml:space="preserve"> September 30, 2023</w:t>
      </w:r>
      <w:r>
        <w:rPr>
          <w:rFonts w:ascii="Times New Roman" w:hAnsi="Times New Roman"/>
          <w:sz w:val="20"/>
        </w:rPr>
        <w:t xml:space="preserve"> and </w:t>
      </w:r>
      <w:r>
        <w:rPr>
          <w:rStyle w:val="Emphasis"/>
          <w:rFonts w:ascii="Times New Roman" w:hAnsi="Times New Roman"/>
          <w:sz w:val="20"/>
        </w:rPr>
        <w:t>December 31, 2022</w:t>
      </w:r>
      <w:r>
        <w:rPr>
          <w:rFonts w:ascii="Times New Roman" w:hAnsi="Times New Roman"/>
          <w:sz w:val="20"/>
        </w:rPr>
        <w:t>, respectively.</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60"/>
        <w:gridCol w:w="60"/>
        <w:gridCol w:w="212"/>
        <w:gridCol w:w="1003"/>
        <w:gridCol w:w="135"/>
        <w:gridCol w:w="101"/>
        <w:gridCol w:w="212"/>
        <w:gridCol w:w="1105"/>
        <w:gridCol w:w="80"/>
        <w:gridCol w:w="60"/>
        <w:gridCol w:w="198"/>
        <w:gridCol w:w="1037"/>
        <w:gridCol w:w="127"/>
        <w:gridCol w:w="95"/>
        <w:gridCol w:w="198"/>
        <w:gridCol w:w="1037"/>
        <w:gridCol w:w="85"/>
      </w:tblGrid>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5" w:type="dxa"/>
            <w:tcBorders/>
            <w:shd w:fill="FFFF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3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2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3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2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3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317"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32,774</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30,392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27,640</w:t>
            </w:r>
          </w:p>
        </w:tc>
        <w:tc>
          <w:tcPr>
            <w:tcW w:w="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32,774</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30,392</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27,640</w:t>
            </w:r>
          </w:p>
        </w:tc>
        <w:tc>
          <w:tcPr>
            <w:tcW w:w="8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1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31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35"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13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12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(0.27</w:t>
            </w:r>
          </w:p>
        </w:tc>
        <w:tc>
          <w:tcPr>
            <w:tcW w:w="13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1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hanging="0"/>
        <w:jc w:val="left"/>
        <w:rPr/>
      </w:pPr>
      <w:r>
        <w:rPr/>
        <w:t>​</w:t>
      </w:r>
    </w:p>
    <w:tbl>
      <w:tblPr>
        <w:tblW w:w="8754" w:type="dxa"/>
        <w:jc w:val="left"/>
        <w:tblInd w:w="0" w:type="dxa"/>
        <w:tblLayout w:type="fixed"/>
        <w:tblCellMar>
          <w:top w:w="0" w:type="dxa"/>
          <w:left w:w="0" w:type="dxa"/>
          <w:bottom w:w="0" w:type="dxa"/>
          <w:right w:w="0" w:type="dxa"/>
        </w:tblCellMar>
      </w:tblPr>
      <w:tblGrid>
        <w:gridCol w:w="2810"/>
        <w:gridCol w:w="60"/>
        <w:gridCol w:w="143"/>
        <w:gridCol w:w="1162"/>
        <w:gridCol w:w="143"/>
        <w:gridCol w:w="143"/>
        <w:gridCol w:w="143"/>
        <w:gridCol w:w="1162"/>
        <w:gridCol w:w="60"/>
        <w:gridCol w:w="60"/>
        <w:gridCol w:w="139"/>
        <w:gridCol w:w="1126"/>
        <w:gridCol w:w="139"/>
        <w:gridCol w:w="139"/>
        <w:gridCol w:w="139"/>
        <w:gridCol w:w="112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stock options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305" w:type="dxa"/>
            <w:gridSpan w:val="2"/>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2,650</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305"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for convertible senior notes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7,245</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5,560</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bidi w:val="0"/>
        <w:spacing w:before="0" w:after="0"/>
        <w:ind w:left="0" w:right="0" w:firstLine="720"/>
        <w:jc w:val="left"/>
        <w:rPr/>
      </w:pPr>
      <w:r>
        <w:rPr/>
        <w:t>​</w:t>
      </w:r>
    </w:p>
    <w:tbl>
      <w:tblPr>
        <w:tblW w:w="6433" w:type="dxa"/>
        <w:jc w:val="left"/>
        <w:tblInd w:w="0" w:type="dxa"/>
        <w:tblLayout w:type="fixed"/>
        <w:tblCellMar>
          <w:top w:w="0" w:type="dxa"/>
          <w:left w:w="0" w:type="dxa"/>
          <w:bottom w:w="0" w:type="dxa"/>
          <w:right w:w="0" w:type="dxa"/>
        </w:tblCellMar>
      </w:tblPr>
      <w:tblGrid>
        <w:gridCol w:w="2930"/>
        <w:gridCol w:w="60"/>
        <w:gridCol w:w="288"/>
        <w:gridCol w:w="1366"/>
        <w:gridCol w:w="60"/>
        <w:gridCol w:w="60"/>
        <w:gridCol w:w="280"/>
        <w:gridCol w:w="1329"/>
        <w:gridCol w:w="60"/>
      </w:tblGrid>
      <w:tr>
        <w:trPr/>
        <w:tc>
          <w:tcPr>
            <w:tcW w:w="293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25,732</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39,563</w:t>
            </w:r>
          </w:p>
        </w:tc>
        <w:tc>
          <w:tcPr>
            <w:tcW w:w="6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14,384</w:t>
            </w:r>
          </w:p>
        </w:tc>
        <w:tc>
          <w:tcPr>
            <w:tcW w:w="6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60" w:right="0" w:firstLine="54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inventory reserve adjustment expensed for inventory was $2.4 million, and $1.4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inventory reserve adjustment expensed for inventory was $7.5 million, and $3.9 million, respectively.</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160" w:right="0" w:firstLine="540"/>
        <w:jc w:val="left"/>
        <w:rPr/>
      </w:pPr>
      <w:r>
        <w:rPr>
          <w:rFonts w:ascii="Times New Roman" w:hAnsi="Times New Roman"/>
          <w:caps w:val="false"/>
          <w:smallCaps w:val="false"/>
          <w:sz w:val="20"/>
        </w:rPr>
        <w:t>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direct inventory write-offs related to scrap, discontinued products, and damaged inventories were $1.5 million and $1.1 million, respectively.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the direct inventory write-offs related to scrap, discontinued products, and damaged inventories were $8.4 million and $3.8 million, respectively.</w:t>
      </w:r>
    </w:p>
    <w:p>
      <w:pPr>
        <w:pStyle w:val="TextBody"/>
        <w:bidi w:val="0"/>
        <w:spacing w:before="0" w:after="0"/>
        <w:ind w:left="160" w:right="0" w:firstLine="540"/>
        <w:jc w:val="left"/>
        <w:rPr>
          <w:caps w:val="false"/>
          <w:smallCaps w:val="false"/>
        </w:rPr>
      </w:pPr>
      <w:r>
        <w:rPr>
          <w:caps w:val="false"/>
          <w:smallCaps w:val="false"/>
        </w:rPr>
        <w:t xml:space="preserve">    </w:t>
      </w:r>
      <w:r>
        <w:rPr>
          <w:caps w:val="false"/>
          <w:smallCaps w:val="false"/>
          <w:shd w:fill="FFFFFF" w:val="clear"/>
        </w:rPr>
        <w:t xml:space="preserve">​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7493" w:type="dxa"/>
        <w:jc w:val="left"/>
        <w:tblInd w:w="0" w:type="dxa"/>
        <w:tblLayout w:type="fixed"/>
        <w:tblCellMar>
          <w:top w:w="0" w:type="dxa"/>
          <w:left w:w="0" w:type="dxa"/>
          <w:bottom w:w="0" w:type="dxa"/>
          <w:right w:w="0" w:type="dxa"/>
        </w:tblCellMar>
      </w:tblPr>
      <w:tblGrid>
        <w:gridCol w:w="3950"/>
        <w:gridCol w:w="60"/>
        <w:gridCol w:w="234"/>
        <w:gridCol w:w="1420"/>
        <w:gridCol w:w="80"/>
        <w:gridCol w:w="60"/>
        <w:gridCol w:w="228"/>
        <w:gridCol w:w="1381"/>
        <w:gridCol w:w="80"/>
      </w:tblGrid>
      <w:tr>
        <w:trPr/>
        <w:tc>
          <w:tcPr>
            <w:tcW w:w="39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September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86,372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251,216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11,713</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356,168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4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178,649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4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210,184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$4.8 million </w:t>
      </w:r>
      <w:r>
        <w:rPr>
          <w:rFonts w:ascii="Times New Roman;Times;serif" w:hAnsi="Times New Roman;Times;serif"/>
          <w:sz w:val="20"/>
        </w:rPr>
        <w:t xml:space="preserve">and $5.5 million, respectively.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depreciation expense of property, plant and equipment wa</w:t>
      </w:r>
      <w:r>
        <w:rPr>
          <w:rFonts w:ascii="Times New Roman;Times;serif" w:hAnsi="Times New Roman;Times;serif"/>
          <w:sz w:val="20"/>
          <w:shd w:fill="FFFFFF" w:val="clear"/>
        </w:rPr>
        <w:t xml:space="preserve">s $15 million </w:t>
      </w:r>
      <w:r>
        <w:rPr>
          <w:rFonts w:ascii="Times New Roman;Times;serif" w:hAnsi="Times New Roman;Times;serif"/>
          <w:sz w:val="20"/>
        </w:rPr>
        <w:t xml:space="preserve">and $17.2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 capitalized interest was $0 million and $0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September 30, 2023</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i/>
          <w:sz w:val="20"/>
        </w:rPr>
        <w:t>Property, Plant, and Equipment</w:t>
      </w:r>
      <w:r>
        <w:rPr>
          <w:rFonts w:ascii="Times New Roman;Times;serif" w:hAnsi="Times New Roman;Times;serif"/>
          <w:sz w:val="20"/>
        </w:rPr>
        <w:t>.  The Company performed a recoverability test and concluded that future undiscounted cash flows exceed the carrying amount of the Company’s long-lived assets and therefore no impairment charge was recorded.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45" w:type="dxa"/>
        <w:jc w:val="left"/>
        <w:tblInd w:w="0" w:type="dxa"/>
        <w:tblLayout w:type="fixed"/>
        <w:tblCellMar>
          <w:top w:w="0" w:type="dxa"/>
          <w:left w:w="0" w:type="dxa"/>
          <w:bottom w:w="0" w:type="dxa"/>
          <w:right w:w="0" w:type="dxa"/>
        </w:tblCellMar>
      </w:tblPr>
      <w:tblGrid>
        <w:gridCol w:w="1865"/>
        <w:gridCol w:w="60"/>
        <w:gridCol w:w="139"/>
        <w:gridCol w:w="541"/>
        <w:gridCol w:w="60"/>
        <w:gridCol w:w="60"/>
        <w:gridCol w:w="208"/>
        <w:gridCol w:w="907"/>
        <w:gridCol w:w="80"/>
        <w:gridCol w:w="60"/>
        <w:gridCol w:w="182"/>
        <w:gridCol w:w="708"/>
        <w:gridCol w:w="7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September 30, 2023</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15" w:type="dxa"/>
        <w:jc w:val="left"/>
        <w:tblInd w:w="0" w:type="dxa"/>
        <w:tblLayout w:type="fixed"/>
        <w:tblCellMar>
          <w:top w:w="0" w:type="dxa"/>
          <w:left w:w="0" w:type="dxa"/>
          <w:bottom w:w="0" w:type="dxa"/>
          <w:right w:w="0" w:type="dxa"/>
        </w:tblCellMar>
      </w:tblPr>
      <w:tblGrid>
        <w:gridCol w:w="1850"/>
        <w:gridCol w:w="60"/>
        <w:gridCol w:w="139"/>
        <w:gridCol w:w="541"/>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3,664</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amortization expense for intangible assets, included in general and administrative expenses on the statement of operations, was each $0.2 million.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amortization expense for intangible assets, included in general and administrative expenses on the statement of operations, was each $0.5 million. The remaining weighted average amortization period for intangible assets is approxi</w:t>
      </w:r>
      <w:r>
        <w:rPr>
          <w:rFonts w:ascii="Times New Roman;Times;serif" w:hAnsi="Times New Roman;Times;serif"/>
          <w:sz w:val="20"/>
          <w:shd w:fill="FFFFFF" w:val="clear"/>
        </w:rPr>
        <w:t>mately 5.4 years.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At </w:t>
      </w:r>
      <w:r>
        <w:rPr>
          <w:rStyle w:val="Emphasis"/>
          <w:rFonts w:ascii="Times New Roman;Times;serif" w:hAnsi="Times New Roman;Times;serif"/>
          <w:sz w:val="20"/>
        </w:rPr>
        <w:t>September 30, 2023</w:t>
      </w:r>
      <w:r>
        <w:rPr>
          <w:rFonts w:ascii="Times New Roman;Times;serif" w:hAnsi="Times New Roman;Times;serif"/>
          <w:sz w:val="20"/>
        </w:rPr>
        <w:t xml:space="preserve">, future amortization expense for intangible assets for future </w:t>
      </w:r>
      <w:r>
        <w:rPr>
          <w:rStyle w:val="Emphasis"/>
          <w:rFonts w:ascii="Times New Roman;Times;serif" w:hAnsi="Times New Roman;Times;serif"/>
          <w:sz w:val="20"/>
        </w:rPr>
        <w:t>one</w:t>
      </w:r>
      <w:r>
        <w:rPr>
          <w:rFonts w:ascii="Times New Roman;Times;serif" w:hAnsi="Times New Roman;Times;serif"/>
          <w:sz w:val="20"/>
        </w:rPr>
        <w:t xml:space="preserve"> year periods is estimated to be (in thousands):</w:t>
      </w:r>
    </w:p>
    <w:p>
      <w:pPr>
        <w:pStyle w:val="TextBody"/>
        <w:bidi w:val="0"/>
        <w:spacing w:before="0" w:after="0"/>
        <w:ind w:left="0" w:right="0" w:firstLine="720"/>
        <w:jc w:val="left"/>
        <w:rPr/>
      </w:pPr>
      <w:r>
        <w:rPr/>
        <w:t> </w:t>
      </w:r>
    </w:p>
    <w:tbl>
      <w:tblPr>
        <w:tblW w:w="2325" w:type="dxa"/>
        <w:jc w:val="left"/>
        <w:tblInd w:w="0" w:type="dxa"/>
        <w:tblLayout w:type="fixed"/>
        <w:tblCellMar>
          <w:top w:w="0" w:type="dxa"/>
          <w:left w:w="0" w:type="dxa"/>
          <w:bottom w:w="0" w:type="dxa"/>
          <w:right w:w="0" w:type="dxa"/>
        </w:tblCellMar>
      </w:tblPr>
      <w:tblGrid>
        <w:gridCol w:w="1595"/>
        <w:gridCol w:w="60"/>
        <w:gridCol w:w="125"/>
        <w:gridCol w:w="485"/>
        <w:gridCol w:w="60"/>
      </w:tblGrid>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September 30, 2023</w:t>
      </w:r>
      <w:r>
        <w:rPr>
          <w:rFonts w:ascii="Times New Roman;Times;serif" w:hAnsi="Times New Roman;Times;serif"/>
          <w:sz w:val="20"/>
        </w:rPr>
        <w:t xml:space="preserve"> was $85.2 million and $56.5 million, respectively. As of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fair value and carrying amount of our convertible senior notes was $58.3 million and $79.5 million, respectively.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479"/>
        <w:gridCol w:w="60"/>
        <w:gridCol w:w="199"/>
        <w:gridCol w:w="1045"/>
        <w:gridCol w:w="80"/>
        <w:gridCol w:w="60"/>
        <w:gridCol w:w="193"/>
        <w:gridCol w:w="1007"/>
        <w:gridCol w:w="82"/>
      </w:tblGrid>
      <w:tr>
        <w:trPr/>
        <w:tc>
          <w:tcPr>
            <w:tcW w:w="74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September 30,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U.S. bank up to $27.780 million with interest at 9.190%, maturing the earlier of either 12/14/2023 or 11/16/2025 if the convertible debt remains in effect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82" w:type="dxa"/>
            <w:tcBorders/>
            <w:shd w:fill="CCEEFF" w:val="clear"/>
            <w:vAlign w:val="center"/>
          </w:tcPr>
          <w:p>
            <w:pPr>
              <w:pStyle w:val="TableContents"/>
              <w:bidi w:val="0"/>
              <w:spacing w:before="0" w:after="283"/>
              <w:jc w:val="left"/>
              <w:rPr/>
            </w:pPr>
            <w:r>
              <w:rPr/>
              <w:t> </w:t>
            </w:r>
          </w:p>
        </w:tc>
      </w:tr>
      <w:tr>
        <w:trPr/>
        <w:tc>
          <w:tcPr>
            <w:tcW w:w="74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line of credit with a China bank up to $19.04 million with interest from 4.57% to 6.12%, maturing May 24, 2024</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with a China bank up to $26.65 million with interest of 4.45% ~ 6.6%, maturing June 6, 2027</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20,140</w:t>
            </w:r>
          </w:p>
        </w:tc>
        <w:tc>
          <w:tcPr>
            <w:tcW w:w="82" w:type="dxa"/>
            <w:tcBorders/>
            <w:shd w:fill="CCEEFF" w:val="clear"/>
            <w:vAlign w:val="center"/>
          </w:tcPr>
          <w:p>
            <w:pPr>
              <w:pStyle w:val="TableContents"/>
              <w:bidi w:val="0"/>
              <w:spacing w:before="0" w:after="0"/>
              <w:jc w:val="left"/>
              <w:rPr/>
            </w:pPr>
            <w:r>
              <w:rPr/>
              <w:t> </w:t>
            </w:r>
          </w:p>
        </w:tc>
      </w:tr>
      <w:tr>
        <w:trPr/>
        <w:tc>
          <w:tcPr>
            <w:tcW w:w="74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with a China bank up to $728 with interest of 2.7%, maturing November 23, 2023</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58,242</w:t>
            </w:r>
          </w:p>
        </w:tc>
        <w:tc>
          <w:tcPr>
            <w:tcW w:w="82" w:type="dxa"/>
            <w:tcBorders/>
            <w:shd w:fill="CCEEFF" w:val="clear"/>
            <w:vAlign w:val="center"/>
          </w:tcPr>
          <w:p>
            <w:pPr>
              <w:pStyle w:val="TableContents"/>
              <w:bidi w:val="0"/>
              <w:spacing w:before="0" w:after="283"/>
              <w:jc w:val="left"/>
              <w:rPr/>
            </w:pPr>
            <w:r>
              <w:rPr/>
              <w:t> </w:t>
            </w:r>
          </w:p>
        </w:tc>
      </w:tr>
      <w:tr>
        <w:trPr/>
        <w:tc>
          <w:tcPr>
            <w:tcW w:w="74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 net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total</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2" w:type="dxa"/>
            <w:tcBorders/>
            <w:shd w:fill="CCEEFF" w:val="clear"/>
            <w:vAlign w:val="center"/>
          </w:tcPr>
          <w:p>
            <w:pPr>
              <w:pStyle w:val="TableContents"/>
              <w:bidi w:val="0"/>
              <w:spacing w:before="0" w:after="283"/>
              <w:jc w:val="left"/>
              <w:rPr/>
            </w:pPr>
            <w:r>
              <w:rPr/>
              <w:t> </w:t>
            </w:r>
          </w:p>
        </w:tc>
      </w:tr>
      <w:tr>
        <w:trPr/>
        <w:tc>
          <w:tcPr>
            <w:tcW w:w="74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(57,074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4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4" w:type="dxa"/>
            <w:gridSpan w:val="2"/>
            <w:tcBorders/>
            <w:shd w:fill="FFFFFF" w:val="clear"/>
            <w:vAlign w:val="center"/>
          </w:tcPr>
          <w:p>
            <w:pPr>
              <w:pStyle w:val="TableContents"/>
              <w:bidi w:val="0"/>
              <w:spacing w:before="0" w:after="0"/>
              <w:ind w:left="0" w:right="0" w:hanging="0"/>
              <w:jc w:val="righ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0" w:type="dxa"/>
            <w:gridSpan w:val="2"/>
            <w:tcBorders/>
            <w:shd w:fill="FFFFFF" w:val="clear"/>
            <w:vAlign w:val="center"/>
          </w:tcPr>
          <w:p>
            <w:pPr>
              <w:pStyle w:val="TableContents"/>
              <w:bidi w:val="0"/>
              <w:spacing w:before="0" w:after="0"/>
              <w:ind w:left="0" w:right="0" w:hanging="0"/>
              <w:jc w:val="righ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47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4" w:type="dxa"/>
            <w:gridSpan w:val="2"/>
            <w:tcBorders/>
            <w:shd w:fill="CCEEFF" w:val="clear"/>
            <w:vAlign w:val="center"/>
          </w:tcPr>
          <w:p>
            <w:pPr>
              <w:pStyle w:val="TableContents"/>
              <w:bidi w:val="0"/>
              <w:spacing w:before="0" w:after="0"/>
              <w:ind w:left="0" w:right="0" w:hanging="0"/>
              <w:jc w:val="righ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0" w:type="dxa"/>
            <w:gridSpan w:val="2"/>
            <w:tcBorders/>
            <w:shd w:fill="CCEEFF" w:val="clear"/>
            <w:vAlign w:val="center"/>
          </w:tcPr>
          <w:p>
            <w:pPr>
              <w:pStyle w:val="TableContents"/>
              <w:bidi w:val="0"/>
              <w:spacing w:before="0" w:after="0"/>
              <w:ind w:left="0" w:right="0" w:hanging="0"/>
              <w:jc w:val="right"/>
              <w:rPr/>
            </w:pPr>
            <w:r>
              <w:rPr/>
              <w:t> </w:t>
            </w:r>
          </w:p>
        </w:tc>
        <w:tc>
          <w:tcPr>
            <w:tcW w:w="82" w:type="dxa"/>
            <w:tcBorders/>
            <w:shd w:fill="CCEEFF" w:val="clear"/>
            <w:vAlign w:val="center"/>
          </w:tcPr>
          <w:p>
            <w:pPr>
              <w:pStyle w:val="TableContents"/>
              <w:bidi w:val="0"/>
              <w:spacing w:before="0" w:after="0"/>
              <w:jc w:val="left"/>
              <w:rPr/>
            </w:pPr>
            <w:r>
              <w:rPr/>
              <w:t> </w:t>
            </w:r>
          </w:p>
        </w:tc>
      </w:tr>
      <w:tr>
        <w:trPr/>
        <w:tc>
          <w:tcPr>
            <w:tcW w:w="747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Bank Acceptance Notes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44" w:type="dxa"/>
            <w:gridSpan w:val="2"/>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0" w:type="dxa"/>
            <w:gridSpan w:val="2"/>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4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acceptance notes issued to vendors with a zero percent interest rate</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September 30, 2023</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 xml:space="preserve">-year periods ending </w:t>
      </w:r>
      <w:r>
        <w:rPr>
          <w:rStyle w:val="Emphasis"/>
          <w:rFonts w:ascii="Times New Roman;Times;serif" w:hAnsi="Times New Roman;Times;serif"/>
          <w:sz w:val="20"/>
        </w:rPr>
        <w:t>September 30, 2023</w:t>
      </w:r>
      <w:r>
        <w:rPr>
          <w:rFonts w:ascii="Times New Roman;Times;serif" w:hAnsi="Times New Roman;Times;serif"/>
          <w:sz w:val="20"/>
        </w:rPr>
        <w:t xml:space="preserve"> (in thousands):</w:t>
      </w:r>
    </w:p>
    <w:p>
      <w:pPr>
        <w:pStyle w:val="TextBody"/>
        <w:bidi w:val="0"/>
        <w:spacing w:before="0" w:after="0"/>
        <w:ind w:left="0" w:right="0" w:firstLine="720"/>
        <w:jc w:val="left"/>
        <w:rPr/>
      </w:pPr>
      <w:r>
        <w:rPr/>
        <w:t>​</w:t>
      </w:r>
    </w:p>
    <w:tbl>
      <w:tblPr>
        <w:tblW w:w="2310" w:type="dxa"/>
        <w:jc w:val="left"/>
        <w:tblInd w:w="0" w:type="dxa"/>
        <w:tblLayout w:type="fixed"/>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31,323</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Beyond one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16, 2022, </w:t>
      </w:r>
      <w:r>
        <w:rPr>
          <w:rFonts w:ascii="Times New Roman" w:hAnsi="Times New Roman"/>
          <w:caps w:val="false"/>
          <w:smallCaps w:val="false"/>
          <w:sz w:val="20"/>
        </w:rPr>
        <w:t xml:space="preserve">the Company entered into a Loan Security and Guarantee Agreement (the "Credit Facility") with CIT Northbridge Credit, LLC ("CIT"), as agent for secured parties. The Credit Facility provides the Company with a three-year, $27.78 million revolving line of credit. Borrowings under the Credit Facility will be used for working capital needs, capital expenditures, and other corporate purposes. The Company's obligations under the Credit Facility are secured by the Company's inventory, accounts receivable, instruments, equipment, intellectual property, and all business assets with the exception of real estate and all foreign assets. Borrowings will bear interest at a rate equal to the Secured Overnight Financing Rate (SOFR) plus 3.75%, while monthly average usage is less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Credit Facility, otherwise SOFR plus 4.75%. The Credit Facility will become due at the earlier date of either </w:t>
      </w:r>
      <w:r>
        <w:rPr>
          <w:rStyle w:val="Emphasis"/>
          <w:rFonts w:ascii="Times New Roman" w:hAnsi="Times New Roman"/>
          <w:caps w:val="false"/>
          <w:smallCaps w:val="false"/>
          <w:sz w:val="20"/>
        </w:rPr>
        <w:t xml:space="preserve">November 16, 2025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91</w:t>
      </w:r>
      <w:r>
        <w:rPr>
          <w:rFonts w:ascii="Times New Roman" w:hAnsi="Times New Roman"/>
          <w:caps w:val="false"/>
          <w:smallCaps w:val="false"/>
          <w:sz w:val="20"/>
        </w:rPr>
        <w:t xml:space="preserve"> days prior to the maturity of the Convertible Notes.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$0 was outstanding under the Credit Facility. On </w:t>
      </w:r>
      <w:r>
        <w:rPr>
          <w:rStyle w:val="Emphasis"/>
          <w:rFonts w:ascii="Times New Roman" w:hAnsi="Times New Roman"/>
          <w:caps w:val="false"/>
          <w:smallCaps w:val="false"/>
          <w:sz w:val="20"/>
        </w:rPr>
        <w:t xml:space="preserve">August 16, 2023, </w:t>
      </w:r>
      <w:r>
        <w:rPr>
          <w:rFonts w:ascii="Times New Roman" w:hAnsi="Times New Roman"/>
          <w:caps w:val="false"/>
          <w:smallCaps w:val="false"/>
          <w:sz w:val="20"/>
        </w:rPr>
        <w:t xml:space="preserve">the Company delivered a termination notice to CIT to terminate the Credit Facility. As a result of the Company's delivery of such termination notice, the Credit Facility will be terminated effective as of </w:t>
      </w:r>
      <w:r>
        <w:rPr>
          <w:rStyle w:val="Emphasis"/>
          <w:rFonts w:ascii="Times New Roman" w:hAnsi="Times New Roman"/>
          <w:caps w:val="false"/>
          <w:smallCaps w:val="false"/>
          <w:sz w:val="20"/>
        </w:rPr>
        <w:t>November 17, 2023.</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$13.4 million was outstanding under the SPD Credit Line and the outstanding balance of bank acceptance notes issued to vendors was </w:t>
      </w:r>
      <w:r>
        <w:rPr>
          <w:rStyle w:val="Emphasis"/>
          <w:rFonts w:ascii="Times New Roman" w:hAnsi="Times New Roman"/>
          <w:caps w:val="false"/>
          <w:smallCaps w:val="false"/>
          <w:sz w:val="20"/>
        </w:rPr>
        <w:t>$10.8</w:t>
      </w:r>
      <w:r>
        <w:rPr>
          <w:rFonts w:ascii="Times New Roman" w:hAnsi="Times New Roman"/>
          <w:caps w:val="false"/>
          <w:smallCaps w:val="false"/>
          <w:sz w:val="20"/>
        </w:rPr>
        <w:t> million.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or approximately $29.9 million at that time.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between </w:t>
      </w:r>
      <w:r>
        <w:rPr>
          <w:rStyle w:val="Emphasis"/>
          <w:rFonts w:ascii="Times New Roman" w:hAnsi="Times New Roman"/>
          <w:caps w:val="false"/>
          <w:smallCaps w:val="false"/>
          <w:sz w:val="20"/>
        </w:rPr>
        <w:t xml:space="preserve">June 7,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6, 2027 ("¥200M</w:t>
      </w:r>
      <w:r>
        <w:rPr>
          <w:rFonts w:ascii="Times New Roman" w:hAnsi="Times New Roman"/>
          <w:caps w:val="false"/>
          <w:smallCaps w:val="false"/>
          <w:sz w:val="20"/>
        </w:rPr>
        <w:t xml:space="preserve"> Credit Period"). During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Period,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request to draw upon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on an as-needed basis; however, draws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will be secured by real property owned by Global and mortgaged to CZB under the terms of the Real Estate Security Agreement.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$18.8 million was outstanding under the </w:t>
      </w:r>
      <w:r>
        <w:rPr>
          <w:rStyle w:val="Emphasis"/>
          <w:rFonts w:ascii="Times New Roman" w:hAnsi="Times New Roman"/>
          <w:caps w:val="false"/>
          <w:smallCaps w:val="false"/>
          <w:sz w:val="20"/>
        </w:rPr>
        <w:t>¥200M</w:t>
      </w:r>
      <w:r>
        <w:rPr>
          <w:rFonts w:ascii="Times New Roman" w:hAnsi="Times New Roman"/>
          <w:caps w:val="false"/>
          <w:smallCaps w:val="false"/>
          <w:sz w:val="20"/>
        </w:rPr>
        <w:t xml:space="preserve"> Credit Facility and the outstanding balance of bank acceptance notes issued to vendors was $3.6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As of </w:t>
      </w:r>
      <w:r>
        <w:rPr>
          <w:rStyle w:val="Emphasis"/>
          <w:rFonts w:ascii="Times New Roman;Times;serif" w:hAnsi="Times New Roman;Times;serif"/>
          <w:sz w:val="20"/>
        </w:rPr>
        <w:t>September 30, 2023</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2022</w:t>
      </w:r>
      <w:r>
        <w:rPr>
          <w:rFonts w:ascii="Times New Roman;Times;serif" w:hAnsi="Times New Roman;Times;serif"/>
          <w:sz w:val="20"/>
          <w:shd w:fill="FFFFFF" w:val="clear"/>
        </w:rPr>
        <w:t>, the Company had $42.2</w:t>
      </w:r>
      <w:r>
        <w:rPr>
          <w:rFonts w:ascii="Times New Roman;Times;serif" w:hAnsi="Times New Roman;Times;serif"/>
          <w:sz w:val="20"/>
        </w:rPr>
        <w:t> million and $13.3 </w:t>
      </w:r>
      <w:r>
        <w:rPr>
          <w:rFonts w:ascii="Times New Roman;Times;serif" w:hAnsi="Times New Roman;Times;serif"/>
          <w:sz w:val="20"/>
          <w:shd w:fill="FFFFFF" w:val="clear"/>
        </w:rPr>
        <w:t>million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September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there </w:t>
      </w:r>
      <w:r>
        <w:rPr>
          <w:rFonts w:ascii="Times New Roman;Times;serif" w:hAnsi="Times New Roman;Times;serif"/>
          <w:sz w:val="20"/>
          <w:shd w:fill="FFFFFF" w:val="clear"/>
        </w:rPr>
        <w:t>was $9.3 million and $9.9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March 5, 2019, </w:t>
      </w:r>
      <w:r>
        <w:rPr>
          <w:rFonts w:ascii="Times New Roman" w:hAnsi="Times New Roman"/>
          <w:sz w:val="20"/>
        </w:rPr>
        <w:t xml:space="preserve">the Company issued $80.5 million of 5% convertible senior notes due </w:t>
      </w:r>
      <w:r>
        <w:rPr>
          <w:rStyle w:val="Emphasis"/>
          <w:rFonts w:ascii="Times New Roman" w:hAnsi="Times New Roman"/>
          <w:sz w:val="20"/>
        </w:rPr>
        <w:t>2024</w:t>
      </w:r>
      <w:r>
        <w:rPr>
          <w:rFonts w:ascii="Times New Roman" w:hAnsi="Times New Roman"/>
          <w:sz w:val="20"/>
        </w:rPr>
        <w:t xml:space="preserve"> (the "Notes"). The Notes were issued pursuant to an indenture, dated as of </w:t>
      </w:r>
      <w:r>
        <w:rPr>
          <w:rStyle w:val="Emphasis"/>
          <w:rFonts w:ascii="Times New Roman" w:hAnsi="Times New Roman"/>
          <w:sz w:val="20"/>
        </w:rPr>
        <w:t>March 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"Indenture"), between the Company and Wells Fargo Bank, National Association, as trustee, paying agent, and conversion agent (the "Trustee"). The Notes bear interest at a rate of </w:t>
      </w:r>
      <w:r>
        <w:rPr>
          <w:rStyle w:val="Emphasis"/>
          <w:rFonts w:ascii="Times New Roman" w:hAnsi="Times New Roman"/>
          <w:sz w:val="20"/>
        </w:rPr>
        <w:t>5.00%</w:t>
      </w:r>
      <w:r>
        <w:rPr>
          <w:rFonts w:ascii="Times New Roman" w:hAnsi="Times New Roman"/>
          <w:sz w:val="20"/>
        </w:rPr>
        <w:t xml:space="preserve"> per year, payable in cash semi-annually in arrears on </w:t>
      </w:r>
      <w:r>
        <w:rPr>
          <w:rStyle w:val="Emphasis"/>
          <w:rFonts w:ascii="Times New Roman" w:hAnsi="Times New Roman"/>
          <w:sz w:val="20"/>
        </w:rPr>
        <w:t>March 15</w:t>
      </w:r>
      <w:r>
        <w:rPr>
          <w:rFonts w:ascii="Times New Roman" w:hAnsi="Times New Roman"/>
          <w:sz w:val="20"/>
        </w:rPr>
        <w:t xml:space="preserve"> and </w:t>
      </w:r>
      <w:r>
        <w:rPr>
          <w:rStyle w:val="Emphasis"/>
          <w:rFonts w:ascii="Times New Roman" w:hAnsi="Times New Roman"/>
          <w:sz w:val="20"/>
        </w:rPr>
        <w:t>September 15</w:t>
      </w:r>
      <w:r>
        <w:rPr>
          <w:rFonts w:ascii="Times New Roman" w:hAnsi="Times New Roman"/>
          <w:sz w:val="20"/>
        </w:rPr>
        <w:t xml:space="preserve"> of each year, beginning on </w:t>
      </w:r>
      <w:r>
        <w:rPr>
          <w:rStyle w:val="Emphasis"/>
          <w:rFonts w:ascii="Times New Roman" w:hAnsi="Times New Roman"/>
          <w:sz w:val="20"/>
        </w:rPr>
        <w:t>September 15,</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The Notes will mature on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2024,</w:t>
      </w:r>
      <w:r>
        <w:rPr>
          <w:rFonts w:ascii="Times New Roman" w:hAnsi="Times New Roman"/>
          <w:sz w:val="20"/>
        </w:rPr>
        <w:t xml:space="preserve"> unless earlier repurchased, redeemed or converted in accordance with their terms.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presents the carrying value of the Notes for the periods indicated (in thousands):</w:t>
      </w:r>
    </w:p>
    <w:p>
      <w:pPr>
        <w:pStyle w:val="TextBody"/>
        <w:bidi w:val="0"/>
        <w:spacing w:before="0" w:after="0"/>
        <w:ind w:left="0" w:right="0" w:firstLine="941"/>
        <w:jc w:val="left"/>
        <w:rPr/>
      </w:pPr>
      <w:r>
        <w:rPr/>
        <w:t>​</w:t>
      </w:r>
    </w:p>
    <w:tbl>
      <w:tblPr>
        <w:tblW w:w="5303" w:type="dxa"/>
        <w:jc w:val="left"/>
        <w:tblInd w:w="0" w:type="dxa"/>
        <w:tblLayout w:type="fixed"/>
        <w:tblCellMar>
          <w:top w:w="0" w:type="dxa"/>
          <w:left w:w="0" w:type="dxa"/>
          <w:bottom w:w="0" w:type="dxa"/>
          <w:right w:w="0" w:type="dxa"/>
        </w:tblCellMar>
      </w:tblPr>
      <w:tblGrid>
        <w:gridCol w:w="2675"/>
        <w:gridCol w:w="60"/>
        <w:gridCol w:w="207"/>
        <w:gridCol w:w="982"/>
        <w:gridCol w:w="80"/>
        <w:gridCol w:w="60"/>
        <w:gridCol w:w="199"/>
        <w:gridCol w:w="945"/>
        <w:gridCol w:w="95"/>
      </w:tblGrid>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9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80,500</w:t>
            </w:r>
          </w:p>
        </w:tc>
        <w:tc>
          <w:tcPr>
            <w:tcW w:w="9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w:t>
      </w:r>
      <w:r>
        <w:rPr>
          <w:rStyle w:val="Emphasis"/>
          <w:rFonts w:ascii="Times New Roman" w:hAnsi="Times New Roman"/>
          <w:sz w:val="20"/>
        </w:rPr>
        <w:t>February 28,</w:t>
      </w:r>
      <w:r>
        <w:rPr>
          <w:rFonts w:ascii="Times New Roman" w:hAnsi="Times New Roman"/>
          <w:sz w:val="20"/>
        </w:rPr>
        <w:t xml:space="preserve"> </w:t>
      </w:r>
      <w:r>
        <w:rPr>
          <w:rStyle w:val="Emphasis"/>
          <w:rFonts w:ascii="Times New Roman" w:hAnsi="Times New Roman"/>
          <w:sz w:val="20"/>
        </w:rPr>
        <w:t>2019</w:t>
      </w:r>
      <w:r>
        <w:rPr>
          <w:rFonts w:ascii="Times New Roman" w:hAnsi="Times New Roman"/>
          <w:sz w:val="20"/>
        </w:rPr>
        <w:t xml:space="preserve">), subject to customary adjustments. If a make-whole fundamental change (as defined in the Indenture) occurs, and in connection with certain other conversions before </w:t>
      </w:r>
      <w:r>
        <w:rPr>
          <w:rStyle w:val="Emphasis"/>
          <w:rFonts w:ascii="Times New Roman" w:hAnsi="Times New Roman"/>
          <w:sz w:val="20"/>
        </w:rPr>
        <w:t>March 15,</w:t>
      </w:r>
      <w:r>
        <w:rPr>
          <w:rFonts w:ascii="Times New Roman" w:hAnsi="Times New Roman"/>
          <w:sz w:val="20"/>
        </w:rPr>
        <w:t xml:space="preserve"> </w:t>
      </w:r>
      <w:r>
        <w:rPr>
          <w:rStyle w:val="Emphasis"/>
          <w:rFonts w:ascii="Times New Roman" w:hAnsi="Times New Roman"/>
          <w:sz w:val="20"/>
        </w:rPr>
        <w:t>2022,</w:t>
      </w:r>
      <w:r>
        <w:rPr>
          <w:rFonts w:ascii="Times New Roman" w:hAnsi="Times New Roman"/>
          <w:sz w:val="20"/>
        </w:rPr>
        <w:t xml:space="preserve"> the Company will in certain circumstances increase the conversion rate for a specified period of time.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Initially and </w:t>
      </w:r>
      <w:r>
        <w:rPr>
          <w:rFonts w:ascii="Times New Roman" w:hAnsi="Times New Roman"/>
          <w:sz w:val="20"/>
          <w:shd w:fill="FFFFFF" w:val="clear"/>
        </w:rPr>
        <w:t xml:space="preserve">as of </w:t>
      </w:r>
      <w:r>
        <w:rPr>
          <w:rStyle w:val="Emphasis"/>
          <w:rFonts w:ascii="Times New Roman" w:hAnsi="Times New Roman"/>
          <w:sz w:val="20"/>
        </w:rPr>
        <w:t>September 30, 2023</w:t>
      </w:r>
      <w:r>
        <w:rPr>
          <w:rFonts w:ascii="Times New Roman" w:hAnsi="Times New Roman"/>
          <w:sz w:val="20"/>
        </w:rPr>
        <w:t xml:space="preserve">, there are </w:t>
      </w:r>
      <w:r>
        <w:rPr>
          <w:rStyle w:val="Emphasis"/>
          <w:rFonts w:ascii="Times New Roman" w:hAnsi="Times New Roman"/>
          <w:sz w:val="20"/>
        </w:rPr>
        <w:t>no</w:t>
      </w:r>
      <w:r>
        <w:rPr>
          <w:rFonts w:ascii="Times New Roman" w:hAnsi="Times New Roman"/>
          <w:sz w:val="20"/>
        </w:rPr>
        <w:t xml:space="preserve">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Holders </w:t>
      </w:r>
      <w:r>
        <w:rPr>
          <w:rStyle w:val="Emphasis"/>
          <w:rFonts w:ascii="Times New Roman" w:hAnsi="Times New Roman"/>
          <w:sz w:val="20"/>
        </w:rPr>
        <w:t xml:space="preserve">may </w:t>
      </w:r>
      <w:r>
        <w:rPr>
          <w:rFonts w:ascii="Times New Roman" w:hAnsi="Times New Roman"/>
          <w:sz w:val="20"/>
        </w:rPr>
        <w:t>require the Company to repurchase their Notes upon the occurrence of a fundamental change (as defined in the Indenture) at a cash purchase price equal to the principal amount thereof plus accrued and unpaid interest, if any.</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After </w:t>
      </w:r>
      <w:r>
        <w:rPr>
          <w:rStyle w:val="Emphasis"/>
          <w:rFonts w:ascii="Times New Roman" w:hAnsi="Times New Roman"/>
          <w:sz w:val="20"/>
        </w:rPr>
        <w:t xml:space="preserve">March 15, 2022, </w:t>
      </w:r>
      <w:r>
        <w:rPr>
          <w:rFonts w:ascii="Times New Roman" w:hAnsi="Times New Roman"/>
          <w:sz w:val="20"/>
        </w:rPr>
        <w:t xml:space="preserve">the Company </w:t>
      </w:r>
      <w:r>
        <w:rPr>
          <w:rStyle w:val="Emphasis"/>
          <w:rFonts w:ascii="Times New Roman" w:hAnsi="Times New Roman"/>
          <w:sz w:val="20"/>
        </w:rPr>
        <w:t xml:space="preserve">may </w:t>
      </w:r>
      <w:r>
        <w:rPr>
          <w:rFonts w:ascii="Times New Roman" w:hAnsi="Times New Roman"/>
          <w:sz w:val="20"/>
        </w:rPr>
        <w:t xml:space="preserve">redeem for cash all or part of the Notes if the last reported sale price per share of the Company’s common stock exceeds 130% of the conversion price on (i) each of at least 20 trading days, whether or </w:t>
      </w:r>
      <w:r>
        <w:rPr>
          <w:rStyle w:val="Emphasis"/>
          <w:rFonts w:ascii="Times New Roman" w:hAnsi="Times New Roman"/>
          <w:sz w:val="20"/>
        </w:rPr>
        <w:t>not</w:t>
      </w:r>
      <w:r>
        <w:rPr>
          <w:rFonts w:ascii="Times New Roman" w:hAnsi="Times New Roman"/>
          <w:sz w:val="20"/>
        </w:rPr>
        <w:t xml:space="preserve">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Indenture contains covenants that limit the Company’s ability and the ability of our subsidiaries to, among other things: (i) incur or guarantee additional indebtedness or issue disqualified stock; and (ii) create or incur liens.</w:t>
      </w:r>
    </w:p>
    <w:p>
      <w:pPr>
        <w:pStyle w:val="TextBody"/>
        <w:bidi w:val="0"/>
        <w:spacing w:before="0" w:after="0"/>
        <w:ind w:left="0" w:right="0" w:firstLine="360"/>
        <w:jc w:val="left"/>
        <w:rPr/>
      </w:pPr>
      <w:r>
        <w:rPr/>
        <w:t>​</w:t>
      </w:r>
    </w:p>
    <w:p>
      <w:pPr>
        <w:pStyle w:val="TextBody"/>
        <w:bidi w:val="0"/>
        <w:spacing w:before="0" w:after="0"/>
        <w:ind w:left="0" w:right="0" w:firstLine="720"/>
        <w:jc w:val="left"/>
        <w:rPr/>
      </w:pPr>
      <w:r>
        <w:rPr>
          <w:rFonts w:ascii="Times New Roman" w:hAnsi="Times New Roman"/>
          <w:sz w:val="20"/>
        </w:rPr>
        <w:t xml:space="preserve">Pursuant to the guidance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 xml:space="preserve"> to qualify for equity classification (or non-bifurcation, if embedded) the instrument (or embedded feature) must be both (</w:t>
      </w:r>
      <w:r>
        <w:rPr>
          <w:rStyle w:val="Emphasis"/>
          <w:rFonts w:ascii="Times New Roman" w:hAnsi="Times New Roman"/>
          <w:sz w:val="20"/>
        </w:rPr>
        <w:t>1</w:t>
      </w:r>
      <w:r>
        <w:rPr>
          <w:rFonts w:ascii="Times New Roman" w:hAnsi="Times New Roman"/>
          <w:sz w:val="20"/>
        </w:rPr>
        <w:t>) indexed to the issuer’s own stock and (</w:t>
      </w:r>
      <w:r>
        <w:rPr>
          <w:rStyle w:val="Emphasis"/>
          <w:rFonts w:ascii="Times New Roman" w:hAnsi="Times New Roman"/>
          <w:sz w:val="20"/>
        </w:rPr>
        <w:t>2</w:t>
      </w:r>
      <w:r>
        <w:rPr>
          <w:rFonts w:ascii="Times New Roman" w:hAnsi="Times New Roman"/>
          <w:sz w:val="20"/>
        </w:rPr>
        <w:t xml:space="preserve">) meet the requirements of the equity classification guidance. Based upon the Company’s analysis, it was determined the conversion option is indexed to its own stock and also met all the criteria for equity classification contained in ASC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7</w:t>
      </w:r>
      <w:r>
        <w:rPr>
          <w:rFonts w:ascii="Times New Roman" w:hAnsi="Times New Roman"/>
          <w:sz w:val="20"/>
        </w:rPr>
        <w:t xml:space="preserve"> and </w:t>
      </w:r>
      <w:r>
        <w:rPr>
          <w:rStyle w:val="Emphasis"/>
          <w:rFonts w:ascii="Times New Roman" w:hAnsi="Times New Roman"/>
          <w:sz w:val="20"/>
        </w:rPr>
        <w:t>815</w:t>
      </w:r>
      <w:r>
        <w:rPr>
          <w:rFonts w:ascii="Times New Roman" w:hAnsi="Times New Roman"/>
          <w:sz w:val="20"/>
        </w:rPr>
        <w:t>-</w:t>
      </w:r>
      <w:r>
        <w:rPr>
          <w:rStyle w:val="Emphasis"/>
          <w:rFonts w:ascii="Times New Roman" w:hAnsi="Times New Roman"/>
          <w:sz w:val="20"/>
        </w:rPr>
        <w:t>40</w:t>
      </w:r>
      <w:r>
        <w:rPr>
          <w:rFonts w:ascii="Times New Roman" w:hAnsi="Times New Roman"/>
          <w:sz w:val="20"/>
        </w:rPr>
        <w:t>-</w:t>
      </w:r>
      <w:r>
        <w:rPr>
          <w:rStyle w:val="Emphasis"/>
          <w:rFonts w:ascii="Times New Roman" w:hAnsi="Times New Roman"/>
          <w:sz w:val="20"/>
        </w:rPr>
        <w:t>25</w:t>
      </w:r>
      <w:r>
        <w:rPr>
          <w:rFonts w:ascii="Times New Roman" w:hAnsi="Times New Roman"/>
          <w:sz w:val="20"/>
        </w:rPr>
        <w:t>-</w:t>
      </w:r>
      <w:r>
        <w:rPr>
          <w:rStyle w:val="Emphasis"/>
          <w:rFonts w:ascii="Times New Roman" w:hAnsi="Times New Roman"/>
          <w:sz w:val="20"/>
        </w:rPr>
        <w:t>10.</w:t>
      </w:r>
      <w:r>
        <w:rPr>
          <w:rFonts w:ascii="Times New Roman" w:hAnsi="Times New Roman"/>
          <w:sz w:val="20"/>
        </w:rPr>
        <w:t xml:space="preserve"> Accordingly, the conversion option is </w:t>
      </w:r>
      <w:r>
        <w:rPr>
          <w:rStyle w:val="Emphasis"/>
          <w:rFonts w:ascii="Times New Roman" w:hAnsi="Times New Roman"/>
          <w:sz w:val="20"/>
        </w:rPr>
        <w:t>not</w:t>
      </w:r>
      <w:r>
        <w:rPr>
          <w:rFonts w:ascii="Times New Roman" w:hAnsi="Times New Roman"/>
          <w:sz w:val="20"/>
        </w:rPr>
        <w:t xml:space="preserve">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Style w:val="Emphasis"/>
          <w:rFonts w:ascii="Times New Roman" w:hAnsi="Times New Roman"/>
          <w:sz w:val="20"/>
        </w:rPr>
        <w:t>470</w:t>
      </w:r>
      <w:r>
        <w:rPr>
          <w:rFonts w:ascii="Times New Roman" w:hAnsi="Times New Roman"/>
          <w:sz w:val="20"/>
        </w:rPr>
        <w:t>-</w:t>
      </w:r>
      <w:r>
        <w:rPr>
          <w:rStyle w:val="Emphasis"/>
          <w:rFonts w:ascii="Times New Roman" w:hAnsi="Times New Roman"/>
          <w:sz w:val="20"/>
        </w:rPr>
        <w:t>20,</w:t>
      </w:r>
      <w:r>
        <w:rPr>
          <w:rFonts w:ascii="Times New Roman" w:hAnsi="Times New Roman"/>
          <w:sz w:val="20"/>
        </w:rPr>
        <w:t xml:space="preserve"> Debt with Conversion and Other Options.  The Company determined that notes should be accounted for in their entirety as a liability.</w:t>
      </w:r>
    </w:p>
    <w:p>
      <w:pPr>
        <w:pStyle w:val="TextBody"/>
        <w:bidi w:val="0"/>
        <w:spacing w:before="0" w:after="0"/>
        <w:ind w:left="0" w:right="0" w:firstLine="72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pStyle w:val="TextBody"/>
        <w:bidi w:val="0"/>
        <w:spacing w:before="0" w:after="0"/>
        <w:ind w:left="0" w:right="0" w:firstLine="360"/>
        <w:jc w:val="left"/>
        <w:rPr/>
      </w:pPr>
      <w:r>
        <w:rPr/>
        <w:t>​</w:t>
      </w:r>
    </w:p>
    <w:p>
      <w:pPr>
        <w:pStyle w:val="TextBody"/>
        <w:bidi w:val="0"/>
        <w:spacing w:before="0" w:after="0"/>
        <w:ind w:left="360" w:right="0" w:firstLine="360"/>
        <w:jc w:val="left"/>
        <w:rPr>
          <w:rFonts w:ascii="Times New Roman" w:hAnsi="Times New Roman"/>
          <w:sz w:val="20"/>
        </w:rPr>
      </w:pPr>
      <w:r>
        <w:rPr>
          <w:rFonts w:ascii="Times New Roman" w:hAnsi="Times New Roman"/>
          <w:sz w:val="20"/>
        </w:rPr>
        <w:t>The following table sets forth interest expense information related to the Notes (in thousands):</w:t>
      </w:r>
    </w:p>
    <w:p>
      <w:pPr>
        <w:pStyle w:val="TextBody"/>
        <w:bidi w:val="0"/>
        <w:spacing w:before="0" w:after="0"/>
        <w:ind w:left="0" w:right="0" w:hanging="0"/>
        <w:jc w:val="left"/>
        <w:rPr/>
      </w:pPr>
      <w:r>
        <w:rPr/>
        <w:t>​</w:t>
      </w:r>
    </w:p>
    <w:tbl>
      <w:tblPr>
        <w:tblW w:w="9095" w:type="dxa"/>
        <w:jc w:val="left"/>
        <w:tblInd w:w="0" w:type="dxa"/>
        <w:tblLayout w:type="fixed"/>
        <w:tblCellMar>
          <w:top w:w="0" w:type="dxa"/>
          <w:left w:w="0" w:type="dxa"/>
          <w:bottom w:w="0" w:type="dxa"/>
          <w:right w:w="0" w:type="dxa"/>
        </w:tblCellMar>
      </w:tblPr>
      <w:tblGrid>
        <w:gridCol w:w="2900"/>
        <w:gridCol w:w="60"/>
        <w:gridCol w:w="247"/>
        <w:gridCol w:w="960"/>
        <w:gridCol w:w="366"/>
        <w:gridCol w:w="118"/>
        <w:gridCol w:w="247"/>
        <w:gridCol w:w="960"/>
        <w:gridCol w:w="185"/>
        <w:gridCol w:w="60"/>
        <w:gridCol w:w="239"/>
        <w:gridCol w:w="930"/>
        <w:gridCol w:w="354"/>
        <w:gridCol w:w="115"/>
        <w:gridCol w:w="239"/>
        <w:gridCol w:w="930"/>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6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3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36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3,019</w:t>
            </w:r>
          </w:p>
        </w:tc>
        <w:tc>
          <w:tcPr>
            <w:tcW w:w="3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3,019</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36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w:t>
            </w:r>
          </w:p>
        </w:tc>
        <w:tc>
          <w:tcPr>
            <w:tcW w:w="3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36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3,637</w:t>
            </w:r>
          </w:p>
        </w:tc>
        <w:tc>
          <w:tcPr>
            <w:tcW w:w="3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3,637</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3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35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523" w:type="dxa"/>
        <w:jc w:val="left"/>
        <w:tblInd w:w="0" w:type="dxa"/>
        <w:tblLayout w:type="fixed"/>
        <w:tblCellMar>
          <w:top w:w="0" w:type="dxa"/>
          <w:left w:w="0" w:type="dxa"/>
          <w:bottom w:w="0" w:type="dxa"/>
          <w:right w:w="0" w:type="dxa"/>
        </w:tblCellMar>
      </w:tblPr>
      <w:tblGrid>
        <w:gridCol w:w="3020"/>
        <w:gridCol w:w="60"/>
        <w:gridCol w:w="288"/>
        <w:gridCol w:w="1366"/>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9,702</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3,265</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288" w:type="dxa"/>
            <w:tcBorders/>
            <w:shd w:fill="FFFFFF" w:val="clear"/>
            <w:vAlign w:val="center"/>
          </w:tcPr>
          <w:p>
            <w:pPr>
              <w:pStyle w:val="TableContents"/>
              <w:bidi w:val="0"/>
              <w:spacing w:before="0" w:after="0"/>
              <w:ind w:left="0" w:right="0" w:hanging="0"/>
              <w:jc w:val="left"/>
              <w:rPr/>
            </w:pPr>
            <w:r>
              <w:rPr/>
              <w:t> </w:t>
            </w:r>
          </w:p>
        </w:tc>
        <w:tc>
          <w:tcPr>
            <w:tcW w:w="13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1,597</w:t>
            </w:r>
          </w:p>
        </w:tc>
        <w:tc>
          <w:tcPr>
            <w:tcW w:w="60" w:type="dxa"/>
            <w:tcBorders/>
            <w:shd w:fill="FFFFFF" w:val="cle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288"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60" w:type="dxa"/>
            <w:tcBorders/>
            <w:shd w:fill="CCEEFF" w:val="clear"/>
            <w:vAlign w:val="center"/>
          </w:tcPr>
          <w:p>
            <w:pPr>
              <w:pStyle w:val="TableContents"/>
              <w:bidi w:val="0"/>
              <w:spacing w:before="0" w:after="0"/>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capital expenditure</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w:t>
            </w:r>
          </w:p>
        </w:tc>
        <w:tc>
          <w:tcPr>
            <w:tcW w:w="60" w:type="dxa"/>
            <w:tcBorders/>
            <w:shd w:fill="CCEEFF" w:val="clear"/>
            <w:vAlign w:val="center"/>
          </w:tcPr>
          <w:p>
            <w:pPr>
              <w:pStyle w:val="TableContents"/>
              <w:bidi w:val="0"/>
              <w:spacing w:before="0" w:after="283"/>
              <w:jc w:val="left"/>
              <w:rPr/>
            </w:pPr>
            <w:r>
              <w:rPr/>
              <w:t> </w:t>
            </w:r>
          </w:p>
        </w:tc>
        <w:tc>
          <w:tcPr>
            <w:tcW w:w="2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accrued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8840" w:type="dxa"/>
        <w:jc w:val="left"/>
        <w:tblInd w:w="0" w:type="dxa"/>
        <w:tblLayout w:type="fixed"/>
        <w:tblCellMar>
          <w:top w:w="0" w:type="dxa"/>
          <w:left w:w="0" w:type="dxa"/>
          <w:bottom w:w="0" w:type="dxa"/>
          <w:right w:w="0" w:type="dxa"/>
        </w:tblCellMar>
      </w:tblPr>
      <w:tblGrid>
        <w:gridCol w:w="2855"/>
        <w:gridCol w:w="60"/>
        <w:gridCol w:w="307"/>
        <w:gridCol w:w="970"/>
        <w:gridCol w:w="196"/>
        <w:gridCol w:w="147"/>
        <w:gridCol w:w="307"/>
        <w:gridCol w:w="970"/>
        <w:gridCol w:w="80"/>
        <w:gridCol w:w="60"/>
        <w:gridCol w:w="264"/>
        <w:gridCol w:w="834"/>
        <w:gridCol w:w="169"/>
        <w:gridCol w:w="126"/>
        <w:gridCol w:w="264"/>
        <w:gridCol w:w="1151"/>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2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transaction loss</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w:t>
            </w:r>
          </w:p>
        </w:tc>
        <w:tc>
          <w:tcPr>
            <w:tcW w:w="1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w:t>
            </w:r>
          </w:p>
        </w:tc>
        <w:tc>
          <w:tcPr>
            <w:tcW w:w="16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6"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w:t>
            </w:r>
          </w:p>
        </w:tc>
        <w:tc>
          <w:tcPr>
            <w:tcW w:w="1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1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non-operating gain</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96"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(loss) on disposal of assets</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16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6" w:type="dxa"/>
            <w:tcBorders/>
            <w:shd w:fill="FFFFFF" w:val="clear"/>
            <w:vAlign w:val="center"/>
          </w:tcPr>
          <w:p>
            <w:pPr>
              <w:pStyle w:val="TableContents"/>
              <w:bidi w:val="0"/>
              <w:spacing w:before="0" w:after="283"/>
              <w:jc w:val="left"/>
              <w:rPr/>
            </w:pPr>
            <w:r>
              <w:rPr/>
              <w:t> </w:t>
            </w:r>
          </w:p>
        </w:tc>
        <w:tc>
          <w:tcPr>
            <w:tcW w:w="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(expenses) , net</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1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1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695"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 xml:space="preserve">be granted from these plans. Prior to the Company’s initial public offering in </w:t>
      </w:r>
      <w:r>
        <w:rPr>
          <w:rStyle w:val="Emphasis"/>
          <w:rFonts w:ascii="Times New Roman" w:hAnsi="Times New Roman"/>
          <w:sz w:val="20"/>
        </w:rPr>
        <w:t xml:space="preserve">September 2013, </w:t>
      </w:r>
      <w:r>
        <w:rPr>
          <w:rFonts w:ascii="Times New Roman" w:hAnsi="Times New Roman"/>
          <w:sz w:val="20"/>
        </w:rPr>
        <w:t xml:space="preserve">the fair market value of the Company’s stock had been historically determined by the board of directors and from time to time with the assistance of </w:t>
      </w:r>
      <w:r>
        <w:rPr>
          <w:rStyle w:val="Emphasis"/>
          <w:rFonts w:ascii="Times New Roman" w:hAnsi="Times New Roman"/>
          <w:sz w:val="20"/>
        </w:rPr>
        <w:t>third</w:t>
      </w:r>
      <w:r>
        <w:rPr>
          <w:rFonts w:ascii="Times New Roman" w:hAnsi="Times New Roman"/>
          <w:sz w:val="20"/>
        </w:rPr>
        <w:t>-party valuation specialists.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Stock Options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Options have been granted to the Company’s employees under the </w:t>
      </w:r>
      <w:r>
        <w:rPr>
          <w:rStyle w:val="Emphasis"/>
          <w:rFonts w:ascii="Times New Roman" w:hAnsi="Times New Roman"/>
          <w:sz w:val="20"/>
        </w:rPr>
        <w:t>2013</w:t>
      </w:r>
      <w:r>
        <w:rPr>
          <w:rFonts w:ascii="Times New Roman" w:hAnsi="Times New Roman"/>
          <w:sz w:val="20"/>
        </w:rPr>
        <w:t xml:space="preserve"> Plan and generally become exercisable as to 25% of the shares on the </w:t>
      </w:r>
      <w:r>
        <w:rPr>
          <w:rStyle w:val="Emphasis"/>
          <w:rFonts w:ascii="Times New Roman" w:hAnsi="Times New Roman"/>
          <w:sz w:val="20"/>
        </w:rPr>
        <w:t>first</w:t>
      </w:r>
      <w:r>
        <w:rPr>
          <w:rFonts w:ascii="Times New Roman" w:hAnsi="Times New Roman"/>
          <w:sz w:val="20"/>
        </w:rPr>
        <w:t xml:space="preserve"> anniversary date following the date of grant and 12.5% on a semi-annual basis thereafter. All options expire </w:t>
      </w:r>
      <w:r>
        <w:rPr>
          <w:rStyle w:val="Emphasis"/>
          <w:rFonts w:ascii="Times New Roman" w:hAnsi="Times New Roman"/>
          <w:sz w:val="20"/>
        </w:rPr>
        <w:t>ten</w:t>
      </w:r>
      <w:r>
        <w:rPr>
          <w:rFonts w:ascii="Times New Roman" w:hAnsi="Times New Roman"/>
          <w:sz w:val="20"/>
        </w:rPr>
        <w:t xml:space="preserve"> years after the date of grant.</w:t>
      </w:r>
    </w:p>
    <w:p>
      <w:pPr>
        <w:pStyle w:val="TextBody"/>
        <w:bidi w:val="0"/>
        <w:spacing w:before="0" w:after="0"/>
        <w:ind w:left="0" w:right="0" w:firstLine="720"/>
        <w:jc w:val="left"/>
        <w:rPr/>
      </w:pPr>
      <w:r>
        <w:rPr/>
        <w:t>​</w:t>
      </w:r>
    </w:p>
    <w:p>
      <w:pPr>
        <w:pStyle w:val="TextBody"/>
        <w:bidi w:val="0"/>
        <w:spacing w:before="0" w:after="0"/>
        <w:ind w:left="720" w:right="0" w:hanging="0"/>
        <w:jc w:val="left"/>
        <w:rPr>
          <w:rFonts w:ascii="Times New Roman" w:hAnsi="Times New Roman"/>
          <w:sz w:val="20"/>
        </w:rPr>
      </w:pPr>
      <w:r>
        <w:rPr>
          <w:rFonts w:ascii="Times New Roman" w:hAnsi="Times New Roman"/>
          <w:sz w:val="20"/>
        </w:rPr>
        <w:t>The following is a summary of option activity:</w:t>
      </w:r>
    </w:p>
    <w:p>
      <w:pPr>
        <w:pStyle w:val="TextBody"/>
        <w:bidi w:val="0"/>
        <w:spacing w:before="0" w:after="0"/>
        <w:ind w:left="720" w:right="0" w:hanging="0"/>
        <w:jc w:val="left"/>
        <w:rPr/>
      </w:pPr>
      <w:r>
        <w:rPr/>
        <w:t>​</w:t>
      </w:r>
    </w:p>
    <w:tbl>
      <w:tblPr>
        <w:tblW w:w="9007" w:type="dxa"/>
        <w:jc w:val="left"/>
        <w:tblInd w:w="0" w:type="dxa"/>
        <w:tblLayout w:type="fixed"/>
        <w:tblCellMar>
          <w:top w:w="0" w:type="dxa"/>
          <w:left w:w="0" w:type="dxa"/>
          <w:bottom w:w="0" w:type="dxa"/>
          <w:right w:w="0" w:type="dxa"/>
        </w:tblCellMar>
      </w:tblPr>
      <w:tblGrid>
        <w:gridCol w:w="2735"/>
        <w:gridCol w:w="60"/>
        <w:gridCol w:w="116"/>
        <w:gridCol w:w="773"/>
        <w:gridCol w:w="80"/>
        <w:gridCol w:w="60"/>
        <w:gridCol w:w="167"/>
        <w:gridCol w:w="648"/>
        <w:gridCol w:w="60"/>
        <w:gridCol w:w="60"/>
        <w:gridCol w:w="489"/>
        <w:gridCol w:w="490"/>
        <w:gridCol w:w="60"/>
        <w:gridCol w:w="60"/>
        <w:gridCol w:w="230"/>
        <w:gridCol w:w="704"/>
        <w:gridCol w:w="60"/>
        <w:gridCol w:w="60"/>
        <w:gridCol w:w="139"/>
        <w:gridCol w:w="886"/>
        <w:gridCol w:w="60"/>
        <w:gridCol w:w="60"/>
        <w:gridCol w:w="241"/>
        <w:gridCol w:w="649"/>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on Date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152"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490"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9.50</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pPr>
            <w:r>
              <w:rPr/>
              <w:t> </w:t>
            </w:r>
          </w:p>
        </w:tc>
        <w:tc>
          <w:tcPr>
            <w:tcW w:w="49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September 30, 2023</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w:t>
            </w:r>
          </w:p>
        </w:tc>
        <w:tc>
          <w:tcPr>
            <w:tcW w:w="49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Exercisable, September 30, 2023</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13.84</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13.84</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9" w:type="dxa"/>
            <w:tcBorders/>
            <w:shd w:fill="FFFFFF" w:val="clear"/>
            <w:vAlign w:val="center"/>
          </w:tcPr>
          <w:p>
            <w:pPr>
              <w:pStyle w:val="TableContents"/>
              <w:bidi w:val="0"/>
              <w:spacing w:before="0" w:after="0"/>
              <w:ind w:left="0" w:right="0" w:hanging="0"/>
              <w:jc w:val="left"/>
              <w:rPr/>
            </w:pPr>
            <w:r>
              <w:rPr/>
              <w:t>​</w:t>
            </w:r>
          </w:p>
        </w:tc>
        <w:tc>
          <w:tcPr>
            <w:tcW w:w="49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September 30, 2023</w:t>
      </w:r>
      <w:r>
        <w:rPr>
          <w:rFonts w:ascii="Times New Roman" w:hAnsi="Times New Roman"/>
          <w:sz w:val="20"/>
        </w:rPr>
        <w:t>, there was no unrecognized stock option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 xml:space="preserve">Performance Based Incentive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The Company approved to grant restricted performance stock units ("PSUs") to senior executives as a part of our long-term equity compensation program starting from </w:t>
      </w:r>
      <w:r>
        <w:rPr>
          <w:rStyle w:val="Emphasis"/>
          <w:rFonts w:ascii="Times New Roman" w:hAnsi="Times New Roman"/>
          <w:sz w:val="20"/>
        </w:rPr>
        <w:t xml:space="preserve">June 2021. </w:t>
      </w:r>
      <w:r>
        <w:rPr>
          <w:rFonts w:ascii="Times New Roman" w:hAnsi="Times New Roman"/>
          <w:sz w:val="20"/>
        </w:rPr>
        <w:t xml:space="preserve">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sz w:val="20"/>
        </w:rPr>
        <w:t>three</w:t>
      </w:r>
      <w:r>
        <w:rPr>
          <w:rFonts w:ascii="Times New Roman" w:hAnsi="Times New Roman"/>
          <w:sz w:val="20"/>
        </w:rPr>
        <w:t xml:space="preserv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w:t>
      </w:r>
      <w:r>
        <w:rPr>
          <w:rStyle w:val="Emphasis"/>
          <w:rFonts w:ascii="Times New Roman" w:hAnsi="Times New Roman"/>
          <w:sz w:val="20"/>
        </w:rPr>
        <w:t>third</w:t>
      </w:r>
      <w:r>
        <w:rPr>
          <w:rFonts w:ascii="Times New Roman" w:hAnsi="Times New Roman"/>
          <w:sz w:val="20"/>
        </w:rPr>
        <w:t> anniversary of their grant, assuming achievement of the applicable performance criteria. We estimated the fair value of the PSUs using a Monte Carlo simulation model on the date of grant. Compensation expense is recognized ratably over the explicit service period</w:t>
      </w:r>
      <w:r>
        <w:rPr>
          <w:rFonts w:ascii="Times New Roman" w:hAnsi="Times New Roman"/>
          <w:sz w:val="20"/>
          <w:shd w:fill="FFFFFF" w:val="clear"/>
        </w:rPr>
        <w:t xml:space="preserve">. The Company recognized </w:t>
      </w:r>
      <w:r>
        <w:rPr>
          <w:rFonts w:ascii="Times New Roman" w:hAnsi="Times New Roman"/>
          <w:sz w:val="20"/>
        </w:rPr>
        <w:t xml:space="preserve">PSU expenses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September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of $1.1 million and $0.5 million, respectively. </w:t>
      </w:r>
      <w:r>
        <w:rPr>
          <w:rFonts w:ascii="Times New Roman" w:hAnsi="Times New Roman"/>
          <w:sz w:val="20"/>
          <w:shd w:fill="FFFFFF" w:val="clear"/>
        </w:rPr>
        <w:t xml:space="preserve">The Company recognized </w:t>
      </w:r>
      <w:r>
        <w:rPr>
          <w:rFonts w:ascii="Times New Roman" w:hAnsi="Times New Roman"/>
          <w:sz w:val="20"/>
        </w:rPr>
        <w:t xml:space="preserve">PSU expenses for the </w:t>
      </w:r>
      <w:r>
        <w:rPr>
          <w:rStyle w:val="Emphasis"/>
          <w:rFonts w:ascii="Times New Roman" w:hAnsi="Times New Roman"/>
          <w:sz w:val="20"/>
        </w:rPr>
        <w:t>nine</w:t>
      </w:r>
      <w:r>
        <w:rPr>
          <w:rFonts w:ascii="Times New Roman" w:hAnsi="Times New Roman"/>
          <w:sz w:val="20"/>
        </w:rPr>
        <w:t xml:space="preserve"> months ended </w:t>
      </w:r>
      <w:r>
        <w:rPr>
          <w:rStyle w:val="Emphasis"/>
          <w:rFonts w:ascii="Times New Roman" w:hAnsi="Times New Roman"/>
          <w:sz w:val="20"/>
        </w:rPr>
        <w:t xml:space="preserve">September 30, 2023 </w:t>
      </w:r>
      <w:r>
        <w:rPr>
          <w:rFonts w:ascii="Times New Roman" w:hAnsi="Times New Roman"/>
          <w:sz w:val="20"/>
        </w:rPr>
        <w:t xml:space="preserve">and </w:t>
      </w:r>
      <w:r>
        <w:rPr>
          <w:rStyle w:val="Emphasis"/>
          <w:rFonts w:ascii="Times New Roman" w:hAnsi="Times New Roman"/>
          <w:sz w:val="20"/>
        </w:rPr>
        <w:t>2022</w:t>
      </w:r>
      <w:r>
        <w:rPr>
          <w:rFonts w:ascii="Times New Roman" w:hAnsi="Times New Roman"/>
          <w:sz w:val="20"/>
        </w:rPr>
        <w:t> of $2.0 million and $1.2 million, respectively.</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PSU activity:</w:t>
      </w:r>
    </w:p>
    <w:p>
      <w:pPr>
        <w:pStyle w:val="TextBody"/>
        <w:bidi w:val="0"/>
        <w:spacing w:before="0" w:after="0"/>
        <w:ind w:left="160" w:right="0" w:firstLine="540"/>
        <w:jc w:val="left"/>
        <w:rPr>
          <w:caps w:val="false"/>
          <w:smallCaps w:val="false"/>
        </w:rPr>
      </w:pPr>
      <w:r>
        <w:rPr>
          <w:caps w:val="false"/>
          <w:smallCaps w:val="false"/>
        </w:rPr>
        <w:t> </w:t>
      </w:r>
    </w:p>
    <w:tbl>
      <w:tblPr>
        <w:tblW w:w="7357" w:type="dxa"/>
        <w:jc w:val="left"/>
        <w:tblInd w:w="0" w:type="dxa"/>
        <w:tblLayout w:type="fixed"/>
        <w:tblCellMar>
          <w:top w:w="0" w:type="dxa"/>
          <w:left w:w="0" w:type="dxa"/>
          <w:bottom w:w="0" w:type="dxa"/>
          <w:right w:w="0" w:type="dxa"/>
        </w:tblCellMar>
      </w:tblPr>
      <w:tblGrid>
        <w:gridCol w:w="2735"/>
        <w:gridCol w:w="60"/>
        <w:gridCol w:w="96"/>
        <w:gridCol w:w="793"/>
        <w:gridCol w:w="60"/>
        <w:gridCol w:w="60"/>
        <w:gridCol w:w="616"/>
        <w:gridCol w:w="618"/>
        <w:gridCol w:w="60"/>
        <w:gridCol w:w="60"/>
        <w:gridCol w:w="278"/>
        <w:gridCol w:w="851"/>
        <w:gridCol w:w="60"/>
        <w:gridCol w:w="60"/>
        <w:gridCol w:w="155"/>
        <w:gridCol w:w="735"/>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02"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3,566</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ind w:left="0" w:right="0" w:hanging="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September 30, 2023</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16,813</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September 30, 2023</w:t>
      </w:r>
      <w:r>
        <w:rPr>
          <w:rFonts w:ascii="Times New Roman" w:hAnsi="Times New Roman"/>
          <w:sz w:val="20"/>
        </w:rPr>
        <w:t>, there was $7.6 mil</w:t>
      </w:r>
      <w:r>
        <w:rPr>
          <w:rFonts w:ascii="Times New Roman" w:hAnsi="Times New Roman"/>
          <w:sz w:val="20"/>
          <w:shd w:fill="FFFFFF" w:val="clear"/>
        </w:rPr>
        <w:t>lion</w:t>
      </w:r>
      <w:r>
        <w:rPr>
          <w:rFonts w:ascii="Times New Roman" w:hAnsi="Times New Roman"/>
          <w:sz w:val="20"/>
        </w:rPr>
        <w:t xml:space="preserve"> of unrecognized compensation expense related to these PSUs. This expense is expected to be recognized over 2.3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377" w:type="dxa"/>
        <w:jc w:val="left"/>
        <w:tblInd w:w="0" w:type="dxa"/>
        <w:tblLayout w:type="fixed"/>
        <w:tblCellMar>
          <w:top w:w="0" w:type="dxa"/>
          <w:left w:w="0" w:type="dxa"/>
          <w:bottom w:w="0" w:type="dxa"/>
          <w:right w:w="0" w:type="dxa"/>
        </w:tblCellMar>
      </w:tblPr>
      <w:tblGrid>
        <w:gridCol w:w="2735"/>
        <w:gridCol w:w="60"/>
        <w:gridCol w:w="87"/>
        <w:gridCol w:w="802"/>
        <w:gridCol w:w="80"/>
        <w:gridCol w:w="60"/>
        <w:gridCol w:w="616"/>
        <w:gridCol w:w="618"/>
        <w:gridCol w:w="60"/>
        <w:gridCol w:w="60"/>
        <w:gridCol w:w="278"/>
        <w:gridCol w:w="851"/>
        <w:gridCol w:w="60"/>
        <w:gridCol w:w="60"/>
        <w:gridCol w:w="155"/>
        <w:gridCol w:w="735"/>
        <w:gridCol w:w="60"/>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January 1, 2023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4" w:type="dxa"/>
            <w:gridSpan w:val="2"/>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4,175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8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8" w:type="dxa"/>
            <w:tcBorders/>
            <w:shd w:fill="FFFFFF" w:val="clear"/>
            <w:vAlign w:val="center"/>
          </w:tcPr>
          <w:p>
            <w:pPr>
              <w:pStyle w:val="TableContents"/>
              <w:bidi w:val="0"/>
              <w:spacing w:before="0" w:after="0"/>
              <w:ind w:left="0" w:right="0" w:hanging="0"/>
              <w:jc w:val="left"/>
              <w:rPr/>
            </w:pPr>
            <w:r>
              <w:rPr/>
              <w:t> </w:t>
            </w:r>
          </w:p>
        </w:tc>
        <w:tc>
          <w:tcPr>
            <w:tcW w:w="8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10,207</w:t>
            </w:r>
          </w:p>
        </w:tc>
        <w:tc>
          <w:tcPr>
            <w:tcW w:w="60" w:type="dxa"/>
            <w:tcBorders/>
            <w:shd w:fill="FFFFFF" w:val="clear"/>
            <w:vAlign w:val="center"/>
          </w:tcPr>
          <w:p>
            <w:pPr>
              <w:pStyle w:val="TableContents"/>
              <w:bidi w:val="0"/>
              <w:spacing w:before="0" w:after="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Released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4,724</w:t>
            </w:r>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September 30, 2023</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34" w:type="dxa"/>
            <w:gridSpan w:val="2"/>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8" w:type="dxa"/>
            <w:tcBorders/>
            <w:shd w:fill="CCEEFF" w:val="clear"/>
            <w:vAlign w:val="center"/>
          </w:tcPr>
          <w:p>
            <w:pPr>
              <w:pStyle w:val="TableContents"/>
              <w:bidi w:val="0"/>
              <w:spacing w:before="0" w:after="0"/>
              <w:ind w:left="0" w:right="0" w:hanging="0"/>
              <w:jc w:val="left"/>
              <w:rPr/>
            </w:pPr>
            <w:r>
              <w:rPr/>
              <w:t> </w:t>
            </w:r>
          </w:p>
        </w:tc>
        <w:tc>
          <w:tcPr>
            <w:tcW w:w="8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35,223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expected to vest</w:t>
            </w:r>
          </w:p>
        </w:tc>
        <w:tc>
          <w:tcPr>
            <w:tcW w:w="60" w:type="dxa"/>
            <w:tcBorders/>
            <w:shd w:fill="FFFFFF" w:val="clear"/>
            <w:vAlign w:val="center"/>
          </w:tcPr>
          <w:p>
            <w:pPr>
              <w:pStyle w:val="TableContents"/>
              <w:bidi w:val="0"/>
              <w:spacing w:before="0" w:after="0"/>
              <w:ind w:left="0" w:right="0" w:hanging="0"/>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8" w:type="dxa"/>
            <w:tcBorders/>
            <w:shd w:fill="FFFFFF" w:val="clear"/>
            <w:vAlign w:val="center"/>
          </w:tcPr>
          <w:p>
            <w:pPr>
              <w:pStyle w:val="TableContents"/>
              <w:bidi w:val="0"/>
              <w:spacing w:before="0" w:after="0"/>
              <w:ind w:left="0" w:right="0" w:hanging="0"/>
              <w:jc w:val="left"/>
              <w:rPr/>
            </w:pPr>
            <w:r>
              <w:rPr/>
              <w:t> </w:t>
            </w:r>
          </w:p>
        </w:tc>
        <w:tc>
          <w:tcPr>
            <w:tcW w:w="8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7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35,223</w:t>
            </w:r>
          </w:p>
        </w:tc>
        <w:tc>
          <w:tcPr>
            <w:tcW w:w="6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September 30, 2023</w:t>
      </w:r>
      <w:r>
        <w:rPr>
          <w:rFonts w:ascii="Times New Roman" w:hAnsi="Times New Roman"/>
          <w:sz w:val="20"/>
        </w:rPr>
        <w:t>, there was</w:t>
      </w:r>
      <w:r>
        <w:rPr>
          <w:rFonts w:ascii="Times New Roman" w:hAnsi="Times New Roman"/>
          <w:sz w:val="20"/>
          <w:shd w:fill="FFFFFF" w:val="clear"/>
        </w:rPr>
        <w:t xml:space="preserve"> $14.2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2.5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7164" w:type="dxa"/>
        <w:jc w:val="left"/>
        <w:tblInd w:w="0" w:type="dxa"/>
        <w:tblLayout w:type="fixed"/>
        <w:tblCellMar>
          <w:top w:w="0" w:type="dxa"/>
          <w:left w:w="0" w:type="dxa"/>
          <w:bottom w:w="0" w:type="dxa"/>
          <w:right w:w="0" w:type="dxa"/>
        </w:tblCellMar>
      </w:tblPr>
      <w:tblGrid>
        <w:gridCol w:w="3650"/>
        <w:gridCol w:w="60"/>
        <w:gridCol w:w="157"/>
        <w:gridCol w:w="609"/>
        <w:gridCol w:w="75"/>
        <w:gridCol w:w="75"/>
        <w:gridCol w:w="157"/>
        <w:gridCol w:w="609"/>
        <w:gridCol w:w="60"/>
        <w:gridCol w:w="60"/>
        <w:gridCol w:w="148"/>
        <w:gridCol w:w="577"/>
        <w:gridCol w:w="71"/>
        <w:gridCol w:w="71"/>
        <w:gridCol w:w="148"/>
        <w:gridCol w:w="577"/>
        <w:gridCol w:w="6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 by expense type</w:t>
            </w:r>
          </w:p>
        </w:tc>
        <w:tc>
          <w:tcPr>
            <w:tcW w:w="60"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6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1,019</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643</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5,210</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16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effective tax rate varied from the federal statutory rate of 21% primarily due to the change of the valuation allowance on federal, state, Taiwan, and China deferred tax assets ("DTA").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was appropriate.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Geographic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pStyle w:val="TextBody"/>
        <w:bidi w:val="0"/>
        <w:spacing w:before="0" w:after="0"/>
        <w:ind w:left="0" w:right="0" w:hanging="0"/>
        <w:jc w:val="left"/>
        <w:rPr/>
      </w:pPr>
      <w:r>
        <w:rPr/>
        <w:t>​</w:t>
      </w:r>
    </w:p>
    <w:tbl>
      <w:tblPr>
        <w:tblW w:w="7042" w:type="dxa"/>
        <w:jc w:val="left"/>
        <w:tblInd w:w="0" w:type="dxa"/>
        <w:tblLayout w:type="fixed"/>
        <w:tblCellMar>
          <w:top w:w="0" w:type="dxa"/>
          <w:left w:w="0" w:type="dxa"/>
          <w:bottom w:w="0" w:type="dxa"/>
          <w:right w:w="0" w:type="dxa"/>
        </w:tblCellMar>
      </w:tblPr>
      <w:tblGrid>
        <w:gridCol w:w="1100"/>
        <w:gridCol w:w="60"/>
        <w:gridCol w:w="233"/>
        <w:gridCol w:w="1103"/>
        <w:gridCol w:w="112"/>
        <w:gridCol w:w="112"/>
        <w:gridCol w:w="233"/>
        <w:gridCol w:w="1103"/>
        <w:gridCol w:w="60"/>
        <w:gridCol w:w="60"/>
        <w:gridCol w:w="199"/>
        <w:gridCol w:w="1109"/>
        <w:gridCol w:w="95"/>
        <w:gridCol w:w="95"/>
        <w:gridCol w:w="199"/>
        <w:gridCol w:w="1109"/>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3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1336"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30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19,859</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14,636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5,732</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37,194</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113,851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111,700</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28,706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43,801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62,547</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114" w:type="dxa"/>
        <w:jc w:val="left"/>
        <w:tblInd w:w="0" w:type="dxa"/>
        <w:tblLayout w:type="fixed"/>
        <w:tblCellMar>
          <w:top w:w="0" w:type="dxa"/>
          <w:left w:w="0" w:type="dxa"/>
          <w:bottom w:w="0" w:type="dxa"/>
          <w:right w:w="0" w:type="dxa"/>
        </w:tblCellMar>
      </w:tblPr>
      <w:tblGrid>
        <w:gridCol w:w="1520"/>
        <w:gridCol w:w="60"/>
        <w:gridCol w:w="180"/>
        <w:gridCol w:w="1009"/>
        <w:gridCol w:w="63"/>
        <w:gridCol w:w="63"/>
        <w:gridCol w:w="174"/>
        <w:gridCol w:w="970"/>
        <w:gridCol w:w="75"/>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As of the period ended</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September 30,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189" w:type="dxa"/>
            <w:gridSpan w:val="2"/>
            <w:tcBorders/>
            <w:shd w:fill="CCEEFF" w:val="clear"/>
            <w:vAlign w:val="center"/>
          </w:tcPr>
          <w:p>
            <w:pPr>
              <w:pStyle w:val="TableContents"/>
              <w:bidi w:val="0"/>
              <w:spacing w:before="0" w:after="0"/>
              <w:ind w:left="0" w:right="0" w:hanging="0"/>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144" w:type="dxa"/>
            <w:gridSpan w:val="2"/>
            <w:tcBorders/>
            <w:shd w:fill="CCEEFF" w:val="clear"/>
            <w:vAlign w:val="center"/>
          </w:tcPr>
          <w:p>
            <w:pPr>
              <w:pStyle w:val="TableContents"/>
              <w:bidi w:val="0"/>
              <w:spacing w:before="0" w:after="0"/>
              <w:ind w:left="0" w:right="0" w:hanging="0"/>
              <w:jc w:val="lef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75,108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80,048</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Taiwan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44,324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50,777</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China</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88,009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93,888</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207,441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224,713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believes that there are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claims or actions pending or threatened against it, the ultimate disposition of which would have a material adverse effect on it.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On </w:t>
      </w:r>
      <w:r>
        <w:rPr>
          <w:rStyle w:val="Emphasis"/>
          <w:rFonts w:ascii="Times New Roman" w:hAnsi="Times New Roman"/>
          <w:caps w:val="false"/>
          <w:smallCaps w:val="false"/>
          <w:sz w:val="20"/>
          <w:shd w:fill="FFFFFF" w:val="clear"/>
        </w:rPr>
        <w:t xml:space="preserve"> August 9, 2021, </w:t>
      </w:r>
      <w:r>
        <w:rPr>
          <w:rFonts w:ascii="Times New Roman" w:hAnsi="Times New Roman"/>
          <w:caps w:val="false"/>
          <w:smallCaps w:val="false"/>
          <w:sz w:val="20"/>
          <w:shd w:fill="FFFFFF" w:val="clear"/>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shd w:fill="FFFFFF" w:val="clear"/>
        </w:rPr>
        <w:t>2016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2019,</w:t>
      </w:r>
      <w:r>
        <w:rPr>
          <w:rFonts w:ascii="Times New Roman" w:hAnsi="Times New Roman"/>
          <w:caps w:val="false"/>
          <w:smallCaps w:val="false"/>
          <w:sz w:val="20"/>
          <w:shd w:fill="FFFFFF" w:val="clear"/>
        </w:rPr>
        <w:t> informing the Company that the Comptroller believes the Company did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shd w:fill="FFFFFF" w:val="clear"/>
        </w:rPr>
        <w:t xml:space="preserve">May 2021, </w:t>
      </w:r>
      <w:r>
        <w:rPr>
          <w:rFonts w:ascii="Times New Roman" w:hAnsi="Times New Roman"/>
          <w:caps w:val="false"/>
          <w:smallCaps w:val="false"/>
          <w:sz w:val="20"/>
          <w:shd w:fill="FFFFFF" w:val="clear"/>
        </w:rPr>
        <w:t>but challenged the remaining tax assessments and vigorously defended its position. </w:t>
      </w:r>
      <w:r>
        <w:rPr>
          <w:rFonts w:ascii="Times New Roman" w:hAnsi="Times New Roman"/>
          <w:caps w:val="false"/>
          <w:smallCaps w:val="false"/>
          <w:sz w:val="20"/>
        </w:rPr>
        <w:t xml:space="preserve">The Comptroller’s office exhausted its redetermination period and therefore moved AOI’s case to the hearing process. In </w:t>
      </w:r>
      <w:r>
        <w:rPr>
          <w:rStyle w:val="Emphasis"/>
          <w:rFonts w:ascii="Times New Roman" w:hAnsi="Times New Roman"/>
          <w:caps w:val="false"/>
          <w:smallCaps w:val="false"/>
          <w:sz w:val="20"/>
        </w:rPr>
        <w:t xml:space="preserve">April 2023 </w:t>
      </w:r>
      <w:r>
        <w:rPr>
          <w:rFonts w:ascii="Times New Roman" w:hAnsi="Times New Roman"/>
          <w:caps w:val="false"/>
          <w:smallCaps w:val="false"/>
          <w:sz w:val="20"/>
        </w:rPr>
        <w:t xml:space="preserve">the Company received a notice from an attorney representing the Administrative Hearings Section ("AHS") to issue a Position Letter.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updated action was taken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Style w:val="Emphasis"/>
          <w:rFonts w:ascii="Times New Roman;Times;serif" w:hAnsi="Times New Roman;Times;serif"/>
          <w:sz w:val="20"/>
        </w:rPr>
        <w:t>None</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2023 and the audited consolidated financial statements and notes thereto and management’s discussion and analysis of financial condition and results of operations for the fiscal year ended December 31, 2022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2022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CATV, internet data centers,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internet data center,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Within the internet data center market, we benefit from the increasing use of higher-capacity optical networking technology as a replacement for copper cables, particularly as speeds reach 400 Gbps and above, as well as the movement to open internet data center architectures and the increasing use of in-house equipment design among leading internet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w:t>
      </w:r>
      <w:r>
        <w:rPr>
          <w:rFonts w:ascii="Times New Roman;Times;serif" w:hAnsi="Times New Roman;Times;serif"/>
          <w:sz w:val="20"/>
          <w:shd w:fill="FFFFFF" w:val="clear"/>
        </w:rPr>
        <w:t>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Termination of the Divestiture Agreement with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we entered into a definitive purchase agreement (the "Purchase Agreement") and announced the planned divestiture to sell the manufacturing facilities in the People's Republic of China and certain assets related to our transceiver business and multi-channel optical sub-assembly products to Yuhan Optoelectronic Technology (Shanghai) Co., Ltd. (the "Purchaser"). The purchase price payable by the Purchaser under the Purchase Agreement was an amount equal to the $150 million USD equivalent of Renminbi, less a holdback amount. On September 12, 2023, we delivered a notice of termination to the Purchaser to terminate the Purchase Agreement as a result of the Purchaser's breach of or omission to observe certain of the Purchaser's obligations under the Purchase Agreement. As a result of the Company's delivery of the termination notice, the Purchase Agreement was terminated.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of the termination of the Purchase Agreement, we will not realize the expected benefits of the proposed sale, and we have incurred transaction costs, including legal, accounting, financial, advisory and other costs relating to our proposed divestiture.</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83"/>
        <w:gridCol w:w="60"/>
        <w:gridCol w:w="149"/>
        <w:gridCol w:w="706"/>
        <w:gridCol w:w="95"/>
        <w:gridCol w:w="71"/>
        <w:gridCol w:w="71"/>
        <w:gridCol w:w="580"/>
        <w:gridCol w:w="235"/>
        <w:gridCol w:w="60"/>
        <w:gridCol w:w="144"/>
        <w:gridCol w:w="750"/>
        <w:gridCol w:w="91"/>
        <w:gridCol w:w="69"/>
        <w:gridCol w:w="69"/>
        <w:gridCol w:w="559"/>
        <w:gridCol w:w="235"/>
        <w:gridCol w:w="60"/>
        <w:gridCol w:w="131"/>
        <w:gridCol w:w="735"/>
        <w:gridCol w:w="84"/>
        <w:gridCol w:w="63"/>
        <w:gridCol w:w="63"/>
        <w:gridCol w:w="512"/>
        <w:gridCol w:w="235"/>
        <w:gridCol w:w="60"/>
        <w:gridCol w:w="131"/>
        <w:gridCol w:w="735"/>
        <w:gridCol w:w="84"/>
        <w:gridCol w:w="63"/>
        <w:gridCol w:w="63"/>
        <w:gridCol w:w="512"/>
        <w:gridCol w:w="247"/>
      </w:tblGrid>
      <w:tr>
        <w:trPr/>
        <w:tc>
          <w:tcPr>
            <w:tcW w:w="2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247" w:type="dxa"/>
            <w:tcBorders/>
            <w:shd w:fill="FFFFFF" w:val="clear"/>
            <w:vAlign w:val="center"/>
          </w:tcPr>
          <w:p>
            <w:pPr>
              <w:pStyle w:val="TableContents"/>
              <w:bidi w:val="0"/>
              <w:spacing w:before="0" w:after="283"/>
              <w:jc w:val="left"/>
              <w:rPr/>
            </w:pPr>
            <w:r>
              <w:rPr/>
              <w:t> </w:t>
            </w:r>
          </w:p>
        </w:tc>
      </w:tr>
      <w:tr>
        <w:trPr/>
        <w:tc>
          <w:tcPr>
            <w:tcW w:w="24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247" w:type="dxa"/>
            <w:tcBorders/>
            <w:shd w:fill="FFFFFF" w:val="clear"/>
            <w:vAlign w:val="center"/>
          </w:tcPr>
          <w:p>
            <w:pPr>
              <w:pStyle w:val="TableContents"/>
              <w:bidi w:val="0"/>
              <w:spacing w:before="0" w:after="283"/>
              <w:jc w:val="left"/>
              <w:rPr/>
            </w:pPr>
            <w:r>
              <w:rPr/>
              <w:t> </w:t>
            </w:r>
          </w:p>
        </w:tc>
      </w:tr>
      <w:tr>
        <w:trPr/>
        <w:tc>
          <w:tcPr>
            <w:tcW w:w="2483"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7" w:type="dxa"/>
            <w:tcBorders/>
            <w:shd w:fill="FFFFFF" w:val="clear"/>
            <w:vAlign w:val="center"/>
          </w:tcPr>
          <w:p>
            <w:pPr>
              <w:pStyle w:val="TableContents"/>
              <w:bidi w:val="0"/>
              <w:spacing w:before="0" w:after="283"/>
              <w:jc w:val="left"/>
              <w:rPr/>
            </w:pPr>
            <w:r>
              <w:rPr/>
              <w:t> </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62,547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56,693</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42,373</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46,944</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119,876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133,832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20,174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9,749</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37,317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85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9,457</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9,206</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27,021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14,368</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11,654</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33,908</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26,860</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23,245</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74,134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68,036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(6,686</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(13,496</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(36,817</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85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9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(6,301</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(4,431</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(2,131</w:t>
            </w:r>
          </w:p>
        </w:tc>
        <w:tc>
          <w:tcPr>
            <w:tcW w:w="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(42,182</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(46,146</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9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w:t>
            </w:r>
          </w:p>
        </w:tc>
        <w:tc>
          <w:tcPr>
            <w:tcW w:w="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(46,146</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2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CATV, internet data center,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2023 and 2022 (in thousands, except percentages):</w:t>
      </w:r>
    </w:p>
    <w:p>
      <w:pPr>
        <w:pStyle w:val="TextBody"/>
        <w:bidi w:val="0"/>
        <w:spacing w:before="0" w:after="0"/>
        <w:ind w:left="0" w:right="0" w:hanging="0"/>
        <w:jc w:val="left"/>
        <w:rPr/>
      </w:pPr>
      <w:r>
        <w:rPr/>
        <w:t>​</w:t>
      </w:r>
    </w:p>
    <w:tbl>
      <w:tblPr>
        <w:tblW w:w="6625"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81"/>
        <w:gridCol w:w="659"/>
        <w:gridCol w:w="185"/>
        <w:gridCol w:w="60"/>
        <w:gridCol w:w="125"/>
        <w:gridCol w:w="590"/>
        <w:gridCol w:w="60"/>
        <w:gridCol w:w="60"/>
        <w:gridCol w:w="81"/>
        <w:gridCol w:w="659"/>
        <w:gridCol w:w="185"/>
        <w:gridCol w:w="60"/>
        <w:gridCol w:w="125"/>
        <w:gridCol w:w="650"/>
        <w:gridCol w:w="80"/>
        <w:gridCol w:w="60"/>
        <w:gridCol w:w="60"/>
        <w:gridCol w:w="485"/>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175.8</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tbl>
      <w:tblPr>
        <w:tblW w:w="6790" w:type="dxa"/>
        <w:jc w:val="left"/>
        <w:tblInd w:w="0" w:type="dxa"/>
        <w:tblLayout w:type="fixed"/>
        <w:tblCellMar>
          <w:top w:w="0" w:type="dxa"/>
          <w:left w:w="0" w:type="dxa"/>
          <w:bottom w:w="0" w:type="dxa"/>
          <w:right w:w="0" w:type="dxa"/>
        </w:tblCellMar>
      </w:tblPr>
      <w:tblGrid>
        <w:gridCol w:w="1220"/>
        <w:gridCol w:w="60"/>
        <w:gridCol w:w="125"/>
        <w:gridCol w:w="695"/>
        <w:gridCol w:w="60"/>
        <w:gridCol w:w="60"/>
        <w:gridCol w:w="81"/>
        <w:gridCol w:w="659"/>
        <w:gridCol w:w="185"/>
        <w:gridCol w:w="60"/>
        <w:gridCol w:w="125"/>
        <w:gridCol w:w="695"/>
        <w:gridCol w:w="60"/>
        <w:gridCol w:w="60"/>
        <w:gridCol w:w="81"/>
        <w:gridCol w:w="659"/>
        <w:gridCol w:w="185"/>
        <w:gridCol w:w="60"/>
        <w:gridCol w:w="125"/>
        <w:gridCol w:w="650"/>
        <w:gridCol w:w="80"/>
        <w:gridCol w:w="60"/>
        <w:gridCol w:w="60"/>
        <w:gridCol w:w="440"/>
        <w:gridCol w:w="24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2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increase in revenue during the three months ended September 30, 2023 and 2022 was </w:t>
      </w:r>
      <w:r>
        <w:rPr>
          <w:rFonts w:ascii="Times New Roman;Times;serif" w:hAnsi="Times New Roman;Times;serif"/>
          <w:sz w:val="20"/>
        </w:rPr>
        <w:t>primarily due to more demand from major data center customers, partially offset by less demand from CATV customers. The decrease in revenue during the nine months ended September 30, 2023 and 2022 was primarily due to strong demand from major data center customers, offset by weak demand from CATV customers and telecom customers.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begun to see increased orders for our 400G data center products from several large customers. Based on forecasts from our customers, we expect increased demand for these products through the end of 2023. We entered into a supply agreement with Microsoft to design certain datacenter goods and to build a supply chain to manufacture, assemble, sell and ship the goods to them or an authorized purchasing entity. The initial term of the agreement is five years with automatic renewal unless terminated earlier.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the three months ended </w:t>
      </w:r>
      <w:r>
        <w:rPr>
          <w:rFonts w:ascii="Times New Roman;Times;serif" w:hAnsi="Times New Roman;Times;serif"/>
          <w:sz w:val="20"/>
        </w:rPr>
        <w:t>September 30, 2023 and 2022</w:t>
      </w:r>
      <w:r>
        <w:rPr>
          <w:rFonts w:ascii="Times New Roman;Times;serif" w:hAnsi="Times New Roman;Times;serif"/>
          <w:sz w:val="20"/>
          <w:shd w:fill="FFFFFF" w:val="clear"/>
        </w:rPr>
        <w:t xml:space="preserve">, our top ten customers represented 96.1% and 86.1% of our revenue, respectively. For the nine months ended </w:t>
      </w:r>
      <w:r>
        <w:rPr>
          <w:rFonts w:ascii="Times New Roman;Times;serif" w:hAnsi="Times New Roman;Times;serif"/>
          <w:sz w:val="20"/>
        </w:rPr>
        <w:t>September 30, 2023 and 2022</w:t>
      </w:r>
      <w:r>
        <w:rPr>
          <w:rFonts w:ascii="Times New Roman;Times;serif" w:hAnsi="Times New Roman;Times;serif"/>
          <w:sz w:val="20"/>
          <w:shd w:fill="FFFFFF" w:val="clear"/>
        </w:rPr>
        <w:t>, our top ten customers represented 93.3% and 86.4%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996" w:type="dxa"/>
        <w:jc w:val="left"/>
        <w:tblInd w:w="0" w:type="dxa"/>
        <w:tblLayout w:type="fixed"/>
        <w:tblCellMar>
          <w:top w:w="0" w:type="dxa"/>
          <w:left w:w="0" w:type="dxa"/>
          <w:bottom w:w="0" w:type="dxa"/>
          <w:right w:w="0" w:type="dxa"/>
        </w:tblCellMar>
      </w:tblPr>
      <w:tblGrid>
        <w:gridCol w:w="1535"/>
        <w:gridCol w:w="60"/>
        <w:gridCol w:w="133"/>
        <w:gridCol w:w="627"/>
        <w:gridCol w:w="63"/>
        <w:gridCol w:w="63"/>
        <w:gridCol w:w="100"/>
        <w:gridCol w:w="640"/>
        <w:gridCol w:w="196"/>
        <w:gridCol w:w="63"/>
        <w:gridCol w:w="133"/>
        <w:gridCol w:w="627"/>
        <w:gridCol w:w="63"/>
        <w:gridCol w:w="63"/>
        <w:gridCol w:w="100"/>
        <w:gridCol w:w="640"/>
        <w:gridCol w:w="185"/>
        <w:gridCol w:w="60"/>
        <w:gridCol w:w="125"/>
        <w:gridCol w:w="590"/>
        <w:gridCol w:w="80"/>
        <w:gridCol w:w="60"/>
        <w:gridCol w:w="60"/>
        <w:gridCol w:w="485"/>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6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56"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46,944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20,174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106.9</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695"/>
        <w:gridCol w:w="60"/>
        <w:gridCol w:w="60"/>
        <w:gridCol w:w="100"/>
        <w:gridCol w:w="640"/>
        <w:gridCol w:w="185"/>
        <w:gridCol w:w="60"/>
        <w:gridCol w:w="125"/>
        <w:gridCol w:w="650"/>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26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Cost of goods sold decreased by $4.6 million, or 9.7%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primarily due to less material cost. Cost of goods sold decreased by $14.0 million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 primarily due to less material cost and continuing effort on cost savings.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Gross profit increased by $10.4 million, and gross margin increased by 106.9%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primarily as a result of more sales in our data center business with higher gross margin. Gross profit increased by $9.9 million, and gross margin increased by 36.2%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 primarily as a result of less material cost and continuing effort on cost savings.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w:t>
      </w:r>
    </w:p>
    <w:tbl>
      <w:tblPr>
        <w:tblW w:w="7376" w:type="dxa"/>
        <w:jc w:val="left"/>
        <w:tblInd w:w="0" w:type="dxa"/>
        <w:tblLayout w:type="fixed"/>
        <w:tblCellMar>
          <w:top w:w="0" w:type="dxa"/>
          <w:left w:w="0" w:type="dxa"/>
          <w:bottom w:w="0" w:type="dxa"/>
          <w:right w:w="0" w:type="dxa"/>
        </w:tblCellMar>
      </w:tblPr>
      <w:tblGrid>
        <w:gridCol w:w="2210"/>
        <w:gridCol w:w="60"/>
        <w:gridCol w:w="133"/>
        <w:gridCol w:w="627"/>
        <w:gridCol w:w="63"/>
        <w:gridCol w:w="63"/>
        <w:gridCol w:w="94"/>
        <w:gridCol w:w="601"/>
        <w:gridCol w:w="196"/>
        <w:gridCol w:w="63"/>
        <w:gridCol w:w="133"/>
        <w:gridCol w:w="627"/>
        <w:gridCol w:w="63"/>
        <w:gridCol w:w="63"/>
        <w:gridCol w:w="94"/>
        <w:gridCol w:w="601"/>
        <w:gridCol w:w="185"/>
        <w:gridCol w:w="60"/>
        <w:gridCol w:w="142"/>
        <w:gridCol w:w="553"/>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9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921"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14,368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w:t>
            </w:r>
          </w:p>
        </w:tc>
        <w:tc>
          <w:tcPr>
            <w:tcW w:w="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26,860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23,245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tbl>
      <w:tblPr>
        <w:tblW w:w="7376" w:type="dxa"/>
        <w:jc w:val="left"/>
        <w:tblInd w:w="0" w:type="dxa"/>
        <w:tblLayout w:type="fixed"/>
        <w:tblCellMar>
          <w:top w:w="0" w:type="dxa"/>
          <w:left w:w="0" w:type="dxa"/>
          <w:bottom w:w="0" w:type="dxa"/>
          <w:right w:w="0" w:type="dxa"/>
        </w:tblCellMar>
      </w:tblPr>
      <w:tblGrid>
        <w:gridCol w:w="2210"/>
        <w:gridCol w:w="60"/>
        <w:gridCol w:w="127"/>
        <w:gridCol w:w="602"/>
        <w:gridCol w:w="61"/>
        <w:gridCol w:w="61"/>
        <w:gridCol w:w="94"/>
        <w:gridCol w:w="601"/>
        <w:gridCol w:w="188"/>
        <w:gridCol w:w="61"/>
        <w:gridCol w:w="127"/>
        <w:gridCol w:w="602"/>
        <w:gridCol w:w="61"/>
        <w:gridCol w:w="61"/>
        <w:gridCol w:w="94"/>
        <w:gridCol w:w="601"/>
        <w:gridCol w:w="185"/>
        <w:gridCol w:w="60"/>
        <w:gridCol w:w="142"/>
        <w:gridCol w:w="553"/>
        <w:gridCol w:w="80"/>
        <w:gridCol w:w="60"/>
        <w:gridCol w:w="60"/>
        <w:gridCol w:w="380"/>
        <w:gridCol w:w="24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61"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26,633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18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27,021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8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39,870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p>
        </w:tc>
        <w:tc>
          <w:tcPr>
            <w:tcW w:w="18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w:t>
            </w:r>
          </w:p>
        </w:tc>
        <w:tc>
          <w:tcPr>
            <w:tcW w:w="18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68,036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Research and development expense increased by $0.3 million, or 2.7%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w:t>
      </w:r>
      <w:r>
        <w:rPr>
          <w:rFonts w:ascii="Times New Roman;Times;serif" w:hAnsi="Times New Roman;Times;serif"/>
          <w:sz w:val="20"/>
        </w:rPr>
        <w:t>The increases were primarily due to more personnel-related expense for hiring of engineers. </w:t>
      </w:r>
      <w:r>
        <w:rPr>
          <w:rFonts w:ascii="Times New Roman;Times;serif" w:hAnsi="Times New Roman;Times;serif"/>
          <w:sz w:val="20"/>
          <w:shd w:fill="FFFFFF" w:val="clear"/>
        </w:rPr>
        <w:t xml:space="preserve">Research and development expense decreased by $0.4 million, or 1.4%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w:t>
      </w:r>
      <w:r>
        <w:rPr>
          <w:rFonts w:ascii="Times New Roman;Times;serif" w:hAnsi="Times New Roman;Times;serif"/>
          <w:sz w:val="20"/>
        </w:rPr>
        <w:t>The decreases were primarily due to less machine depreciation, less materials and supplies used in R&amp;D activities combined with Asian currency exchange rate effects. </w:t>
      </w:r>
      <w:r>
        <w:rPr>
          <w:rFonts w:ascii="Times New Roman;Times;serif" w:hAnsi="Times New Roman;Times;serif"/>
          <w:sz w:val="20"/>
          <w:shd w:fill="FFFFFF" w:val="clear"/>
        </w:rPr>
        <w:t xml:space="preserve">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increased by $0.7 million, or 27.3% for the three months ended September 30, 2023 as compared to the three months ended September 30, 2022. The increase was primarily due to the business development effort on quantum bandwidth products and higher shipping costs. Sales and marketing expense increased by $0.5 million, or 7.4% for the nine months ended September 30, 2023 as compared to the nine months ended September 30, 2022. The increase was primarily due to the business development effort on quantum bandwidth products.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General and administrative expense increased by $2.7 million, or 23.3%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This increase was primarily due to an increase in </w:t>
      </w:r>
      <w:r>
        <w:rPr>
          <w:rFonts w:ascii="Times New Roman;Times;serif" w:hAnsi="Times New Roman;Times;serif"/>
          <w:sz w:val="20"/>
        </w:rPr>
        <w:t>personnel-related costs including share-based compensation expense and </w:t>
      </w:r>
      <w:r>
        <w:rPr>
          <w:rFonts w:ascii="Times New Roman;Times;serif" w:hAnsi="Times New Roman;Times;serif"/>
          <w:sz w:val="20"/>
          <w:shd w:fill="FFFFFF" w:val="clear"/>
        </w:rPr>
        <w:t xml:space="preserve">professional service fees incurred due to the transaction for China </w:t>
      </w:r>
      <w:r>
        <w:rPr>
          <w:rFonts w:ascii="Times New Roman;Times;serif" w:hAnsi="Times New Roman;Times;serif"/>
          <w:sz w:val="20"/>
        </w:rPr>
        <w:t>divestiture agreement</w:t>
      </w:r>
      <w:r>
        <w:rPr>
          <w:rFonts w:ascii="Times New Roman;Times;serif" w:hAnsi="Times New Roman;Times;serif"/>
          <w:sz w:val="20"/>
          <w:shd w:fill="FFFFFF" w:val="clear"/>
        </w:rPr>
        <w:t xml:space="preserve">. General and administrative expense increased by $5.9 million, or 17.6%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 xml:space="preserve">. This increase was primarily due to an increase in </w:t>
      </w:r>
      <w:r>
        <w:rPr>
          <w:rFonts w:ascii="Times New Roman;Times;serif" w:hAnsi="Times New Roman;Times;serif"/>
          <w:sz w:val="20"/>
        </w:rPr>
        <w:t>personnel-related costs including share-based compensation expense and </w:t>
      </w:r>
      <w:r>
        <w:rPr>
          <w:rFonts w:ascii="Times New Roman;Times;serif" w:hAnsi="Times New Roman;Times;serif"/>
          <w:sz w:val="20"/>
          <w:shd w:fill="FFFFFF" w:val="clear"/>
        </w:rPr>
        <w:t xml:space="preserve">professional service fees incurred due to the transaction for China </w:t>
      </w:r>
      <w:r>
        <w:rPr>
          <w:rFonts w:ascii="Times New Roman;Times;serif" w:hAnsi="Times New Roman;Times;serif"/>
          <w:sz w:val="20"/>
        </w:rPr>
        <w:t>divestiture agreement</w:t>
      </w:r>
      <w:r>
        <w:rPr>
          <w:rFonts w:ascii="Times New Roman;Times;serif" w:hAnsi="Times New Roman;Times;serif"/>
          <w:sz w:val="20"/>
          <w:shd w:fill="FFFFFF" w:val="clear"/>
        </w:rPr>
        <w:t>.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218" w:type="dxa"/>
        <w:jc w:val="left"/>
        <w:tblInd w:w="0" w:type="dxa"/>
        <w:tblLayout w:type="fixed"/>
        <w:tblCellMar>
          <w:top w:w="0" w:type="dxa"/>
          <w:left w:w="0" w:type="dxa"/>
          <w:bottom w:w="0" w:type="dxa"/>
          <w:right w:w="0" w:type="dxa"/>
        </w:tblCellMar>
      </w:tblPr>
      <w:tblGrid>
        <w:gridCol w:w="2735"/>
        <w:gridCol w:w="60"/>
        <w:gridCol w:w="136"/>
        <w:gridCol w:w="597"/>
        <w:gridCol w:w="87"/>
        <w:gridCol w:w="65"/>
        <w:gridCol w:w="106"/>
        <w:gridCol w:w="589"/>
        <w:gridCol w:w="268"/>
        <w:gridCol w:w="65"/>
        <w:gridCol w:w="136"/>
        <w:gridCol w:w="597"/>
        <w:gridCol w:w="87"/>
        <w:gridCol w:w="65"/>
        <w:gridCol w:w="106"/>
        <w:gridCol w:w="589"/>
        <w:gridCol w:w="245"/>
        <w:gridCol w:w="60"/>
        <w:gridCol w:w="167"/>
        <w:gridCol w:w="528"/>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6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5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6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68"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78"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6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6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26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283"/>
              <w:jc w:val="left"/>
              <w:rPr/>
            </w:pPr>
            <w:r>
              <w:rPr/>
              <w:t> </w:t>
            </w:r>
          </w:p>
        </w:tc>
        <w:tc>
          <w:tcPr>
            <w:tcW w:w="1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6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(2,131</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w:t>
      </w:r>
    </w:p>
    <w:tbl>
      <w:tblPr>
        <w:tblW w:w="8197" w:type="dxa"/>
        <w:jc w:val="left"/>
        <w:tblInd w:w="0" w:type="dxa"/>
        <w:tblLayout w:type="fixed"/>
        <w:tblCellMar>
          <w:top w:w="0" w:type="dxa"/>
          <w:left w:w="0" w:type="dxa"/>
          <w:bottom w:w="0" w:type="dxa"/>
          <w:right w:w="0" w:type="dxa"/>
        </w:tblCellMar>
      </w:tblPr>
      <w:tblGrid>
        <w:gridCol w:w="2735"/>
        <w:gridCol w:w="60"/>
        <w:gridCol w:w="131"/>
        <w:gridCol w:w="573"/>
        <w:gridCol w:w="84"/>
        <w:gridCol w:w="63"/>
        <w:gridCol w:w="104"/>
        <w:gridCol w:w="591"/>
        <w:gridCol w:w="257"/>
        <w:gridCol w:w="63"/>
        <w:gridCol w:w="131"/>
        <w:gridCol w:w="573"/>
        <w:gridCol w:w="84"/>
        <w:gridCol w:w="63"/>
        <w:gridCol w:w="104"/>
        <w:gridCol w:w="591"/>
        <w:gridCol w:w="245"/>
        <w:gridCol w:w="60"/>
        <w:gridCol w:w="129"/>
        <w:gridCol w:w="566"/>
        <w:gridCol w:w="8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5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57"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57"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(6,301</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2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(4,431</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w:t>
            </w:r>
          </w:p>
        </w:tc>
        <w:tc>
          <w:tcPr>
            <w:tcW w:w="25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(1,171</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25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2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increased 106.6% for the three months ended September 30, 2023 compared to the three months ended September 30, 2022. The increase is due to higher saving rates and balances.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expense increased by $0.4 million, or 22.7% and $1.9 million, or 42.2% each for the three and six months ended September 30, 2023 compared to the three and six months ended September 30, 2022. This increase was due to higher average interest rate during the 2023 period.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income increased by $0.2 million, or 36.7%,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w:t>
      </w:r>
      <w:r>
        <w:rPr>
          <w:rFonts w:ascii="Times New Roman;Times;serif" w:hAnsi="Times New Roman;Times;serif"/>
          <w:sz w:val="20"/>
        </w:rPr>
        <w:t xml:space="preserve"> This increase was mainly due to less foreign exchange loss in 2023.</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income increased by $2 million, or 168.6%,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w:t>
      </w:r>
      <w:r>
        <w:rPr>
          <w:rFonts w:ascii="Times New Roman;Times;serif" w:hAnsi="Times New Roman;Times;serif"/>
          <w:sz w:val="20"/>
        </w:rPr>
        <w:t xml:space="preserve"> This increase was mainly due to the other income received in the first half of 2023 from the China plant for several local government subsidized income in local city development plans and foreign currency gain arising from favorable exchange rate change.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w:t>
      </w:r>
    </w:p>
    <w:p>
      <w:pPr>
        <w:pStyle w:val="TextBody"/>
        <w:bidi w:val="0"/>
        <w:spacing w:before="0" w:after="0"/>
        <w:ind w:left="0" w:right="0" w:hanging="0"/>
        <w:jc w:val="left"/>
        <w:rPr/>
      </w:pPr>
      <w:r>
        <w:rPr/>
        <w:t>​</w:t>
      </w:r>
    </w:p>
    <w:tbl>
      <w:tblPr>
        <w:tblW w:w="6038" w:type="dxa"/>
        <w:jc w:val="left"/>
        <w:tblInd w:w="0" w:type="dxa"/>
        <w:tblLayout w:type="fixed"/>
        <w:tblCellMar>
          <w:top w:w="0" w:type="dxa"/>
          <w:left w:w="0" w:type="dxa"/>
          <w:bottom w:w="0" w:type="dxa"/>
          <w:right w:w="0" w:type="dxa"/>
        </w:tblCellMar>
      </w:tblPr>
      <w:tblGrid>
        <w:gridCol w:w="2945"/>
        <w:gridCol w:w="60"/>
        <w:gridCol w:w="117"/>
        <w:gridCol w:w="507"/>
        <w:gridCol w:w="117"/>
        <w:gridCol w:w="117"/>
        <w:gridCol w:w="243"/>
        <w:gridCol w:w="507"/>
        <w:gridCol w:w="117"/>
        <w:gridCol w:w="117"/>
        <w:gridCol w:w="117"/>
        <w:gridCol w:w="507"/>
        <w:gridCol w:w="117"/>
        <w:gridCol w:w="117"/>
        <w:gridCol w:w="117"/>
        <w:gridCol w:w="156"/>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13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pPr>
            <w:r>
              <w:rPr/>
              <w:t>—</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32" w:type="dxa"/>
        <w:jc w:val="left"/>
        <w:tblInd w:w="0" w:type="dxa"/>
        <w:tblLayout w:type="fixed"/>
        <w:tblCellMar>
          <w:top w:w="0" w:type="dxa"/>
          <w:left w:w="0" w:type="dxa"/>
          <w:bottom w:w="0" w:type="dxa"/>
          <w:right w:w="0" w:type="dxa"/>
        </w:tblCellMar>
      </w:tblPr>
      <w:tblGrid>
        <w:gridCol w:w="2945"/>
        <w:gridCol w:w="60"/>
        <w:gridCol w:w="232"/>
        <w:gridCol w:w="344"/>
        <w:gridCol w:w="148"/>
        <w:gridCol w:w="111"/>
        <w:gridCol w:w="232"/>
        <w:gridCol w:w="484"/>
        <w:gridCol w:w="111"/>
        <w:gridCol w:w="111"/>
        <w:gridCol w:w="232"/>
        <w:gridCol w:w="344"/>
        <w:gridCol w:w="148"/>
        <w:gridCol w:w="111"/>
        <w:gridCol w:w="111"/>
        <w:gridCol w:w="148"/>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8"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0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867" w:type="dxa"/>
            <w:gridSpan w:val="1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4" w:type="dxa"/>
            <w:tcBorders/>
            <w:shd w:fill="CCEEFF" w:val="clear"/>
            <w:vAlign w:val="center"/>
          </w:tcPr>
          <w:p>
            <w:pPr>
              <w:pStyle w:val="TableContents"/>
              <w:bidi w:val="0"/>
              <w:spacing w:before="0" w:after="283"/>
              <w:ind w:left="0" w:right="0" w:hanging="0"/>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September 30, 2023 and 2022</w:t>
      </w:r>
      <w:r>
        <w:rPr>
          <w:rFonts w:ascii="Times New Roman;Times;serif" w:hAnsi="Times New Roman;Times;serif"/>
          <w:sz w:val="20"/>
          <w:shd w:fill="FFFFFF" w:val="clear"/>
        </w:rPr>
        <w:t xml:space="preserve"> was 0%. For the six months </w:t>
      </w:r>
      <w:r>
        <w:rPr>
          <w:rFonts w:ascii="Times New Roman;Times;serif" w:hAnsi="Times New Roman;Times;serif"/>
          <w:sz w:val="20"/>
        </w:rPr>
        <w:t>ended September 30, 2023 and 2022, t</w:t>
      </w:r>
      <w:r>
        <w:rPr>
          <w:rFonts w:ascii="Times New Roman;Times;serif" w:hAnsi="Times New Roman;Times;serif"/>
          <w:sz w:val="20"/>
          <w:shd w:fill="FFFFFF" w:val="clear"/>
        </w:rPr>
        <w:t>he Company’s effective tax rate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We are evaluating these laws and their potential impact on our current income tax expense and cash taxes. However, we currently do not believe this will have an impact on our taxes for the 2023 tax year.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3890"/>
        <w:gridCol w:w="60"/>
        <w:gridCol w:w="129"/>
        <w:gridCol w:w="566"/>
        <w:gridCol w:w="80"/>
        <w:gridCol w:w="60"/>
        <w:gridCol w:w="83"/>
        <w:gridCol w:w="612"/>
        <w:gridCol w:w="245"/>
        <w:gridCol w:w="60"/>
        <w:gridCol w:w="125"/>
        <w:gridCol w:w="650"/>
        <w:gridCol w:w="80"/>
        <w:gridCol w:w="60"/>
        <w:gridCol w:w="83"/>
        <w:gridCol w:w="612"/>
        <w:gridCol w:w="245"/>
        <w:gridCol w:w="60"/>
        <w:gridCol w:w="125"/>
        <w:gridCol w:w="590"/>
        <w:gridCol w:w="60"/>
        <w:gridCol w:w="60"/>
        <w:gridCol w:w="60"/>
        <w:gridCol w:w="440"/>
        <w:gridCol w:w="24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8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(59.4</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9360" w:type="dxa"/>
        <w:jc w:val="left"/>
        <w:tblInd w:w="0" w:type="dxa"/>
        <w:tblLayout w:type="fixed"/>
        <w:tblCellMar>
          <w:top w:w="0" w:type="dxa"/>
          <w:left w:w="0" w:type="dxa"/>
          <w:bottom w:w="0" w:type="dxa"/>
          <w:right w:w="0" w:type="dxa"/>
        </w:tblCellMar>
      </w:tblPr>
      <w:tblGrid>
        <w:gridCol w:w="3890"/>
        <w:gridCol w:w="60"/>
        <w:gridCol w:w="125"/>
        <w:gridCol w:w="650"/>
        <w:gridCol w:w="80"/>
        <w:gridCol w:w="60"/>
        <w:gridCol w:w="83"/>
        <w:gridCol w:w="612"/>
        <w:gridCol w:w="245"/>
        <w:gridCol w:w="60"/>
        <w:gridCol w:w="125"/>
        <w:gridCol w:w="650"/>
        <w:gridCol w:w="80"/>
        <w:gridCol w:w="60"/>
        <w:gridCol w:w="83"/>
        <w:gridCol w:w="612"/>
        <w:gridCol w:w="245"/>
        <w:gridCol w:w="60"/>
        <w:gridCol w:w="125"/>
        <w:gridCol w:w="590"/>
        <w:gridCol w:w="60"/>
        <w:gridCol w:w="60"/>
        <w:gridCol w:w="60"/>
        <w:gridCol w:w="440"/>
        <w:gridCol w:w="24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2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65" w:type="dxa"/>
            <w:gridSpan w:val="2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Comprehensive loss decreased by $14.2 million, or 59.4%, for the three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September 30, 2022</w:t>
      </w:r>
      <w:r>
        <w:rPr>
          <w:rFonts w:ascii="Times New Roman;Times;serif" w:hAnsi="Times New Roman;Times;serif"/>
          <w:sz w:val="20"/>
          <w:shd w:fill="FFFFFF" w:val="clear"/>
        </w:rPr>
        <w:t>, primarily due to decrease of net loss of $6.6 million and decrease of $7.5 million in loss on foreign currency translation adjustments for non-U.S. dollar functional currency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Comprehensive loss decreased by $16.6 million, or 26.3%, for the nine months ended </w:t>
      </w:r>
      <w:r>
        <w:rPr>
          <w:rFonts w:ascii="Times New Roman;Times;serif" w:hAnsi="Times New Roman;Times;serif"/>
          <w:sz w:val="20"/>
        </w:rPr>
        <w:t>September 30, 2023</w:t>
      </w:r>
      <w:r>
        <w:rPr>
          <w:rFonts w:ascii="Times New Roman;Times;serif" w:hAnsi="Times New Roman;Times;serif"/>
          <w:sz w:val="20"/>
          <w:shd w:fill="FFFFFF" w:val="clear"/>
        </w:rPr>
        <w:t xml:space="preserve"> as compared to the nine months ended </w:t>
      </w:r>
      <w:r>
        <w:rPr>
          <w:rFonts w:ascii="Times New Roman;Times;serif" w:hAnsi="Times New Roman;Times;serif"/>
          <w:sz w:val="20"/>
        </w:rPr>
        <w:t>September 30, 2022</w:t>
      </w:r>
      <w:r>
        <w:rPr>
          <w:rFonts w:ascii="Times New Roman;Times;serif" w:hAnsi="Times New Roman;Times;serif"/>
          <w:sz w:val="20"/>
          <w:shd w:fill="FFFFFF" w:val="clear"/>
        </w:rPr>
        <w:t>, primarily due to decrease of net loss of $4.0 million and decrease of $12.7 million in loss on foreign currency translation adjustments for non-U.S. dollar functional currency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we ha</w:t>
      </w:r>
      <w:r>
        <w:rPr>
          <w:rFonts w:ascii="Times New Roman;Times;serif" w:hAnsi="Times New Roman;Times;serif"/>
          <w:sz w:val="20"/>
          <w:shd w:fill="FFFFFF" w:val="clear"/>
        </w:rPr>
        <w:t xml:space="preserve">d $42.2 million </w:t>
      </w:r>
      <w:r>
        <w:rPr>
          <w:rFonts w:ascii="Times New Roman;Times;serif" w:hAnsi="Times New Roman;Times;serif"/>
          <w:sz w:val="20"/>
        </w:rPr>
        <w:t>of unused borrowing capacity from all of our loan agreements. As of September 30, 2023, our cash, cash equivalents and restricted cash totale</w:t>
      </w:r>
      <w:r>
        <w:rPr>
          <w:rFonts w:ascii="Times New Roman;Times;serif" w:hAnsi="Times New Roman;Times;serif"/>
          <w:sz w:val="20"/>
          <w:shd w:fill="FFFFFF" w:val="clear"/>
        </w:rPr>
        <w:t xml:space="preserve">d $31.2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5, 2023, the Company filed a Registration Statement on Form S-3 with the Securities and Exchange Commission, which was declared effective on March 21, 2023, providing for the public offer and sale of certain securities of the Company from time to time, at our discretion, up to an aggregate amount of $185 million. Pursuant to Rule 415(a)(6) under the Securities Act, the securities registered pursuant to this registration statement include unsold securities previously registered for sale pursuant to our previously filed Registration Statement on Form S-3, which became effective on January 9, 2020.</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24, 2023, we entered into an Equity Distribution Agreement (the "Agreement") with Raymond James &amp; Associates (the "Sales Agent") pursuant to which the Company may issue and sell shares of the Company’s common stock, par value $0.001 per share (the "Shares") having an aggregate offering price of up to $35 million (the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12, 2023, we entered into Amendment No. 1 to the Agreement with the Sales Agent, to increase the aggregate offering price from $35 million to $70 million. As of September 30, 2023, we have sold approximately 4.5 million shares of the Company's common stock with an aggregate offering price of approximately $32.6 million under the current ATM Offering.</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details of the shares of common stock sold through the ATM Offering are as follows (in thousands, except shares and weighted average per share price):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789"/>
        <w:gridCol w:w="60"/>
        <w:gridCol w:w="1054"/>
        <w:gridCol w:w="60"/>
        <w:gridCol w:w="130"/>
        <w:gridCol w:w="1059"/>
        <w:gridCol w:w="60"/>
        <w:gridCol w:w="60"/>
        <w:gridCol w:w="251"/>
        <w:gridCol w:w="1405"/>
        <w:gridCol w:w="60"/>
        <w:gridCol w:w="60"/>
        <w:gridCol w:w="173"/>
        <w:gridCol w:w="819"/>
        <w:gridCol w:w="60"/>
        <w:gridCol w:w="60"/>
        <w:gridCol w:w="524"/>
        <w:gridCol w:w="1409"/>
        <w:gridCol w:w="60"/>
        <w:gridCol w:w="60"/>
        <w:gridCol w:w="158"/>
        <w:gridCol w:w="752"/>
        <w:gridCol w:w="82"/>
      </w:tblGrid>
      <w:tr>
        <w:trPr/>
        <w:tc>
          <w:tcPr>
            <w:tcW w:w="1789"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4"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3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78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78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August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40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81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4" w:type="dxa"/>
            <w:tcBorders/>
            <w:shd w:fill="FFFFFF" w:val="clear"/>
            <w:tcMar>
              <w:bottom w:w="0" w:type="dxa"/>
            </w:tcMar>
            <w:vAlign w:val="center"/>
          </w:tcPr>
          <w:p>
            <w:pPr>
              <w:pStyle w:val="TableContents"/>
              <w:bidi w:val="0"/>
              <w:spacing w:before="0" w:after="283"/>
              <w:jc w:val="left"/>
              <w:rPr/>
            </w:pPr>
            <w:r>
              <w:rPr/>
              <w:t> </w:t>
            </w:r>
          </w:p>
        </w:tc>
        <w:tc>
          <w:tcPr>
            <w:tcW w:w="140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7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13,124</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78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Raymond James &amp; Associates,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September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81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4" w:type="dxa"/>
            <w:tcBorders/>
            <w:shd w:fill="CCEEFF" w:val="clear"/>
            <w:tcMar>
              <w:bottom w:w="0" w:type="dxa"/>
            </w:tcMar>
            <w:vAlign w:val="center"/>
          </w:tcPr>
          <w:p>
            <w:pPr>
              <w:pStyle w:val="TableContents"/>
              <w:bidi w:val="0"/>
              <w:spacing w:before="0" w:after="283"/>
              <w:jc w:val="left"/>
              <w:rPr/>
            </w:pPr>
            <w:r>
              <w:rPr/>
              <w:t> </w:t>
            </w:r>
          </w:p>
        </w:tc>
        <w:tc>
          <w:tcPr>
            <w:tcW w:w="140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8,901</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789"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ind w:left="0" w:right="0" w:hanging="0"/>
              <w:jc w:val="left"/>
              <w:rPr/>
            </w:pPr>
            <w:r>
              <w:rPr/>
              <w:t> </w:t>
            </w:r>
          </w:p>
        </w:tc>
        <w:tc>
          <w:tcPr>
            <w:tcW w:w="1059"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4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9"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9"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top w:val="single" w:sz="2" w:space="0" w:color="000000"/>
              <w:bottom w:val="double" w:sz="6"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31,904</w:t>
            </w:r>
          </w:p>
        </w:tc>
        <w:tc>
          <w:tcPr>
            <w:tcW w:w="8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Note Offering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w:t>
      </w:r>
    </w:p>
    <w:tbl>
      <w:tblPr>
        <w:tblW w:w="7348" w:type="dxa"/>
        <w:jc w:val="left"/>
        <w:tblInd w:w="0" w:type="dxa"/>
        <w:tblLayout w:type="fixed"/>
        <w:tblCellMar>
          <w:top w:w="0" w:type="dxa"/>
          <w:left w:w="0" w:type="dxa"/>
          <w:bottom w:w="0" w:type="dxa"/>
          <w:right w:w="0" w:type="dxa"/>
        </w:tblCellMar>
      </w:tblPr>
      <w:tblGrid>
        <w:gridCol w:w="4355"/>
        <w:gridCol w:w="60"/>
        <w:gridCol w:w="225"/>
        <w:gridCol w:w="981"/>
        <w:gridCol w:w="144"/>
        <w:gridCol w:w="108"/>
        <w:gridCol w:w="225"/>
        <w:gridCol w:w="1170"/>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(9,479</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(5,158</w:t>
            </w:r>
          </w:p>
        </w:tc>
        <w:tc>
          <w:tcPr>
            <w:tcW w:w="1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1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9,276</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5,587</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w:t>
            </w:r>
          </w:p>
        </w:tc>
        <w:tc>
          <w:tcPr>
            <w:tcW w:w="1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net cash used in operating activities was $9.5 million. Net cash used in operating activities consisted of our net loss of $42.2 million after exclusion of non-cash items of $31.2 million. Cash increased due to an unearned revenue increase of $9.5 million, together with a decrease in inventory of $2.9 million, offset with a decrease in accounts payable of $13 million and accrued liabilities of $0.6 million, respectively.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w:t>
      </w:r>
      <w:r>
        <w:rPr>
          <w:rFonts w:ascii="Times New Roman;Times;serif" w:hAnsi="Times New Roman;Times;serif"/>
          <w:sz w:val="20"/>
          <w:shd w:fill="FFFFFF" w:val="clear"/>
        </w:rPr>
        <w:t xml:space="preserve"> months ended </w:t>
      </w:r>
      <w:r>
        <w:rPr>
          <w:rFonts w:ascii="Times New Roman;Times;serif" w:hAnsi="Times New Roman;Times;serif"/>
          <w:sz w:val="20"/>
        </w:rPr>
        <w:t>September 30, 2022</w:t>
      </w:r>
      <w:r>
        <w:rPr>
          <w:rFonts w:ascii="Times New Roman;Times;serif" w:hAnsi="Times New Roman;Times;serif"/>
          <w:sz w:val="20"/>
          <w:shd w:fill="FFFFFF" w:val="clear"/>
        </w:rPr>
        <w:t>,</w:t>
      </w:r>
      <w:r>
        <w:rPr>
          <w:rFonts w:ascii="Times New Roman;Times;serif" w:hAnsi="Times New Roman;Times;serif"/>
          <w:sz w:val="20"/>
        </w:rPr>
        <w:t xml:space="preserve"> net cash used in operating activities was $10.5 million. Net cash used in operating activities consisted of our net loss of $46.1 million after exclusion of non-cash items of $31.8 million. Cash decreased due to an increase in inventory of $12.7 million, a decrease in accrued liabilities of $2.3 million and an increase of $1.8 million in other receivables, offset with an increase in accounts payable of $11 million and a net decrease in accounts and trade notes receivable from our customers of $10.3 million.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net cash used in investing activities was $5.2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For the nine months ended September 30, 2022, net cash used in investing activities was $3.2 million, mainly from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2023, net cash provided by financing activities was $9.3 million. This increase in cash was due to the net proceeds of $32.2 million from our ATM Offering and $2.4 million from bank acceptance payable, offset by the repayment of $24.8 million to lines of credit.</w:t>
      </w:r>
    </w:p>
    <w:p>
      <w:pPr>
        <w:pStyle w:val="TextBody"/>
        <w:bidi w:val="0"/>
        <w:spacing w:before="0" w:after="0"/>
        <w:ind w:left="0" w:right="0" w:firstLine="720"/>
        <w:jc w:val="left"/>
        <w:rPr/>
      </w:pPr>
      <w:r>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For the nine</w:t>
      </w:r>
      <w:r>
        <w:rPr>
          <w:rFonts w:ascii="Times New Roman" w:hAnsi="Times New Roman"/>
          <w:caps w:val="false"/>
          <w:smallCaps w:val="false"/>
          <w:sz w:val="20"/>
          <w:shd w:fill="FFFFFF" w:val="clear"/>
        </w:rPr>
        <w:t xml:space="preserve"> months ended </w:t>
      </w:r>
      <w:r>
        <w:rPr>
          <w:rFonts w:ascii="Times New Roman" w:hAnsi="Times New Roman"/>
          <w:caps w:val="false"/>
          <w:smallCaps w:val="false"/>
          <w:sz w:val="20"/>
        </w:rPr>
        <w:t>September 30, 2022</w:t>
      </w:r>
      <w:r>
        <w:rPr>
          <w:rFonts w:ascii="Times New Roman" w:hAnsi="Times New Roman"/>
          <w:caps w:val="false"/>
          <w:smallCaps w:val="false"/>
          <w:sz w:val="20"/>
          <w:shd w:fill="FFFFFF" w:val="clear"/>
        </w:rPr>
        <w:t>,</w:t>
      </w:r>
      <w:r>
        <w:rPr>
          <w:rFonts w:ascii="Times New Roman" w:hAnsi="Times New Roman"/>
          <w:caps w:val="false"/>
          <w:smallCaps w:val="false"/>
          <w:sz w:val="20"/>
        </w:rPr>
        <w:t> net cash provided by financing activities was $5.6 million. This increase in cash was due to $6.2 million net proceeds from lines of credit and $6.8 million net proceeds from acceptances, offset by repayment of loan of $7.3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Loans and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lending arrangements with several financial institutions. In the US, we have a revolving line of credit with CIT which will terminate on November 17, 2023. The line of credit contains financial covenants that may limit the amount and types of debt that we may incur. As of September 30, 2023, we were in compliance with these covenants.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September 30, 2023</w:t>
      </w:r>
      <w:r>
        <w:rPr>
          <w:rFonts w:ascii="Times New Roman;Times;serif" w:hAnsi="Times New Roman;Times;serif"/>
          <w:sz w:val="20"/>
          <w:shd w:fill="FFFFFF" w:val="clear"/>
        </w:rPr>
        <w:t>, we had $42.2 million of unused borrowing capacity.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5, 2019, we issued $80.5 million of 5% convertible senior notes due in 2024. The Notes will mature on March 15, 2024, unless earlier repurchased, redeemed or converted in accordance with their terms.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September 30, 2023,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year 2024 after the construction is completed for the building interior work. Property will be transferred from construction in progress to building and improvement at that time.</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$31.2 million as of September 30, 2023, a decrease of approximately $4.4 million compared to December 31, 2022.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2023, we had a total loan balance (excluding convertible notes) of $31.3 million from various lenders in the US and China and had $42.2 million available borrowing capacity on existing credit lines. Should additional liquidity be needed, our Board has authorized issuance of equity totaling up to $70 million under the ATM Offering (see the discussion of "Liquidity and Capital Resources" in Item 2).</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15, 2022, the Company entered into a definitive purchase agreement (the "Purchase Agreement") with Yuhan Optoelectronic Technology (Shanghai) Co., Ltd (the "Purchaser") to divest our manufacturing facilities in the People's Republic of China and certain assets related to our transceiver business and multi-channel optical sub-assembly products (collectively, the "Divestiture"). The purchase price to be paid by Purchaser under the Purchase Agreement was an amount equal to the $150 million USD equivalent of Renminbi, less a holdback amount. The Company originally anticipated that a portion of the funds from this transaction would be used to significantly enhance the Company's liquidity. However, the Company terminated the Purchase Agreement on September 12, 2023 as a result of the Purchaser's breach of or omission to observe certain of the Purchaser's obligations under the Purchase Agreement. As a result of the termination of the Purchase Agreement, we will not realize the expected benefits of the proposed sale.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2022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w:t>
      </w:r>
      <w:r>
        <w:rPr>
          <w:rFonts w:ascii="Times New Roman;Times;serif" w:hAnsi="Times New Roman;Times;serif"/>
          <w:sz w:val="20"/>
        </w:rPr>
        <w:t>The annual inflation rate in 2022 slowed down to 2.95% in Taiwan, which should remain the same in 2023 and was 6.5% in the US. Estimated inflation rate in the US is expected to continue to decline in 2023 based on U.S. Federal monetary policy "tapering" to address inflation.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Cost inflation included increases in shipping costs, labor rates, and costs of some raw materials. We currently</w:t>
      </w:r>
      <w:r>
        <w:rPr>
          <w:rFonts w:cs="Times New Roman;Times;serif"/>
          <w:szCs w:val="20"/>
        </w:rPr>
        <w:t xml:space="preserve">﻿ </w:t>
      </w:r>
      <w:r>
        <w:rPr>
          <w:rFonts w:ascii="Times New Roman;Times;serif" w:hAnsi="Times New Roman;Times;serif"/>
          <w:sz w:val="20"/>
        </w:rPr>
        <w:t>believe these increases are related to the COVID-19 pandemic, however we cannot be sure when or if prices will return to pre-pandemic levels.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is no guarantee that we can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Compared to other major economies in the world, China has a low level of inflation or even in deflation, which has not had a significant impact on our sales or operating results.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2022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2022. We do not believe the Company’s exposure to market risk has changed materially since December 31, 2022.</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September 30, 2023.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2022 f</w:t>
      </w:r>
      <w:r>
        <w:rPr>
          <w:rFonts w:ascii="Times New Roman;Times;serif" w:hAnsi="Times New Roman;Times;serif"/>
          <w:sz w:val="20"/>
        </w:rPr>
        <w:t>or a detailed discussion of the risk factors affecting our Company. As of September 30, 2023, there have been no material changes to those risk factors, except as described below.</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 xml:space="preserve">The termination of our proposed sale of our China manufacturing facilities could materially adversely affect our business, financial condition, and results of operations.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15, 2022, AOI and Prime World International Holdings Ltd. (the "Seller"), which is a company incorporated in the British Virgin Islands and a wholly owned subsidiary of AOI, entered into a definitive agreement (the "Purchase Agreement") with Yuhan Optoelectronic Technology (Shanghai) Co., Ltd. (the "Purchaser") under which AOI would divest its manufacturing facilities located in the People's Republic of China and certain assets related to its transceiver business and multichannel optical sub-assembly products for the internet data center, FTTH and telecom markets. The purchase price payable by the Purchaser to the Seller under the Purchase Agreement was an amount equal to the $150 million USD equivalent of Renminbi, less a holdback amount. On September 12, 2023, we delivered a notice of termination to the Purchaser to terminate the Purchase Agreement as a result of the Purchaser's breach of or omission to observe certain of the Purchaser's obligations under the Purchase Agreement. As a result of the termination of the Purchase Agreement, we will not realize the expected benefits of the proposed sale, and we have incurred transaction costs, including legal, accounting, financial, advisory and other costs relating to our proposed divestiture. The termination of our proposed divestiture could disrupt our business and create uncertainty about our future, which could have a material and negative impact on our business, financial condition and results of operations. Since we are unable to successfully complete our proposed divestiture, the price of our securities could be impacted.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t xml:space="preserve">  </w:t>
      </w:r>
    </w:p>
    <w:tbl>
      <w:tblPr>
        <w:tblW w:w="245" w:type="dxa"/>
        <w:jc w:val="left"/>
        <w:tblInd w:w="0" w:type="dxa"/>
        <w:tblLayout w:type="fixed"/>
        <w:tblCellMar>
          <w:top w:w="0" w:type="dxa"/>
          <w:left w:w="0" w:type="dxa"/>
          <w:bottom w:w="0" w:type="dxa"/>
          <w:right w:w="0" w:type="dxa"/>
        </w:tblCellMar>
      </w:tblPr>
      <w:tblGrid>
        <w:gridCol w:w="60"/>
        <w:gridCol w:w="60"/>
        <w:gridCol w:w="12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r>
    </w:tbl>
    <w:p>
      <w:pPr>
        <w:pStyle w:val="TextBody"/>
        <w:bidi w:val="0"/>
        <w:spacing w:before="0" w:after="0"/>
        <w:ind w:left="1240" w:right="0" w:hanging="36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i/>
          <w:sz w:val="20"/>
        </w:rPr>
        <w:t xml:space="preserve">Rule </w:t>
      </w:r>
      <w:r>
        <w:rPr>
          <w:rStyle w:val="Emphasis"/>
          <w:rFonts w:ascii="Times New Roman;Times;serif" w:hAnsi="Times New Roman;Times;serif"/>
          <w:b/>
          <w:i/>
          <w:sz w:val="20"/>
        </w:rPr>
        <w:t>10b5</w:t>
      </w:r>
      <w:r>
        <w:rPr>
          <w:rFonts w:ascii="Times New Roman;Times;serif" w:hAnsi="Times New Roman;Times;serif"/>
          <w:b/>
          <w:i/>
          <w:sz w:val="20"/>
        </w:rPr>
        <w:t>-</w:t>
      </w:r>
      <w:r>
        <w:rPr>
          <w:rStyle w:val="Emphasis"/>
          <w:rFonts w:ascii="Times New Roman;Times;serif" w:hAnsi="Times New Roman;Times;serif"/>
          <w:b/>
          <w:i/>
          <w:sz w:val="20"/>
        </w:rPr>
        <w:t>1</w:t>
      </w:r>
      <w:r>
        <w:rPr>
          <w:rFonts w:ascii="Times New Roman;Times;serif" w:hAnsi="Times New Roman;Times;serif"/>
          <w:b/>
          <w:i/>
          <w:sz w:val="20"/>
        </w:rPr>
        <w:t xml:space="preserve"> Trading Plans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officers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September 30, 2023, </w:t>
      </w:r>
      <w:r>
        <w:rPr>
          <w:rFonts w:ascii="Times New Roman;Times;serif" w:hAnsi="Times New Roman;Times;serif"/>
          <w:sz w:val="20"/>
        </w:rPr>
        <w:t>each of which is intended to satisfy the affirmative defense conditions of Rule 10b5-</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were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751"/>
        <w:gridCol w:w="60"/>
        <w:gridCol w:w="1840"/>
        <w:gridCol w:w="60"/>
        <w:gridCol w:w="800"/>
        <w:gridCol w:w="60"/>
        <w:gridCol w:w="1047"/>
        <w:gridCol w:w="60"/>
        <w:gridCol w:w="1272"/>
        <w:gridCol w:w="60"/>
        <w:gridCol w:w="3195"/>
      </w:tblGrid>
      <w:tr>
        <w:trPr/>
        <w:tc>
          <w:tcPr>
            <w:tcW w:w="1751" w:type="dxa"/>
            <w:tcBorders>
              <w:bottom w:val="single" w:sz="2" w:space="0" w:color="000000"/>
            </w:tcBorders>
            <w:vAlign w:val="center"/>
          </w:tcPr>
          <w:p>
            <w:pPr>
              <w:pStyle w:val="TableContents"/>
              <w:bidi w:val="0"/>
              <w:spacing w:before="0" w:after="283"/>
              <w:jc w:val="center"/>
              <w:rPr/>
            </w:pPr>
            <w:r>
              <w:rPr>
                <w:rFonts w:cs="Times New Roman;Times;serif"/>
                <w:bCs/>
                <w:szCs w:val="20"/>
              </w:rPr>
              <w:t>﻿</w:t>
            </w: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1840"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Title</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Action</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1047"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Date Adopted</w:t>
            </w:r>
            <w:r>
              <w:rPr>
                <w:rFonts w:cs="Times New Roman;Times;serif"/>
                <w:bCs/>
                <w:szCs w:val="20"/>
              </w:rPr>
              <w:t>﻿</w:t>
            </w:r>
          </w:p>
        </w:tc>
        <w:tc>
          <w:tcPr>
            <w:tcW w:w="60" w:type="dxa"/>
            <w:tcBorders/>
            <w:tcMar>
              <w:bottom w:w="0" w:type="dxa"/>
            </w:tcMar>
            <w:vAlign w:val="center"/>
          </w:tcPr>
          <w:p>
            <w:pPr>
              <w:pStyle w:val="TableContents"/>
              <w:bidi w:val="0"/>
              <w:spacing w:before="0" w:after="283"/>
              <w:jc w:val="center"/>
              <w:rPr/>
            </w:pPr>
            <w:r>
              <w:rPr/>
              <w:t> </w:t>
            </w:r>
          </w:p>
        </w:tc>
        <w:tc>
          <w:tcPr>
            <w:tcW w:w="1272"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Expiration Date</w:t>
            </w:r>
            <w:r>
              <w:rPr>
                <w:rFonts w:cs="Times New Roman;Times;serif"/>
                <w:szCs w:val="20"/>
              </w:rPr>
              <w:t>﻿</w:t>
            </w:r>
          </w:p>
        </w:tc>
        <w:tc>
          <w:tcPr>
            <w:tcW w:w="60" w:type="dxa"/>
            <w:tcBorders/>
            <w:tcMar>
              <w:bottom w:w="0" w:type="dxa"/>
            </w:tcMar>
            <w:vAlign w:val="center"/>
          </w:tcPr>
          <w:p>
            <w:pPr>
              <w:pStyle w:val="TableContents"/>
              <w:bidi w:val="0"/>
              <w:spacing w:before="0" w:after="283"/>
              <w:jc w:val="center"/>
              <w:rPr/>
            </w:pPr>
            <w:r>
              <w:rPr/>
              <w:t> </w:t>
            </w:r>
          </w:p>
        </w:tc>
        <w:tc>
          <w:tcPr>
            <w:tcW w:w="3195" w:type="dxa"/>
            <w:tcBorders>
              <w:bottom w:val="single" w:sz="2" w:space="0" w:color="000000"/>
            </w:tcBorders>
            <w:vAlign w:val="center"/>
          </w:tcPr>
          <w:p>
            <w:pPr>
              <w:pStyle w:val="TableContents"/>
              <w:bidi w:val="0"/>
              <w:spacing w:before="0" w:after="283"/>
              <w:jc w:val="center"/>
              <w:rPr/>
            </w:pPr>
            <w:r>
              <w:rPr>
                <w:rFonts w:ascii="Times New Roman;Times;serif" w:hAnsi="Times New Roman;Times;serif"/>
                <w:b/>
                <w:sz w:val="20"/>
              </w:rPr>
              <w:t>Aggregate # of Securities to be Purchased/Sold</w:t>
            </w:r>
            <w:r>
              <w:rPr>
                <w:rFonts w:cs="Times New Roman;Times;serif"/>
                <w:bCs/>
                <w:szCs w:val="20"/>
              </w:rPr>
              <w:t>﻿</w:t>
            </w:r>
          </w:p>
        </w:tc>
      </w:tr>
      <w:tr>
        <w:trPr/>
        <w:tc>
          <w:tcPr>
            <w:tcW w:w="1751" w:type="dxa"/>
            <w:tcBorders/>
            <w:shd w:fill="CCEEFF" w:val="clear"/>
            <w:tcMar>
              <w:bottom w:w="0" w:type="dxa"/>
            </w:tcMar>
            <w:vAlign w:val="center"/>
          </w:tcPr>
          <w:p>
            <w:pPr>
              <w:pStyle w:val="TableContents"/>
              <w:bidi w:val="0"/>
              <w:spacing w:lineRule="auto" w:line="288" w:before="0" w:after="283"/>
              <w:jc w:val="left"/>
              <w:rPr/>
            </w:pPr>
            <w:r>
              <w:rPr>
                <w:rFonts w:cs="Times New Roman;Times;serif"/>
                <w:szCs w:val="20"/>
              </w:rPr>
              <w:t>﻿</w:t>
            </w:r>
            <w:r>
              <w:rPr>
                <w:rFonts w:ascii="Times New Roman;Times;serif" w:hAnsi="Times New Roman;Times;serif"/>
                <w:sz w:val="20"/>
              </w:rPr>
              <w:t>Shu-Hua (Joshua) Yeh (</w:t>
            </w:r>
            <w:r>
              <w:rPr>
                <w:rStyle w:val="Emphasis"/>
                <w:rFonts w:ascii="Times New Roman;Times;serif" w:hAnsi="Times New Roman;Times;serif"/>
                <w:sz w:val="20"/>
              </w:rPr>
              <w:t>1</w:t>
            </w: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0"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SVP/Asia General Manager</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0"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Adoption</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47"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8/16/2023</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72"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7/31/2024</w:t>
            </w:r>
            <w:r>
              <w:rPr>
                <w:rFonts w:cs="Times New Roman;Times;serif"/>
                <w:szCs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195"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42,799</w:t>
            </w:r>
            <w:r>
              <w:rPr>
                <w:rFonts w:cs="Times New Roman;Times;serif"/>
                <w:szCs w:val="20"/>
              </w:rPr>
              <w:t>﻿</w:t>
            </w:r>
          </w:p>
        </w:tc>
      </w:tr>
      <w:tr>
        <w:trPr/>
        <w:tc>
          <w:tcPr>
            <w:tcW w:w="1751" w:type="dxa"/>
            <w:tcBorders/>
            <w:shd w:fill="FFFFFF" w:val="clear"/>
            <w:tcMar>
              <w:bottom w:w="0" w:type="dxa"/>
            </w:tcMar>
            <w:vAlign w:val="center"/>
          </w:tcPr>
          <w:p>
            <w:pPr>
              <w:pStyle w:val="TableContents"/>
              <w:bidi w:val="0"/>
              <w:spacing w:lineRule="auto" w:line="288" w:before="0" w:after="283"/>
              <w:jc w:val="left"/>
              <w:rPr/>
            </w:pPr>
            <w:r>
              <w:rPr>
                <w:rFonts w:ascii="Times New Roman;Times;serif" w:hAnsi="Times New Roman;Times;serif"/>
                <w:sz w:val="20"/>
              </w:rPr>
              <w:t>Stefan Murry (</w:t>
            </w:r>
            <w:r>
              <w:rPr>
                <w:rStyle w:val="Emphasis"/>
                <w:rFonts w:ascii="Times New Roman;Times;serif" w:hAnsi="Times New Roman;Times;serif"/>
                <w:sz w:val="20"/>
              </w:rPr>
              <w:t>2</w:t>
            </w:r>
            <w:r>
              <w:rPr>
                <w:rFonts w:ascii="Times New Roman;Times;serif" w:hAnsi="Times New Roman;Times;serif"/>
                <w:sz w:val="20"/>
              </w:rPr>
              <w:t>)</w:t>
            </w:r>
            <w:r>
              <w:rPr>
                <w:rFonts w:cs="Times New Roman;Times;serif"/>
                <w:szCs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0" w:type="dxa"/>
            <w:tcBorders/>
            <w:shd w:fill="FFFFFF" w:val="clear"/>
            <w:tcMar>
              <w:bottom w:w="0" w:type="dxa"/>
            </w:tcMar>
            <w:vAlign w:val="center"/>
          </w:tcPr>
          <w:p>
            <w:pPr>
              <w:pStyle w:val="TableContents"/>
              <w:bidi w:val="0"/>
              <w:spacing w:before="0" w:after="283"/>
              <w:jc w:val="left"/>
              <w:rPr/>
            </w:pPr>
            <w:r>
              <w:rPr>
                <w:rFonts w:cs="Times New Roman;Times;serif"/>
                <w:szCs w:val="20"/>
              </w:rPr>
              <w:t>﻿</w:t>
            </w:r>
            <w:r>
              <w:rPr>
                <w:rFonts w:ascii="Times New Roman;Times;serif" w:hAnsi="Times New Roman;Times;serif"/>
                <w:sz w:val="20"/>
              </w:rPr>
              <w:t>CFO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00"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Adoption</w:t>
            </w:r>
            <w:r>
              <w:rPr>
                <w:rFonts w:cs="Times New Roman;Times;serif"/>
                <w:szCs w:val="20"/>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47"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9/15/2023</w:t>
            </w:r>
            <w:r>
              <w:rPr>
                <w:rFonts w:cs="Times New Roman;Times;serif"/>
                <w:szCs w:val="20"/>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72"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3/31/2024</w:t>
            </w:r>
            <w:r>
              <w:rPr>
                <w:rFonts w:cs="Times New Roman;Times;serif"/>
                <w:szCs w:val="20"/>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195"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20,000</w:t>
            </w:r>
            <w:r>
              <w:rPr>
                <w:rFonts w:cs="Times New Roman;Times;serif"/>
                <w:szCs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Shu-Hua (Joshua) Yeh, our Senior Vice President and Asia General Manager, entered into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on </w:t>
      </w:r>
      <w:r>
        <w:rPr>
          <w:rStyle w:val="Emphasis"/>
          <w:rFonts w:ascii="Times New Roman;Times;serif" w:hAnsi="Times New Roman;Times;serif"/>
          <w:sz w:val="20"/>
        </w:rPr>
        <w:t xml:space="preserve">August 16, 2023. </w:t>
      </w:r>
      <w:r>
        <w:rPr>
          <w:rFonts w:ascii="Times New Roman;Times;serif" w:hAnsi="Times New Roman;Times;serif"/>
          <w:sz w:val="20"/>
        </w:rPr>
        <w:t xml:space="preserve">Mr. Yeh's plan provides for the potential sale of up to </w:t>
      </w:r>
      <w:r>
        <w:rPr>
          <w:rStyle w:val="Emphasis"/>
          <w:rFonts w:ascii="Times New Roman;Times;serif" w:hAnsi="Times New Roman;Times;serif"/>
          <w:sz w:val="20"/>
        </w:rPr>
        <w:t>42,799</w:t>
      </w:r>
      <w:r>
        <w:rPr>
          <w:rFonts w:ascii="Times New Roman;Times;serif" w:hAnsi="Times New Roman;Times;serif"/>
          <w:sz w:val="20"/>
        </w:rPr>
        <w:t xml:space="preserve"> shares of the Company's common stock. The plan expires </w:t>
      </w:r>
      <w:r>
        <w:rPr>
          <w:rStyle w:val="Emphasis"/>
          <w:rFonts w:ascii="Times New Roman;Times;serif" w:hAnsi="Times New Roman;Times;serif"/>
          <w:sz w:val="20"/>
        </w:rPr>
        <w:t xml:space="preserve">July 31, 2024, </w:t>
      </w:r>
      <w:r>
        <w:rPr>
          <w:rFonts w:ascii="Times New Roman;Times;serif" w:hAnsi="Times New Roman;Times;serif"/>
          <w:sz w:val="20"/>
        </w:rPr>
        <w:t>or upon the earlier completion of all authorized transactions under the plan.</w:t>
      </w:r>
    </w:p>
    <w:p>
      <w:pPr>
        <w:pStyle w:val="TextBody"/>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r>
        <w:rPr>
          <w:rFonts w:cs="Times New Roman;Times;serif"/>
          <w:szCs w:val="20"/>
        </w:rPr>
        <w:t xml:space="preserve">﻿ </w:t>
      </w:r>
      <w:r>
        <w:rPr>
          <w:rFonts w:ascii="Times New Roman;Times;serif" w:hAnsi="Times New Roman;Times;serif"/>
          <w:sz w:val="20"/>
        </w:rPr>
        <w:t xml:space="preserve">Stefan Murry, our Chief Financial Officer, entered into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on </w:t>
      </w:r>
      <w:r>
        <w:rPr>
          <w:rStyle w:val="Emphasis"/>
          <w:rFonts w:ascii="Times New Roman;Times;serif" w:hAnsi="Times New Roman;Times;serif"/>
          <w:sz w:val="20"/>
        </w:rPr>
        <w:t xml:space="preserve">September 15, 2023. </w:t>
      </w:r>
      <w:r>
        <w:rPr>
          <w:rFonts w:ascii="Times New Roman;Times;serif" w:hAnsi="Times New Roman;Times;serif"/>
          <w:sz w:val="20"/>
        </w:rPr>
        <w:t>D</w:t>
      </w:r>
      <w:r>
        <w:rPr>
          <w:rFonts w:cs="Times New Roman;Times;serif"/>
          <w:szCs w:val="20"/>
        </w:rPr>
        <w:t>﻿</w:t>
      </w:r>
      <w:r>
        <w:rPr>
          <w:rFonts w:ascii="Times New Roman;Times;serif" w:hAnsi="Times New Roman;Times;serif"/>
          <w:sz w:val="20"/>
        </w:rPr>
        <w:t xml:space="preserve">r. Murry's plan provides for the potential sale of up to </w:t>
      </w:r>
      <w:r>
        <w:rPr>
          <w:rStyle w:val="Emphasis"/>
          <w:rFonts w:ascii="Times New Roman;Times;serif" w:hAnsi="Times New Roman;Times;serif"/>
          <w:sz w:val="20"/>
        </w:rPr>
        <w:t>20,000</w:t>
      </w:r>
      <w:r>
        <w:rPr>
          <w:rFonts w:ascii="Times New Roman;Times;serif" w:hAnsi="Times New Roman;Times;serif"/>
          <w:sz w:val="20"/>
        </w:rPr>
        <w:t xml:space="preserve"> shares of the Company's common stock. The plan expires on </w:t>
      </w:r>
      <w:r>
        <w:rPr>
          <w:rStyle w:val="Emphasis"/>
          <w:rFonts w:ascii="Times New Roman;Times;serif" w:hAnsi="Times New Roman;Times;serif"/>
          <w:sz w:val="20"/>
        </w:rPr>
        <w:t xml:space="preserve">March 31, 2024, </w:t>
      </w:r>
      <w:r>
        <w:rPr>
          <w:rFonts w:ascii="Times New Roman;Times;serif" w:hAnsi="Times New Roman;Times;serif"/>
          <w:sz w:val="20"/>
        </w:rPr>
        <w:t>or upon the earlier completion of all authorized transactions under the plan.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56"/>
        <w:gridCol w:w="240"/>
        <w:gridCol w:w="9209"/>
      </w:tblGrid>
      <w:tr>
        <w:trPr/>
        <w:tc>
          <w:tcPr>
            <w:tcW w:w="7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20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6" w:type="dxa"/>
            <w:tcBorders/>
            <w:tcMar>
              <w:bottom w:w="0" w:type="dxa"/>
            </w:tcMar>
            <w:vAlign w:val="center"/>
          </w:tcPr>
          <w:p>
            <w:pPr>
              <w:pStyle w:val="TableContents"/>
              <w:bidi w:val="0"/>
              <w:spacing w:before="0" w:after="283"/>
              <w:jc w:val="left"/>
              <w:rPr/>
            </w:pPr>
            <w:r>
              <w:rPr/>
              <w:t>2.1*</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r:id="rId2">
              <w:r>
                <w:rPr>
                  <w:rStyle w:val="InternetLink"/>
                  <w:u w:val="single"/>
                </w:rPr>
                <w:t>Agreement for the Sale and Purchase of a New Company to Be Established in Hong Kong Special Administrative Region of The People’s Republic of China, dated as of September 15, 2022, by and between Prime World International Holdings Ltd., Applied Optoelectronics, Inc. and Yuhan Optoelectronic Technology (Shanghai) Co., Ltd. (filed as Exhibit 2.1 to the Registrant’s Current Report on Form 8-K filed with the Securities and Exchange Commission on September 15, 2022).</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 xml:space="preserve">Amended and Restated Certificate of Incorporation, as currently in effect (filed as Exhibit 3.1 to the Registrant’s </w:t>
              </w:r>
            </w:hyperlink>
            <w:hyperlink r:id="rId4">
              <w:r>
                <w:rPr>
                  <w:rStyle w:val="InternetLink"/>
                  <w:rFonts w:ascii="Times New Roman;Times;serif" w:hAnsi="Times New Roman;Times;serif"/>
                  <w:sz w:val="20"/>
                </w:rPr>
                <w:t xml:space="preserve">Current Report on Form 8-K </w:t>
              </w:r>
            </w:hyperlink>
            <w:hyperlink r:id="rId5">
              <w:r>
                <w:rPr>
                  <w:rStyle w:val="InternetLink"/>
                  <w:rFonts w:ascii="Times New Roman;Times;serif" w:hAnsi="Times New Roman;Times;serif"/>
                  <w:sz w:val="20"/>
                </w:rPr>
                <w:t xml:space="preserve">filed with the Securities and Exchange Commission on </w:t>
              </w:r>
            </w:hyperlink>
            <w:hyperlink r:id="rId6">
              <w:r>
                <w:rPr>
                  <w:rStyle w:val="InternetLink"/>
                  <w:rFonts w:ascii="Times New Roman;Times;serif" w:hAnsi="Times New Roman;Times;serif"/>
                  <w:sz w:val="20"/>
                </w:rPr>
                <w:t>September 7, 2023</w:t>
              </w:r>
            </w:hyperlink>
            <w:hyperlink r:id="rId7">
              <w:r>
                <w:rPr>
                  <w:rStyle w:val="InternetLink"/>
                  <w:rFonts w:ascii="Times New Roman;Times;serif" w:hAnsi="Times New Roman;Times;serif"/>
                  <w:sz w:val="20"/>
                </w:rPr>
                <w:t>).</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sz w:val="20"/>
                </w:rPr>
                <w:t>Indenture, dated as of March 5, 2019 between Applied Optoelectronics, Inc. and Wells Fargo Bank, National Association, as trustee, paying agent, and conversion agent (filed as Exhibit 4.1 to the Registrant’s Current Report on Form 8-K filed with the Securities and Exchange Commission on March 5, 2019).</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sz w:val="20"/>
                </w:rPr>
                <w:t>Form of Note representing the Company’s 5.00% Convertible Senior Notes due 2024 (included as Exhibit A to the Indenture filed as Exhibit 4.1 to the Registrant’s Current Report on Form 8-K filed with the Securities and Exchange Commission on March 5, 2019).</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283"/>
              <w:jc w:val="left"/>
              <w:rPr/>
            </w:pPr>
            <w:r>
              <w:rPr/>
              <w:t>10.1**</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hyperlink w:anchor="ex_589589.htm">
              <w:r>
                <w:rPr>
                  <w:rStyle w:val="InternetLink"/>
                </w:rPr>
                <w:t>Applied Optoelectronics, Inc. 2023 Equity Inducement Plan</w:t>
              </w:r>
            </w:hyperlink>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65640.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65641.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hyperlink w:anchor="ex_565642.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56"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56"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283"/>
              <w:jc w:val="left"/>
              <w:rPr/>
            </w:pPr>
            <w:r>
              <w:rPr/>
              <w:t> </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20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7335" w:type="dxa"/>
        <w:jc w:val="left"/>
        <w:tblInd w:w="0" w:type="dxa"/>
        <w:tblLayout w:type="fixed"/>
        <w:tblCellMar>
          <w:top w:w="0" w:type="dxa"/>
          <w:left w:w="0" w:type="dxa"/>
          <w:bottom w:w="0" w:type="dxa"/>
          <w:right w:w="0" w:type="dxa"/>
        </w:tblCellMar>
      </w:tblPr>
      <w:tblGrid>
        <w:gridCol w:w="2000"/>
        <w:gridCol w:w="320"/>
        <w:gridCol w:w="5015"/>
      </w:tblGrid>
      <w:tr>
        <w:trPr/>
        <w:tc>
          <w:tcPr>
            <w:tcW w:w="2000"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20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000"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30 </w:t>
      </w:r>
    </w:p>
    <w:p>
      <w:pPr>
        <w:pStyle w:val="TextBody"/>
        <w:bidi w:val="0"/>
        <w:spacing w:before="0" w:after="0"/>
        <w:ind w:left="0" w:right="0" w:hanging="0"/>
        <w:jc w:val="right"/>
        <w:rPr>
          <w:rFonts w:ascii="Times New Roman;Times;serif" w:hAnsi="Times New Roman;Times;serif"/>
          <w:b/>
          <w:sz w:val="20"/>
        </w:rPr>
      </w:pPr>
      <w:bookmarkStart w:id="20" w:name="ex_589589.htm"/>
      <w:bookmarkStart w:id="21" w:name="ksex_589589"/>
      <w:bookmarkEnd w:id="20"/>
      <w:bookmarkEnd w:id="21"/>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APPLIED OPTOELECTRONICS, INC.</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2023 EQUITY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u w:val="single"/>
        </w:rPr>
        <w:t>Purpose of the Plan.</w:t>
      </w:r>
      <w:r>
        <w:rPr>
          <w:rFonts w:ascii="Times New Roman" w:hAnsi="Times New Roman"/>
          <w:caps w:val="false"/>
          <w:smallCaps w:val="false"/>
          <w:sz w:val="20"/>
        </w:rPr>
        <w:t> The Company has adopted the 2023 Equity Inducement Plan to attract, retain and motivate new employees of the Company and its Related Companies by providing them the opportunity to acquire an equity interest in the Company and align their interests and efforts with the long-term interests of the Company’s stockholders. Each Award under this Plan is intended to qualify as an employment inducement award pursuant to Listing Rule 5635(c) of the corporate governance rules of the NASDAQ Stock Market (the “Listing Rule”). The Plan will become effective on the date the Board approves the Plan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u w:val="single"/>
        </w:rPr>
        <w:t>Definitions</w:t>
      </w:r>
      <w:r>
        <w:rPr>
          <w:rFonts w:ascii="Times New Roman" w:hAnsi="Times New Roman"/>
          <w:b/>
          <w:caps w:val="false"/>
          <w:smallCaps w:val="false"/>
          <w:sz w:val="20"/>
        </w:rPr>
        <w:t>.</w:t>
      </w:r>
      <w:r>
        <w:rPr>
          <w:rFonts w:ascii="Times New Roman" w:hAnsi="Times New Roman"/>
          <w:caps w:val="false"/>
          <w:smallCaps w:val="false"/>
          <w:sz w:val="20"/>
        </w:rPr>
        <w:t> Capitalized terms used in the Plan have the meanings set forth in Appendix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u w:val="single"/>
        </w:rPr>
        <w:t>Administration</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Administrator</w:t>
      </w:r>
      <w:r>
        <w:rPr>
          <w:rFonts w:ascii="Times New Roman" w:hAnsi="Times New Roman"/>
          <w:b/>
          <w:caps w:val="false"/>
          <w:smallCaps w:val="false"/>
          <w:sz w:val="20"/>
        </w:rPr>
        <w:t>.</w:t>
      </w:r>
      <w:r>
        <w:rPr>
          <w:rFonts w:ascii="Times New Roman" w:hAnsi="Times New Roman"/>
          <w:caps w:val="false"/>
          <w:smallCaps w:val="false"/>
          <w:sz w:val="20"/>
        </w:rPr>
        <w:t> The Plan will be administered by the Compensation Committee of the Company, which shall be composed of two or more directors, each of whom is (i) a “non employee director” within the meaning of Rule 16b-3(b)(3) promulgated under the Exchange Act, or any successor definition adopted by the Securities and Exchange Commission, and (ii) an “independent” director within the meaning of any applicable stock exchange listing rules. All references in the Plan to the “Administrator” will be to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Rule</w:t>
      </w:r>
      <w:r>
        <w:rPr>
          <w:rFonts w:ascii="Times New Roman" w:hAnsi="Times New Roman"/>
          <w:caps w:val="false"/>
          <w:smallCaps w:val="false"/>
          <w:sz w:val="20"/>
          <w:u w:val="single"/>
        </w:rPr>
        <w:t> </w:t>
      </w:r>
      <w:r>
        <w:rPr>
          <w:rFonts w:ascii="Times New Roman" w:hAnsi="Times New Roman"/>
          <w:b/>
          <w:caps w:val="false"/>
          <w:smallCaps w:val="false"/>
          <w:sz w:val="20"/>
          <w:u w:val="single"/>
        </w:rPr>
        <w:t>16b-3</w:t>
      </w:r>
      <w:r>
        <w:rPr>
          <w:rFonts w:ascii="Times New Roman" w:hAnsi="Times New Roman"/>
          <w:caps w:val="false"/>
          <w:smallCaps w:val="false"/>
          <w:sz w:val="20"/>
        </w:rPr>
        <w:t>. To the extent desirable to qualify transactions hereunder as exempt under Rule 16b-3, those transactions will be structured to satisfy the requirements for exemption under Rule 16b-3, and thereafter any action related to the Award will be approved by the Administrator to the extent necessary for such exemption to remain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Powers of Administrator</w:t>
      </w:r>
      <w:r>
        <w:rPr>
          <w:rFonts w:ascii="Times New Roman" w:hAnsi="Times New Roman"/>
          <w:b/>
          <w:caps w:val="false"/>
          <w:smallCaps w:val="false"/>
          <w:sz w:val="20"/>
        </w:rPr>
        <w:t>.</w:t>
      </w:r>
      <w:r>
        <w:rPr>
          <w:rFonts w:ascii="Times New Roman" w:hAnsi="Times New Roman"/>
          <w:caps w:val="false"/>
          <w:smallCaps w:val="false"/>
          <w:sz w:val="20"/>
        </w:rPr>
        <w:t> The Administrator will have full power and exclusive authority, subject to the terms of this Plan, restrictions under Applicable Law, and the delegation of authority from the Board,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(i) select which Eligible Persons will be granted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(ii) determine the type of Awards, number of shares of Common Stock covered by the Award, the Fair Market Value of the shares, and the terms and conditions of that Award (including when the Award may vest, be exercised (including prior to vesting), or settled, whether the Award carries rights to dividends or Dividend Equivalents, and whether the Award is to be settled in cash, shares of Common Stock, or other property) and the form of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(iii) determine whether, to what extent and under what circumstances Awards may be amended (including to waive restrictions, accelerate vesting or extend exercise periods), tolled, cancelled or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(iv) interpret and administer the Plan, any Award Agreement and any other agreements or documents related to the administration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(v) establish rules, and delegate ministerial duties to the Company’s employees consistent with Applicable Law, for the proper administration of the Plan;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(vi) make any other determination and take any other action that the Administrator deems necessary or desirable for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Administrator’s decisions will be final, conclusive and binding on all persons, including the Company, any Participant, any stockholder and any Eligible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u w:val="single"/>
        </w:rPr>
        <w:t>Shares Subject to the Plan</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Authorized Number of Shares</w:t>
      </w:r>
      <w:r>
        <w:rPr>
          <w:rFonts w:ascii="Times New Roman" w:hAnsi="Times New Roman"/>
          <w:b/>
          <w:caps w:val="false"/>
          <w:smallCaps w:val="false"/>
          <w:sz w:val="20"/>
        </w:rPr>
        <w:t>.</w:t>
      </w:r>
      <w:r>
        <w:rPr>
          <w:rFonts w:ascii="Times New Roman" w:hAnsi="Times New Roman"/>
          <w:caps w:val="false"/>
          <w:smallCaps w:val="false"/>
          <w:sz w:val="20"/>
        </w:rPr>
        <w:t> Subject to adjustment from time to time as provided in this Plan, 800,000 shares of Common Stock will be available for issuance under the Plan (the “Share Reserve”). Shares issued under the Plan will be drawn from authorized and unissued shares or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Share Use</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(i) No fractional shares may be issued under the Plan; however, cash shall be paid in lieu of any fractional Share in settlement of an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(ii) The Administrator may grant Substitute Awards under the Plan. If the Board approves a written agreement between the Company and an Acquired Entity pursuant to which a merger or consolidation is completed and that agreement sets forth the terms and conditions of the substitution of outstanding awards of the Acquired Entity, the grant of those substitute awards will be deemed to be the action of the Administrator without any further action by the Administrator, and the persons holding the newly substituted Awards will be deemed to be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u w:val="single"/>
        </w:rPr>
        <w:t>Eligibility</w:t>
      </w:r>
      <w:r>
        <w:rPr>
          <w:rFonts w:ascii="Times New Roman" w:hAnsi="Times New Roman"/>
          <w:b/>
          <w:caps w:val="false"/>
          <w:smallCaps w:val="false"/>
          <w:sz w:val="20"/>
        </w:rPr>
        <w:t>.</w:t>
      </w:r>
      <w:r>
        <w:rPr>
          <w:rFonts w:ascii="Times New Roman" w:hAnsi="Times New Roman"/>
          <w:caps w:val="false"/>
          <w:smallCaps w:val="false"/>
          <w:sz w:val="20"/>
        </w:rPr>
        <w:t xml:space="preserve"> The Administrator may grant Awards to any new employee (including any officer) of the Company or a Related Company only as an incentive material to such employee entering into employment with the Company or any Related Company as provided in the Listing Rule; provided, however, that Awards may be granted only to employees who (a) were not previously an employee or director of the Company or any Related Company or (b) previously provided services to the Company or any Related Company as an employee or director, but subsequently have completed a period of bona fide non-employment by the Company or any Related Company sufficient for compliance with the Listing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u w:val="single"/>
        </w:rPr>
        <w:t>Provisions Applicable to All Awards</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Grant Date</w:t>
      </w:r>
      <w:r>
        <w:rPr>
          <w:rFonts w:ascii="Times New Roman" w:hAnsi="Times New Roman"/>
          <w:caps w:val="false"/>
          <w:smallCaps w:val="false"/>
          <w:sz w:val="20"/>
        </w:rPr>
        <w:t>. Corporate action constituting a grant by the Company of an Award to any Participant will be deemed completed as of the date of such corporate action, unless otherwise determined by the Administrator, regardless of when the instrument, certificate, or letter evidencing the Award is communicated to, received by, or accepted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Clerical Errors</w:t>
      </w:r>
      <w:r>
        <w:rPr>
          <w:rFonts w:ascii="Times New Roman" w:hAnsi="Times New Roman"/>
          <w:caps w:val="false"/>
          <w:smallCaps w:val="false"/>
          <w:sz w:val="20"/>
        </w:rPr>
        <w:t>. If the Administrator’s records (e.g., consents, resolutions or minutes) documenting the corporate action granting the Award contain terms (e.g., exercise price, vesting schedule or number of shares) that are inconsistent with those in the Award Agreement as a result of a clerical error in the papering of the Award Agreement, the Administrator’s records will control and the Participant will have no legally binding right to the incorrect term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b/>
          <w:caps w:val="false"/>
          <w:smallCaps w:val="false"/>
          <w:sz w:val="20"/>
          <w:u w:val="single"/>
        </w:rPr>
        <w:t>Grants Prior to Start Date</w:t>
      </w:r>
      <w:r>
        <w:rPr>
          <w:rFonts w:ascii="Times New Roman" w:hAnsi="Times New Roman"/>
          <w:caps w:val="false"/>
          <w:smallCaps w:val="false"/>
          <w:sz w:val="20"/>
        </w:rPr>
        <w:t>. If the Administrator attempts to grant an Award effective as of a date in the future, and if the Award recipient is not employed by the Company or a Related Company as of that future date (either due to failure to commence employment by that future date or a Termination of Service), then as of that future date, the Award will be deemed null, void and of no force and effect without any further action by the Administrator, and the individual will have no rights, title or interests in or to the Award or the shares of Common Stock underlying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Evidence of Awards</w:t>
      </w:r>
      <w:r>
        <w:rPr>
          <w:rFonts w:ascii="Times New Roman" w:hAnsi="Times New Roman"/>
          <w:b/>
          <w:caps w:val="false"/>
          <w:smallCaps w:val="false"/>
          <w:sz w:val="20"/>
        </w:rPr>
        <w:t>.</w:t>
      </w:r>
      <w:r>
        <w:rPr>
          <w:rFonts w:ascii="Times New Roman" w:hAnsi="Times New Roman"/>
          <w:caps w:val="false"/>
          <w:smallCaps w:val="false"/>
          <w:sz w:val="20"/>
        </w:rPr>
        <w:t> The Administrator will document all Awards by a written instrument (which may include electronic writings such as smart contracts and distributed ledger entries) that contains the material terms of the Award, including but not limited to the consideration to be paid to receive the award (including the Participant’s services to the Company or a Related Company), the exercise or purchase price (if any), the vesting schedule (including any performance vesting triggers), and the Company’s rights to repurchase or reacquire the shares subject to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Other Governing Documents</w:t>
      </w:r>
      <w:r>
        <w:rPr>
          <w:rFonts w:ascii="Times New Roman" w:hAnsi="Times New Roman"/>
          <w:caps w:val="false"/>
          <w:smallCaps w:val="false"/>
          <w:sz w:val="20"/>
        </w:rPr>
        <w:t>. The Administrator may require a Participant, as a condition to receiving shares under the Plan, to sign additional documentation as reasonably required by the Administrator for compliance with Applicable Laws and the orderly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Payments for Shares and Taxes</w:t>
      </w:r>
      <w:r>
        <w:rPr>
          <w:rFonts w:ascii="Times New Roman" w:hAnsi="Times New Roman"/>
          <w:b/>
          <w:caps w:val="false"/>
          <w:smallCaps w:val="false"/>
          <w:sz w:val="20"/>
        </w:rPr>
        <w:t>.</w:t>
      </w:r>
      <w:r>
        <w:rPr>
          <w:rFonts w:ascii="Times New Roman" w:hAnsi="Times New Roman"/>
          <w:caps w:val="false"/>
          <w:smallCaps w:val="false"/>
          <w:sz w:val="20"/>
        </w:rPr>
        <w:t> The Administrator will determine the forms of consideration a Participant may use to pay the exercise or purchase price for shares issued under Awards and any withholding taxes or other amounts due in connection with Awards. A Participant must pay all consideration due in connection with the Award (including withholding taxes) before the Company will issue the shares being acquired. The Administrator may (but is not required to) permit the use of the following forms of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(i) cash or cash equivalent, including checks, wire transfers, ACH payments, and convertible virtual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(ii) having the Company withhold shares of Common Stock and any other consideration that would otherwise be issued under an Award that have an aggregate Fair Market Value on that date equal to the consideration owed to the Company, including in connection with a Change of Control (a “Withhold to Cover”);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(iii) tendering (either actually or, if and so long as the Common Stock is registered under Section 12(b) or 12(g) of the Exchange Act, by attestation) shares of Common Stock owned by the Participant free and clear of any liens, claims or other encumbrances that have an aggregate Fair Market Value on that date equal to the consideration owed to the Company, but only if the tender will not result in any adverse accounting consequences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(iv) if and so long as the Common Stock is registered under Section 12(b) or 12(g) of the Exchange Act, and to the extent permitted by Applicable Laws, delivery of a properly executed agreement, together with irrevocable instructions to a brokerage firm designated or approved by the Company to deliver promptly to the Company the aggregate amount of proceeds to pay the consideration due to the Company, all in accordance with the regulations of the Federal Reserve Board (a “Public Sell to Cover”);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(v) such other consideration as the Administrator may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 Participant may request or authorize the Administrator to withhold amounts owed under this Plan from cash payments otherwise owed to the Participant by the Company or a Related Company. If a Participant engages in a Withhold to Cover transaction to pay for applicable tax withholdings, the value of the shares so withheld may not exceed the employer’s applicable maximum required tax withholding rate or such other applicable rate as is necessary to avoid adverse treatment for financial accounting purposes, as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Vesting</w:t>
      </w:r>
      <w:r>
        <w:rPr>
          <w:rFonts w:ascii="Times New Roman" w:hAnsi="Times New Roman"/>
          <w:caps w:val="false"/>
          <w:smallCaps w:val="false"/>
          <w:sz w:val="20"/>
        </w:rPr>
        <w:t>. Unless otherwise provided by the Administrator, a Participant will cease vesting in an Award at the time of the Participant’s Termination of Service and the Participant will have no further rights, title or interests in or to the unvested portion of the Award following the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Performance-Based Awards</w:t>
      </w:r>
      <w:r>
        <w:rPr>
          <w:rFonts w:ascii="Times New Roman" w:hAnsi="Times New Roman"/>
          <w:caps w:val="false"/>
          <w:smallCaps w:val="false"/>
          <w:sz w:val="20"/>
        </w:rPr>
        <w:t>. The Administrator may grant Awards subject to performance-based conditions. The Administrator may choose the performance-based conditions in its sole discretion, which may be determined on a Company-wide, divisional, business unit or individual basis and may include the Performance Metrics. The time period during which the performance-based conditions must be met will be called the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b/>
          <w:caps w:val="false"/>
          <w:smallCaps w:val="false"/>
          <w:sz w:val="20"/>
          <w:u w:val="single"/>
        </w:rPr>
        <w:t>Change in Service; Leaves of Absence</w:t>
      </w:r>
      <w:r>
        <w:rPr>
          <w:rFonts w:ascii="Times New Roman" w:hAnsi="Times New Roman"/>
          <w:caps w:val="false"/>
          <w:smallCaps w:val="false"/>
          <w:sz w:val="20"/>
        </w:rPr>
        <w:t>. The Administrator will determine the effect on Awards of a Participant’s leave of absence or change in hours of employment. In general, if, after the Grant Date of any Award to a Participant, the Participant’s regular level of time commitment in the performance of the Participant’s services for the Company and any Related Companies is reduced (for example, and without limitation, if the Participant has a change in status from a full-time employee to a part-time employee, or if the Participant goes on a leave of absence without using paid vacation or sick days), the Administrator has the right in its sole discretion (and without the need to seek or obtain the consent of the affected Participant) to (i) make a corresponding reduction in the number of shares, other property or cash subject to any portion of such Award that is scheduled to vest or become payable after the date of such change in time commitment, and (ii) in lieu of or in combination with such a reduction, extend the vesting or payment schedule applicable to such Award (but only if the modification would not cause the Participant to incur penalties or additional taxation under Section 409A). If an Award is reduced, the Participant will have no right with respect to the portion of the Award that is so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Applicability of Award Terms to New Property</w:t>
      </w:r>
      <w:r>
        <w:rPr>
          <w:rFonts w:ascii="Times New Roman" w:hAnsi="Times New Roman"/>
          <w:caps w:val="false"/>
          <w:smallCaps w:val="false"/>
          <w:sz w:val="20"/>
        </w:rPr>
        <w:t>. If a Participant receives new or additional shares of Common Stock, other securities, other property, or cash in respect of an Award, those shares, securities, property and cash will be subject to all the same terms of the Plan and the Award Agreement as applied to the underlying shares of Common Stock subject to that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Dividends and Dividend Equivalents</w:t>
      </w:r>
      <w:r>
        <w:rPr>
          <w:rFonts w:ascii="Times New Roman" w:hAnsi="Times New Roman"/>
          <w:caps w:val="false"/>
          <w:smallCaps w:val="false"/>
          <w:sz w:val="20"/>
        </w:rPr>
        <w:t>. The Administrator, in its discretion, may provide in the Award Agreement evidencing any Award that the Participant will be entitled to receive dividends or Dividend Equivalents with respect to the payment of cash dividends on Shares having a record date prior to the date on which the Awards are settled or forfeited. The dividends or Dividend Equivalents, if any, will be credited to an Award in such manner and subject to such terms and conditions as determined by the Administrator in its sole discretion subject to the provisions of the Plan. However, dividends and Dividend Equivalents will be subject to the same vesting provisions as the Awards to which they relate, and while amounts may accrue while the Award or Dividend Equivalent is unvested, the amounts payable with respect to Dividend Equivalents or dividends will not be paid before the Dividend Equivalent or the Award to which it relates vests. If a dividend or distribution is paid in shares of Common Stock or any other adjustment is made on a change in the capital structure of the Company as described in Section 12, appropriate adjustments will be made to the Participant’s Award and the associated Dividend Equivalent so that it represents the right to receive on settlement any and all new, substituted or additional securities or other property (other than normal cash dividends) to which the Participant would be entitled by reason of the consideration issuable on settlement of the Award, and all such new, substituted or additional securities or other property will be immediately subject to the same vesting and settlement conditions as are applicable to the Award. Dividend Equivalents will be subject to the same Award Limits applicable to the underlying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b/>
          <w:caps w:val="false"/>
          <w:smallCaps w:val="false"/>
          <w:sz w:val="20"/>
          <w:u w:val="single"/>
        </w:rPr>
        <w:t>Recoupment</w:t>
      </w:r>
      <w:r>
        <w:rPr>
          <w:rFonts w:ascii="Times New Roman" w:hAnsi="Times New Roman"/>
          <w:caps w:val="false"/>
          <w:smallCaps w:val="false"/>
          <w:sz w:val="20"/>
        </w:rPr>
        <w:t>. All Awards are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The implementation of any clawback policy will not be deemed a triggering event for purposes of any definition of “good reason” for resignation or “constructive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b/>
          <w:caps w:val="false"/>
          <w:smallCaps w:val="false"/>
          <w:sz w:val="20"/>
          <w:u w:val="single"/>
        </w:rPr>
        <w:t>Investigations</w:t>
      </w:r>
      <w:r>
        <w:rPr>
          <w:rFonts w:ascii="Times New Roman" w:hAnsi="Times New Roman"/>
          <w:caps w:val="false"/>
          <w:smallCaps w:val="false"/>
          <w:sz w:val="20"/>
        </w:rPr>
        <w:t>. If a Participant’s employment with the Company is suspended pending an investigation of whether the Participant will be terminated for Cause, all the Participant’s rights under any Award will likewise be suspended during the period of investigation.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b/>
          <w:caps w:val="false"/>
          <w:smallCaps w:val="false"/>
          <w:sz w:val="20"/>
          <w:u w:val="single"/>
        </w:rPr>
        <w:t>No Obligation to Notify or Minimize Taxes</w:t>
      </w:r>
      <w:r>
        <w:rPr>
          <w:rFonts w:ascii="Times New Roman" w:hAnsi="Times New Roman"/>
          <w:b/>
          <w:caps w:val="false"/>
          <w:smallCaps w:val="false"/>
          <w:sz w:val="20"/>
        </w:rPr>
        <w:t>.</w:t>
      </w:r>
      <w:r>
        <w:rPr>
          <w:rFonts w:ascii="Times New Roman" w:hAnsi="Times New Roman"/>
          <w:caps w:val="false"/>
          <w:smallCaps w:val="false"/>
          <w:sz w:val="20"/>
        </w:rPr>
        <w:t> The Company and the Administrator will have no duty or obligation to any Participant to advise such holder as to the time or manner of exercising the Participant’s rights under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u w:val="single"/>
        </w:rPr>
        <w:t>Options &amp; SARs</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Exercise Price</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(i) Generally, the Administrator may not grant Options or SARs with an exercise price per share less than 100% of the Fair Market Value of the Common Stock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(ii) The Administrator may grant Options or SARs with a price less than 100% of the Fair Market Value in the case of Substitute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Term</w:t>
      </w:r>
      <w:r>
        <w:rPr>
          <w:rFonts w:ascii="Times New Roman" w:hAnsi="Times New Roman"/>
          <w:b/>
          <w:caps w:val="false"/>
          <w:smallCaps w:val="false"/>
          <w:sz w:val="20"/>
        </w:rPr>
        <w:t>.</w:t>
      </w:r>
      <w:r>
        <w:rPr>
          <w:rFonts w:ascii="Times New Roman" w:hAnsi="Times New Roman"/>
          <w:caps w:val="false"/>
          <w:smallCaps w:val="false"/>
          <w:sz w:val="20"/>
        </w:rPr>
        <w:t> The maximum term of an Option or SAR will be 10 years from the Grant Date, subject to earlier termination in accordance with the terms of the Plan and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Conditions to Exercise</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(i) To exercise an Option or SAR, the Participant must deliver (A) the exercise agreement stating the number of shares being purchased and, if applicable, the account number or digital wallet address into which the shares should be deposited, (B) payment in full of the exercise price and any tax withholding obligations, and (C) any additional documents required by the Company as a condition to exercise. The Company will not initiate the settlement on the exercise of an Option or SAR until the Company has verified that all conditions necessary for the exercise of the Award have been satisfied (including compliance with Applicable Laws), all the foregoing steps have been completed and the Company initiates the issuance of the shares in the Participant’s name. The Company will issue exercised shares promptly after the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(ii) The Administrator may modify the exercise agreement form and the procedure for exercise, from time to time, including after the Grant Date of an Award, without the Participant’s consent. The Administrator may restrict exercise to those times when the exercise will not violate Applicable Laws. In addition, the Administrator may prohibit exercise during any “blackout” or “closed” trading windows under the Company’s insider trading policies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(iii) The Administrator may require than an Option may be exercised only for whole shares and for not less than a reasonable number of shares at any one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Non-Exempt Employees</w:t>
      </w:r>
      <w:r>
        <w:rPr>
          <w:rFonts w:ascii="Times New Roman" w:hAnsi="Times New Roman"/>
          <w:b/>
          <w:caps w:val="false"/>
          <w:smallCaps w:val="false"/>
          <w:sz w:val="20"/>
        </w:rPr>
        <w:t>.</w:t>
      </w:r>
      <w:r>
        <w:rPr>
          <w:rFonts w:ascii="Times New Roman" w:hAnsi="Times New Roman"/>
          <w:caps w:val="false"/>
          <w:smallCaps w:val="false"/>
          <w:sz w:val="20"/>
        </w:rPr>
        <w:t> If an Option or SAR is granted to an employee who is a non-exempt employee for purposes of the Fair Labor Standards Act of 1938, as amended, the Option or SAR will not be first exercisable for any shares of Common Stock until at least 6 months following the Grant Date of the Option or SAR (although the Award may vest prior to such date). Consistent with the provisions of the Worker Economic Opportunity Act, (i) if such non-exempt employee dies or suffers a disability, (ii) on a Change of Control in which such Option or SAR is not assumed, continued, or substituted, or (iii) on the Participant’s retirement (as such term may be defined in the Participant’s Award Agreement or in another agreement between the Participant and the Company, or, if no such definition, in accordance with the Company’s then current employment policies and guidelines), the vested portion of any Options and SARs may be exercised earlier than 6 months following the Grant Date. The foregoing provision is intended to operate so that any income derived by a non-exempt employee from the exercise or vesting of an Option or SAR will be exempt from the employee’s regular rate of pay. If required for compliance with the Worker Economic Opportunity Act to ensure that any income derived by a non-exempt employee from the exercise, vesting or issuance of any shares under any other Award will be exempt from the employee’s regular rate of pay, the provisions of this paragraph will apply to all Awards and are hereby incorporated by reference into such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Effect of Termination of Service</w:t>
      </w:r>
      <w:r>
        <w:rPr>
          <w:rFonts w:ascii="Times New Roman" w:hAnsi="Times New Roman"/>
          <w:b/>
          <w:caps w:val="false"/>
          <w:smallCaps w:val="false"/>
          <w:sz w:val="20"/>
        </w:rPr>
        <w:t>.</w:t>
      </w:r>
      <w:r>
        <w:rPr>
          <w:rFonts w:ascii="Times New Roman" w:hAnsi="Times New Roman"/>
          <w:caps w:val="false"/>
          <w:smallCaps w:val="false"/>
          <w:sz w:val="20"/>
        </w:rPr>
        <w:t> The Administrator will establish and define in the Award Agreement how an Option or SAR will be treated on a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Extension Under Limited Circumstances</w:t>
      </w:r>
      <w:r>
        <w:rPr>
          <w:rFonts w:ascii="Times New Roman" w:hAnsi="Times New Roman"/>
          <w:caps w:val="false"/>
          <w:smallCaps w:val="false"/>
          <w:sz w:val="20"/>
        </w:rPr>
        <w:t>. The Administrator may provide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(i) if the exercise of an Option or SAR following the Termination of Service (other than upon the Participant’s death or Disability) would result in liability under Section 16(b) of the Exchange Act, then the Award will terminate on the earlier of (A) the Award Expiration Date, or (B) the tenth (10th) day after the last date on which such exercise would result in liability under Section 16(b) of the Exchange Act;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(ii) if the exercise of the Award following the Participant’s Termination of Service (other than upon the Participant’s death or Disability) would be prohibited at any time solely because the issuance of shares of Common Stock would violate the registration requirements under the Securities Act or the Company’s insider trading policy, then the Award will terminate on the earlier of (A) the Award Expiration Date or (B) the expiration of a period of thirty (30) days (or such longer period of time as determined by the Administrator in its sole discretion) after the Termination of Service during which the exercise of the Award would not be in violation of such registration requirements or insider trading policy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u w:val="single"/>
        </w:rPr>
        <w:t>Restricted Stock, Restricted Stock Units and Other Stock Based Awards</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Restricted Stock</w:t>
      </w:r>
      <w:r>
        <w:rPr>
          <w:rFonts w:ascii="Times New Roman" w:hAnsi="Times New Roman"/>
          <w:b/>
          <w:caps w:val="false"/>
          <w:smallCaps w:val="false"/>
          <w:sz w:val="20"/>
        </w:rPr>
        <w:t>.</w:t>
      </w:r>
      <w:r>
        <w:rPr>
          <w:rFonts w:ascii="Times New Roman" w:hAnsi="Times New Roman"/>
          <w:caps w:val="false"/>
          <w:smallCaps w:val="false"/>
          <w:sz w:val="20"/>
        </w:rPr>
        <w:t> The Administrator will specify whether the Award is a Restricted Stock Purchase Award or a Restricted Stock Bonus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b/>
          <w:caps w:val="false"/>
          <w:smallCaps w:val="false"/>
          <w:sz w:val="20"/>
          <w:u w:val="single"/>
        </w:rPr>
        <w:t>Section</w:t>
      </w:r>
      <w:r>
        <w:rPr>
          <w:rFonts w:ascii="Times New Roman" w:hAnsi="Times New Roman"/>
          <w:caps w:val="false"/>
          <w:smallCaps w:val="false"/>
          <w:sz w:val="20"/>
          <w:u w:val="single"/>
        </w:rPr>
        <w:t> </w:t>
      </w:r>
      <w:r>
        <w:rPr>
          <w:rFonts w:ascii="Times New Roman" w:hAnsi="Times New Roman"/>
          <w:b/>
          <w:caps w:val="false"/>
          <w:smallCaps w:val="false"/>
          <w:sz w:val="20"/>
          <w:u w:val="single"/>
        </w:rPr>
        <w:t>83(b) Election</w:t>
      </w:r>
      <w:r>
        <w:rPr>
          <w:rFonts w:ascii="Times New Roman" w:hAnsi="Times New Roman"/>
          <w:caps w:val="false"/>
          <w:smallCaps w:val="false"/>
          <w:sz w:val="20"/>
        </w:rPr>
        <w:t>. The Administrator may require that the Participant deliver a completed copy of the Participant’s Section 83(b) election, the taxes due in connection with that election and evidence of timely receipt of the Section 83(b) election by the Internal Revenue Service. If a Participant fails to satisfy these requirements, the Administrator will instruct the Company to withhold/remit (if applicable) taxes on, and report to the applicable taxing authorities, the income recognized on each subsequent vesting date of the Award in accordance with Applicable Law. In the alternative, the Administrator may grant the Award of Restricted Stock subject to a forfeiture condition whereby failure to satisfy these requirements results in the forfeiture of all unvested shares of Common Stock subject to the Award at the Participant’s original purchase price (or for no consideration, in the case of a Restricted Stock Bonus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(i) If the Administrator grants Restricted Stock Units intended to be exempt from Section 409A under Treasury Regulation Section 1.409A-1(b)(4), then (A) the Company will treat each installment of Restricted Stock Units that vests as a separate installment for purposes of Section 409A, and (B) the Company will deliver the vested shares of Common Stock (or other property or cash due on vesting) not later than the last day of the period determined under Treasury Regulation Section 1.409A-1(b)(4), which is incorporated by reference into this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(ii) If the Administrator grants Restricted Stock Units intended to be compliant deferred compensation under Treasury Regulation Section 1.409A-3, then (A) the Company will treat each installment of Restricted Stock Units that vests as a separate installment for purposes of Section 409A, and (B) if the Award Agreement fails to state at least one permitted distribution event or form of payment, the Award Agreement will be deemed to provide that the earlier to occur of a Change of Control and the date that is the first day of the 6th calendar year after the Grant Date as the permitted distribution dates and a lump sum payment as the form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Other Stock Awards</w:t>
      </w:r>
      <w:r>
        <w:rPr>
          <w:rFonts w:ascii="Times New Roman" w:hAnsi="Times New Roman"/>
          <w:caps w:val="false"/>
          <w:smallCaps w:val="false"/>
          <w:sz w:val="20"/>
        </w:rPr>
        <w:t>. The Administrator may grant or sell Awards that are valued in whole or in part by reference to, or are otherwise based on the Fair Market Value of, shares of the Company’s Common Stock. The Administrator will determine the form of such Award and the terms and conditions to earning the Award in its sole discretion, including the number of shares referenced by the Award, the vesting schedule, whether it will be settled in Common Stock, cash or other property, and when it will be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caps w:val="false"/>
          <w:smallCaps w:val="false"/>
          <w:sz w:val="20"/>
          <w:u w:val="single"/>
        </w:rPr>
        <w:t>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Withholding</w:t>
      </w:r>
      <w:r>
        <w:rPr>
          <w:rFonts w:ascii="Times New Roman" w:hAnsi="Times New Roman"/>
          <w:caps w:val="false"/>
          <w:smallCaps w:val="false"/>
          <w:sz w:val="20"/>
        </w:rPr>
        <w:t>. The Company will require the Participant to pay to the Company or a Related Company, as applicable, the amount of (i) any taxes that the Company or a Related Company is required by applicable federal, state, local or foreign law to withhold with respect to an Award and (ii) any other amounts due from the Participant to the Company, any Related Company or any governmental authority. The Company will not be required to issue any shares of Common Stock or otherwise settle an Award under the Plan until such tax withholding obligations and other obligations are satisfied. As a result, a Participant may not be able to exercise an Award or have an Award settled, even though the Award is vested, unless and until such obligations are satisfied. As a condition to acceptance of any Award under the Plan, (i) a Participant authorizes withholding by the Company or a Related Company from payroll and any other amounts payable to such Participant, and otherwise agree to make adequate provision for (including), any sums required to satisfy any U.S. federal, state, local and/or foreign tax or social insurance contribution withholding obligations of the Company or a Related Company which arise in connection with the Award and (ii) a Participant agrees to indemnify and hold the Company and the Related Companies harmless from any failure by the Company or a Related Company to withhold the proper amount. The Administrator makes no representations that Awards granted under the Plan will, and makes no undertaking to, minimize the tax impact to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Section</w:t>
      </w:r>
      <w:r>
        <w:rPr>
          <w:rFonts w:ascii="Times New Roman" w:hAnsi="Times New Roman"/>
          <w:caps w:val="false"/>
          <w:smallCaps w:val="false"/>
          <w:sz w:val="20"/>
          <w:u w:val="single"/>
        </w:rPr>
        <w:t> </w:t>
      </w:r>
      <w:r>
        <w:rPr>
          <w:rFonts w:ascii="Times New Roman" w:hAnsi="Times New Roman"/>
          <w:b/>
          <w:caps w:val="false"/>
          <w:smallCaps w:val="false"/>
          <w:sz w:val="20"/>
          <w:u w:val="single"/>
        </w:rPr>
        <w:t>409A</w:t>
      </w:r>
      <w:r>
        <w:rPr>
          <w:rFonts w:ascii="Times New Roman" w:hAnsi="Times New Roman"/>
          <w:caps w:val="false"/>
          <w:smallCaps w:val="false"/>
          <w:sz w:val="20"/>
        </w:rPr>
        <w:t>. The Company intends that the Plan and Awards granted under the Plan (unless otherwise expressly provided for in the Award Agreement and Administrator resolutions approving the Award) are exempt from the requirements of Section 409A to the maximum extent possible, whether pursuant to the short-term deferral exception described in Treasury Regulation Section 1.409A-1(b)(4), the exclusion applicable to stock options, stock appreciation rights and certain other equity-based compensation under Treasury Regulation Section 1.409A-1(b)(5) or 1.409A-1(b)(6), or otherwise. The Administrator will use reasonable best efforts to interpret, operate and administer the Plan and any Award granted under the Plan in a manner consistent with this intention. However, the Administrator makes no representations that Awards granted under the Plan will be exempt from or comply with Section 409A and makes no undertaking to preclude Section 409A from applying to Awards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(i) If Section 409A is applicable to any Award granted under the Plan (that is, to the extent not so exempt), the Administrator intends that the non-exempt Award will comply with the deferral, payout, plan termination and other limitations and restrictions imposed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(ii) If necessary for exemption from, or 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 w:hAnsi="Times New Roman"/>
          <w:caps w:val="false"/>
          <w:smallCaps w:val="false"/>
          <w:sz w:val="20"/>
        </w:rPr>
      </w:pPr>
      <w:r>
        <w:rPr>
          <w:rFonts w:ascii="Times New Roman" w:hAnsi="Times New Roman"/>
          <w:caps w:val="false"/>
          <w:smallCaps w:val="false"/>
          <w:sz w:val="20"/>
        </w:rPr>
        <w:t>(A) All references in the Plan or any Award granted under the Plan to the termination of the Participant’s employment or service are intended to mean the Participant’s “separation from service,” within the meaning of Section 409A(a)(2)(A)(i).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 w:hAnsi="Times New Roman"/>
          <w:caps w:val="false"/>
          <w:smallCaps w:val="false"/>
          <w:sz w:val="20"/>
        </w:rPr>
      </w:pPr>
      <w:r>
        <w:rPr>
          <w:rFonts w:ascii="Times New Roman" w:hAnsi="Times New Roman"/>
          <w:caps w:val="false"/>
          <w:smallCaps w:val="false"/>
          <w:sz w:val="20"/>
        </w:rPr>
        <w:t>(B) The Administrator will treat each installment that vests or is delivered under an Award in a series of payments or installments as a separate payment for purposes of Section 409A, unless expressly set forth in the Award Agreement that each installment is not a separate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 w:hAnsi="Times New Roman"/>
          <w:caps w:val="false"/>
          <w:smallCaps w:val="false"/>
          <w:sz w:val="20"/>
        </w:rPr>
      </w:pPr>
      <w:r>
        <w:rPr>
          <w:rFonts w:ascii="Times New Roman" w:hAnsi="Times New Roman"/>
          <w:caps w:val="false"/>
          <w:smallCaps w:val="false"/>
          <w:sz w:val="20"/>
        </w:rPr>
        <w:t>(C) If the Participant is a “specified employee,” within the meaning of Section 409A, then if necessary to avoid subjecting the Participant to the imposition of any additional tax under Section 409A, amounts that would otherwise be payable under the Plan or any Award granted under the Plan during the 6-month period immediately following the Participant’s “separation from service” will not be paid to the Participant during such period, but will instead be accumulated and paid to the Participant (or, in the event of the Participant’s death, the Participant’s estate) in a lump sum on the first business day after the earlier of the date that is 6 months following the Participant’s separation from service or the Participant’s death, unless the amounts can be paid in another manner that complies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 w:hAnsi="Times New Roman"/>
          <w:caps w:val="false"/>
          <w:smallCaps w:val="false"/>
          <w:sz w:val="20"/>
        </w:rPr>
      </w:pPr>
      <w:r>
        <w:rPr>
          <w:rFonts w:ascii="Times New Roman" w:hAnsi="Times New Roman"/>
          <w:caps w:val="false"/>
          <w:smallCaps w:val="false"/>
          <w:sz w:val="20"/>
        </w:rPr>
        <w:t>(D) If, after the Grant Date of an Award, the Administrator determines that an Award is reasonably likely to fail to be either exempt from or compliant with Section 409A, the Administrator reserves the right, but will not be required, to unilaterally (and without the affected Participant’s consent) amend or modify the Plan and any Award granted under the Plan so that the Award qualifies for exemption from or complies with Section 409A. Any such amendment or modification made to avoid the imposition of adverse taxation under Section 409A will be deemed not to materially adversely impact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 w:hAnsi="Times New Roman"/>
          <w:caps w:val="false"/>
          <w:smallCaps w:val="false"/>
          <w:sz w:val="20"/>
        </w:rPr>
      </w:pPr>
      <w:r>
        <w:rPr>
          <w:rFonts w:ascii="Times New Roman" w:hAnsi="Times New Roman"/>
          <w:caps w:val="false"/>
          <w:smallCaps w:val="false"/>
          <w:sz w:val="20"/>
        </w:rPr>
        <w:t>(E) The right to any dividends or Dividend Equivalents declared and paid on the number of shares underlying an Option or a Stock Appreciation Right may not be contingent, directly or indirectly, on the exercise of the Option or Stock Appreciation Right and must otherwise comply with or qualify for an exemption under Section 409A. In addition, the right to any dividends or Dividend Equivalents declared and paid on Restricted Stock must comply with or qualify for an exemption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b/>
          <w:caps w:val="false"/>
          <w:smallCaps w:val="false"/>
          <w:sz w:val="20"/>
          <w:u w:val="single"/>
        </w:rPr>
        <w:t>Restrictions on Transfer of Awards and Common Stock</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No Transfer of Awards</w:t>
      </w:r>
      <w:r>
        <w:rPr>
          <w:rFonts w:ascii="Times New Roman" w:hAnsi="Times New Roman"/>
          <w:b/>
          <w:caps w:val="false"/>
          <w:smallCaps w:val="false"/>
          <w:sz w:val="20"/>
        </w:rPr>
        <w:t>.</w:t>
      </w:r>
      <w:r>
        <w:rPr>
          <w:rFonts w:ascii="Times New Roman" w:hAnsi="Times New Roman"/>
          <w:caps w:val="false"/>
          <w:smallCaps w:val="false"/>
          <w:sz w:val="20"/>
        </w:rPr>
        <w:t> A Participant may not Transfer an Award or interest in an Award other than (i) Transfers on Participant’s death by will or by the Applicable Laws of descent and distribution, and (ii) Transfers of vested shares of Common Stock after the period of restrictions have lapsed or been removed and the shares have been issued to the Participant, and subject to compliance with the Company’s policies on trading in Company securities and Applicable Laws. In general, during a Participant’s lifetime, only the Participant granted the Award may exercise the Award or purchase the shares under the Award. The Administrator may permit the Transfer of an Award or an interest in an Award if that Transfer complies with all Applicable Laws, such as a transfer to a trust if the Participant is considered the sole beneficial owner of the trust (as determined under Applicable Laws) or pursuant to a court-endorsed domestic relations order in a format acceptable to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Refusal to Transfer</w:t>
      </w:r>
      <w:r>
        <w:rPr>
          <w:rFonts w:ascii="Times New Roman" w:hAnsi="Times New Roman"/>
          <w:b/>
          <w:caps w:val="false"/>
          <w:smallCaps w:val="false"/>
          <w:sz w:val="20"/>
        </w:rPr>
        <w:t>.</w:t>
      </w:r>
      <w:r>
        <w:rPr>
          <w:rFonts w:ascii="Times New Roman" w:hAnsi="Times New Roman"/>
          <w:caps w:val="false"/>
          <w:smallCaps w:val="false"/>
          <w:sz w:val="20"/>
        </w:rPr>
        <w:t> The Company will not be required (i) to Transfer on its books any shares of Common Stock that have been purportedly Transferred in violation of any of the provisions of this Plan, or (ii) to treat as owner of the shares or to accord the right to vote or pay dividends to any purchaser or other transferee to whom the shares have purportedly been so Transferred. In general, any Transfer or purported Transfer of an Award or of shares of Common Stock issued under the Plan in violation of the Plan will be null and void, will have no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caps w:val="false"/>
          <w:smallCaps w:val="false"/>
          <w:sz w:val="20"/>
          <w:u w:val="single"/>
        </w:rPr>
        <w:t>Changes to Company</w:t>
      </w:r>
      <w:r>
        <w:rPr>
          <w:rFonts w:ascii="Times New Roman" w:hAnsi="Times New Roman"/>
          <w:caps w:val="false"/>
          <w:smallCaps w:val="false"/>
          <w:sz w:val="20"/>
          <w:u w:val="single"/>
        </w:rPr>
        <w:t>’</w:t>
      </w:r>
      <w:r>
        <w:rPr>
          <w:rFonts w:ascii="Times New Roman" w:hAnsi="Times New Roman"/>
          <w:b/>
          <w:caps w:val="false"/>
          <w:smallCaps w:val="false"/>
          <w:sz w:val="20"/>
          <w:u w:val="single"/>
        </w:rPr>
        <w: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(a) If the Company undertakes a stock dividend, stock split, spin-off, combination or exchange of shares, recapitalization, merger, consolidation, distribution to stockholders other than a normal cash dividend, or other change in the Company’s corporate or capital structure that constitutes an equity restructuring transaction, as that term is used in Statement of Financial Accounting Standards Board Accounting Standards Codification Topic 718 (or any successor thereto) and that results in (i) the outstanding shares of Common Stock, or any securities exchanged therefor or received in their place, being exchanged for a different number or kind of securities of the Company or any other company or (ii) new, different or additional securities of the Company or any other company being received by the holders of shares of Common Stock, then the Administrator will make proportional adjustments in (A) the maximum number and kind of securities available for issuance under the Plan; (B) the maximum number and kind of securities subject to the Award Limits, and (C) the maximum number and kind of securities that are subject to any outstanding Award and the per share price of such securities, without any change in the aggregate price to be paid under the Award, in each case as necessary to prevent the diminution or enlargement of rights under this Plan. The determination by the Administrator as to the terms of any of the foregoing adjustments will be conclusive and binding. For clarity, the issuance by the Company of shares of stock of any class, or securities convertible into shares of stock of any class, for cash or property, or for labor or services rendered, either on direct sale or on the exercise of rights or warrants to subscribe therefor, or on conversion of shares or obligations of the Company convertible into such shares or other securities, will not affect, and no adjustment by reason thereof will be made with respect to, outstanding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Dissolution or Liquidation</w:t>
      </w:r>
      <w:r>
        <w:rPr>
          <w:rFonts w:ascii="Times New Roman" w:hAnsi="Times New Roman"/>
          <w:b/>
          <w:caps w:val="false"/>
          <w:smallCaps w:val="false"/>
          <w:sz w:val="20"/>
        </w:rPr>
        <w:t>.</w:t>
      </w:r>
      <w:r>
        <w:rPr>
          <w:rFonts w:ascii="Times New Roman" w:hAnsi="Times New Roman"/>
          <w:caps w:val="false"/>
          <w:smallCaps w:val="false"/>
          <w:sz w:val="20"/>
        </w:rPr>
        <w:t> To the extent not previously exercised or settled, and unless otherwise determined by the Administrator in its sole discretion, Awards will terminate immediately prior to the dissolution or liquidation of the Company. If a vesting condition, forfeiture provision or repurchase right applicable to an Award has not been waived by the Administrator, the portion of the Award subject to that condition, provision or right will be forfeited immediately prior to the consummation of the dissolution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u w:val="single"/>
        </w:rPr>
        <w:t>Change of Control</w:t>
      </w:r>
      <w:r>
        <w:rPr>
          <w:rFonts w:ascii="Times New Roman" w:hAnsi="Times New Roman"/>
          <w:b/>
          <w:caps w:val="false"/>
          <w:smallCaps w:val="false"/>
          <w:sz w:val="20"/>
        </w:rPr>
        <w:t>.</w:t>
      </w:r>
      <w:r>
        <w:rPr>
          <w:rFonts w:ascii="Times New Roman" w:hAnsi="Times New Roman"/>
          <w:caps w:val="false"/>
          <w:smallCaps w:val="false"/>
          <w:sz w:val="20"/>
        </w:rPr>
        <w:t> The following provisions will apply to Awards in the event of a Change of Control unless otherwise provided in the Award Agreement or any other written agreement between the Company or any Related Company and the Participant. In the event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(i) All outstanding Awards that are subject to vesting based on continued employment with the Company or a Related Company shall become fully vested and immediately exercisable or payable, and all applicable restrictions or forfeiture provisions shall lapse, immediately prior to the Change of Control and such Awards shall terminate at the effective time of the Change of Control; provided, however, that with respect to a Change of Control that is a Company Transaction in which such Awards could be converted, assumed, substituted for or replaced by the Successor Company, such Awards shall become fully vested and exercisable or payable, all applicable restrictions or forfeiture provisions shall lapse, and such Awards shall terminate at the effective time of the Change of Control, only if and to the extent such Awards are not converted, assumed, substituted for or replaced by the Successor Company. If and to the extent that the Successor Company converts, assumes, substitutes for or replaces an Award, the vesting restrictions and/or forfeiture provisions applicable to such Award shall not be accelerated or lapse, and all such vesting restrictions and/or forfeiture provisions shall continue with respect to any shares of the Successor Company or other consideration that may be received with respect to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(ii) For the purposes of Section 11(c)(i), an Award shall be considered converted, assumed, substituted for or replaced by the Successor Company if following the Company Transaction the Award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Administrator may, with the consent of the Successor Company, provide for the consideration to be received pursuant to the Award,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Administrator, and its determination shall be conclusive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(iii) All outstanding Awards that are subject to vesting based on the achievement of specified performance goals, and that are earned and outstanding as of the date the Change of Control is determined to have occurred, and for which the payout level has been determined, shall be payable in full in accordance with the payout schedule pursuant to the instrument evidencing the Award. Any remaining outstanding Awards that are subject to vesting based on the achievement of specified performance goals (including any applicable performance period) for which the payout level has not been determined shall be prorated based on actual results measured against the performance goals as of the Change of Control and shall be payable in accordance with the payout schedule pursuant to the instrument evidencing the Award. Any existing deferrals or other restrictions not waived by the Administrator in its sole discretion shall remain in effect. With respect to a Change of Control that is a Company Transaction in which such Awards could be converted, assumed, substituted for or replaced by the Successor Company, such Awards shall terminate at the effective time of the Change of Control if and to the extent such Awards are not converted, assumed, substituted for or replaced by the Successor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(iv) Notwithstanding the foregoing, the Administrator, in its sole discretion, may instead provide in the event of a Change of Control that is a Company Transaction that a Participant’s outstanding Awards shall terminate upon or immediately prior to such Company Transaction and that such Participant shall receive, in exchange therefor, a cash payment equal to the amount (if any) by which (A) the value of the per share consideration received by holders of Common Stock in the Company Transaction, or, in the event the Company Transaction is a transaction that does not result in direct receipt of consideration by holders of Common Stock, the value of the deemed per share consideration received, in each case as determined by the Administrator in its sole discretion, multiplied by the number of shares of Common Stock subject to such outstanding Awards (to the extent then vested and exercisable or whether or not then vested and exercisable, as determined by the Administrator in its sole discretion) exceeds (B) if applicable, the respective aggregate exercise price or grant price for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00" w:right="0" w:hanging="0"/>
        <w:jc w:val="both"/>
        <w:rPr>
          <w:rFonts w:ascii="Times New Roman" w:hAnsi="Times New Roman"/>
          <w:caps w:val="false"/>
          <w:smallCaps w:val="false"/>
          <w:sz w:val="20"/>
        </w:rPr>
      </w:pPr>
      <w:r>
        <w:rPr>
          <w:rFonts w:ascii="Times New Roman" w:hAnsi="Times New Roman"/>
          <w:caps w:val="false"/>
          <w:smallCaps w:val="false"/>
          <w:sz w:val="20"/>
        </w:rPr>
        <w:t>(v) For the avoidance of doubt, nothing in this Section 11(c) requires all outstanding Awards to be treated similarly.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u w:val="single"/>
        </w:rPr>
        <w:t>Further Adjustment of Awards</w:t>
      </w:r>
      <w:r>
        <w:rPr>
          <w:rFonts w:ascii="Times New Roman" w:hAnsi="Times New Roman"/>
          <w:b/>
          <w:caps w:val="false"/>
          <w:smallCaps w:val="false"/>
          <w:sz w:val="20"/>
        </w:rPr>
        <w:t>.</w:t>
      </w:r>
      <w:r>
        <w:rPr>
          <w:rFonts w:ascii="Times New Roman" w:hAnsi="Times New Roman"/>
          <w:caps w:val="false"/>
          <w:smallCaps w:val="false"/>
          <w:sz w:val="20"/>
        </w:rPr>
        <w:t> The Administrator will have the discretion to take additional action as it determines to be necessary or advisable with respect to Awards. Such authorized action may include (but will not be limited to) establishing, amending or waiving the type, terms, conditions or duration of, or restrictions on, Awards so as to provide for earlier, later, extended or additional time for exercise, lifting restrictions and other modifications, and the Administrator may take such actions with respect to all Participants, to certain categories of Participants or only to individual Participants. The Administrator may take such action before or after granting Awards to which the action relates and before or after any public announcement with respect to such sale, merger, consolidation, reorganization, liquidation, dissolution or change of control that is the reason for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u w:val="single"/>
        </w:rPr>
        <w:t>No Limitations</w:t>
      </w:r>
      <w:r>
        <w:rPr>
          <w:rFonts w:ascii="Times New Roman" w:hAnsi="Times New Roman"/>
          <w:b/>
          <w:caps w:val="false"/>
          <w:smallCaps w:val="false"/>
          <w:sz w:val="20"/>
        </w:rPr>
        <w:t>.</w:t>
      </w:r>
      <w:r>
        <w:rPr>
          <w:rFonts w:ascii="Times New Roman" w:hAnsi="Times New Roman"/>
          <w:caps w:val="false"/>
          <w:smallCaps w:val="false"/>
          <w:sz w:val="20"/>
        </w:rPr>
        <w:t> The grant of Awards will in no way affect the Company’s right to adjust, reclassify, reorganize or otherwise change its capital or business structure or to merge, consolidate, dissolve, liquidate or sell or Transfer all or any part of its business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caps w:val="false"/>
          <w:smallCaps w:val="false"/>
          <w:sz w:val="20"/>
          <w:u w:val="single"/>
        </w:rPr>
        <w:t>Payment Conditions</w:t>
      </w:r>
      <w:r>
        <w:rPr>
          <w:rFonts w:ascii="Times New Roman" w:hAnsi="Times New Roman"/>
          <w:b/>
          <w:caps w:val="false"/>
          <w:smallCaps w:val="false"/>
          <w:sz w:val="20"/>
        </w:rPr>
        <w:t>.</w:t>
      </w:r>
      <w:r>
        <w:rPr>
          <w:rFonts w:ascii="Times New Roman" w:hAnsi="Times New Roman"/>
          <w:caps w:val="false"/>
          <w:smallCaps w:val="false"/>
          <w:sz w:val="20"/>
        </w:rPr>
        <w:t> By accepting an Award under the Plan, each Participant agrees that if an Award is to be terminated in connection with a Change of Control in exchange for a payment in cash, securities or other property, a condition to receipt of any such payment is that the Participant execute an Award termination agreement providing for, among other things, (i) the Participant’s agreement and consent to (A) the amount of such consideration to be paid in respect of the Award and (B) the termination of the Award in exchange for such consideration, (ii) the Participant’s agreement to be bound by the indemnification, escrow, earn-out, holdback or similar arrangements contained in the definitive agreements relating to the Change of Control that are applicable to holders of Common Stock generally, (iii) a customary release of any and all claims the Participant may have, whether known, unknown or otherwise, arising from or relating to the Award and ownership of Company securities, including any claims relating to cash, equity or other compensation, (iv) the Participant’s agreement to keep all non-public information provided in connection with the Change of Control transaction confidential, and (v) other customary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b/>
          <w:caps w:val="false"/>
          <w:smallCaps w:val="false"/>
          <w:sz w:val="20"/>
          <w:u w:val="single"/>
        </w:rPr>
        <w:t>Fractional Shares</w:t>
      </w:r>
      <w:r>
        <w:rPr>
          <w:rFonts w:ascii="Times New Roman" w:hAnsi="Times New Roman"/>
          <w:b/>
          <w:caps w:val="false"/>
          <w:smallCaps w:val="false"/>
          <w:sz w:val="20"/>
        </w:rPr>
        <w:t>.</w:t>
      </w:r>
      <w:r>
        <w:rPr>
          <w:rFonts w:ascii="Times New Roman" w:hAnsi="Times New Roman"/>
          <w:caps w:val="false"/>
          <w:smallCaps w:val="false"/>
          <w:sz w:val="20"/>
        </w:rPr>
        <w:t> In the event of any adjustment in the number of shares covered by any Award, each such Award will cover only the number of full shares resulting from such adjustment, and any fractional shares resulting from such adjustment will be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caps w:val="false"/>
          <w:smallCaps w:val="false"/>
          <w:sz w:val="20"/>
          <w:u w:val="single"/>
        </w:rPr>
        <w:t>Term of the Plan</w:t>
      </w:r>
      <w:r>
        <w:rPr>
          <w:rFonts w:ascii="Times New Roman" w:hAnsi="Times New Roman"/>
          <w:b/>
          <w:caps w:val="false"/>
          <w:smallCaps w:val="false"/>
          <w:sz w:val="20"/>
        </w:rPr>
        <w:t>.</w:t>
      </w:r>
      <w:r>
        <w:rPr>
          <w:rFonts w:ascii="Times New Roman" w:hAnsi="Times New Roman"/>
          <w:caps w:val="false"/>
          <w:smallCaps w:val="false"/>
          <w:sz w:val="20"/>
        </w:rPr>
        <w:t> This Plan will shall have no fixed expiration date. The Administrator may not grant new Awards after the Plan is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caps w:val="false"/>
          <w:smallCaps w:val="false"/>
          <w:sz w:val="20"/>
          <w:u w:val="single"/>
        </w:rPr>
        <w:t>Amendment and Termination</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Plan</w:t>
      </w:r>
      <w:r>
        <w:rPr>
          <w:rFonts w:ascii="Times New Roman" w:hAnsi="Times New Roman"/>
          <w:caps w:val="false"/>
          <w:smallCaps w:val="false"/>
          <w:sz w:val="20"/>
          <w:u w:val="single"/>
        </w:rPr>
        <w:t> </w:t>
      </w:r>
      <w:r>
        <w:rPr>
          <w:rFonts w:ascii="Times New Roman" w:hAnsi="Times New Roman"/>
          <w:b/>
          <w:caps w:val="false"/>
          <w:smallCaps w:val="false"/>
          <w:sz w:val="20"/>
          <w:u w:val="single"/>
        </w:rPr>
        <w:t>Amendment, Suspension or Termination</w:t>
      </w:r>
      <w:r>
        <w:rPr>
          <w:rFonts w:ascii="Times New Roman" w:hAnsi="Times New Roman"/>
          <w:b/>
          <w:caps w:val="false"/>
          <w:smallCaps w:val="false"/>
          <w:sz w:val="20"/>
        </w:rPr>
        <w:t>.</w:t>
      </w:r>
      <w:r>
        <w:rPr>
          <w:rFonts w:ascii="Times New Roman" w:hAnsi="Times New Roman"/>
          <w:caps w:val="false"/>
          <w:smallCaps w:val="false"/>
          <w:sz w:val="20"/>
        </w:rPr>
        <w:t> The Administrator may amend, suspend or terminate the Plan or any portion of the Plan at any time and in such respects as it will deem advisable, provided that any such amendment would not require approval of the Company’s stockholders pursuant to the Listing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Award Amendment</w:t>
      </w:r>
      <w:r>
        <w:rPr>
          <w:rFonts w:ascii="Times New Roman" w:hAnsi="Times New Roman"/>
          <w:caps w:val="false"/>
          <w:smallCaps w:val="false"/>
          <w:sz w:val="20"/>
        </w:rPr>
        <w:t>. The Administrator may amend any Award at any time, subject to the restrictions of the Listing Rule. However, the Administrator may not amend an Award in a manner that materially adversely impacts the rights of the Participant holding that Award without the Participant’s written consent. A Participant will not be deemed to have been materially adversely impacted if, without the consent of the Participant, the Board amends an Award: (i) to clarify the manner of exemption from, or to bring the Award into compliance with Section 409A, (ii) to correct clerical or typographical errors, or (iii) to comply with other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caps w:val="false"/>
          <w:smallCaps w:val="false"/>
          <w:sz w:val="20"/>
          <w:u w:val="single"/>
        </w:rPr>
        <w:t>No Individual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(a) No individual or Participant will have any claim to be granted any Award under the Plan. The Company has no obligation for uniformity of treatment of Participants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(b) Nothing in the Plan or any Award will be deemed to constitute an employment contract or confer or be deemed to confer on any Participant any right to continue in the employ of, or to continue any other service relationship with, the Company or any Related Company or limit in any way the right of the Company or any Related Company to terminate a Participant’s Service relationship at any time,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caps w:val="false"/>
          <w:smallCaps w:val="false"/>
          <w:sz w:val="20"/>
          <w:u w:val="single"/>
        </w:rPr>
        <w:t>Conditions on Issuance of Shares</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(a) The Company will have no obligation to issue or deliver any shares of Common Stock under the Plan or make any other distribution of benefits under the Plan unless, in the opinion of the Company’s counsel, such issuance, delivery or distribution would comply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(b) The Company will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If, after reasonable efforts and at a reasonable cost, the Company is unable to obtain from any regulatory commission or agency the authority that legal counsel for the Company deems necessary or advisable for the lawful issuance and sale of Common Stock under the Plan, the Company will be relieved from any liability for failure to issue and sell Common Stock under those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(c) As a condition to the receipt of Common Stock under the Plan, the Administrator may require the Participant to (i) make any representations or warranties required for compliance with Applicable Laws and (ii) undertake additional actions as necessary to comply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(d) The Company may issue shares of Common Stock on a noncertificated basis, including as digital assets located on a distributed ledger or blockchain, to the extent not prohibited by Applicable Law or the applicable rules of any stock exchange. The Company may require that any shares of Common Stock that are unvested or subject to transfer restrictions will be (i) held in book entry form subject to the Company’s instructions until such shares become vested or any other restrictions lapse or (ii) evidenced by a certificate, which certificate will be held in such form and manner as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b/>
          <w:caps w:val="false"/>
          <w:smallCaps w:val="false"/>
          <w:sz w:val="20"/>
          <w:u w:val="single"/>
        </w:rPr>
        <w:t>No Rights as a Stockholder</w:t>
      </w:r>
      <w:r>
        <w:rPr>
          <w:rFonts w:ascii="Times New Roman" w:hAnsi="Times New Roman"/>
          <w:b/>
          <w:caps w:val="false"/>
          <w:smallCaps w:val="false"/>
          <w:sz w:val="20"/>
        </w:rPr>
        <w:t>.</w:t>
      </w:r>
      <w:r>
        <w:rPr>
          <w:rFonts w:ascii="Times New Roman" w:hAnsi="Times New Roman"/>
          <w:caps w:val="false"/>
          <w:smallCaps w:val="false"/>
          <w:sz w:val="20"/>
        </w:rPr>
        <w:t> Unless otherwise provided by the Administrator or in the Award Agreement or in a written employment, services or other agreement, no Participant will be deemed to be the holder of, or have any rights of a holder of, the shares of the Common Stock subject to an Award unless and until the date of issuance under the Plan of the shares that are the subject of such Award. No adjustment to an Award will be made for a dividend or other right for which the record date is prior to the date the shares of Common Stock are issued, except as provided in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caps w:val="false"/>
          <w:smallCaps w:val="false"/>
          <w:sz w:val="20"/>
          <w:u w:val="single"/>
        </w:rPr>
        <w:t>Participants in Other Countries or Jurisdictions</w:t>
      </w:r>
      <w:r>
        <w:rPr>
          <w:rFonts w:ascii="Times New Roman" w:hAnsi="Times New Roman"/>
          <w:b/>
          <w:caps w:val="false"/>
          <w:smallCaps w:val="false"/>
          <w:sz w:val="20"/>
        </w:rPr>
        <w:t>.</w:t>
      </w:r>
      <w:r>
        <w:rPr>
          <w:rFonts w:ascii="Times New Roman" w:hAnsi="Times New Roman"/>
          <w:caps w:val="false"/>
          <w:smallCaps w:val="false"/>
          <w:sz w:val="20"/>
        </w:rPr>
        <w:t> The Administrator may grant Awards to Eligible Persons who are foreign nationals on such terms and conditions different from those specified in the Plan, as may, in the judgment of the Administrator, be necessary or desirable to foster and promote achievement of the purposes of the Plan. The Administrator has the authority to adopt Plan modifications, administrative procedures, subplans and the like as may be necessary or desirable to comply with provisions of the laws or regulations of other countries or jurisdictions in which the Company or any Related Company may operate or have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caps w:val="false"/>
          <w:smallCaps w:val="false"/>
          <w:sz w:val="20"/>
          <w:u w:val="single"/>
        </w:rPr>
        <w:t>No Trust or Fund</w:t>
      </w:r>
      <w:r>
        <w:rPr>
          <w:rFonts w:ascii="Times New Roman" w:hAnsi="Times New Roman"/>
          <w:b/>
          <w:caps w:val="false"/>
          <w:smallCaps w:val="false"/>
          <w:sz w:val="20"/>
        </w:rPr>
        <w:t>.</w:t>
      </w:r>
      <w:r>
        <w:rPr>
          <w:rFonts w:ascii="Times New Roman" w:hAnsi="Times New Roman"/>
          <w:caps w:val="false"/>
          <w:smallCaps w:val="false"/>
          <w:sz w:val="20"/>
        </w:rPr>
        <w:t> The Plan is intended to constitute an “unfunded” plan. Nothing contained herein will require the Company to segregate any monies or other property, or shares of Common Stock, or to create any trusts, or to make any special deposits for any immediate or deferred amounts payable to any Participant. No Participant will have any rights that are greater than those of a general unsecured creditor of the Company. Proceeds from the sale of shares of Common Stock pursuant to Awards will constitute general funds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b/>
          <w:caps w:val="false"/>
          <w:smallCaps w:val="false"/>
          <w:sz w:val="20"/>
          <w:u w:val="single"/>
        </w:rPr>
        <w:t>Successors</w:t>
      </w:r>
      <w:r>
        <w:rPr>
          <w:rFonts w:ascii="Times New Roman" w:hAnsi="Times New Roman"/>
          <w:b/>
          <w:caps w:val="false"/>
          <w:smallCaps w:val="false"/>
          <w:sz w:val="20"/>
        </w:rPr>
        <w:t>.</w:t>
      </w:r>
      <w:r>
        <w:rPr>
          <w:rFonts w:ascii="Times New Roman" w:hAnsi="Times New Roman"/>
          <w:caps w:val="false"/>
          <w:smallCaps w:val="false"/>
          <w:sz w:val="20"/>
        </w:rPr>
        <w:t> All obligations of the Company under the Plan with respect to Awards will be binding on any successor to the Company, whether the existence of such successor is the result of a direct or indirect purchase, merger, consolidation, or otherwise, of all or substantially all the business and/or assets of the Company. The Plan and conditions of any Award will be binding on the Participant and the Participant’s estate, executor, any receiver or trustee in bankruptcy and any representative of Participant’s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20. </w:t>
      </w:r>
      <w:r>
        <w:rPr>
          <w:rFonts w:ascii="Times New Roman" w:hAnsi="Times New Roman"/>
          <w:b/>
          <w:caps w:val="false"/>
          <w:smallCaps w:val="false"/>
          <w:sz w:val="20"/>
          <w:u w:val="single"/>
        </w:rPr>
        <w:t>Severability</w:t>
      </w:r>
      <w:r>
        <w:rPr>
          <w:rFonts w:ascii="Times New Roman" w:hAnsi="Times New Roman"/>
          <w:b/>
          <w:caps w:val="false"/>
          <w:smallCaps w:val="false"/>
          <w:sz w:val="20"/>
        </w:rPr>
        <w:t>.</w:t>
      </w:r>
      <w:r>
        <w:rPr>
          <w:rFonts w:ascii="Times New Roman" w:hAnsi="Times New Roman"/>
          <w:caps w:val="false"/>
          <w:smallCaps w:val="false"/>
          <w:sz w:val="20"/>
        </w:rPr>
        <w:t> If any provision of the Plan or any Award is determined to be invalid, illegal or unenforceable in any jurisdiction, or as to any person, or would disqualify the Plan or any Award under any law deemed applicable by the Administrator, such provision will be construed or deemed amended to conform to Applicable Laws. If any such provision cannot be so construed or deemed amended without, in the Administrator’s determination, materially altering the intent of the Plan or the Award, such provision will be stricken as to such jurisdiction, person or Award, and the remainder of the Plan and any such Award will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u w:val="single"/>
        </w:rPr>
        <w:t>Choice of Law and Venue</w:t>
      </w:r>
      <w:r>
        <w:rPr>
          <w:rFonts w:ascii="Times New Roman" w:hAnsi="Times New Roman"/>
          <w:b/>
          <w:caps w:val="false"/>
          <w:smallCaps w:val="false"/>
          <w:sz w:val="20"/>
        </w:rPr>
        <w:t>.</w:t>
      </w:r>
      <w:r>
        <w:rPr>
          <w:rFonts w:ascii="Times New Roman" w:hAnsi="Times New Roman"/>
          <w:caps w:val="false"/>
          <w:smallCaps w:val="false"/>
          <w:sz w:val="20"/>
        </w:rPr>
        <w:t> The Plan, all Awards granted thereunder, and all determinations made and actions taken pursuant hereto, to the extent not otherwise governed by the laws of the United States, will be governed by the laws of the state of Texas without giving effect to principles of conflicts of law. Participants irrevocably consent to the nonexclusive jurisdiction and venue of the state and federal courts located in the state of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u w:val="single"/>
        </w:rPr>
        <w:t>Legal Requirements</w:t>
      </w:r>
      <w:r>
        <w:rPr>
          <w:rFonts w:ascii="Times New Roman" w:hAnsi="Times New Roman"/>
          <w:b/>
          <w:caps w:val="false"/>
          <w:smallCaps w:val="false"/>
          <w:sz w:val="20"/>
        </w:rPr>
        <w:t>.</w:t>
      </w:r>
      <w:r>
        <w:rPr>
          <w:rFonts w:ascii="Times New Roman" w:hAnsi="Times New Roman"/>
          <w:caps w:val="false"/>
          <w:smallCaps w:val="false"/>
          <w:sz w:val="20"/>
        </w:rPr>
        <w:t> The granting of Awards and the issuance of shares of Common Stock under the Plan are subject to and intended to comply with all Applicable Laws.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APPENDIX 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Acceleration Conditions</w:t>
      </w:r>
      <w:r>
        <w:rPr>
          <w:rFonts w:ascii="Times New Roman" w:hAnsi="Times New Roman"/>
          <w:caps w:val="false"/>
          <w:smallCaps w:val="false"/>
          <w:sz w:val="20"/>
        </w:rPr>
        <w:t>” means the Participant signs, and does not revoke, the Company’s standard form of release of all claims so that it is effective not later than 60 days after the Termination of Service, resigns from all positions the Participant then holds with the Company, and otherwise complies with all continuing obligations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Acquired Entity</w:t>
      </w:r>
      <w:r>
        <w:rPr>
          <w:rFonts w:ascii="Times New Roman" w:hAnsi="Times New Roman"/>
          <w:caps w:val="false"/>
          <w:smallCaps w:val="false"/>
          <w:sz w:val="20"/>
        </w:rPr>
        <w:t>” means any entity acquired by the Company or a Related Company or with which the Company or a Related Company merges or combines.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Admin Portal</w:t>
      </w:r>
      <w:r>
        <w:rPr>
          <w:rFonts w:ascii="Times New Roman" w:hAnsi="Times New Roman"/>
          <w:caps w:val="false"/>
          <w:smallCaps w:val="false"/>
          <w:sz w:val="20"/>
        </w:rPr>
        <w:t>” means any third-party online stock plan administration portal used to document and administer the Plan and Awards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Administrator</w:t>
      </w:r>
      <w:r>
        <w:rPr>
          <w:rFonts w:ascii="Times New Roman" w:hAnsi="Times New Roman"/>
          <w:caps w:val="false"/>
          <w:smallCaps w:val="false"/>
          <w:sz w:val="20"/>
        </w:rPr>
        <w:t>” has the meaning set forth in Section 3(a)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Applicable Law</w:t>
      </w:r>
      <w:r>
        <w:rPr>
          <w:rFonts w:ascii="Times New Roman" w:hAnsi="Times New Roman"/>
          <w:caps w:val="false"/>
          <w:smallCaps w:val="false"/>
          <w:sz w:val="20"/>
        </w:rPr>
        <w:t>” means the requirements relating to the administration of this Plan and the Awards granted hereunder under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Award</w:t>
      </w:r>
      <w:r>
        <w:rPr>
          <w:rFonts w:ascii="Times New Roman" w:hAnsi="Times New Roman"/>
          <w:caps w:val="false"/>
          <w:smallCaps w:val="false"/>
          <w:sz w:val="20"/>
        </w:rPr>
        <w:t>” means any Option, Stock Appreciation Right, Restricted Stock, Restricted Stock Unit or cash-based award or other incentive payable in cash or in shares of Common Stock, as may be designated by the Administrator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Award Agreement</w:t>
      </w:r>
      <w:r>
        <w:rPr>
          <w:rFonts w:ascii="Times New Roman" w:hAnsi="Times New Roman"/>
          <w:caps w:val="false"/>
          <w:smallCaps w:val="false"/>
          <w:sz w:val="20"/>
        </w:rPr>
        <w:t>” means the written document stating the terms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Cause</w:t>
      </w:r>
      <w:r>
        <w:rPr>
          <w:rFonts w:ascii="Times New Roman" w:hAnsi="Times New Roman"/>
          <w:caps w:val="false"/>
          <w:smallCaps w:val="false"/>
          <w:sz w:val="20"/>
        </w:rPr>
        <w:t>,” unless otherwise defined in an Award Agreement or in a written employment, services or other agreement between the Participant and the Company or a Related Company, means, with respect to a Participant, the occurrence of any of the following events: (a) such Participant’s commission of any felony; (b) such Participant’s commission of a crime involving fraud or dishonesty under the laws of the United States or any state thereof that are applicable to that Participant and which crime is reasonably likely to result in material adverse effects on the Company or a Related Company; (c) such Participant’s material violation of any contract or agreement between the Participant and the Company or a Related Company or material breach of any statutory duty owed to the Company or a Related Company; (d) such Participant’s unauthorized use or disclosure of the confidential information or trade secrets of the Company or a Related Company; or (e) such Participant’s gross misconduct that is reasonably likely to result in material adverse effects on the Company or a Related Company. The determination that a termination of the Participant is either for Cause or without Cause will be made by the Administrator, in its sole discretion. Any determination by the Administrator that a Participant was terminated with or without Cause for the purposes of outstanding Awards held by such Participant will have no effect on any determination of the rights or obligations of the Company or such Participant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Change of Control</w:t>
      </w:r>
      <w:r>
        <w:rPr>
          <w:rFonts w:ascii="Times New Roman" w:hAnsi="Times New Roman"/>
          <w:caps w:val="false"/>
          <w:smallCaps w:val="false"/>
          <w:sz w:val="20"/>
        </w:rPr>
        <w:t>,” unless the Administrator determines otherwise with respect to an Award at the time the Award is granted or unless otherwise defined for purposes of an Award in a written employment, services or other agreement between the Participant and the Company or a Related Company, means the consummation, in a single transaction or in a series of related transactions, of any one or more of the following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(a) Any person or entity becomes the owner, directly or indirectly, of securities of the Company representing more than 50% of the combined voting power of the Company’s then outstanding securities other than by virtue of a merger, consolidation or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(b) A Company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However, the term Change of Control will not include a sale of assets, merger or other transaction effected exclusively for the purpose of changing the domicile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addition, a Change of Control will not be deemed to occur (i) on account of the acquisition of securities of the Company by an investor, any affiliate thereof or any other entity or person that acquires the Company’s securities in a transaction or series of related transactions the primary purpose of which is to obtain financing for the Company through the issuance of equity securities, or (ii) solely because the level of ownership held by any person or entity (the “</w:t>
      </w:r>
      <w:r>
        <w:rPr>
          <w:rFonts w:ascii="Times New Roman" w:hAnsi="Times New Roman"/>
          <w:caps w:val="false"/>
          <w:smallCaps w:val="false"/>
          <w:sz w:val="20"/>
          <w:u w:val="single"/>
        </w:rPr>
        <w:t>Subject Person</w:t>
      </w:r>
      <w:r>
        <w:rPr>
          <w:rFonts w:ascii="Times New Roman" w:hAnsi="Times New Roman"/>
          <w:caps w:val="false"/>
          <w:smallCaps w:val="false"/>
          <w:sz w:val="20"/>
        </w:rPr>
        <w:t>”) exceeds the designated percentage threshold of the outstanding voting securities as a result of a repurchase or other acquisition of voting securities by the Company reducing the number of shares outstanding. However, if a Change of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of Control will be deemed to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necessary for compliance with Section 409A, no transaction will be a Change of Control unless it is also a change in the ownership or effective control of the Company, or in the ownership of a substantial portion of the Company’s assets, as provided in Section 409A(a)(2)(A)(v) of the Code and Treasury Regulations Section 1.409A</w:t>
        <w:noBreakHyphen/>
        <w:t>3(i)(5).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Committee</w:t>
      </w:r>
      <w:r>
        <w:rPr>
          <w:rFonts w:ascii="Times New Roman" w:hAnsi="Times New Roman"/>
          <w:caps w:val="false"/>
          <w:smallCaps w:val="false"/>
          <w:sz w:val="20"/>
        </w:rPr>
        <w:t>” means a duly authorized committee of the Board that is structured to satisfy Applicable Laws for purposes of the actions being taken by that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par value $0.001 per share,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Company</w:t>
      </w:r>
      <w:r>
        <w:rPr>
          <w:rFonts w:ascii="Times New Roman" w:hAnsi="Times New Roman"/>
          <w:caps w:val="false"/>
          <w:smallCaps w:val="false"/>
          <w:sz w:val="20"/>
        </w:rPr>
        <w:t>” means Applied Optoelectronics,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Company Transaction</w:t>
      </w:r>
      <w:r>
        <w:rPr>
          <w:rFonts w:ascii="Times New Roman" w:hAnsi="Times New Roman"/>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(a) a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(b) a sale in one transaction or a series of transactions undertaken with a common purpose of more than 50% of the Company’s outstanding voting securities;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(c) a sale or other disposition of all or substantially all of the consolidated assets of the Company and its subsidiaries, other than a sale or other disposition of all or substantially all of the consolidated assets of the Company and its subsidiaries to a person or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Disability</w:t>
      </w:r>
      <w:r>
        <w:rPr>
          <w:rFonts w:ascii="Times New Roman" w:hAnsi="Times New Roman"/>
          <w:caps w:val="false"/>
          <w:smallCaps w:val="false"/>
          <w:sz w:val="20"/>
        </w:rPr>
        <w:t>,” unless otherwise defined by the Administrator for purposes of the Plan or in an Award Agreement or in a written employment, services or other agreement between the Participant and the Company or a Related Company, means a mental or physical impairment of the Participant that is expected to result in death or that has lasted or is expected to last for a continuous period of 12 months or more and that causes the Participant to be unable to perform the Participant’s material duties for the Company or a Related Company and to be engaged in any substantial gainful activity, in each case as determined by the Company’s chief human resources officer or other person performing that function or, in the case of directors and executive officers, the Administrator, each of whose determination will be conclusive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Dividend Equivalent</w:t>
      </w:r>
      <w:r>
        <w:rPr>
          <w:rFonts w:ascii="Times New Roman" w:hAnsi="Times New Roman"/>
          <w:caps w:val="false"/>
          <w:smallCaps w:val="false"/>
          <w:sz w:val="20"/>
        </w:rPr>
        <w:t>” means a credit, made at the discretion of the Administrator or as otherwise provided by the Plan, to the account of a Participant in an amount equal to the cash dividends paid on one share of Common Stock for each share represented by an Award held by such Participant. Dividend Equivalents will generally be subject to the same vesting restrictions as the related shares subject to the underlying Award. The Administrator may settle Dividend Equivalents in cash, shares of Common Stock, or a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Effective Date</w:t>
      </w:r>
      <w:r>
        <w:rPr>
          <w:rFonts w:ascii="Times New Roman" w:hAnsi="Times New Roman"/>
          <w:caps w:val="false"/>
          <w:smallCaps w:val="false"/>
          <w:sz w:val="20"/>
        </w:rPr>
        <w:t>” means the date the Plan is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Eligible Person</w:t>
      </w:r>
      <w:r>
        <w:rPr>
          <w:rFonts w:ascii="Times New Roman" w:hAnsi="Times New Roman"/>
          <w:caps w:val="false"/>
          <w:smallCaps w:val="false"/>
          <w:sz w:val="20"/>
        </w:rPr>
        <w:t>” means any person eligible to receive an Award as set forth in Section 5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hanging="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Fair Market Value</w:t>
      </w:r>
      <w:r>
        <w:rPr>
          <w:rFonts w:ascii="Times New Roman" w:hAnsi="Times New Roman"/>
          <w:caps w:val="false"/>
          <w:smallCaps w:val="false"/>
          <w:sz w:val="20"/>
        </w:rPr>
        <w:t>” means the per share fair market value of the Common Stock as established in good faith by the Administrator. In general, if the Common Stock is listed on an established stock exchange or national market system, the Administrator will use the closing sales price for the Common Stock on any given date during regular trading, or if not trading on that date, such price on the last preceding date on which the Common Stock was traded, unless determined otherwise by the Administrator using such methods or procedures as it may establish. If the Common Stock is not listed on a national stock exchange or national market system, the Administrator will determine Fair Market Value in a manner consistent with Sections 409A of the Code. However, in determining the value of a share for purposes of tax reporting purposes and such other purposes as determined by the Administrator, the Administrator may calculate Fair Market Value using the foregoing methods, the actual sales price in the transaction at issue (e.g., “</w:t>
      </w:r>
      <w:r>
        <w:rPr>
          <w:rFonts w:ascii="Times New Roman" w:hAnsi="Times New Roman"/>
          <w:i/>
          <w:caps w:val="false"/>
          <w:smallCaps w:val="false"/>
          <w:sz w:val="20"/>
        </w:rPr>
        <w:t>sell to cover</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or such other value determined by the Company’s general counsel or principal financial officer in good faith in a manner that complies with applicable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Good Reason</w:t>
      </w:r>
      <w:r>
        <w:rPr>
          <w:rFonts w:ascii="Times New Roman" w:hAnsi="Times New Roman"/>
          <w:caps w:val="false"/>
          <w:smallCaps w:val="false"/>
          <w:sz w:val="20"/>
        </w:rPr>
        <w:t>” will have the meaning ascribed to such term in any written agreement between the Participant and the Company defining such term as applicable to an Award and, in the absence of such agreement, such term means, with respect to a Participant, the Participant’s resignation from all positions he or she then-holds with the Company following: (i) a reduction in the Participant’s base salary of more than 10% or (ii) the required relocation of Participant’s primary work location to a facility that increases the Participant’s one-way commute by more than 50 miles, in either case, only if (x) Participant provides written notice to the Company’s Chief Executive Officer within 30 days following such event identifying the nature of the event, (y) the Company fails to cure such event within 30 days following receipt of such written notice and (z) Participant’s resignation is effective not later than 30 days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Grant Date</w:t>
      </w:r>
      <w:r>
        <w:rPr>
          <w:rFonts w:ascii="Times New Roman" w:hAnsi="Times New Roman"/>
          <w:caps w:val="false"/>
          <w:smallCaps w:val="false"/>
          <w:sz w:val="20"/>
        </w:rPr>
        <w:t>” means the later of (a) the date on which the Administrator completes the corporate action authorizing the grant of an Award or such later date specified by the Administrator and (b) the date on which all conditions precedent to an Award have been satisfied, provided that conditions to the exercisability or vesting of Awards will not defer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Listing Rule</w:t>
      </w:r>
      <w:r>
        <w:rPr>
          <w:rFonts w:ascii="Times New Roman" w:hAnsi="Times New Roman"/>
          <w:caps w:val="false"/>
          <w:smallCaps w:val="false"/>
          <w:sz w:val="20"/>
        </w:rPr>
        <w:t>” has the meaning set forth in Section 1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Nonqualified Stock Option</w:t>
      </w:r>
      <w:r>
        <w:rPr>
          <w:rFonts w:ascii="Times New Roman" w:hAnsi="Times New Roman"/>
          <w:caps w:val="false"/>
          <w:smallCaps w:val="false"/>
          <w:sz w:val="20"/>
        </w:rPr>
        <w:t>,” “</w:t>
      </w:r>
      <w:r>
        <w:rPr>
          <w:rFonts w:ascii="Times New Roman" w:hAnsi="Times New Roman"/>
          <w:caps w:val="false"/>
          <w:smallCaps w:val="false"/>
          <w:sz w:val="20"/>
          <w:u w:val="single"/>
        </w:rPr>
        <w:t>Nonstatutory Stock Option</w:t>
      </w:r>
      <w:r>
        <w:rPr>
          <w:rFonts w:ascii="Times New Roman" w:hAnsi="Times New Roman"/>
          <w:caps w:val="false"/>
          <w:smallCaps w:val="false"/>
          <w:sz w:val="20"/>
        </w:rPr>
        <w:t>,” or “</w:t>
      </w:r>
      <w:r>
        <w:rPr>
          <w:rFonts w:ascii="Times New Roman" w:hAnsi="Times New Roman"/>
          <w:caps w:val="false"/>
          <w:smallCaps w:val="false"/>
          <w:sz w:val="20"/>
          <w:u w:val="single"/>
        </w:rPr>
        <w:t>NSO</w:t>
      </w:r>
      <w:r>
        <w:rPr>
          <w:rFonts w:ascii="Times New Roman" w:hAnsi="Times New Roman"/>
          <w:caps w:val="false"/>
          <w:smallCaps w:val="false"/>
          <w:sz w:val="20"/>
        </w:rPr>
        <w:t>” means an Option that does not qualify as an incentive stock option under Section 422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Option</w:t>
      </w:r>
      <w:r>
        <w:rPr>
          <w:rFonts w:ascii="Times New Roman" w:hAnsi="Times New Roman"/>
          <w:caps w:val="false"/>
          <w:smallCaps w:val="false"/>
          <w:sz w:val="20"/>
        </w:rPr>
        <w:t>” means a right to purchase Common Stock granted under Section 7 of the Plan. Options granted under the Plan will be Nonstatutory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Outside Director</w:t>
      </w:r>
      <w:r>
        <w:rPr>
          <w:rFonts w:ascii="Times New Roman" w:hAnsi="Times New Roman"/>
          <w:caps w:val="false"/>
          <w:smallCaps w:val="false"/>
          <w:sz w:val="20"/>
        </w:rPr>
        <w:t>” means a member of the Board who is not an employee of the Company or any Related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Parent Company</w:t>
      </w:r>
      <w:r>
        <w:rPr>
          <w:rFonts w:ascii="Times New Roman" w:hAnsi="Times New Roman"/>
          <w:caps w:val="false"/>
          <w:smallCaps w:val="false"/>
          <w:sz w:val="20"/>
        </w:rPr>
        <w:t>” means a company or other entity which as a result of a Company Transaction owns the Company or all or substantially all of the Company’s assets either directly or through one or more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Participant</w:t>
      </w:r>
      <w:r>
        <w:rPr>
          <w:rFonts w:ascii="Times New Roman" w:hAnsi="Times New Roman"/>
          <w:caps w:val="false"/>
          <w:smallCaps w:val="false"/>
          <w:sz w:val="20"/>
        </w:rPr>
        <w:t>” means any Eligible Person to whom an Award is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Performance Metrics</w:t>
      </w:r>
      <w:r>
        <w:rPr>
          <w:rFonts w:ascii="Times New Roman" w:hAnsi="Times New Roman"/>
          <w:caps w:val="false"/>
          <w:smallCaps w:val="false"/>
          <w:sz w:val="20"/>
        </w:rPr>
        <w:t>” means performance objectives measuring achievement in earnings (including earnings per share or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environmental or climate impact; social good impact;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Performance Metrics may be measured on an absolute basis or relative to a pre-established target, across or within Performance Periods, and, with respect to financial metrics, in accordance with or with deviations from either United States Generally Accepted Accounting Principles (“GAAP”) or International Accounting Standards Board (“IASB”)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Plan</w:t>
      </w:r>
      <w:r>
        <w:rPr>
          <w:rFonts w:ascii="Times New Roman" w:hAnsi="Times New Roman"/>
          <w:caps w:val="false"/>
          <w:smallCaps w:val="false"/>
          <w:sz w:val="20"/>
        </w:rPr>
        <w:t>” means this 2023 Equity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Related Company</w:t>
      </w:r>
      <w:r>
        <w:rPr>
          <w:rFonts w:ascii="Times New Roman" w:hAnsi="Times New Roman"/>
          <w:caps w:val="false"/>
          <w:smallCaps w:val="false"/>
          <w:sz w:val="20"/>
        </w:rPr>
        <w:t>” means any “parent” or “subsidiary” of the Company, as such terms are defined under Rule 405 of the Securities Act. The Administrator will determine status as a Related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Restricted Stock</w:t>
      </w:r>
      <w:r>
        <w:rPr>
          <w:rFonts w:ascii="Times New Roman" w:hAnsi="Times New Roman"/>
          <w:caps w:val="false"/>
          <w:smallCaps w:val="false"/>
          <w:sz w:val="20"/>
        </w:rPr>
        <w:t>” means an Award of shares of Common Stock, either without payment of a purchase price (a “</w:t>
      </w:r>
      <w:r>
        <w:rPr>
          <w:rFonts w:ascii="Times New Roman" w:hAnsi="Times New Roman"/>
          <w:caps w:val="false"/>
          <w:smallCaps w:val="false"/>
          <w:sz w:val="20"/>
          <w:u w:val="single"/>
        </w:rPr>
        <w:t>Restricted Stock Bonus Award</w:t>
      </w:r>
      <w:r>
        <w:rPr>
          <w:rFonts w:ascii="Times New Roman" w:hAnsi="Times New Roman"/>
          <w:caps w:val="false"/>
          <w:smallCaps w:val="false"/>
          <w:sz w:val="20"/>
        </w:rPr>
        <w:t>”) or with payment of a purchase price (a “</w:t>
      </w:r>
      <w:r>
        <w:rPr>
          <w:rFonts w:ascii="Times New Roman" w:hAnsi="Times New Roman"/>
          <w:caps w:val="false"/>
          <w:smallCaps w:val="false"/>
          <w:sz w:val="20"/>
          <w:u w:val="single"/>
        </w:rPr>
        <w:t>Restricted Stock Purchase Award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Restricted Stock Unit</w:t>
      </w:r>
      <w:r>
        <w:rPr>
          <w:rFonts w:ascii="Times New Roman" w:hAnsi="Times New Roman"/>
          <w:caps w:val="false"/>
          <w:smallCaps w:val="false"/>
          <w:sz w:val="20"/>
        </w:rPr>
        <w:t>” or “</w:t>
      </w:r>
      <w:r>
        <w:rPr>
          <w:rFonts w:ascii="Times New Roman" w:hAnsi="Times New Roman"/>
          <w:caps w:val="false"/>
          <w:smallCaps w:val="false"/>
          <w:sz w:val="20"/>
          <w:u w:val="single"/>
        </w:rPr>
        <w:t>RSU</w:t>
      </w:r>
      <w:r>
        <w:rPr>
          <w:rFonts w:ascii="Times New Roman" w:hAnsi="Times New Roman"/>
          <w:caps w:val="false"/>
          <w:smallCaps w:val="false"/>
          <w:sz w:val="20"/>
        </w:rPr>
        <w:t>” means an Award denominated in units of Common Stock that represents an unfunded, unsecured right to receive the Fair Market Value of one share of Common Stock for each unit subject to the Award in cash, Common Stock or other securities, on the date of vesting or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Rule 16b-3</w:t>
      </w:r>
      <w:r>
        <w:rPr>
          <w:rFonts w:ascii="Times New Roman" w:hAnsi="Times New Roman"/>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Section 409A</w:t>
      </w:r>
      <w:r>
        <w:rPr>
          <w:rFonts w:ascii="Times New Roman" w:hAnsi="Times New Roman"/>
          <w:caps w:val="false"/>
          <w:smallCaps w:val="false"/>
          <w:sz w:val="20"/>
        </w:rPr>
        <w:t>” means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w:t>
      </w:r>
      <w:r>
        <w:rPr>
          <w:rFonts w:ascii="Times New Roman" w:hAnsi="Times New Roman"/>
          <w:caps w:val="false"/>
          <w:smallCaps w:val="false"/>
          <w:sz w:val="20"/>
          <w:u w:val="single"/>
        </w:rPr>
        <w:t>Service</w:t>
      </w:r>
      <w:r>
        <w:rPr>
          <w:rFonts w:ascii="Times New Roman" w:hAnsi="Times New Roman"/>
          <w:caps w:val="false"/>
          <w:smallCaps w:val="false"/>
          <w:sz w:val="20"/>
        </w:rPr>
        <w:t>” means there has not been a Termination of Service with respect to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Stock Appreciation Right</w:t>
      </w:r>
      <w:r>
        <w:rPr>
          <w:rFonts w:ascii="Times New Roman" w:hAnsi="Times New Roman"/>
          <w:caps w:val="false"/>
          <w:smallCaps w:val="false"/>
          <w:sz w:val="20"/>
        </w:rPr>
        <w:t>” or “</w:t>
      </w:r>
      <w:r>
        <w:rPr>
          <w:rFonts w:ascii="Times New Roman" w:hAnsi="Times New Roman"/>
          <w:caps w:val="false"/>
          <w:smallCaps w:val="false"/>
          <w:sz w:val="20"/>
          <w:u w:val="single"/>
        </w:rPr>
        <w:t>SAR</w:t>
      </w:r>
      <w:r>
        <w:rPr>
          <w:rFonts w:ascii="Times New Roman" w:hAnsi="Times New Roman"/>
          <w:caps w:val="false"/>
          <w:smallCaps w:val="false"/>
          <w:sz w:val="20"/>
        </w:rPr>
        <w:t>” means a right to receive, in cash, shares of Common Stock or other securities, (i) the Fair Market Value per share of Common Stock on the date of exercise minus the grant price per share of Common Stock subject to the SAR, multiplied by (ii) the number of shares of Common Stock with respect to which the SAR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Substitute Awards</w:t>
      </w:r>
      <w:r>
        <w:rPr>
          <w:rFonts w:ascii="Times New Roman" w:hAnsi="Times New Roman"/>
          <w:caps w:val="false"/>
          <w:smallCaps w:val="false"/>
          <w:sz w:val="20"/>
        </w:rPr>
        <w:t>” means Awards granted or shares of Common Stock issued by the Company in substitution for awards previously granted by an Acquired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Successor Company</w:t>
      </w:r>
      <w:r>
        <w:rPr>
          <w:rFonts w:ascii="Times New Roman" w:hAnsi="Times New Roman"/>
          <w:caps w:val="false"/>
          <w:smallCaps w:val="false"/>
          <w:sz w:val="20"/>
        </w:rPr>
        <w:t>” means the surviving company, the successor company or Parent Company, as applicable, in connection with a Company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Termination of Service</w:t>
      </w:r>
      <w:r>
        <w:rPr>
          <w:rFonts w:ascii="Times New Roman" w:hAnsi="Times New Roman"/>
          <w:caps w:val="false"/>
          <w:smallCaps w:val="false"/>
          <w:sz w:val="20"/>
        </w:rPr>
        <w:t>,” unless the Administrator determines otherwise with respect to an Award, means a termination of employment relationship with the Company or a Related Company for any reason, whether voluntary or involuntary, including by reason of death or Disability. Any question as to whether and when there has been a Termination of Service for the purposes of an Award and the cause of such Termination of Service will be determined by the Company’s chief human resources officer or other person performing that function or, with respect to directors and executive officers, by the Administrator, whose determination will be conclusive and binding. Transfer of a Participant’s employment relationship between the Company and any Related Company will not be considered a Termination of Service for purposes of an Award. Unless the Administrator determines otherwise, a Termination of Service will be deemed to occur if the Participant’s employment relationship is with an entity that has ceased to be a Related Company. A Participant’s change in status from an employee of the Company or a Related Company to an Outside Director, consultant, advisor or independent contractor of the Company or a Related Company will not be considered a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Transfer</w:t>
      </w:r>
      <w:r>
        <w:rPr>
          <w:rFonts w:ascii="Times New Roman" w:hAnsi="Times New Roman"/>
          <w:caps w:val="false"/>
          <w:smallCaps w:val="false"/>
          <w:sz w:val="20"/>
        </w:rPr>
        <w:t>” means, as the context may require, (a) any sale, assignment, pledge (as collateral for a loan or as security for the performance of an obligation or for any other purpose), hypothecation, mortgage, encumbrance or other disposition, whether by contract, gift, will, intestate succession, operation of law or otherwise, of all or any part of an Award or shares issued thereunder, as applicable, (b) any transaction designed to give the stockholder essentially the same economic benefit as any of the foregoing, and (c) any verb equivalent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caps w:val="false"/>
          <w:smallCaps w:val="false"/>
        </w:rPr>
      </w:pPr>
      <w:r>
        <w:rPr>
          <w:caps w:val="false"/>
          <w:smallCaps w:val="false"/>
        </w:rPr>
        <w:t>“</w:t>
      </w:r>
      <w:r>
        <w:rPr>
          <w:rFonts w:ascii="Times New Roman" w:hAnsi="Times New Roman"/>
          <w:caps w:val="false"/>
          <w:smallCaps w:val="false"/>
          <w:sz w:val="20"/>
          <w:u w:val="single"/>
        </w:rPr>
        <w:t>Vesting Commencement Date</w:t>
      </w:r>
      <w:r>
        <w:rPr>
          <w:rFonts w:ascii="Times New Roman" w:hAnsi="Times New Roman"/>
          <w:caps w:val="false"/>
          <w:smallCaps w:val="false"/>
          <w:sz w:val="20"/>
        </w:rPr>
        <w:t>” means the Grant Date or such other date selected by the Administrator as the date from which an Award begins to vest.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565640.htm"/>
      <w:bookmarkStart w:id="23" w:name="ksex_565640"/>
      <w:bookmarkEnd w:id="22"/>
      <w:bookmarkEnd w:id="23"/>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565641.htm"/>
      <w:bookmarkStart w:id="25" w:name="ksex_565641"/>
      <w:bookmarkEnd w:id="24"/>
      <w:bookmarkEnd w:id="25"/>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6" w:name="ex_565642.htm"/>
      <w:bookmarkStart w:id="27" w:name="ksex_565642"/>
      <w:bookmarkEnd w:id="26"/>
      <w:bookmarkEnd w:id="27"/>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8" w:name="led53890F20214271622125673980"/>
            <w:bookmarkEnd w:id="28"/>
            <w:r>
              <w:rPr>
                <w:rFonts w:ascii="Times New Roman;Times;serif" w:hAnsi="Times New Roman;Times;serif"/>
                <w:sz w:val="20"/>
              </w:rPr>
              <w:t>September 30, 2023,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9th day of November 2023.</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10465922100456/tm2225831d1_ex2-1.htm" TargetMode="External"/><Relationship Id="rId3" Type="http://schemas.openxmlformats.org/officeDocument/2006/relationships/hyperlink" Target="http://www.sec.gov/Archives/edgar/data/1158114/000101968713004306/aaoi_10q-ex0301.htm" TargetMode="External"/><Relationship Id="rId4" Type="http://schemas.openxmlformats.org/officeDocument/2006/relationships/hyperlink" Target="http://www.sec.gov/Archives/edgar/data/1158114/000168316823006330/appopto_ex0301.htm" TargetMode="External"/><Relationship Id="rId5" Type="http://schemas.openxmlformats.org/officeDocument/2006/relationships/hyperlink" Target="http://www.sec.gov/Archives/edgar/data/1158114/000168316823006330/appopto_ex0301.htm" TargetMode="External"/><Relationship Id="rId6" Type="http://schemas.openxmlformats.org/officeDocument/2006/relationships/hyperlink" Target="http://www.sec.gov/Archives/edgar/data/1158114/000168316823006330/appopto_ex0301.htm" TargetMode="External"/><Relationship Id="rId7" Type="http://schemas.openxmlformats.org/officeDocument/2006/relationships/hyperlink" Target="http://www.sec.gov/Archives/edgar/data/1158114/000168316823006330/appopto_ex0301.htm" TargetMode="External"/><Relationship Id="rId8" Type="http://schemas.openxmlformats.org/officeDocument/2006/relationships/hyperlink" Target="http://www.sec.gov/Archives/edgar/data/1158114/000101968713004306/aaoi_10q-ex0302.htm" TargetMode="External"/><Relationship Id="rId9" Type="http://schemas.openxmlformats.org/officeDocument/2006/relationships/hyperlink" Target="http://www.sec.gov/Archives/edgar/data/1158114/000110465915051289/a15-15715_1ex4d1.htm" TargetMode="External"/><Relationship Id="rId10" Type="http://schemas.openxmlformats.org/officeDocument/2006/relationships/hyperlink" Target="http://www.sec.gov/Archives/edgar/data/1158114/000110465919012900/a19-4821_4ex4d1.htm" TargetMode="External"/><Relationship Id="rId11" Type="http://schemas.openxmlformats.org/officeDocument/2006/relationships/hyperlink" Target="http://www.sec.gov/Archives/edgar/data/1158114/000110465919012900/a19-4821_4ex4d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28188</Words>
  <Characters>149690</Characters>
  <CharactersWithSpaces>180576</CharactersWithSpaces>
  <Paragraphs>9063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