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Chang Hung-Lun (Fred)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***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283,450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282,837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280,064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281,448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surrendered to the Issuer to satisfy tax-withholding obligations upon the vesting of restricted stock unit award granted on June 26,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surrendered to the Issuer to satisfy tax-withholding obligations upon the vesting of restricted stock unit award granted on April 29,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surrendered to the Issuer to satisfy tax-withholding obligations upon the vesting of restricted stock unit award granted on April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shares surrendered to the Issuer to satisfy tax-withholding obligations upon the vesting of restricted stock unit award granted on February 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*** Senior Vice President and North America General Manager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Hung-Lun (Fred) Chang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7462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720</Words>
  <Characters>3920</Characters>
  <CharactersWithSpaces>4543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