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aoi_8k.htm"/>
      <w:bookmarkStart w:id="1" w:name="ksaaoi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1_edei--DocumentType_c20260831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val="false"/>
          <w:i w:val="false"/>
          <w:caps w:val="false"/>
          <w:smallCaps w:val="false"/>
          <w:sz w:val="20"/>
        </w:rPr>
        <w:t>August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7_edei--EntityRegistrantName_c2026"/>
      <w:bookmarkEnd w:id="4"/>
      <w:r>
        <w:rPr>
          <w:rFonts w:ascii="Times New Roman;Times;Serif" w:hAnsi="Times New Roman;Times;Serif"/>
          <w:b/>
          <w:i w:val="false"/>
          <w:caps w:val="false"/>
          <w:smallCaps w:val="false"/>
          <w:sz w:val="28"/>
        </w:rPr>
        <w:t>Applied Optoelectronics,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3590"/>
        <w:gridCol w:w="2210"/>
        <w:gridCol w:w="2915"/>
      </w:tblGrid>
      <w:tr>
        <w:trP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0831"/>
            <w:bookmarkEnd w:id="6"/>
            <w:r>
              <w:rPr>
                <w:rFonts w:ascii="Times New Roman;Times;Serif" w:hAnsi="Times New Roman;Times;Serif"/>
                <w:b/>
                <w:i w:val="false"/>
                <w:caps w:val="false"/>
                <w:smallCaps w:val="false"/>
                <w:sz w:val="20"/>
              </w:rPr>
              <w:t>001-36083</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76-0533927</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13139 Jess Pirtle Blvd.</w:t>
        <w:br/>
      </w:r>
      <w:bookmarkStart w:id="9" w:name="xdx_90F_edei--EntityAddressCityOrTown_c2"/>
      <w:bookmarkEnd w:id="9"/>
      <w:r>
        <w:rPr>
          <w:rFonts w:ascii="Times New Roman;Times;Serif" w:hAnsi="Times New Roman;Times;Serif"/>
          <w:b/>
          <w:i w:val="false"/>
          <w:caps w:val="false"/>
          <w:smallCaps w:val="false"/>
          <w:sz w:val="20"/>
        </w:rPr>
        <w:t xml:space="preserve">Sugar Land, </w:t>
      </w:r>
      <w:bookmarkStart w:id="10" w:name="xdx_904_edei--EntityAddressStateOrProvin"/>
      <w:bookmarkEnd w:id="10"/>
      <w:r>
        <w:rPr>
          <w:rFonts w:ascii="Times New Roman;Times;Serif" w:hAnsi="Times New Roman;Times;Serif"/>
          <w:b/>
          <w:i w:val="false"/>
          <w:caps w:val="false"/>
          <w:smallCaps w:val="false"/>
          <w:sz w:val="20"/>
        </w:rPr>
        <w:t xml:space="preserve">Texas </w:t>
      </w:r>
      <w:bookmarkStart w:id="11" w:name="xdx_904_edei--EntityAddressPostalZipCode"/>
      <w:bookmarkEnd w:id="11"/>
      <w:r>
        <w:rPr>
          <w:rFonts w:ascii="Times New Roman;Times;Serif" w:hAnsi="Times New Roman;Times;Serif"/>
          <w:b/>
          <w:i w:val="false"/>
          <w:caps w:val="false"/>
          <w:smallCaps w:val="false"/>
          <w:sz w:val="20"/>
        </w:rPr>
        <w:t>77478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8_edei--CityAreaCode_c20260831__20"/>
      <w:bookmarkEnd w:id="12"/>
      <w:r>
        <w:rPr>
          <w:rFonts w:ascii="Times New Roman;Times;Serif" w:hAnsi="Times New Roman;Times;Serif"/>
          <w:b/>
          <w:i w:val="false"/>
          <w:caps w:val="false"/>
          <w:smallCaps w:val="false"/>
          <w:sz w:val="20"/>
        </w:rPr>
        <w:t xml:space="preserve">281) </w:t>
      </w:r>
      <w:bookmarkStart w:id="13" w:name="xdx_90C_edei--LocalPhoneNumber_c20260831"/>
      <w:bookmarkEnd w:id="13"/>
      <w:r>
        <w:rPr>
          <w:rFonts w:ascii="Times New Roman;Times;Serif" w:hAnsi="Times New Roman;Times;Serif"/>
          <w:b/>
          <w:i w:val="false"/>
          <w:caps w:val="false"/>
          <w:smallCaps w:val="false"/>
          <w:sz w:val="20"/>
        </w:rPr>
        <w:t>295-1800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F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firstLine="36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6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2750"/>
        <w:gridCol w:w="161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4_edei--Security12bTitle_c20260831"/>
            <w:bookmarkEnd w:id="18"/>
            <w:r>
              <w:rPr>
                <w:rFonts w:ascii="Times New Roman;Times;Serif" w:hAnsi="Times New Roman;Times;Serif"/>
                <w:sz w:val="20"/>
              </w:rPr>
              <w:t>Common Stock, Par value $0.001</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2_edei--TradingSymbol_c20260831__2"/>
            <w:bookmarkEnd w:id="19"/>
            <w:r>
              <w:rPr>
                <w:rFonts w:ascii="Times New Roman;Times;Serif" w:hAnsi="Times New Roman;Times;Serif"/>
                <w:sz w:val="20"/>
              </w:rPr>
              <w:t>AAOI</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B_edei--SecurityExchangeName_c2026"/>
            <w:bookmarkEnd w:id="20"/>
            <w:r>
              <w:rPr>
                <w:rFonts w:ascii="Times New Roman;Times;Serif" w:hAnsi="Times New Roman;Times;Serif"/>
                <w:sz w:val="20"/>
              </w:rPr>
              <w:t>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b/>
                <w:sz w:val="20"/>
              </w:rPr>
            </w:pPr>
            <w:r>
              <w:rPr>
                <w:b/>
                <w:sz w:val="20"/>
              </w:rPr>
              <w:t>Item 1.01</w:t>
            </w:r>
          </w:p>
        </w:tc>
        <w:tc>
          <w:tcPr>
            <w:tcW w:w="374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Applied Optoelectronics, Inc. (the "Company") entered into two separate lease agreements (each, a "Lease" and collectively, the "Leases") with Hightower Phase II Owner, LLC, a Delaware limited liability company (the "Landlord"), for two industrial buildings to be constructed in Houston, Texas ("Building 4" and "Building 5"). The Landlord is an affiliate of Hightower Phase I Owner, LLC, the landlord under the Company's three previously disclosed lease agreements, dated May 8, 2026, for Buildings 1, 2, and 3 in the same industrial park (collectively, the "Phase I Leases"). The premises are intended for light manufacturing, warehouse and related ancillary uses.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Leases, the Landlord will, generally at its cost and subject to specified tenant-funded change orders, construct Buildings 4 and 5, related parking areas and access lanes, landscaping and specified off-site improvements. Substantial completion is anticipated approximately 16 months following the date of the Leases. The commencement date under each Lease will be the earliest of: (i) the date on which the Company occupies any portion of the applicable premises and begins conducting business therein, (ii) the date on which the Landlord's work is substantially completed, or (iii) the date on which such work would have been substantially completed but for any tenant delay days. Each Lease has an initial term of 120 full calendar months, plus any partial month from the commencement date to the end of the calendar month in which the commencement date occurs.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work is not substantially completed by the date that is 18 months following the date of the Leases, as extended for tenant delay days and force majeure, basic rent will be abated by one day for each day thereafter until substantial completion. If actual delivery has not occurred by the date that is 24 months following the date of the Leases, the Company may terminate the applicable Lease on 30 days' advance written notice, subject to the terms and conditions of the 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payment of the first monthly installment of basic rent upon execution, basic rent is payable monthly beginning on the first day of the second Lease Month. Basic rent increases annually during the term. The Company is also responsible for 100% of operating costs, taxes and insurance costs allocated to each building. The specific locations and basic rent amounts are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Building 4 Lease:</w:t>
      </w:r>
      <w:r>
        <w:rPr>
          <w:rFonts w:ascii="Times New Roman;Times;Serif" w:hAnsi="Times New Roman;Times;Serif"/>
          <w:b w:val="false"/>
          <w:i w:val="false"/>
          <w:caps w:val="false"/>
          <w:smallCaps w:val="false"/>
          <w:sz w:val="20"/>
        </w:rPr>
        <w:t xml:space="preserve"> Located at 17331 Chimney Rock Road, Houston, Texas 77053, and consisting of approximately 356,186 rentable square feet of industrial space (the "Building 4 Lease"). Monthly basic rent applicable during Lease Months 1 through 12 is $220,835.32, increasing annually to $307,582.40 during Lease Months 109 through 120.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Building 5 Lease:</w:t>
      </w:r>
      <w:r>
        <w:rPr>
          <w:rFonts w:ascii="Times New Roman;Times;Serif" w:hAnsi="Times New Roman;Times;Serif"/>
          <w:b w:val="false"/>
          <w:i w:val="false"/>
          <w:caps w:val="false"/>
          <w:smallCaps w:val="false"/>
          <w:sz w:val="20"/>
        </w:rPr>
        <w:t xml:space="preserve"> Located at 17433 Chimney Rock Road, Houston, Texas 77053, and consisting of approximately 737,621 rentable square feet of industrial space (the "Building 5 Lease"). Monthly basic rent applicable during Lease Months 1 through 12 is $457,325.02, increasing annually to $636,968.43 during Lease Months 109 through 120.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stated rentable areas, and the rent and other amounts calculated by reference to those areas, are subject to post-completion remeasurement in accordance with the 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Leases require aggregate security deposits of $11.3 million, of which $750,000 is payable upon execution and the remaining $10.55 million is payable within 10 days following the applicable commencement date. If no event of default occurs during each of the first three 12-month periods and the Company makes the required written requests, portions of the security deposits will be reduced and applied to the Company's next installments of basic rent, leaving aggregate security deposits of $750,000 after the third reduction.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execution of the Leases, the Company also is required to pay an aggregate of approximately $2.55 million for specified structural-steel design modifications intended to accommodate the possible future installation of rooftop solar panels. These amounts are subject to reconciliation against the actual tenant change-order costs and related construction-management fees.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Lease contains substantially identical provisions granting the Company an option to purchase Building 4 and Building 5, together with the land on which the buildings are located, as a single transaction. The aggregate purchase price is $146,570,138, subject to adjustment for specified post-completion square-footage variances at $134 per square foot, with any aggregate upward adjustment capped at 1%. The purchase option must be exercised before the date that is 30 days following the earlier of substantial completion or the date substantial completion would have occurred but for tenant delay days. The form purchase and sale agreement included with each Lease requires earnest money of $2.0 million and provides for a closing date no later than 45 days after the earlier of full execution of the purchase and sale agreement or the applicable purchase-notice deadline, subject to the terms and conditions set forth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Leases include termination rights tied to the Phase I Leases. The Landlord may terminate the Leases if the Company fails to timely exercise its option to purchase Buildings 1, 2, and 3 under the Phase I Leases or exercises that option but fails to close the purchase, other than as a result of a specified default by the applicable seller. That termination right expires upon the closing of the purchase of Buildings 1, 2, and 3. The Company also may terminate the Leases if it terminates one or more Phase I Leases pursuant to specified rights arising from termination of the related purchase and sale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Lease contains customary provisions, including restrictions on the Company's ability to assign or sublease the premises, requirements for the Company to maintain certain insurance, and indemnification obligations of the Company in favor of the Landlord. The Leases also include customary events of default applicable to the Company and corresponding remedies available to the Landlord, as well as termination rights for each party under certain circumstances, including delays in delivery of the premises, casualty events and condemnation.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Leases does not purport to be complete and is subject to and qualified in its entirety by reference to the full text of the Leases, which are filed as Exhibits 10.1 and 10.2 to this Current Report on Form 8-K and incorporated by reference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8"/>
        <w:gridCol w:w="9397"/>
      </w:tblGrid>
      <w:tr>
        <w:trPr/>
        <w:tc>
          <w:tcPr>
            <w:tcW w:w="808" w:type="dxa"/>
            <w:tcBorders/>
            <w:vAlign w:val="center"/>
          </w:tcPr>
          <w:p>
            <w:pPr>
              <w:pStyle w:val="TableContents"/>
              <w:bidi w:val="0"/>
              <w:spacing w:before="0" w:after="283"/>
              <w:jc w:val="left"/>
              <w:rPr>
                <w:b/>
                <w:sz w:val="20"/>
              </w:rPr>
            </w:pPr>
            <w:r>
              <w:rPr>
                <w:b/>
                <w:sz w:val="20"/>
              </w:rPr>
              <w:t>Item 2.03</w:t>
            </w:r>
          </w:p>
        </w:tc>
        <w:tc>
          <w:tcPr>
            <w:tcW w:w="9397"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Creation of a Direct Financial Obligation or an Obligation under an Off-Balance Sheet Arrangement of a Registrant.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of this Current Report on Form 8-K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9"/>
        <w:gridCol w:w="60"/>
        <w:gridCol w:w="9186"/>
      </w:tblGrid>
      <w:tr>
        <w:trPr/>
        <w:tc>
          <w:tcPr>
            <w:tcW w:w="959" w:type="dxa"/>
            <w:tcBorders>
              <w:bottom w:val="single" w:sz="8" w:space="0" w:color="000000"/>
            </w:tcBorders>
            <w:vAlign w:val="center"/>
          </w:tcPr>
          <w:p>
            <w:pPr>
              <w:pStyle w:val="TableContents"/>
              <w:bidi w:val="0"/>
              <w:spacing w:before="0" w:after="283"/>
              <w:jc w:val="left"/>
              <w:rPr>
                <w:sz w:val="20"/>
              </w:rPr>
            </w:pPr>
            <w:r>
              <w:rPr>
                <w:b/>
                <w:sz w:val="20"/>
              </w:rPr>
              <w:t>Exhibit No.</w:t>
            </w:r>
            <w:r>
              <w:rPr>
                <w:sz w:val="20"/>
              </w:rPr>
              <w:t> </w:t>
            </w:r>
          </w:p>
        </w:tc>
        <w:tc>
          <w:tcPr>
            <w:tcW w:w="60" w:type="dxa"/>
            <w:tcBorders/>
            <w:tcMar>
              <w:bottom w:w="0" w:type="dxa"/>
            </w:tcMar>
            <w:vAlign w:val="center"/>
          </w:tcPr>
          <w:p>
            <w:pPr>
              <w:pStyle w:val="TableContents"/>
              <w:bidi w:val="0"/>
              <w:spacing w:before="0" w:after="283"/>
              <w:jc w:val="left"/>
              <w:rPr/>
            </w:pPr>
            <w:r>
              <w:rPr/>
              <w:t> </w:t>
            </w:r>
          </w:p>
        </w:tc>
        <w:tc>
          <w:tcPr>
            <w:tcW w:w="9186" w:type="dxa"/>
            <w:tcBorders>
              <w:bottom w:val="single" w:sz="8" w:space="0" w:color="000000"/>
            </w:tcBorders>
            <w:vAlign w:val="center"/>
          </w:tcPr>
          <w:p>
            <w:pPr>
              <w:pStyle w:val="TableContents"/>
              <w:bidi w:val="0"/>
              <w:spacing w:before="0" w:after="283"/>
              <w:jc w:val="left"/>
              <w:rPr>
                <w:sz w:val="20"/>
              </w:rPr>
            </w:pPr>
            <w:r>
              <w:rPr>
                <w:b/>
                <w:sz w:val="20"/>
              </w:rPr>
              <w:t>Description</w:t>
            </w:r>
            <w:r>
              <w:rPr>
                <w:sz w:val="20"/>
              </w:rPr>
              <w:t> </w:t>
            </w:r>
          </w:p>
        </w:tc>
      </w:tr>
      <w:tr>
        <w:trPr/>
        <w:tc>
          <w:tcPr>
            <w:tcW w:w="959" w:type="dxa"/>
            <w:tcBorders/>
            <w:tcMar>
              <w:bottom w:w="0" w:type="dxa"/>
            </w:tcMar>
            <w:vAlign w:val="center"/>
          </w:tcPr>
          <w:p>
            <w:pPr>
              <w:pStyle w:val="TableContents"/>
              <w:bidi w:val="0"/>
              <w:spacing w:before="0" w:after="283"/>
              <w:jc w:val="left"/>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9186" w:type="dxa"/>
            <w:tcBorders/>
            <w:tcMar>
              <w:bottom w:w="0" w:type="dxa"/>
            </w:tcMar>
            <w:vAlign w:val="center"/>
          </w:tcPr>
          <w:p>
            <w:pPr>
              <w:pStyle w:val="TableContents"/>
              <w:bidi w:val="0"/>
              <w:spacing w:before="0" w:after="0"/>
              <w:ind w:left="0" w:right="0" w:hanging="0"/>
              <w:jc w:val="left"/>
              <w:rPr/>
            </w:pPr>
            <w:hyperlink w:anchor="aaoi_ex1001.htm">
              <w:r>
                <w:rPr>
                  <w:rStyle w:val="InternetLink"/>
                  <w:rFonts w:ascii="Times New Roman;Times;Serif" w:hAnsi="Times New Roman;Times;Serif"/>
                  <w:b w:val="false"/>
                  <w:i w:val="false"/>
                  <w:caps w:val="false"/>
                  <w:smallCaps w:val="false"/>
                  <w:sz w:val="20"/>
                </w:rPr>
                <w:t>Lease Agreement (Building 4), dated August 31, 2026, by and between Applied Optoelectronics, Inc., and Hightower Phase II Owner, LLC.</w:t>
              </w:r>
            </w:hyperlink>
          </w:p>
        </w:tc>
      </w:tr>
      <w:tr>
        <w:trPr/>
        <w:tc>
          <w:tcPr>
            <w:tcW w:w="959" w:type="dxa"/>
            <w:tcBorders/>
            <w:tcMar>
              <w:bottom w:w="0" w:type="dxa"/>
            </w:tcMar>
            <w:vAlign w:val="center"/>
          </w:tcPr>
          <w:p>
            <w:pPr>
              <w:pStyle w:val="TableContents"/>
              <w:bidi w:val="0"/>
              <w:spacing w:before="0" w:after="283"/>
              <w:jc w:val="left"/>
              <w:rPr>
                <w:sz w:val="20"/>
              </w:rPr>
            </w:pPr>
            <w:r>
              <w:rPr>
                <w:sz w:val="20"/>
              </w:rPr>
              <w:t>10.2+*</w:t>
            </w:r>
          </w:p>
        </w:tc>
        <w:tc>
          <w:tcPr>
            <w:tcW w:w="60" w:type="dxa"/>
            <w:tcBorders/>
            <w:tcMar>
              <w:bottom w:w="0" w:type="dxa"/>
            </w:tcMar>
            <w:vAlign w:val="center"/>
          </w:tcPr>
          <w:p>
            <w:pPr>
              <w:pStyle w:val="TableContents"/>
              <w:bidi w:val="0"/>
              <w:spacing w:before="0" w:after="283"/>
              <w:jc w:val="left"/>
              <w:rPr/>
            </w:pPr>
            <w:r>
              <w:rPr/>
              <w:t> </w:t>
            </w:r>
          </w:p>
        </w:tc>
        <w:tc>
          <w:tcPr>
            <w:tcW w:w="9186" w:type="dxa"/>
            <w:tcBorders/>
            <w:tcMar>
              <w:bottom w:w="0" w:type="dxa"/>
            </w:tcMar>
            <w:vAlign w:val="center"/>
          </w:tcPr>
          <w:p>
            <w:pPr>
              <w:pStyle w:val="TableContents"/>
              <w:bidi w:val="0"/>
              <w:spacing w:before="0" w:after="283"/>
              <w:jc w:val="left"/>
              <w:rPr/>
            </w:pPr>
            <w:hyperlink w:anchor="aaoi_ex1002.htm">
              <w:r>
                <w:rPr>
                  <w:rStyle w:val="InternetLink"/>
                  <w:sz w:val="20"/>
                </w:rPr>
                <w:t>Lease Agreement (Building 5), dated August 31, 2026, by and between Applied Optoelectronics, Inc., and Hightower Phase II Owner, LLC.</w:t>
              </w:r>
            </w:hyperlink>
          </w:p>
        </w:tc>
      </w:tr>
      <w:tr>
        <w:trPr/>
        <w:tc>
          <w:tcPr>
            <w:tcW w:w="959"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186" w:type="dxa"/>
            <w:tcBorders/>
            <w:tcMar>
              <w:bottom w:w="0" w:type="dxa"/>
            </w:tcMar>
            <w:vAlign w:val="center"/>
          </w:tcPr>
          <w:p>
            <w:pPr>
              <w:pStyle w:val="TableContents"/>
              <w:bidi w:val="0"/>
              <w:spacing w:before="0" w:after="283"/>
              <w:jc w:val="left"/>
              <w:rPr>
                <w:sz w:val="20"/>
              </w:rPr>
            </w:pPr>
            <w:r>
              <w:rPr>
                <w:sz w:val="20"/>
              </w:rPr>
              <w:t>Cover Page Interactive Data File (the cover page tags are embedded within the Inline XBRL document).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personally identifiable information has been omitted from this exhibit pursuant to Item 601(a)(6) of Regulation S-K.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or similar attachments have been omitted from this filing pursuant to Item 601(a)(5) of Regulation S-K. The Company agrees to furnish a copy of any omitted schedule to the Securities and Exchange Commission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2390"/>
        <w:gridCol w:w="590"/>
        <w:gridCol w:w="4400"/>
        <w:gridCol w:w="75"/>
      </w:tblGrid>
      <w:tr>
        <w:trPr/>
        <w:tc>
          <w:tcPr>
            <w:tcW w:w="2390" w:type="dxa"/>
            <w:tcBorders/>
            <w:vAlign w:val="center"/>
          </w:tcPr>
          <w:p>
            <w:pPr>
              <w:pStyle w:val="TableContents"/>
              <w:bidi w:val="0"/>
              <w:spacing w:before="0" w:after="283"/>
              <w:jc w:val="left"/>
              <w:rPr/>
            </w:pPr>
            <w:r>
              <w:rPr/>
              <w:t>Date: September 1, 2026</w:t>
            </w:r>
          </w:p>
        </w:tc>
        <w:tc>
          <w:tcPr>
            <w:tcW w:w="4990" w:type="dxa"/>
            <w:gridSpan w:val="2"/>
            <w:tcBorders/>
            <w:vAlign w:val="center"/>
          </w:tcPr>
          <w:p>
            <w:pPr>
              <w:pStyle w:val="TableContents"/>
              <w:bidi w:val="0"/>
              <w:spacing w:before="0" w:after="283"/>
              <w:jc w:val="left"/>
              <w:rPr>
                <w:b/>
                <w:sz w:val="20"/>
              </w:rPr>
            </w:pPr>
            <w:r>
              <w:rPr>
                <w:b/>
                <w:sz w:val="20"/>
              </w:rPr>
              <w:t>APPLIED OPTOELECTRONICS, INC.</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By:</w:t>
            </w:r>
          </w:p>
        </w:tc>
        <w:tc>
          <w:tcPr>
            <w:tcW w:w="4400" w:type="dxa"/>
            <w:tcBorders>
              <w:bottom w:val="single" w:sz="8" w:space="0" w:color="000000"/>
            </w:tcBorders>
            <w:tcMar>
              <w:bottom w:w="28" w:type="dxa"/>
            </w:tcMar>
            <w:vAlign w:val="center"/>
          </w:tcPr>
          <w:p>
            <w:pPr>
              <w:pStyle w:val="TableContents"/>
              <w:bidi w:val="0"/>
              <w:spacing w:before="0" w:after="283"/>
              <w:jc w:val="left"/>
              <w:rPr/>
            </w:pPr>
            <w:r>
              <w:rPr/>
              <w:t xml:space="preserve">/s/ </w:t>
            </w:r>
            <w:r>
              <w:rPr>
                <w:caps/>
              </w:rPr>
              <w:t>David C. Kuo</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Name</w:t>
            </w:r>
          </w:p>
        </w:tc>
        <w:tc>
          <w:tcPr>
            <w:tcW w:w="4400" w:type="dxa"/>
            <w:tcBorders/>
            <w:vAlign w:val="center"/>
          </w:tcPr>
          <w:p>
            <w:pPr>
              <w:pStyle w:val="TableContents"/>
              <w:bidi w:val="0"/>
              <w:spacing w:before="0" w:after="283"/>
              <w:jc w:val="left"/>
              <w:rPr>
                <w:smallCaps/>
              </w:rPr>
            </w:pPr>
            <w:r>
              <w:rPr>
                <w:smallCaps/>
              </w:rPr>
              <w:t>David C. Kuo</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Title:</w:t>
            </w:r>
          </w:p>
        </w:tc>
        <w:tc>
          <w:tcPr>
            <w:tcW w:w="4400" w:type="dxa"/>
            <w:tcBorders/>
            <w:vAlign w:val="center"/>
          </w:tcPr>
          <w:p>
            <w:pPr>
              <w:pStyle w:val="TableContents"/>
              <w:bidi w:val="0"/>
              <w:spacing w:before="0" w:after="283"/>
              <w:jc w:val="left"/>
              <w:rPr/>
            </w:pPr>
            <w:r>
              <w:rPr/>
              <w:t>Senior Vice President and Chief Legal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aaoi_ex1001.htm"/>
      <w:bookmarkStart w:id="23" w:name="ksaaoi_ex1001"/>
      <w:bookmarkEnd w:id="22"/>
      <w:bookmarkEnd w:id="23"/>
      <w:r>
        <w:rPr>
          <w:b/>
        </w:rPr>
        <w:t>Exhibit 10.1</w:t>
      </w:r>
      <w:r>
        <w:br w:type="page"/>
      </w:r>
    </w:p>
    <w:p>
      <w:pPr>
        <w:pStyle w:val="TextBody"/>
        <w:bidi w:val="0"/>
        <w:spacing w:before="0" w:after="283"/>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LEASE AGREEMENT BETWEEN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hightower phase II owner, LLC,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 LANDLORD, AND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applied optoelectronics,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 TENANT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DATED August 31,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houston, TEXAS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BASIC LEASE INFORMATION</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1394"/>
        <w:gridCol w:w="3162"/>
        <w:gridCol w:w="840"/>
        <w:gridCol w:w="161"/>
        <w:gridCol w:w="4648"/>
      </w:tblGrid>
      <w:tr>
        <w:trPr/>
        <w:tc>
          <w:tcPr>
            <w:tcW w:w="1394" w:type="dxa"/>
            <w:tcBorders/>
            <w:vAlign w:val="center"/>
          </w:tcPr>
          <w:p>
            <w:pPr>
              <w:pStyle w:val="TableContents"/>
              <w:bidi w:val="0"/>
              <w:spacing w:before="0" w:after="283"/>
              <w:jc w:val="left"/>
              <w:rPr/>
            </w:pPr>
            <w:r>
              <w:rPr/>
              <w:t>Lease Date:</w:t>
            </w:r>
          </w:p>
        </w:tc>
        <w:tc>
          <w:tcPr>
            <w:tcW w:w="8811" w:type="dxa"/>
            <w:gridSpan w:val="4"/>
            <w:tcBorders/>
            <w:vAlign w:val="center"/>
          </w:tcPr>
          <w:p>
            <w:pPr>
              <w:pStyle w:val="TableContents"/>
              <w:bidi w:val="0"/>
              <w:spacing w:before="0" w:after="283"/>
              <w:jc w:val="left"/>
              <w:rPr/>
            </w:pPr>
            <w:r>
              <w:rPr/>
              <w:t>August 31, 2026</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pPr>
            <w:r>
              <w:rPr/>
              <w:t>Landlord:</w:t>
            </w:r>
          </w:p>
        </w:tc>
        <w:tc>
          <w:tcPr>
            <w:tcW w:w="8811" w:type="dxa"/>
            <w:gridSpan w:val="4"/>
            <w:tcBorders/>
            <w:vAlign w:val="center"/>
          </w:tcPr>
          <w:p>
            <w:pPr>
              <w:pStyle w:val="TableContents"/>
              <w:bidi w:val="0"/>
              <w:spacing w:before="0" w:after="283"/>
              <w:jc w:val="left"/>
              <w:rPr/>
            </w:pPr>
            <w:r>
              <w:rPr/>
              <w:t>HIGHTOWER PHASE II OWNER, LLC, a Delaware limited liability company</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pPr>
            <w:r>
              <w:rPr/>
              <w:t>Tenant:</w:t>
            </w:r>
          </w:p>
        </w:tc>
        <w:tc>
          <w:tcPr>
            <w:tcW w:w="8811" w:type="dxa"/>
            <w:gridSpan w:val="4"/>
            <w:tcBorders/>
            <w:vAlign w:val="center"/>
          </w:tcPr>
          <w:p>
            <w:pPr>
              <w:pStyle w:val="TableContents"/>
              <w:bidi w:val="0"/>
              <w:spacing w:before="0" w:after="283"/>
              <w:jc w:val="left"/>
              <w:rPr/>
            </w:pPr>
            <w:r>
              <w:rPr/>
              <w:t>APPLIED OPTOELECTRONICS, INC., a Delaware corporation</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pPr>
            <w:r>
              <w:rPr/>
              <w:t>Premises:</w:t>
            </w:r>
          </w:p>
        </w:tc>
        <w:tc>
          <w:tcPr>
            <w:tcW w:w="8811" w:type="dxa"/>
            <w:gridSpan w:val="4"/>
            <w:tcBorders/>
            <w:vAlign w:val="center"/>
          </w:tcPr>
          <w:p>
            <w:pPr>
              <w:pStyle w:val="TableContents"/>
              <w:bidi w:val="0"/>
              <w:spacing w:before="0" w:after="283"/>
              <w:jc w:val="both"/>
              <w:rPr/>
            </w:pPr>
            <w:r>
              <w:rPr/>
              <w:t xml:space="preserve">That certain building to be constructed on the Land (defined below) pursuant to </w:t>
            </w:r>
            <w:r>
              <w:rPr>
                <w:u w:val="single"/>
              </w:rPr>
              <w:t>Exhibit D</w:t>
            </w:r>
            <w:r>
              <w:rPr/>
              <w:t>, containing approximately 356,186 rentable square feet, and commonly known as Hightower Business Park - Phase II – Building 4 (the “</w:t>
            </w:r>
            <w:r>
              <w:rPr>
                <w:b/>
                <w:u w:val="single"/>
              </w:rPr>
              <w:t>Building</w:t>
            </w:r>
            <w:r>
              <w:rPr/>
              <w:t xml:space="preserve">”), and whose street address is 17331 Chimney Rock Road, Houston, Texas 77053.  The Premises are outlined on the plan attached to the Lease as </w:t>
            </w:r>
            <w:r>
              <w:rPr>
                <w:rFonts w:ascii="Times New Roman;Times;Serif" w:hAnsi="Times New Roman;Times;Serif"/>
                <w:u w:val="single"/>
              </w:rPr>
              <w:t>Exhibit A</w:t>
            </w:r>
            <w:r>
              <w:rPr/>
              <w:t>. The land on which the Building is located (the “</w:t>
            </w:r>
            <w:r>
              <w:rPr>
                <w:b/>
                <w:u w:val="single"/>
              </w:rPr>
              <w:t>Land</w:t>
            </w:r>
            <w:r>
              <w:rPr/>
              <w:t>”</w:t>
            </w:r>
            <w:r>
              <w:rPr>
                <w:b/>
              </w:rPr>
              <w:t>)</w:t>
            </w:r>
            <w:r>
              <w:rPr/>
              <w:t xml:space="preserve"> is described on </w:t>
            </w:r>
            <w:r>
              <w:rPr>
                <w:rFonts w:ascii="Times New Roman;Times;Serif" w:hAnsi="Times New Roman;Times;Serif"/>
                <w:u w:val="single"/>
              </w:rPr>
              <w:t>Exhibit B</w:t>
            </w:r>
            <w:r>
              <w:rPr/>
              <w:t>.  The term “</w:t>
            </w:r>
            <w:r>
              <w:rPr>
                <w:b/>
                <w:u w:val="single"/>
              </w:rPr>
              <w:t>Project</w:t>
            </w:r>
            <w:r>
              <w:rPr/>
              <w:t>” shall collectively refer to the Building, the Land and the driveways, parking facilities, loading dock areas, roadways, any rail tracks associated with the Building and similar improvements and easements associated with the foregoing or the operation thereof.</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both"/>
              <w:rPr/>
            </w:pPr>
            <w:r>
              <w:rPr/>
              <w:t> </w:t>
            </w:r>
          </w:p>
        </w:tc>
      </w:tr>
      <w:tr>
        <w:trPr/>
        <w:tc>
          <w:tcPr>
            <w:tcW w:w="1394" w:type="dxa"/>
            <w:tcBorders/>
            <w:vAlign w:val="center"/>
          </w:tcPr>
          <w:p>
            <w:pPr>
              <w:pStyle w:val="TableContents"/>
              <w:bidi w:val="0"/>
              <w:spacing w:before="0" w:after="283"/>
              <w:jc w:val="left"/>
              <w:rPr/>
            </w:pPr>
            <w:r>
              <w:rPr/>
              <w:t>Term:</w:t>
            </w:r>
          </w:p>
        </w:tc>
        <w:tc>
          <w:tcPr>
            <w:tcW w:w="8811" w:type="dxa"/>
            <w:gridSpan w:val="4"/>
            <w:tcBorders/>
            <w:vAlign w:val="center"/>
          </w:tcPr>
          <w:p>
            <w:pPr>
              <w:pStyle w:val="TableContents"/>
              <w:bidi w:val="0"/>
              <w:spacing w:before="0" w:after="283"/>
              <w:jc w:val="both"/>
              <w:rPr/>
            </w:pPr>
            <w:r>
              <w:rPr/>
              <w:t>120 full calendar months, plus any partial month from the Commencement Date to the end of the month in which the Commencement Date falls, starting on the Commencement Date and ending at 5:00 p.m. local time on the last day of the 120th full calendar month following the Commencement Date, subject to adjustment and earlier termination as provided in the Lease.</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both"/>
              <w:rPr/>
            </w:pPr>
            <w:r>
              <w:rPr/>
              <w:t> </w:t>
            </w:r>
          </w:p>
        </w:tc>
      </w:tr>
      <w:tr>
        <w:trPr/>
        <w:tc>
          <w:tcPr>
            <w:tcW w:w="139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Date:</w:t>
            </w:r>
          </w:p>
          <w:p>
            <w:pPr>
              <w:pStyle w:val="TableContents"/>
              <w:bidi w:val="0"/>
              <w:spacing w:before="0" w:after="0"/>
              <w:ind w:left="0" w:right="0" w:hanging="0"/>
              <w:jc w:val="left"/>
              <w:rPr>
                <w:caps w:val="false"/>
                <w:smallCaps w:val="false"/>
              </w:rPr>
            </w:pPr>
            <w:r>
              <w:rPr>
                <w:caps w:val="false"/>
                <w:smallCaps w:val="false"/>
              </w:rPr>
              <w:t> </w:t>
            </w:r>
          </w:p>
        </w:tc>
        <w:tc>
          <w:tcPr>
            <w:tcW w:w="8811" w:type="dxa"/>
            <w:gridSpan w:val="4"/>
            <w:tcBorders/>
            <w:vAlign w:val="center"/>
          </w:tcPr>
          <w:p>
            <w:pPr>
              <w:pStyle w:val="TableContents"/>
              <w:bidi w:val="0"/>
              <w:spacing w:before="0" w:after="283"/>
              <w:jc w:val="both"/>
              <w:rPr/>
            </w:pPr>
            <w:r>
              <w:rPr/>
              <w:t xml:space="preserve">The earliest of (a) the date on which Tenant occupies any portion of the Premises and begins conducting business therein, (b) the date on which the Work (as defined in </w:t>
            </w:r>
            <w:r>
              <w:rPr>
                <w:rFonts w:ascii="Times New Roman;Times;Serif" w:hAnsi="Times New Roman;Times;Serif"/>
                <w:u w:val="single"/>
              </w:rPr>
              <w:t>Exhibit D</w:t>
            </w:r>
            <w:r>
              <w:rPr/>
              <w:t xml:space="preserve"> hereto) is Substantially Completed (as defined in </w:t>
            </w:r>
            <w:r>
              <w:rPr>
                <w:rFonts w:ascii="Times New Roman;Times;Serif" w:hAnsi="Times New Roman;Times;Serif"/>
                <w:u w:val="single"/>
              </w:rPr>
              <w:t>Exhibit D</w:t>
            </w:r>
            <w:r>
              <w:rPr/>
              <w:t xml:space="preserve"> hereto), or (c) the date on which the Work would have been Substantially Completed but for the occurrence of any Tenant Delay Days (as defined in </w:t>
            </w:r>
            <w:r>
              <w:rPr>
                <w:rFonts w:ascii="Times New Roman;Times;Serif" w:hAnsi="Times New Roman;Times;Serif"/>
                <w:u w:val="single"/>
              </w:rPr>
              <w:t>Exhibit D</w:t>
            </w:r>
            <w:r>
              <w:rPr/>
              <w:t xml:space="preserve"> hereto).</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both"/>
              <w:rPr/>
            </w:pPr>
            <w:r>
              <w:rPr/>
              <w:t> </w:t>
            </w:r>
          </w:p>
        </w:tc>
      </w:tr>
      <w:tr>
        <w:trPr/>
        <w:tc>
          <w:tcPr>
            <w:tcW w:w="1394" w:type="dxa"/>
            <w:tcBorders/>
            <w:vAlign w:val="center"/>
          </w:tcPr>
          <w:p>
            <w:pPr>
              <w:pStyle w:val="TableContents"/>
              <w:bidi w:val="0"/>
              <w:spacing w:before="0" w:after="283"/>
              <w:jc w:val="left"/>
              <w:rPr/>
            </w:pPr>
            <w:r>
              <w:rPr/>
              <w:t>Basic Rent:</w:t>
            </w:r>
          </w:p>
        </w:tc>
        <w:tc>
          <w:tcPr>
            <w:tcW w:w="8811" w:type="dxa"/>
            <w:gridSpan w:val="4"/>
            <w:tcBorders>
              <w:bottom w:val="single" w:sz="8" w:space="0" w:color="000000"/>
            </w:tcBorders>
            <w:tcMar>
              <w:bottom w:w="28" w:type="dxa"/>
            </w:tcMar>
            <w:vAlign w:val="center"/>
          </w:tcPr>
          <w:p>
            <w:pPr>
              <w:pStyle w:val="TableContents"/>
              <w:bidi w:val="0"/>
              <w:spacing w:before="0" w:after="283"/>
              <w:jc w:val="both"/>
              <w:rPr/>
            </w:pPr>
            <w:r>
              <w:rPr/>
              <w:t>Basic Rent applicable to the Building shall be the following amounts for the following periods of time:</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both"/>
              <w:rPr/>
            </w:pPr>
            <w:r>
              <w:rPr/>
              <w:t> </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top w:val="single" w:sz="8" w:space="0" w:color="000000"/>
              <w:bottom w:val="single" w:sz="8" w:space="0" w:color="000000"/>
              <w:right w:val="single" w:sz="8" w:space="0" w:color="000000"/>
            </w:tcBorders>
            <w:shd w:fill="D9D9D9" w:val="clear"/>
            <w:tcMar>
              <w:top w:w="28" w:type="dxa"/>
              <w:bottom w:w="28" w:type="dxa"/>
              <w:right w:w="28" w:type="dxa"/>
            </w:tcMar>
            <w:vAlign w:val="center"/>
          </w:tcPr>
          <w:p>
            <w:pPr>
              <w:pStyle w:val="TableContents"/>
              <w:bidi w:val="0"/>
              <w:spacing w:before="0" w:after="283"/>
              <w:jc w:val="center"/>
              <w:rPr/>
            </w:pPr>
            <w:r>
              <w:rPr/>
              <w:t>Lease Month</w:t>
            </w:r>
          </w:p>
        </w:tc>
        <w:tc>
          <w:tcPr>
            <w:tcW w:w="1001" w:type="dxa"/>
            <w:gridSpan w:val="2"/>
            <w:tcBorders>
              <w:top w:val="single" w:sz="8" w:space="0" w:color="000000"/>
              <w:bottom w:val="single" w:sz="8" w:space="0" w:color="000000"/>
              <w:right w:val="single" w:sz="8" w:space="0" w:color="000000"/>
            </w:tcBorders>
            <w:shd w:fill="D9D9D9" w:val="clear"/>
            <w:tcMar>
              <w:top w:w="28" w:type="dxa"/>
              <w:bottom w:w="28" w:type="dxa"/>
              <w:right w:w="28" w:type="dxa"/>
            </w:tcMar>
            <w:vAlign w:val="center"/>
          </w:tcPr>
          <w:p>
            <w:pPr>
              <w:pStyle w:val="TableContents"/>
              <w:bidi w:val="0"/>
              <w:spacing w:before="0" w:after="283"/>
              <w:jc w:val="center"/>
              <w:rPr/>
            </w:pPr>
            <w:r>
              <w:rPr/>
              <w:t>Monthly Basic Rent</w:t>
              <w:br/>
              <w:t>Per Rentable Square Foot</w:t>
            </w:r>
          </w:p>
        </w:tc>
        <w:tc>
          <w:tcPr>
            <w:tcW w:w="4648" w:type="dxa"/>
            <w:tcBorders>
              <w:top w:val="single" w:sz="8" w:space="0" w:color="000000"/>
              <w:bottom w:val="single" w:sz="8" w:space="0" w:color="000000"/>
              <w:right w:val="single" w:sz="8" w:space="0" w:color="000000"/>
            </w:tcBorders>
            <w:shd w:fill="D9D9D9" w:val="clear"/>
            <w:tcMar>
              <w:top w:w="28" w:type="dxa"/>
              <w:bottom w:w="28" w:type="dxa"/>
              <w:right w:w="28" w:type="dxa"/>
            </w:tcMar>
            <w:vAlign w:val="center"/>
          </w:tcPr>
          <w:p>
            <w:pPr>
              <w:pStyle w:val="TableContents"/>
              <w:bidi w:val="0"/>
              <w:spacing w:before="0" w:after="283"/>
              <w:jc w:val="center"/>
              <w:rPr/>
            </w:pPr>
            <w:r>
              <w:rPr/>
              <w:t>Monthly Basic Rent</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 – 12</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$0.62</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$220,835.32</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13 – 24</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$0.64</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$229,116.64</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25 – 36</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$0.67</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$237,708.52</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37 – 48</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$0.69</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$246,622.59</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49 – 60</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$0.72</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$255,870.94</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61 – 72</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$0.75</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$265,466.10</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73 – 84</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$0.77</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$275,421.07</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85 – 96</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$0.80</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$285,749.36</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97 – 108</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$0.83</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$296,464.97</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109 – 120</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$0.86</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$307,582.40</w:t>
            </w:r>
          </w:p>
        </w:tc>
      </w:tr>
      <w:tr>
        <w:trPr/>
        <w:tc>
          <w:tcPr>
            <w:tcW w:w="1394" w:type="dxa"/>
            <w:tcBorders/>
            <w:vAlign w:val="center"/>
          </w:tcPr>
          <w:p>
            <w:pPr>
              <w:pStyle w:val="TableContents"/>
              <w:bidi w:val="0"/>
              <w:spacing w:before="0" w:after="283"/>
              <w:jc w:val="left"/>
              <w:rPr/>
            </w:pPr>
            <w:r>
              <w:rPr/>
              <w:t> </w:t>
            </w:r>
          </w:p>
        </w:tc>
        <w:tc>
          <w:tcPr>
            <w:tcW w:w="3162"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648" w:type="dxa"/>
            <w:tcBorders/>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both"/>
              <w:rPr/>
            </w:pPr>
            <w:r>
              <w:rPr/>
              <w:t>As used herein, the term “</w:t>
            </w:r>
            <w:r>
              <w:rPr>
                <w:b/>
                <w:u w:val="single"/>
              </w:rPr>
              <w:t>Lease Month</w:t>
            </w:r>
            <w:r>
              <w:rPr/>
              <w:t>” means each calendar month during the Term (and if the Commencement Date does not occur on the first day of a calendar month, the period from the Commencement Date to the first day of the next calendar month shall be included in the first Lease Month for which Basic Rent is payable for purposes of determining the duration of the Term and the monthly Basic Rent rate applicable for such partial month).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8"/>
        <w:gridCol w:w="2346"/>
        <w:gridCol w:w="1828"/>
        <w:gridCol w:w="1828"/>
        <w:gridCol w:w="2295"/>
      </w:tblGrid>
      <w:tr>
        <w:trPr/>
        <w:tc>
          <w:tcPr>
            <w:tcW w:w="1908" w:type="dxa"/>
            <w:tcBorders/>
            <w:vAlign w:val="center"/>
          </w:tcPr>
          <w:p>
            <w:pPr>
              <w:pStyle w:val="TableContents"/>
              <w:bidi w:val="0"/>
              <w:spacing w:before="0" w:after="283"/>
              <w:jc w:val="left"/>
              <w:rPr/>
            </w:pPr>
            <w:r>
              <w:rPr/>
              <w:t>Additional Rent:</w:t>
            </w:r>
          </w:p>
        </w:tc>
        <w:tc>
          <w:tcPr>
            <w:tcW w:w="8297" w:type="dxa"/>
            <w:gridSpan w:val="4"/>
            <w:tcBorders/>
            <w:vAlign w:val="center"/>
          </w:tcPr>
          <w:p>
            <w:pPr>
              <w:pStyle w:val="TableContents"/>
              <w:bidi w:val="0"/>
              <w:spacing w:before="0" w:after="283"/>
              <w:jc w:val="both"/>
              <w:rPr/>
            </w:pPr>
            <w:r>
              <w:rPr/>
              <w:t>Tenant’s Proportionate Share of Operating Costs, Taxes and Insurance Costs.</w:t>
            </w:r>
          </w:p>
        </w:tc>
      </w:tr>
      <w:tr>
        <w:trPr/>
        <w:tc>
          <w:tcPr>
            <w:tcW w:w="1908" w:type="dxa"/>
            <w:tcBorders/>
            <w:vAlign w:val="center"/>
          </w:tcPr>
          <w:p>
            <w:pPr>
              <w:pStyle w:val="TableContents"/>
              <w:bidi w:val="0"/>
              <w:spacing w:before="0" w:after="283"/>
              <w:jc w:val="left"/>
              <w:rPr/>
            </w:pPr>
            <w:r>
              <w:rPr/>
              <w:t> </w:t>
            </w:r>
          </w:p>
        </w:tc>
        <w:tc>
          <w:tcPr>
            <w:tcW w:w="8297" w:type="dxa"/>
            <w:gridSpan w:val="4"/>
            <w:tcBorders/>
            <w:vAlign w:val="center"/>
          </w:tcPr>
          <w:p>
            <w:pPr>
              <w:pStyle w:val="TableContents"/>
              <w:bidi w:val="0"/>
              <w:spacing w:before="0" w:after="283"/>
              <w:jc w:val="both"/>
              <w:rPr/>
            </w:pPr>
            <w:r>
              <w:rPr/>
              <w:t> </w:t>
            </w:r>
          </w:p>
        </w:tc>
      </w:tr>
      <w:tr>
        <w:trPr/>
        <w:tc>
          <w:tcPr>
            <w:tcW w:w="1908" w:type="dxa"/>
            <w:tcBorders/>
            <w:vAlign w:val="center"/>
          </w:tcPr>
          <w:p>
            <w:pPr>
              <w:pStyle w:val="TableContents"/>
              <w:bidi w:val="0"/>
              <w:spacing w:before="0" w:after="283"/>
              <w:jc w:val="left"/>
              <w:rPr/>
            </w:pPr>
            <w:r>
              <w:rPr/>
              <w:t>Security Deposit:</w:t>
            </w:r>
          </w:p>
        </w:tc>
        <w:tc>
          <w:tcPr>
            <w:tcW w:w="8297" w:type="dxa"/>
            <w:gridSpan w:val="4"/>
            <w:tcBorders/>
            <w:vAlign w:val="center"/>
          </w:tcPr>
          <w:p>
            <w:pPr>
              <w:pStyle w:val="TableContents"/>
              <w:bidi w:val="0"/>
              <w:spacing w:before="0" w:after="283"/>
              <w:jc w:val="left"/>
              <w:rPr/>
            </w:pPr>
            <w:r>
              <w:rPr/>
              <w:t>$3,800,000.00.</w:t>
            </w:r>
          </w:p>
        </w:tc>
      </w:tr>
      <w:tr>
        <w:trPr/>
        <w:tc>
          <w:tcPr>
            <w:tcW w:w="1908" w:type="dxa"/>
            <w:tcBorders/>
            <w:vAlign w:val="center"/>
          </w:tcPr>
          <w:p>
            <w:pPr>
              <w:pStyle w:val="TableContents"/>
              <w:bidi w:val="0"/>
              <w:spacing w:before="0" w:after="283"/>
              <w:jc w:val="left"/>
              <w:rPr/>
            </w:pPr>
            <w:r>
              <w:rPr/>
              <w:t> </w:t>
            </w:r>
          </w:p>
        </w:tc>
        <w:tc>
          <w:tcPr>
            <w:tcW w:w="8297" w:type="dxa"/>
            <w:gridSpan w:val="4"/>
            <w:tcBorders/>
            <w:vAlign w:val="center"/>
          </w:tcPr>
          <w:p>
            <w:pPr>
              <w:pStyle w:val="TableContents"/>
              <w:bidi w:val="0"/>
              <w:spacing w:before="0" w:after="283"/>
              <w:jc w:val="left"/>
              <w:rPr/>
            </w:pPr>
            <w:r>
              <w:rPr/>
              <w:t> </w:t>
            </w:r>
          </w:p>
        </w:tc>
      </w:tr>
      <w:tr>
        <w:trPr/>
        <w:tc>
          <w:tcPr>
            <w:tcW w:w="1908" w:type="dxa"/>
            <w:tcBorders/>
            <w:vAlign w:val="center"/>
          </w:tcPr>
          <w:p>
            <w:pPr>
              <w:pStyle w:val="TableContents"/>
              <w:bidi w:val="0"/>
              <w:spacing w:before="0" w:after="283"/>
              <w:jc w:val="left"/>
              <w:rPr/>
            </w:pPr>
            <w:r>
              <w:rPr/>
              <w:t>Rent:</w:t>
            </w:r>
          </w:p>
        </w:tc>
        <w:tc>
          <w:tcPr>
            <w:tcW w:w="8297" w:type="dxa"/>
            <w:gridSpan w:val="4"/>
            <w:tcBorders/>
            <w:vAlign w:val="center"/>
          </w:tcPr>
          <w:p>
            <w:pPr>
              <w:pStyle w:val="TableContents"/>
              <w:bidi w:val="0"/>
              <w:spacing w:before="0" w:after="283"/>
              <w:jc w:val="both"/>
              <w:rPr/>
            </w:pPr>
            <w:r>
              <w:rPr/>
              <w:t>Basic Rent, Additional Rent, and all other sums that Tenant may owe to Landlord or otherwise be required to pay under the Lease.</w:t>
            </w:r>
          </w:p>
        </w:tc>
      </w:tr>
      <w:tr>
        <w:trPr/>
        <w:tc>
          <w:tcPr>
            <w:tcW w:w="1908" w:type="dxa"/>
            <w:tcBorders/>
            <w:vAlign w:val="center"/>
          </w:tcPr>
          <w:p>
            <w:pPr>
              <w:pStyle w:val="TableContents"/>
              <w:bidi w:val="0"/>
              <w:spacing w:before="0" w:after="283"/>
              <w:jc w:val="left"/>
              <w:rPr/>
            </w:pPr>
            <w:r>
              <w:rPr/>
              <w:t> </w:t>
            </w:r>
          </w:p>
        </w:tc>
        <w:tc>
          <w:tcPr>
            <w:tcW w:w="8297" w:type="dxa"/>
            <w:gridSpan w:val="4"/>
            <w:tcBorders/>
            <w:vAlign w:val="center"/>
          </w:tcPr>
          <w:p>
            <w:pPr>
              <w:pStyle w:val="TableContents"/>
              <w:bidi w:val="0"/>
              <w:spacing w:before="0" w:after="283"/>
              <w:jc w:val="both"/>
              <w:rPr/>
            </w:pPr>
            <w:r>
              <w:rPr/>
              <w:t> </w:t>
            </w:r>
          </w:p>
        </w:tc>
      </w:tr>
      <w:tr>
        <w:trPr/>
        <w:tc>
          <w:tcPr>
            <w:tcW w:w="1908" w:type="dxa"/>
            <w:tcBorders/>
            <w:vAlign w:val="center"/>
          </w:tcPr>
          <w:p>
            <w:pPr>
              <w:pStyle w:val="TableContents"/>
              <w:bidi w:val="0"/>
              <w:spacing w:before="0" w:after="283"/>
              <w:jc w:val="left"/>
              <w:rPr/>
            </w:pPr>
            <w:r>
              <w:rPr/>
              <w:t>Permitted Use:</w:t>
            </w:r>
          </w:p>
        </w:tc>
        <w:tc>
          <w:tcPr>
            <w:tcW w:w="8297" w:type="dxa"/>
            <w:gridSpan w:val="4"/>
            <w:tcBorders/>
            <w:vAlign w:val="center"/>
          </w:tcPr>
          <w:p>
            <w:pPr>
              <w:pStyle w:val="TableContents"/>
              <w:bidi w:val="0"/>
              <w:spacing w:before="0" w:after="283"/>
              <w:jc w:val="both"/>
              <w:rPr/>
            </w:pPr>
            <w:r>
              <w:rPr/>
              <w:t>General industrial/warehouse use for the purpose of light manufacturing, receiving, storing, shipping and selling (but limited to wholesale sales) products, materials and merchandise made and/or distributed by Tenant, and related ancillary uses.</w:t>
            </w:r>
          </w:p>
        </w:tc>
      </w:tr>
      <w:tr>
        <w:trPr/>
        <w:tc>
          <w:tcPr>
            <w:tcW w:w="1908" w:type="dxa"/>
            <w:tcBorders/>
            <w:vAlign w:val="center"/>
          </w:tcPr>
          <w:p>
            <w:pPr>
              <w:pStyle w:val="TableContents"/>
              <w:bidi w:val="0"/>
              <w:spacing w:before="0" w:after="283"/>
              <w:jc w:val="left"/>
              <w:rPr/>
            </w:pPr>
            <w:r>
              <w:rPr/>
              <w:t> </w:t>
            </w:r>
          </w:p>
        </w:tc>
        <w:tc>
          <w:tcPr>
            <w:tcW w:w="8297" w:type="dxa"/>
            <w:gridSpan w:val="4"/>
            <w:tcBorders/>
            <w:vAlign w:val="center"/>
          </w:tcPr>
          <w:p>
            <w:pPr>
              <w:pStyle w:val="TableContents"/>
              <w:bidi w:val="0"/>
              <w:spacing w:before="0" w:after="283"/>
              <w:jc w:val="both"/>
              <w:rPr/>
            </w:pPr>
            <w:r>
              <w:rPr/>
              <w:t> </w:t>
            </w:r>
          </w:p>
        </w:tc>
      </w:tr>
      <w:tr>
        <w:trPr/>
        <w:tc>
          <w:tcPr>
            <w:tcW w:w="1908" w:type="dxa"/>
            <w:tcBorders/>
            <w:vAlign w:val="center"/>
          </w:tcPr>
          <w:p>
            <w:pPr>
              <w:pStyle w:val="TableContents"/>
              <w:bidi w:val="0"/>
              <w:spacing w:before="0" w:after="283"/>
              <w:jc w:val="left"/>
              <w:rPr/>
            </w:pPr>
            <w:r>
              <w:rPr/>
              <w:t>Tenant’s Proportionate Share:</w:t>
            </w:r>
          </w:p>
        </w:tc>
        <w:tc>
          <w:tcPr>
            <w:tcW w:w="8297" w:type="dxa"/>
            <w:gridSpan w:val="4"/>
            <w:tcBorders/>
            <w:vAlign w:val="center"/>
          </w:tcPr>
          <w:p>
            <w:pPr>
              <w:pStyle w:val="TableContents"/>
              <w:bidi w:val="0"/>
              <w:spacing w:before="0" w:after="283"/>
              <w:jc w:val="both"/>
              <w:rPr/>
            </w:pPr>
            <w:r>
              <w:rPr/>
              <w:t>100%.</w:t>
            </w:r>
          </w:p>
        </w:tc>
      </w:tr>
      <w:tr>
        <w:trPr/>
        <w:tc>
          <w:tcPr>
            <w:tcW w:w="1908" w:type="dxa"/>
            <w:tcBorders/>
            <w:vAlign w:val="center"/>
          </w:tcPr>
          <w:p>
            <w:pPr>
              <w:pStyle w:val="TableContents"/>
              <w:bidi w:val="0"/>
              <w:spacing w:before="0" w:after="283"/>
              <w:jc w:val="left"/>
              <w:rPr/>
            </w:pPr>
            <w:r>
              <w:rPr/>
              <w:t> </w:t>
            </w:r>
          </w:p>
        </w:tc>
        <w:tc>
          <w:tcPr>
            <w:tcW w:w="8297" w:type="dxa"/>
            <w:gridSpan w:val="4"/>
            <w:tcBorders/>
            <w:vAlign w:val="center"/>
          </w:tcPr>
          <w:p>
            <w:pPr>
              <w:pStyle w:val="TableContents"/>
              <w:bidi w:val="0"/>
              <w:spacing w:before="0" w:after="283"/>
              <w:jc w:val="both"/>
              <w:rPr/>
            </w:pPr>
            <w:r>
              <w:rPr/>
              <w:t> </w:t>
            </w:r>
          </w:p>
        </w:tc>
      </w:tr>
      <w:tr>
        <w:trPr/>
        <w:tc>
          <w:tcPr>
            <w:tcW w:w="1908" w:type="dxa"/>
            <w:tcBorders/>
            <w:vAlign w:val="center"/>
          </w:tcPr>
          <w:p>
            <w:pPr>
              <w:pStyle w:val="TableContents"/>
              <w:bidi w:val="0"/>
              <w:spacing w:before="0" w:after="283"/>
              <w:jc w:val="left"/>
              <w:rPr/>
            </w:pPr>
            <w:r>
              <w:rPr/>
              <w:t>Initial Liability Insurance Amount:</w:t>
            </w:r>
          </w:p>
        </w:tc>
        <w:tc>
          <w:tcPr>
            <w:tcW w:w="8297" w:type="dxa"/>
            <w:gridSpan w:val="4"/>
            <w:tcBorders/>
            <w:vAlign w:val="center"/>
          </w:tcPr>
          <w:p>
            <w:pPr>
              <w:pStyle w:val="TableContents"/>
              <w:bidi w:val="0"/>
              <w:spacing w:before="0" w:after="283"/>
              <w:jc w:val="left"/>
              <w:rPr/>
            </w:pPr>
            <w:r>
              <w:rPr/>
              <w:t>$3,000,000.</w:t>
            </w:r>
          </w:p>
        </w:tc>
      </w:tr>
      <w:tr>
        <w:trPr/>
        <w:tc>
          <w:tcPr>
            <w:tcW w:w="1908" w:type="dxa"/>
            <w:tcBorders/>
            <w:vAlign w:val="center"/>
          </w:tcPr>
          <w:p>
            <w:pPr>
              <w:pStyle w:val="TableContents"/>
              <w:bidi w:val="0"/>
              <w:spacing w:before="0" w:after="283"/>
              <w:jc w:val="left"/>
              <w:rPr/>
            </w:pPr>
            <w:r>
              <w:rPr/>
              <w:t> </w:t>
            </w:r>
          </w:p>
        </w:tc>
        <w:tc>
          <w:tcPr>
            <w:tcW w:w="8297" w:type="dxa"/>
            <w:gridSpan w:val="4"/>
            <w:tcBorders/>
            <w:vAlign w:val="center"/>
          </w:tcPr>
          <w:p>
            <w:pPr>
              <w:pStyle w:val="TableContents"/>
              <w:bidi w:val="0"/>
              <w:spacing w:before="0" w:after="283"/>
              <w:jc w:val="left"/>
              <w:rPr/>
            </w:pPr>
            <w:r>
              <w:rPr/>
              <w:t> </w:t>
            </w:r>
          </w:p>
        </w:tc>
      </w:tr>
      <w:tr>
        <w:trPr/>
        <w:tc>
          <w:tcPr>
            <w:tcW w:w="1908" w:type="dxa"/>
            <w:tcBorders/>
            <w:vAlign w:val="center"/>
          </w:tcPr>
          <w:p>
            <w:pPr>
              <w:pStyle w:val="TableContents"/>
              <w:bidi w:val="0"/>
              <w:spacing w:before="0" w:after="283"/>
              <w:jc w:val="left"/>
              <w:rPr/>
            </w:pPr>
            <w:r>
              <w:rPr/>
              <w:t>Tenant’s Address:</w:t>
            </w:r>
          </w:p>
        </w:tc>
        <w:tc>
          <w:tcPr>
            <w:tcW w:w="417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13139 Jess Pirtle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TX 77478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Ray Du</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4123" w:type="dxa"/>
            <w:gridSpan w:val="2"/>
            <w:tcBorders/>
            <w:vAlign w:val="center"/>
          </w:tcPr>
          <w:p>
            <w:pPr>
              <w:pStyle w:val="TableContents"/>
              <w:bidi w:val="0"/>
              <w:spacing w:before="0" w:after="283"/>
              <w:jc w:val="left"/>
              <w:rPr/>
            </w:pPr>
            <w:r>
              <w:rPr/>
              <w:t> </w:t>
            </w:r>
          </w:p>
        </w:tc>
      </w:tr>
      <w:tr>
        <w:trPr/>
        <w:tc>
          <w:tcPr>
            <w:tcW w:w="1908"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 </w:t>
            </w:r>
          </w:p>
        </w:tc>
        <w:tc>
          <w:tcPr>
            <w:tcW w:w="4123" w:type="dxa"/>
            <w:gridSpan w:val="2"/>
            <w:tcBorders/>
            <w:vAlign w:val="center"/>
          </w:tcPr>
          <w:p>
            <w:pPr>
              <w:pStyle w:val="TableContents"/>
              <w:bidi w:val="0"/>
              <w:spacing w:before="0" w:after="283"/>
              <w:jc w:val="left"/>
              <w:rPr/>
            </w:pPr>
            <w:r>
              <w:rPr/>
              <w:t> </w:t>
            </w:r>
          </w:p>
        </w:tc>
      </w:tr>
      <w:tr>
        <w:trPr/>
        <w:tc>
          <w:tcPr>
            <w:tcW w:w="1908" w:type="dxa"/>
            <w:tcBorders/>
            <w:vAlign w:val="center"/>
          </w:tcPr>
          <w:p>
            <w:pPr>
              <w:pStyle w:val="TableContents"/>
              <w:bidi w:val="0"/>
              <w:spacing w:before="0" w:after="283"/>
              <w:jc w:val="left"/>
              <w:rPr/>
            </w:pPr>
            <w:r>
              <w:rPr/>
              <w:t>Landlord’s Address:</w:t>
            </w:r>
          </w:p>
        </w:tc>
        <w:tc>
          <w:tcPr>
            <w:tcW w:w="4174" w:type="dxa"/>
            <w:gridSpan w:val="2"/>
            <w:tcBorders/>
            <w:vAlign w:val="center"/>
          </w:tcPr>
          <w:p>
            <w:pPr>
              <w:pStyle w:val="TableContents"/>
              <w:bidi w:val="0"/>
              <w:spacing w:before="0" w:after="283"/>
              <w:jc w:val="left"/>
              <w:rPr/>
            </w:pPr>
            <w:r>
              <w:rPr/>
              <w:t>Hightower Phase II Owner, LLC</w:t>
              <w:br/>
              <w:t>750 Town &amp; Country Blvd, Ste 520</w:t>
              <w:br/>
              <w:t>Houston, TX  77024</w:t>
              <w:br/>
              <w:t>Attention: Asset Manager - Hightower</w:t>
              <w:br/>
              <w:t xml:space="preserve">Telephone: </w:t>
              <w:br/>
              <w:t>Email:  </w:t>
            </w:r>
          </w:p>
        </w:tc>
        <w:tc>
          <w:tcPr>
            <w:tcW w:w="4123" w:type="dxa"/>
            <w:gridSpan w:val="2"/>
            <w:tcBorders/>
            <w:vAlign w:val="center"/>
          </w:tcPr>
          <w:p>
            <w:pPr>
              <w:pStyle w:val="TableContents"/>
              <w:bidi w:val="0"/>
              <w:spacing w:before="0" w:after="283"/>
              <w:jc w:val="left"/>
              <w:rPr/>
            </w:pPr>
            <w:r>
              <w:rPr/>
              <w:t> </w:t>
            </w:r>
          </w:p>
        </w:tc>
      </w:tr>
      <w:tr>
        <w:trPr/>
        <w:tc>
          <w:tcPr>
            <w:tcW w:w="1908" w:type="dxa"/>
            <w:tcBorders/>
            <w:vAlign w:val="center"/>
          </w:tcPr>
          <w:p>
            <w:pPr>
              <w:pStyle w:val="TableContents"/>
              <w:bidi w:val="0"/>
              <w:spacing w:before="0" w:after="283"/>
              <w:jc w:val="left"/>
              <w:rPr/>
            </w:pPr>
            <w:r>
              <w:rPr/>
              <w:t> </w:t>
            </w:r>
          </w:p>
        </w:tc>
        <w:tc>
          <w:tcPr>
            <w:tcW w:w="2346" w:type="dxa"/>
            <w:tcBorders/>
            <w:vAlign w:val="center"/>
          </w:tcPr>
          <w:p>
            <w:pPr>
              <w:pStyle w:val="TableContents"/>
              <w:bidi w:val="0"/>
              <w:spacing w:before="0" w:after="283"/>
              <w:jc w:val="left"/>
              <w:rPr/>
            </w:pPr>
            <w:r>
              <w:rPr/>
              <w:t> </w:t>
            </w:r>
          </w:p>
        </w:tc>
        <w:tc>
          <w:tcPr>
            <w:tcW w:w="1828" w:type="dxa"/>
            <w:tcBorders/>
            <w:vAlign w:val="center"/>
          </w:tcPr>
          <w:p>
            <w:pPr>
              <w:pStyle w:val="TableContents"/>
              <w:bidi w:val="0"/>
              <w:spacing w:before="0" w:after="283"/>
              <w:jc w:val="left"/>
              <w:rPr/>
            </w:pPr>
            <w:r>
              <w:rPr/>
              <w:t> </w:t>
            </w:r>
          </w:p>
        </w:tc>
        <w:tc>
          <w:tcPr>
            <w:tcW w:w="1828" w:type="dxa"/>
            <w:tcBorders/>
            <w:vAlign w:val="center"/>
          </w:tcPr>
          <w:p>
            <w:pPr>
              <w:pStyle w:val="TableContents"/>
              <w:bidi w:val="0"/>
              <w:spacing w:before="0" w:after="283"/>
              <w:jc w:val="left"/>
              <w:rPr/>
            </w:pPr>
            <w:r>
              <w:rPr/>
              <w:t> </w:t>
            </w:r>
          </w:p>
        </w:tc>
        <w:tc>
          <w:tcPr>
            <w:tcW w:w="22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Basic Lease Information is incorporated into and made a part of the Lease identified above. If any conflict exists between any Basic Lease Information and the Lease, then the Lease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jc w:val="left"/>
        <w:rPr>
          <w:caps w:val="false"/>
          <w:smallCaps w:val="false"/>
        </w:rPr>
      </w:pPr>
      <w:r>
        <w:rPr>
          <w:caps w:val="false"/>
          <w:smallCaps w:val="false"/>
        </w:rPr>
        <w:t> </w:t>
      </w:r>
    </w:p>
    <w:tbl>
      <w:tblPr>
        <w:tblW w:w="8279" w:type="dxa"/>
        <w:jc w:val="left"/>
        <w:tblInd w:w="0" w:type="dxa"/>
        <w:tblLayout w:type="fixed"/>
        <w:tblCellMar>
          <w:top w:w="0" w:type="dxa"/>
          <w:left w:w="0" w:type="dxa"/>
          <w:bottom w:w="0" w:type="dxa"/>
          <w:right w:w="0" w:type="dxa"/>
        </w:tblCellMar>
      </w:tblPr>
      <w:tblGrid>
        <w:gridCol w:w="335"/>
        <w:gridCol w:w="452"/>
        <w:gridCol w:w="6542"/>
        <w:gridCol w:w="950"/>
      </w:tblGrid>
      <w:tr>
        <w:trPr/>
        <w:tc>
          <w:tcPr>
            <w:tcW w:w="335" w:type="dxa"/>
            <w:tcBorders/>
            <w:vAlign w:val="center"/>
          </w:tcPr>
          <w:p>
            <w:pPr>
              <w:pStyle w:val="TableContents"/>
              <w:bidi w:val="0"/>
              <w:spacing w:before="0" w:after="283"/>
              <w:jc w:val="left"/>
              <w:rPr/>
            </w:pPr>
            <w:r>
              <w:rPr/>
              <w:t> </w:t>
            </w:r>
          </w:p>
        </w:tc>
        <w:tc>
          <w:tcPr>
            <w:tcW w:w="6994" w:type="dxa"/>
            <w:gridSpan w:val="2"/>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b/>
              </w:rPr>
            </w:pPr>
            <w:r>
              <w:rPr>
                <w:b/>
              </w:rPr>
              <w:t>Page No.</w:t>
            </w:r>
          </w:p>
        </w:tc>
      </w:tr>
      <w:tr>
        <w:trPr/>
        <w:tc>
          <w:tcPr>
            <w:tcW w:w="335" w:type="dxa"/>
            <w:tcBorders/>
            <w:vAlign w:val="center"/>
          </w:tcPr>
          <w:p>
            <w:pPr>
              <w:pStyle w:val="TableContents"/>
              <w:bidi w:val="0"/>
              <w:spacing w:before="0" w:after="283"/>
              <w:jc w:val="left"/>
              <w:rPr/>
            </w:pPr>
            <w:r>
              <w:rPr/>
              <w:t> </w:t>
            </w:r>
          </w:p>
        </w:tc>
        <w:tc>
          <w:tcPr>
            <w:tcW w:w="6994" w:type="dxa"/>
            <w:gridSpan w:val="2"/>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1.</w:t>
            </w:r>
          </w:p>
        </w:tc>
        <w:tc>
          <w:tcPr>
            <w:tcW w:w="6994" w:type="dxa"/>
            <w:gridSpan w:val="2"/>
            <w:tcBorders/>
            <w:shd w:fill="EEEEEE" w:val="clear"/>
            <w:vAlign w:val="center"/>
          </w:tcPr>
          <w:p>
            <w:pPr>
              <w:pStyle w:val="TableContents"/>
              <w:bidi w:val="0"/>
              <w:spacing w:before="0" w:after="283"/>
              <w:jc w:val="left"/>
              <w:rPr/>
            </w:pPr>
            <w:r>
              <w:rPr/>
              <w:t>Definitions and Basic Provisions</w:t>
            </w:r>
          </w:p>
        </w:tc>
        <w:tc>
          <w:tcPr>
            <w:tcW w:w="950" w:type="dxa"/>
            <w:tcBorders/>
            <w:shd w:fill="EEEEEE" w:val="clear"/>
            <w:vAlign w:val="center"/>
          </w:tcPr>
          <w:p>
            <w:pPr>
              <w:pStyle w:val="TableContents"/>
              <w:bidi w:val="0"/>
              <w:spacing w:before="0" w:after="283"/>
              <w:jc w:val="right"/>
              <w:rPr/>
            </w:pPr>
            <w:r>
              <w:rPr/>
              <w:t>1</w:t>
            </w:r>
          </w:p>
        </w:tc>
      </w:tr>
      <w:tr>
        <w:trPr/>
        <w:tc>
          <w:tcPr>
            <w:tcW w:w="335" w:type="dxa"/>
            <w:tcBorders/>
            <w:shd w:fill="FFFFFF" w:val="clear"/>
            <w:vAlign w:val="center"/>
          </w:tcPr>
          <w:p>
            <w:pPr>
              <w:pStyle w:val="TableContents"/>
              <w:bidi w:val="0"/>
              <w:spacing w:before="0" w:after="283"/>
              <w:jc w:val="left"/>
              <w:rPr/>
            </w:pPr>
            <w:r>
              <w:rPr/>
              <w:t> </w:t>
            </w:r>
          </w:p>
        </w:tc>
        <w:tc>
          <w:tcPr>
            <w:tcW w:w="6994" w:type="dxa"/>
            <w:gridSpan w:val="2"/>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w:t>
            </w:r>
          </w:p>
        </w:tc>
        <w:tc>
          <w:tcPr>
            <w:tcW w:w="6994" w:type="dxa"/>
            <w:gridSpan w:val="2"/>
            <w:tcBorders/>
            <w:shd w:fill="EEEEEE" w:val="clear"/>
            <w:vAlign w:val="center"/>
          </w:tcPr>
          <w:p>
            <w:pPr>
              <w:pStyle w:val="TableContents"/>
              <w:bidi w:val="0"/>
              <w:spacing w:before="0" w:after="283"/>
              <w:jc w:val="left"/>
              <w:rPr/>
            </w:pPr>
            <w:r>
              <w:rPr/>
              <w:t>Lease Grant</w:t>
            </w:r>
          </w:p>
        </w:tc>
        <w:tc>
          <w:tcPr>
            <w:tcW w:w="950" w:type="dxa"/>
            <w:tcBorders/>
            <w:shd w:fill="EEEEEE" w:val="clear"/>
            <w:vAlign w:val="center"/>
          </w:tcPr>
          <w:p>
            <w:pPr>
              <w:pStyle w:val="TableContents"/>
              <w:bidi w:val="0"/>
              <w:spacing w:before="0" w:after="283"/>
              <w:jc w:val="right"/>
              <w:rPr/>
            </w:pPr>
            <w:r>
              <w:rPr/>
              <w:t>1</w:t>
            </w:r>
          </w:p>
        </w:tc>
      </w:tr>
      <w:tr>
        <w:trPr/>
        <w:tc>
          <w:tcPr>
            <w:tcW w:w="335" w:type="dxa"/>
            <w:tcBorders/>
            <w:shd w:fill="FFFFFF" w:val="clear"/>
            <w:vAlign w:val="center"/>
          </w:tcPr>
          <w:p>
            <w:pPr>
              <w:pStyle w:val="TableContents"/>
              <w:bidi w:val="0"/>
              <w:spacing w:before="0" w:after="283"/>
              <w:jc w:val="left"/>
              <w:rPr/>
            </w:pPr>
            <w:r>
              <w:rPr/>
              <w:t> </w:t>
            </w:r>
          </w:p>
        </w:tc>
        <w:tc>
          <w:tcPr>
            <w:tcW w:w="6994" w:type="dxa"/>
            <w:gridSpan w:val="2"/>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3.</w:t>
            </w:r>
          </w:p>
        </w:tc>
        <w:tc>
          <w:tcPr>
            <w:tcW w:w="6994" w:type="dxa"/>
            <w:gridSpan w:val="2"/>
            <w:tcBorders/>
            <w:shd w:fill="EEEEEE" w:val="clear"/>
            <w:vAlign w:val="center"/>
          </w:tcPr>
          <w:p>
            <w:pPr>
              <w:pStyle w:val="TableContents"/>
              <w:bidi w:val="0"/>
              <w:spacing w:before="0" w:after="283"/>
              <w:jc w:val="left"/>
              <w:rPr/>
            </w:pPr>
            <w:r>
              <w:rPr/>
              <w:t>Tender of Possession</w:t>
            </w:r>
          </w:p>
        </w:tc>
        <w:tc>
          <w:tcPr>
            <w:tcW w:w="950" w:type="dxa"/>
            <w:tcBorders/>
            <w:shd w:fill="EEEEEE" w:val="clear"/>
            <w:vAlign w:val="center"/>
          </w:tcPr>
          <w:p>
            <w:pPr>
              <w:pStyle w:val="TableContents"/>
              <w:bidi w:val="0"/>
              <w:spacing w:before="0" w:after="283"/>
              <w:jc w:val="right"/>
              <w:rPr/>
            </w:pPr>
            <w:r>
              <w:rPr/>
              <w:t>1</w:t>
            </w:r>
          </w:p>
        </w:tc>
      </w:tr>
      <w:tr>
        <w:trPr/>
        <w:tc>
          <w:tcPr>
            <w:tcW w:w="335" w:type="dxa"/>
            <w:tcBorders/>
            <w:shd w:fill="FFFFFF" w:val="clear"/>
            <w:vAlign w:val="center"/>
          </w:tcPr>
          <w:p>
            <w:pPr>
              <w:pStyle w:val="TableContents"/>
              <w:bidi w:val="0"/>
              <w:spacing w:before="0" w:after="283"/>
              <w:jc w:val="left"/>
              <w:rPr/>
            </w:pPr>
            <w:r>
              <w:rPr/>
              <w:t> </w:t>
            </w:r>
          </w:p>
        </w:tc>
        <w:tc>
          <w:tcPr>
            <w:tcW w:w="6994" w:type="dxa"/>
            <w:gridSpan w:val="2"/>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4.</w:t>
            </w:r>
          </w:p>
        </w:tc>
        <w:tc>
          <w:tcPr>
            <w:tcW w:w="6994" w:type="dxa"/>
            <w:gridSpan w:val="2"/>
            <w:tcBorders/>
            <w:shd w:fill="EEEEEE" w:val="clear"/>
            <w:vAlign w:val="center"/>
          </w:tcPr>
          <w:p>
            <w:pPr>
              <w:pStyle w:val="TableContents"/>
              <w:bidi w:val="0"/>
              <w:spacing w:before="0" w:after="283"/>
              <w:jc w:val="left"/>
              <w:rPr/>
            </w:pPr>
            <w:r>
              <w:rPr/>
              <w:t>Rent</w:t>
            </w:r>
          </w:p>
        </w:tc>
        <w:tc>
          <w:tcPr>
            <w:tcW w:w="950" w:type="dxa"/>
            <w:tcBorders/>
            <w:shd w:fill="EEEEEE" w:val="clear"/>
            <w:vAlign w:val="center"/>
          </w:tcPr>
          <w:p>
            <w:pPr>
              <w:pStyle w:val="TableContents"/>
              <w:bidi w:val="0"/>
              <w:spacing w:before="0" w:after="283"/>
              <w:jc w:val="right"/>
              <w:rPr/>
            </w:pPr>
            <w:r>
              <w:rPr/>
              <w:t>2</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(a)</w:t>
            </w:r>
          </w:p>
        </w:tc>
        <w:tc>
          <w:tcPr>
            <w:tcW w:w="6542" w:type="dxa"/>
            <w:tcBorders/>
            <w:shd w:fill="FFFFFF" w:val="clear"/>
            <w:vAlign w:val="center"/>
          </w:tcPr>
          <w:p>
            <w:pPr>
              <w:pStyle w:val="TableContents"/>
              <w:bidi w:val="0"/>
              <w:spacing w:before="0" w:after="283"/>
              <w:jc w:val="left"/>
              <w:rPr/>
            </w:pPr>
            <w:r>
              <w:rPr/>
              <w:t>Payment</w:t>
            </w:r>
          </w:p>
        </w:tc>
        <w:tc>
          <w:tcPr>
            <w:tcW w:w="950" w:type="dxa"/>
            <w:tcBorders/>
            <w:shd w:fill="FFFFFF" w:val="clear"/>
            <w:vAlign w:val="center"/>
          </w:tcPr>
          <w:p>
            <w:pPr>
              <w:pStyle w:val="TableContents"/>
              <w:bidi w:val="0"/>
              <w:spacing w:before="0" w:after="283"/>
              <w:jc w:val="right"/>
              <w:rPr/>
            </w:pPr>
            <w:r>
              <w:rPr/>
              <w:t>2</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(b)</w:t>
            </w:r>
          </w:p>
        </w:tc>
        <w:tc>
          <w:tcPr>
            <w:tcW w:w="6542" w:type="dxa"/>
            <w:tcBorders/>
            <w:shd w:fill="EEEEEE" w:val="clear"/>
            <w:vAlign w:val="center"/>
          </w:tcPr>
          <w:p>
            <w:pPr>
              <w:pStyle w:val="TableContents"/>
              <w:bidi w:val="0"/>
              <w:spacing w:before="0" w:after="283"/>
              <w:jc w:val="left"/>
              <w:rPr/>
            </w:pPr>
            <w:r>
              <w:rPr/>
              <w:t>Operating Costs</w:t>
            </w:r>
          </w:p>
        </w:tc>
        <w:tc>
          <w:tcPr>
            <w:tcW w:w="950" w:type="dxa"/>
            <w:tcBorders/>
            <w:shd w:fill="EEEEEE" w:val="clear"/>
            <w:vAlign w:val="center"/>
          </w:tcPr>
          <w:p>
            <w:pPr>
              <w:pStyle w:val="TableContents"/>
              <w:bidi w:val="0"/>
              <w:spacing w:before="0" w:after="283"/>
              <w:jc w:val="right"/>
              <w:rPr/>
            </w:pPr>
            <w:r>
              <w:rPr/>
              <w:t>2</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6542"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5.</w:t>
            </w:r>
          </w:p>
        </w:tc>
        <w:tc>
          <w:tcPr>
            <w:tcW w:w="6994" w:type="dxa"/>
            <w:gridSpan w:val="2"/>
            <w:tcBorders/>
            <w:shd w:fill="EEEEEE" w:val="clear"/>
            <w:vAlign w:val="center"/>
          </w:tcPr>
          <w:p>
            <w:pPr>
              <w:pStyle w:val="TableContents"/>
              <w:bidi w:val="0"/>
              <w:spacing w:before="0" w:after="283"/>
              <w:jc w:val="left"/>
              <w:rPr/>
            </w:pPr>
            <w:r>
              <w:rPr/>
              <w:t>Delinquent Payment; Handling Charges</w:t>
            </w:r>
          </w:p>
        </w:tc>
        <w:tc>
          <w:tcPr>
            <w:tcW w:w="950" w:type="dxa"/>
            <w:tcBorders/>
            <w:shd w:fill="EEEEEE" w:val="clear"/>
            <w:vAlign w:val="center"/>
          </w:tcPr>
          <w:p>
            <w:pPr>
              <w:pStyle w:val="TableContents"/>
              <w:bidi w:val="0"/>
              <w:spacing w:before="0" w:after="283"/>
              <w:jc w:val="right"/>
              <w:rPr/>
            </w:pPr>
            <w:r>
              <w:rPr/>
              <w:t>5</w:t>
            </w:r>
          </w:p>
        </w:tc>
      </w:tr>
      <w:tr>
        <w:trPr/>
        <w:tc>
          <w:tcPr>
            <w:tcW w:w="335" w:type="dxa"/>
            <w:tcBorders/>
            <w:shd w:fill="FFFFFF" w:val="clear"/>
            <w:vAlign w:val="center"/>
          </w:tcPr>
          <w:p>
            <w:pPr>
              <w:pStyle w:val="TableContents"/>
              <w:bidi w:val="0"/>
              <w:spacing w:before="0" w:after="283"/>
              <w:jc w:val="left"/>
              <w:rPr/>
            </w:pPr>
            <w:r>
              <w:rPr/>
              <w:t> </w:t>
            </w:r>
          </w:p>
        </w:tc>
        <w:tc>
          <w:tcPr>
            <w:tcW w:w="6994" w:type="dxa"/>
            <w:gridSpan w:val="2"/>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6.</w:t>
            </w:r>
          </w:p>
        </w:tc>
        <w:tc>
          <w:tcPr>
            <w:tcW w:w="6994" w:type="dxa"/>
            <w:gridSpan w:val="2"/>
            <w:tcBorders/>
            <w:shd w:fill="EEEEEE" w:val="clear"/>
            <w:vAlign w:val="center"/>
          </w:tcPr>
          <w:p>
            <w:pPr>
              <w:pStyle w:val="TableContents"/>
              <w:bidi w:val="0"/>
              <w:spacing w:before="0" w:after="283"/>
              <w:jc w:val="left"/>
              <w:rPr/>
            </w:pPr>
            <w:r>
              <w:rPr/>
              <w:t>Security Deposit</w:t>
            </w:r>
          </w:p>
        </w:tc>
        <w:tc>
          <w:tcPr>
            <w:tcW w:w="950" w:type="dxa"/>
            <w:tcBorders/>
            <w:shd w:fill="EEEEEE" w:val="clear"/>
            <w:vAlign w:val="center"/>
          </w:tcPr>
          <w:p>
            <w:pPr>
              <w:pStyle w:val="TableContents"/>
              <w:bidi w:val="0"/>
              <w:spacing w:before="0" w:after="283"/>
              <w:jc w:val="right"/>
              <w:rPr/>
            </w:pPr>
            <w:r>
              <w:rPr/>
              <w:t>6</w:t>
            </w:r>
          </w:p>
        </w:tc>
      </w:tr>
      <w:tr>
        <w:trPr/>
        <w:tc>
          <w:tcPr>
            <w:tcW w:w="335" w:type="dxa"/>
            <w:tcBorders/>
            <w:shd w:fill="FFFFFF" w:val="clear"/>
            <w:vAlign w:val="center"/>
          </w:tcPr>
          <w:p>
            <w:pPr>
              <w:pStyle w:val="TableContents"/>
              <w:bidi w:val="0"/>
              <w:spacing w:before="0" w:after="283"/>
              <w:jc w:val="left"/>
              <w:rPr/>
            </w:pPr>
            <w:r>
              <w:rPr/>
              <w:t> </w:t>
            </w:r>
          </w:p>
        </w:tc>
        <w:tc>
          <w:tcPr>
            <w:tcW w:w="6994" w:type="dxa"/>
            <w:gridSpan w:val="2"/>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7.</w:t>
            </w:r>
          </w:p>
        </w:tc>
        <w:tc>
          <w:tcPr>
            <w:tcW w:w="6994" w:type="dxa"/>
            <w:gridSpan w:val="2"/>
            <w:tcBorders/>
            <w:shd w:fill="EEEEEE" w:val="clear"/>
            <w:vAlign w:val="center"/>
          </w:tcPr>
          <w:p>
            <w:pPr>
              <w:pStyle w:val="TableContents"/>
              <w:bidi w:val="0"/>
              <w:spacing w:before="0" w:after="283"/>
              <w:jc w:val="left"/>
              <w:rPr/>
            </w:pPr>
            <w:r>
              <w:rPr/>
              <w:t>Landlord’s Maintenance Obligations</w:t>
            </w:r>
          </w:p>
        </w:tc>
        <w:tc>
          <w:tcPr>
            <w:tcW w:w="950" w:type="dxa"/>
            <w:tcBorders/>
            <w:shd w:fill="EEEEEE" w:val="clear"/>
            <w:vAlign w:val="center"/>
          </w:tcPr>
          <w:p>
            <w:pPr>
              <w:pStyle w:val="TableContents"/>
              <w:bidi w:val="0"/>
              <w:spacing w:before="0" w:after="283"/>
              <w:jc w:val="right"/>
              <w:rPr/>
            </w:pPr>
            <w:r>
              <w:rPr/>
              <w:t>6</w:t>
            </w:r>
          </w:p>
        </w:tc>
      </w:tr>
      <w:tr>
        <w:trPr/>
        <w:tc>
          <w:tcPr>
            <w:tcW w:w="335" w:type="dxa"/>
            <w:tcBorders/>
            <w:shd w:fill="FFFFFF" w:val="clear"/>
            <w:vAlign w:val="center"/>
          </w:tcPr>
          <w:p>
            <w:pPr>
              <w:pStyle w:val="TableContents"/>
              <w:bidi w:val="0"/>
              <w:spacing w:before="0" w:after="283"/>
              <w:jc w:val="left"/>
              <w:rPr/>
            </w:pPr>
            <w:r>
              <w:rPr/>
              <w:t> </w:t>
            </w:r>
          </w:p>
        </w:tc>
        <w:tc>
          <w:tcPr>
            <w:tcW w:w="6994" w:type="dxa"/>
            <w:gridSpan w:val="2"/>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8.</w:t>
            </w:r>
          </w:p>
        </w:tc>
        <w:tc>
          <w:tcPr>
            <w:tcW w:w="6994" w:type="dxa"/>
            <w:gridSpan w:val="2"/>
            <w:tcBorders/>
            <w:shd w:fill="EEEEEE" w:val="clear"/>
            <w:vAlign w:val="center"/>
          </w:tcPr>
          <w:p>
            <w:pPr>
              <w:pStyle w:val="TableContents"/>
              <w:bidi w:val="0"/>
              <w:spacing w:before="0" w:after="283"/>
              <w:jc w:val="left"/>
              <w:rPr/>
            </w:pPr>
            <w:r>
              <w:rPr/>
              <w:t>Improvements; Alterations; Tenant’s Maintenance and Repair Obligations</w:t>
            </w:r>
          </w:p>
        </w:tc>
        <w:tc>
          <w:tcPr>
            <w:tcW w:w="950" w:type="dxa"/>
            <w:tcBorders/>
            <w:shd w:fill="EEEEEE" w:val="clear"/>
            <w:vAlign w:val="center"/>
          </w:tcPr>
          <w:p>
            <w:pPr>
              <w:pStyle w:val="TableContents"/>
              <w:bidi w:val="0"/>
              <w:spacing w:before="0" w:after="283"/>
              <w:jc w:val="right"/>
              <w:rPr/>
            </w:pPr>
            <w:r>
              <w:rPr/>
              <w:t>6</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(a)</w:t>
            </w:r>
          </w:p>
        </w:tc>
        <w:tc>
          <w:tcPr>
            <w:tcW w:w="6542" w:type="dxa"/>
            <w:tcBorders/>
            <w:shd w:fill="FFFFFF" w:val="clear"/>
            <w:vAlign w:val="center"/>
          </w:tcPr>
          <w:p>
            <w:pPr>
              <w:pStyle w:val="TableContents"/>
              <w:bidi w:val="0"/>
              <w:spacing w:before="0" w:after="283"/>
              <w:jc w:val="left"/>
              <w:rPr/>
            </w:pPr>
            <w:r>
              <w:rPr/>
              <w:t>Improvements; Alterations</w:t>
            </w:r>
          </w:p>
        </w:tc>
        <w:tc>
          <w:tcPr>
            <w:tcW w:w="950" w:type="dxa"/>
            <w:tcBorders/>
            <w:shd w:fill="FFFFFF" w:val="clear"/>
            <w:vAlign w:val="center"/>
          </w:tcPr>
          <w:p>
            <w:pPr>
              <w:pStyle w:val="TableContents"/>
              <w:bidi w:val="0"/>
              <w:spacing w:before="0" w:after="283"/>
              <w:jc w:val="right"/>
              <w:rPr/>
            </w:pPr>
            <w:r>
              <w:rPr/>
              <w:t>6</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(b)</w:t>
            </w:r>
          </w:p>
        </w:tc>
        <w:tc>
          <w:tcPr>
            <w:tcW w:w="6542" w:type="dxa"/>
            <w:tcBorders/>
            <w:shd w:fill="EEEEEE" w:val="clear"/>
            <w:vAlign w:val="center"/>
          </w:tcPr>
          <w:p>
            <w:pPr>
              <w:pStyle w:val="TableContents"/>
              <w:bidi w:val="0"/>
              <w:spacing w:before="0" w:after="283"/>
              <w:jc w:val="left"/>
              <w:rPr/>
            </w:pPr>
            <w:r>
              <w:rPr/>
              <w:t>Repairs; Maintenance</w:t>
            </w:r>
          </w:p>
        </w:tc>
        <w:tc>
          <w:tcPr>
            <w:tcW w:w="950" w:type="dxa"/>
            <w:tcBorders/>
            <w:shd w:fill="EEEEEE" w:val="clear"/>
            <w:vAlign w:val="center"/>
          </w:tcPr>
          <w:p>
            <w:pPr>
              <w:pStyle w:val="TableContents"/>
              <w:bidi w:val="0"/>
              <w:spacing w:before="0" w:after="283"/>
              <w:jc w:val="right"/>
              <w:rPr/>
            </w:pPr>
            <w:r>
              <w:rPr/>
              <w:t>7</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(c)</w:t>
            </w:r>
          </w:p>
        </w:tc>
        <w:tc>
          <w:tcPr>
            <w:tcW w:w="6542" w:type="dxa"/>
            <w:tcBorders/>
            <w:shd w:fill="FFFFFF" w:val="clear"/>
            <w:vAlign w:val="center"/>
          </w:tcPr>
          <w:p>
            <w:pPr>
              <w:pStyle w:val="TableContents"/>
              <w:bidi w:val="0"/>
              <w:spacing w:before="0" w:after="283"/>
              <w:jc w:val="left"/>
              <w:rPr/>
            </w:pPr>
            <w:r>
              <w:rPr/>
              <w:t>Performance of Work</w:t>
            </w:r>
          </w:p>
        </w:tc>
        <w:tc>
          <w:tcPr>
            <w:tcW w:w="950" w:type="dxa"/>
            <w:tcBorders/>
            <w:shd w:fill="FFFFFF" w:val="clear"/>
            <w:vAlign w:val="center"/>
          </w:tcPr>
          <w:p>
            <w:pPr>
              <w:pStyle w:val="TableContents"/>
              <w:bidi w:val="0"/>
              <w:spacing w:before="0" w:after="283"/>
              <w:jc w:val="right"/>
              <w:rPr/>
            </w:pPr>
            <w:r>
              <w:rPr/>
              <w:t>7</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(d)</w:t>
            </w:r>
          </w:p>
        </w:tc>
        <w:tc>
          <w:tcPr>
            <w:tcW w:w="6542" w:type="dxa"/>
            <w:tcBorders/>
            <w:shd w:fill="EEEEEE" w:val="clear"/>
            <w:vAlign w:val="center"/>
          </w:tcPr>
          <w:p>
            <w:pPr>
              <w:pStyle w:val="TableContents"/>
              <w:bidi w:val="0"/>
              <w:spacing w:before="0" w:after="283"/>
              <w:jc w:val="left"/>
              <w:rPr/>
            </w:pPr>
            <w:r>
              <w:rPr/>
              <w:t>Mechanic’s Liens</w:t>
            </w:r>
          </w:p>
        </w:tc>
        <w:tc>
          <w:tcPr>
            <w:tcW w:w="950" w:type="dxa"/>
            <w:tcBorders/>
            <w:shd w:fill="EEEEEE" w:val="clear"/>
            <w:vAlign w:val="center"/>
          </w:tcPr>
          <w:p>
            <w:pPr>
              <w:pStyle w:val="TableContents"/>
              <w:bidi w:val="0"/>
              <w:spacing w:before="0" w:after="283"/>
              <w:jc w:val="right"/>
              <w:rPr/>
            </w:pPr>
            <w:r>
              <w:rPr/>
              <w:t>7</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(e)</w:t>
            </w:r>
          </w:p>
        </w:tc>
        <w:tc>
          <w:tcPr>
            <w:tcW w:w="6542" w:type="dxa"/>
            <w:tcBorders/>
            <w:shd w:fill="FFFFFF" w:val="clear"/>
            <w:vAlign w:val="center"/>
          </w:tcPr>
          <w:p>
            <w:pPr>
              <w:pStyle w:val="TableContents"/>
              <w:bidi w:val="0"/>
              <w:spacing w:before="0" w:after="283"/>
              <w:jc w:val="left"/>
              <w:rPr/>
            </w:pPr>
            <w:r>
              <w:rPr/>
              <w:t>Janitorial Services</w:t>
            </w:r>
          </w:p>
        </w:tc>
        <w:tc>
          <w:tcPr>
            <w:tcW w:w="950" w:type="dxa"/>
            <w:tcBorders/>
            <w:shd w:fill="FFFFFF" w:val="clear"/>
            <w:vAlign w:val="center"/>
          </w:tcPr>
          <w:p>
            <w:pPr>
              <w:pStyle w:val="TableContents"/>
              <w:bidi w:val="0"/>
              <w:spacing w:before="0" w:after="283"/>
              <w:jc w:val="right"/>
              <w:rPr/>
            </w:pPr>
            <w:r>
              <w:rPr/>
              <w:t>8</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 </w:t>
            </w:r>
          </w:p>
        </w:tc>
        <w:tc>
          <w:tcPr>
            <w:tcW w:w="6542"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9.</w:t>
            </w:r>
          </w:p>
        </w:tc>
        <w:tc>
          <w:tcPr>
            <w:tcW w:w="6994" w:type="dxa"/>
            <w:gridSpan w:val="2"/>
            <w:tcBorders/>
            <w:shd w:fill="FFFFFF" w:val="clear"/>
            <w:vAlign w:val="center"/>
          </w:tcPr>
          <w:p>
            <w:pPr>
              <w:pStyle w:val="TableContents"/>
              <w:bidi w:val="0"/>
              <w:spacing w:before="0" w:after="283"/>
              <w:jc w:val="left"/>
              <w:rPr/>
            </w:pPr>
            <w:r>
              <w:rPr/>
              <w:t>Utilities</w:t>
            </w:r>
          </w:p>
        </w:tc>
        <w:tc>
          <w:tcPr>
            <w:tcW w:w="950" w:type="dxa"/>
            <w:tcBorders/>
            <w:shd w:fill="FFFFFF" w:val="clear"/>
            <w:vAlign w:val="center"/>
          </w:tcPr>
          <w:p>
            <w:pPr>
              <w:pStyle w:val="TableContents"/>
              <w:bidi w:val="0"/>
              <w:spacing w:before="0" w:after="283"/>
              <w:jc w:val="right"/>
              <w:rPr/>
            </w:pPr>
            <w:r>
              <w:rPr/>
              <w:t>8</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 </w:t>
            </w:r>
          </w:p>
        </w:tc>
        <w:tc>
          <w:tcPr>
            <w:tcW w:w="6542"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10.</w:t>
            </w:r>
          </w:p>
        </w:tc>
        <w:tc>
          <w:tcPr>
            <w:tcW w:w="6994" w:type="dxa"/>
            <w:gridSpan w:val="2"/>
            <w:tcBorders/>
            <w:shd w:fill="FFFFFF" w:val="clear"/>
            <w:vAlign w:val="center"/>
          </w:tcPr>
          <w:p>
            <w:pPr>
              <w:pStyle w:val="TableContents"/>
              <w:bidi w:val="0"/>
              <w:spacing w:before="0" w:after="283"/>
              <w:jc w:val="left"/>
              <w:rPr/>
            </w:pPr>
            <w:r>
              <w:rPr/>
              <w:t>Use and Compliance with Law</w:t>
            </w:r>
          </w:p>
        </w:tc>
        <w:tc>
          <w:tcPr>
            <w:tcW w:w="950" w:type="dxa"/>
            <w:tcBorders/>
            <w:shd w:fill="FFFFFF" w:val="clear"/>
            <w:vAlign w:val="center"/>
          </w:tcPr>
          <w:p>
            <w:pPr>
              <w:pStyle w:val="TableContents"/>
              <w:bidi w:val="0"/>
              <w:spacing w:before="0" w:after="283"/>
              <w:jc w:val="right"/>
              <w:rPr/>
            </w:pPr>
            <w:r>
              <w:rPr/>
              <w:t>8</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(a)</w:t>
            </w:r>
          </w:p>
        </w:tc>
        <w:tc>
          <w:tcPr>
            <w:tcW w:w="6542" w:type="dxa"/>
            <w:tcBorders/>
            <w:shd w:fill="EEEEEE" w:val="clear"/>
            <w:vAlign w:val="center"/>
          </w:tcPr>
          <w:p>
            <w:pPr>
              <w:pStyle w:val="TableContents"/>
              <w:bidi w:val="0"/>
              <w:spacing w:before="0" w:after="283"/>
              <w:jc w:val="left"/>
              <w:rPr/>
            </w:pPr>
            <w:r>
              <w:rPr/>
              <w:t>Use</w:t>
            </w:r>
          </w:p>
        </w:tc>
        <w:tc>
          <w:tcPr>
            <w:tcW w:w="950" w:type="dxa"/>
            <w:tcBorders/>
            <w:shd w:fill="EEEEEE" w:val="clear"/>
            <w:vAlign w:val="center"/>
          </w:tcPr>
          <w:p>
            <w:pPr>
              <w:pStyle w:val="TableContents"/>
              <w:bidi w:val="0"/>
              <w:spacing w:before="0" w:after="283"/>
              <w:jc w:val="right"/>
              <w:rPr/>
            </w:pPr>
            <w:r>
              <w:rPr/>
              <w:t>8</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(b)</w:t>
            </w:r>
          </w:p>
        </w:tc>
        <w:tc>
          <w:tcPr>
            <w:tcW w:w="6542" w:type="dxa"/>
            <w:tcBorders/>
            <w:shd w:fill="FFFFFF" w:val="clear"/>
            <w:vAlign w:val="center"/>
          </w:tcPr>
          <w:p>
            <w:pPr>
              <w:pStyle w:val="TableContents"/>
              <w:bidi w:val="0"/>
              <w:spacing w:before="0" w:after="283"/>
              <w:jc w:val="left"/>
              <w:rPr/>
            </w:pPr>
            <w:r>
              <w:rPr/>
              <w:t>Compliance with Law</w:t>
            </w:r>
          </w:p>
        </w:tc>
        <w:tc>
          <w:tcPr>
            <w:tcW w:w="950" w:type="dxa"/>
            <w:tcBorders/>
            <w:shd w:fill="FFFFFF" w:val="clear"/>
            <w:vAlign w:val="center"/>
          </w:tcPr>
          <w:p>
            <w:pPr>
              <w:pStyle w:val="TableContents"/>
              <w:bidi w:val="0"/>
              <w:spacing w:before="0" w:after="283"/>
              <w:jc w:val="right"/>
              <w:rPr/>
            </w:pPr>
            <w:r>
              <w:rPr/>
              <w:t>8</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 </w:t>
            </w:r>
          </w:p>
        </w:tc>
        <w:tc>
          <w:tcPr>
            <w:tcW w:w="6542"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11.</w:t>
            </w:r>
          </w:p>
        </w:tc>
        <w:tc>
          <w:tcPr>
            <w:tcW w:w="6994" w:type="dxa"/>
            <w:gridSpan w:val="2"/>
            <w:tcBorders/>
            <w:shd w:fill="FFFFFF" w:val="clear"/>
            <w:vAlign w:val="center"/>
          </w:tcPr>
          <w:p>
            <w:pPr>
              <w:pStyle w:val="TableContents"/>
              <w:bidi w:val="0"/>
              <w:spacing w:before="0" w:after="283"/>
              <w:jc w:val="left"/>
              <w:rPr/>
            </w:pPr>
            <w:r>
              <w:rPr/>
              <w:t>Assignment and Subletting</w:t>
            </w:r>
          </w:p>
        </w:tc>
        <w:tc>
          <w:tcPr>
            <w:tcW w:w="950" w:type="dxa"/>
            <w:tcBorders/>
            <w:shd w:fill="FFFFFF" w:val="clear"/>
            <w:vAlign w:val="center"/>
          </w:tcPr>
          <w:p>
            <w:pPr>
              <w:pStyle w:val="TableContents"/>
              <w:bidi w:val="0"/>
              <w:spacing w:before="0" w:after="283"/>
              <w:jc w:val="right"/>
              <w:rPr/>
            </w:pPr>
            <w:r>
              <w:rPr/>
              <w:t>9</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(a)</w:t>
            </w:r>
          </w:p>
        </w:tc>
        <w:tc>
          <w:tcPr>
            <w:tcW w:w="6542" w:type="dxa"/>
            <w:tcBorders/>
            <w:shd w:fill="EEEEEE" w:val="clear"/>
            <w:vAlign w:val="center"/>
          </w:tcPr>
          <w:p>
            <w:pPr>
              <w:pStyle w:val="TableContents"/>
              <w:bidi w:val="0"/>
              <w:spacing w:before="0" w:after="283"/>
              <w:jc w:val="left"/>
              <w:rPr/>
            </w:pPr>
            <w:r>
              <w:rPr/>
              <w:t>Transfers</w:t>
            </w:r>
          </w:p>
        </w:tc>
        <w:tc>
          <w:tcPr>
            <w:tcW w:w="950" w:type="dxa"/>
            <w:tcBorders/>
            <w:shd w:fill="EEEEEE" w:val="clear"/>
            <w:vAlign w:val="center"/>
          </w:tcPr>
          <w:p>
            <w:pPr>
              <w:pStyle w:val="TableContents"/>
              <w:bidi w:val="0"/>
              <w:spacing w:before="0" w:after="283"/>
              <w:jc w:val="right"/>
              <w:rPr/>
            </w:pPr>
            <w:r>
              <w:rPr/>
              <w:t>9</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(b)</w:t>
            </w:r>
          </w:p>
        </w:tc>
        <w:tc>
          <w:tcPr>
            <w:tcW w:w="6542" w:type="dxa"/>
            <w:tcBorders/>
            <w:shd w:fill="FFFFFF" w:val="clear"/>
            <w:vAlign w:val="center"/>
          </w:tcPr>
          <w:p>
            <w:pPr>
              <w:pStyle w:val="TableContents"/>
              <w:bidi w:val="0"/>
              <w:spacing w:before="0" w:after="283"/>
              <w:jc w:val="left"/>
              <w:rPr/>
            </w:pPr>
            <w:r>
              <w:rPr/>
              <w:t>Consent Standards</w:t>
            </w:r>
          </w:p>
        </w:tc>
        <w:tc>
          <w:tcPr>
            <w:tcW w:w="950" w:type="dxa"/>
            <w:tcBorders/>
            <w:shd w:fill="FFFFFF" w:val="clear"/>
            <w:vAlign w:val="center"/>
          </w:tcPr>
          <w:p>
            <w:pPr>
              <w:pStyle w:val="TableContents"/>
              <w:bidi w:val="0"/>
              <w:spacing w:before="0" w:after="283"/>
              <w:jc w:val="right"/>
              <w:rPr/>
            </w:pPr>
            <w:r>
              <w:rPr/>
              <w:t>9</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(c)</w:t>
            </w:r>
          </w:p>
        </w:tc>
        <w:tc>
          <w:tcPr>
            <w:tcW w:w="6542" w:type="dxa"/>
            <w:tcBorders/>
            <w:shd w:fill="EEEEEE" w:val="clear"/>
            <w:vAlign w:val="center"/>
          </w:tcPr>
          <w:p>
            <w:pPr>
              <w:pStyle w:val="TableContents"/>
              <w:bidi w:val="0"/>
              <w:spacing w:before="0" w:after="283"/>
              <w:jc w:val="left"/>
              <w:rPr/>
            </w:pPr>
            <w:r>
              <w:rPr/>
              <w:t>Request for Consent</w:t>
            </w:r>
          </w:p>
        </w:tc>
        <w:tc>
          <w:tcPr>
            <w:tcW w:w="950" w:type="dxa"/>
            <w:tcBorders/>
            <w:shd w:fill="EEEEEE" w:val="clear"/>
            <w:vAlign w:val="center"/>
          </w:tcPr>
          <w:p>
            <w:pPr>
              <w:pStyle w:val="TableContents"/>
              <w:bidi w:val="0"/>
              <w:spacing w:before="0" w:after="283"/>
              <w:jc w:val="right"/>
              <w:rPr/>
            </w:pPr>
            <w:r>
              <w:rPr/>
              <w:t>9</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(d)</w:t>
            </w:r>
          </w:p>
        </w:tc>
        <w:tc>
          <w:tcPr>
            <w:tcW w:w="6542" w:type="dxa"/>
            <w:tcBorders/>
            <w:shd w:fill="FFFFFF" w:val="clear"/>
            <w:vAlign w:val="center"/>
          </w:tcPr>
          <w:p>
            <w:pPr>
              <w:pStyle w:val="TableContents"/>
              <w:bidi w:val="0"/>
              <w:spacing w:before="0" w:after="283"/>
              <w:jc w:val="left"/>
              <w:rPr/>
            </w:pPr>
            <w:r>
              <w:rPr/>
              <w:t>Conditions to Consent</w:t>
            </w:r>
          </w:p>
        </w:tc>
        <w:tc>
          <w:tcPr>
            <w:tcW w:w="950" w:type="dxa"/>
            <w:tcBorders/>
            <w:shd w:fill="FFFFFF" w:val="clear"/>
            <w:vAlign w:val="center"/>
          </w:tcPr>
          <w:p>
            <w:pPr>
              <w:pStyle w:val="TableContents"/>
              <w:bidi w:val="0"/>
              <w:spacing w:before="0" w:after="283"/>
              <w:jc w:val="right"/>
              <w:rPr/>
            </w:pPr>
            <w:r>
              <w:rPr/>
              <w:t>10</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(e)</w:t>
            </w:r>
          </w:p>
        </w:tc>
        <w:tc>
          <w:tcPr>
            <w:tcW w:w="6542" w:type="dxa"/>
            <w:tcBorders/>
            <w:shd w:fill="EEEEEE" w:val="clear"/>
            <w:vAlign w:val="center"/>
          </w:tcPr>
          <w:p>
            <w:pPr>
              <w:pStyle w:val="TableContents"/>
              <w:bidi w:val="0"/>
              <w:spacing w:before="0" w:after="283"/>
              <w:jc w:val="left"/>
              <w:rPr/>
            </w:pPr>
            <w:r>
              <w:rPr/>
              <w:t>Attornment by Subtenants</w:t>
            </w:r>
          </w:p>
        </w:tc>
        <w:tc>
          <w:tcPr>
            <w:tcW w:w="950" w:type="dxa"/>
            <w:tcBorders/>
            <w:shd w:fill="EEEEEE" w:val="clear"/>
            <w:vAlign w:val="center"/>
          </w:tcPr>
          <w:p>
            <w:pPr>
              <w:pStyle w:val="TableContents"/>
              <w:bidi w:val="0"/>
              <w:spacing w:before="0" w:after="283"/>
              <w:jc w:val="right"/>
              <w:rPr/>
            </w:pPr>
            <w:r>
              <w:rPr/>
              <w:t>10</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(f)</w:t>
            </w:r>
          </w:p>
        </w:tc>
        <w:tc>
          <w:tcPr>
            <w:tcW w:w="6542" w:type="dxa"/>
            <w:tcBorders/>
            <w:shd w:fill="FFFFFF" w:val="clear"/>
            <w:vAlign w:val="center"/>
          </w:tcPr>
          <w:p>
            <w:pPr>
              <w:pStyle w:val="TableContents"/>
              <w:bidi w:val="0"/>
              <w:spacing w:before="0" w:after="283"/>
              <w:jc w:val="left"/>
              <w:rPr/>
            </w:pPr>
            <w:r>
              <w:rPr/>
              <w:t>Cancellation</w:t>
            </w:r>
          </w:p>
        </w:tc>
        <w:tc>
          <w:tcPr>
            <w:tcW w:w="950" w:type="dxa"/>
            <w:tcBorders/>
            <w:shd w:fill="FFFFFF" w:val="clear"/>
            <w:vAlign w:val="center"/>
          </w:tcPr>
          <w:p>
            <w:pPr>
              <w:pStyle w:val="TableContents"/>
              <w:bidi w:val="0"/>
              <w:spacing w:before="0" w:after="283"/>
              <w:jc w:val="right"/>
              <w:rPr/>
            </w:pPr>
            <w:r>
              <w:rPr/>
              <w:t>10</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(g)</w:t>
            </w:r>
          </w:p>
        </w:tc>
        <w:tc>
          <w:tcPr>
            <w:tcW w:w="6542" w:type="dxa"/>
            <w:tcBorders/>
            <w:shd w:fill="EEEEEE" w:val="clear"/>
            <w:vAlign w:val="center"/>
          </w:tcPr>
          <w:p>
            <w:pPr>
              <w:pStyle w:val="TableContents"/>
              <w:bidi w:val="0"/>
              <w:spacing w:before="0" w:after="283"/>
              <w:jc w:val="left"/>
              <w:rPr/>
            </w:pPr>
            <w:r>
              <w:rPr/>
              <w:t>Additional Compensation</w:t>
            </w:r>
          </w:p>
        </w:tc>
        <w:tc>
          <w:tcPr>
            <w:tcW w:w="950" w:type="dxa"/>
            <w:tcBorders/>
            <w:shd w:fill="EEEEEE" w:val="clear"/>
            <w:vAlign w:val="center"/>
          </w:tcPr>
          <w:p>
            <w:pPr>
              <w:pStyle w:val="TableContents"/>
              <w:bidi w:val="0"/>
              <w:spacing w:before="0" w:after="283"/>
              <w:jc w:val="right"/>
              <w:rPr/>
            </w:pPr>
            <w:r>
              <w:rPr/>
              <w:t>10</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(h)</w:t>
            </w:r>
          </w:p>
        </w:tc>
        <w:tc>
          <w:tcPr>
            <w:tcW w:w="6542" w:type="dxa"/>
            <w:tcBorders/>
            <w:shd w:fill="FFFFFF" w:val="clear"/>
            <w:vAlign w:val="center"/>
          </w:tcPr>
          <w:p>
            <w:pPr>
              <w:pStyle w:val="TableContents"/>
              <w:bidi w:val="0"/>
              <w:spacing w:before="0" w:after="283"/>
              <w:jc w:val="left"/>
              <w:rPr/>
            </w:pPr>
            <w:r>
              <w:rPr/>
              <w:t>Permitted Transfers</w:t>
            </w:r>
          </w:p>
        </w:tc>
        <w:tc>
          <w:tcPr>
            <w:tcW w:w="950" w:type="dxa"/>
            <w:tcBorders/>
            <w:shd w:fill="FFFFFF" w:val="clear"/>
            <w:vAlign w:val="center"/>
          </w:tcPr>
          <w:p>
            <w:pPr>
              <w:pStyle w:val="TableContents"/>
              <w:bidi w:val="0"/>
              <w:spacing w:before="0" w:after="283"/>
              <w:jc w:val="right"/>
              <w:rPr/>
            </w:pPr>
            <w:r>
              <w:rPr/>
              <w:t>10</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 </w:t>
            </w:r>
          </w:p>
        </w:tc>
        <w:tc>
          <w:tcPr>
            <w:tcW w:w="6542"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12.</w:t>
            </w:r>
          </w:p>
        </w:tc>
        <w:tc>
          <w:tcPr>
            <w:tcW w:w="6994" w:type="dxa"/>
            <w:gridSpan w:val="2"/>
            <w:tcBorders/>
            <w:shd w:fill="FFFFFF" w:val="clear"/>
            <w:vAlign w:val="center"/>
          </w:tcPr>
          <w:p>
            <w:pPr>
              <w:pStyle w:val="TableContents"/>
              <w:bidi w:val="0"/>
              <w:spacing w:before="0" w:after="283"/>
              <w:jc w:val="left"/>
              <w:rPr/>
            </w:pPr>
            <w:r>
              <w:rPr/>
              <w:t>Insurance; Waivers; Subrogation; Indemnity</w:t>
            </w:r>
          </w:p>
        </w:tc>
        <w:tc>
          <w:tcPr>
            <w:tcW w:w="950" w:type="dxa"/>
            <w:tcBorders/>
            <w:shd w:fill="FFFFFF" w:val="clear"/>
            <w:vAlign w:val="center"/>
          </w:tcPr>
          <w:p>
            <w:pPr>
              <w:pStyle w:val="TableContents"/>
              <w:bidi w:val="0"/>
              <w:spacing w:before="0" w:after="283"/>
              <w:jc w:val="right"/>
              <w:rPr/>
            </w:pPr>
            <w:r>
              <w:rPr/>
              <w:t>11</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(a)</w:t>
            </w:r>
          </w:p>
        </w:tc>
        <w:tc>
          <w:tcPr>
            <w:tcW w:w="6542" w:type="dxa"/>
            <w:tcBorders/>
            <w:shd w:fill="EEEEEE" w:val="clear"/>
            <w:vAlign w:val="center"/>
          </w:tcPr>
          <w:p>
            <w:pPr>
              <w:pStyle w:val="TableContents"/>
              <w:bidi w:val="0"/>
              <w:spacing w:before="0" w:after="283"/>
              <w:jc w:val="left"/>
              <w:rPr/>
            </w:pPr>
            <w:r>
              <w:rPr/>
              <w:t>Tenant’s Insurance</w:t>
            </w:r>
          </w:p>
        </w:tc>
        <w:tc>
          <w:tcPr>
            <w:tcW w:w="950" w:type="dxa"/>
            <w:tcBorders/>
            <w:shd w:fill="EEEEEE" w:val="clear"/>
            <w:vAlign w:val="center"/>
          </w:tcPr>
          <w:p>
            <w:pPr>
              <w:pStyle w:val="TableContents"/>
              <w:bidi w:val="0"/>
              <w:spacing w:before="0" w:after="283"/>
              <w:jc w:val="right"/>
              <w:rPr/>
            </w:pPr>
            <w:r>
              <w:rPr/>
              <w:t>11</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(b)</w:t>
            </w:r>
          </w:p>
        </w:tc>
        <w:tc>
          <w:tcPr>
            <w:tcW w:w="6542" w:type="dxa"/>
            <w:tcBorders/>
            <w:shd w:fill="FFFFFF" w:val="clear"/>
            <w:vAlign w:val="center"/>
          </w:tcPr>
          <w:p>
            <w:pPr>
              <w:pStyle w:val="TableContents"/>
              <w:bidi w:val="0"/>
              <w:spacing w:before="0" w:after="283"/>
              <w:jc w:val="left"/>
              <w:rPr/>
            </w:pPr>
            <w:r>
              <w:rPr/>
              <w:t>Landlord’s Insurance</w:t>
            </w:r>
          </w:p>
        </w:tc>
        <w:tc>
          <w:tcPr>
            <w:tcW w:w="950" w:type="dxa"/>
            <w:tcBorders/>
            <w:shd w:fill="FFFFFF" w:val="clear"/>
            <w:vAlign w:val="center"/>
          </w:tcPr>
          <w:p>
            <w:pPr>
              <w:pStyle w:val="TableContents"/>
              <w:bidi w:val="0"/>
              <w:spacing w:before="0" w:after="283"/>
              <w:jc w:val="right"/>
              <w:rPr/>
            </w:pPr>
            <w:r>
              <w:rPr/>
              <w:t>12</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(c)</w:t>
            </w:r>
          </w:p>
        </w:tc>
        <w:tc>
          <w:tcPr>
            <w:tcW w:w="6542" w:type="dxa"/>
            <w:tcBorders/>
            <w:shd w:fill="EEEEEE" w:val="clear"/>
            <w:vAlign w:val="center"/>
          </w:tcPr>
          <w:p>
            <w:pPr>
              <w:pStyle w:val="TableContents"/>
              <w:bidi w:val="0"/>
              <w:spacing w:before="0" w:after="283"/>
              <w:jc w:val="left"/>
              <w:rPr/>
            </w:pPr>
            <w:r>
              <w:rPr/>
              <w:t>No Subrogation; Waiver of Property Claims</w:t>
            </w:r>
          </w:p>
        </w:tc>
        <w:tc>
          <w:tcPr>
            <w:tcW w:w="950" w:type="dxa"/>
            <w:tcBorders/>
            <w:shd w:fill="EEEEEE" w:val="clear"/>
            <w:vAlign w:val="center"/>
          </w:tcPr>
          <w:p>
            <w:pPr>
              <w:pStyle w:val="TableContents"/>
              <w:bidi w:val="0"/>
              <w:spacing w:before="0" w:after="283"/>
              <w:jc w:val="right"/>
              <w:rPr/>
            </w:pPr>
            <w:r>
              <w:rPr/>
              <w:t>12</w:t>
            </w:r>
          </w:p>
        </w:tc>
      </w:tr>
    </w:tbl>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6329" w:type="dxa"/>
        <w:jc w:val="left"/>
        <w:tblInd w:w="0" w:type="dxa"/>
        <w:tblLayout w:type="fixed"/>
        <w:tblCellMar>
          <w:top w:w="0" w:type="dxa"/>
          <w:left w:w="0" w:type="dxa"/>
          <w:bottom w:w="0" w:type="dxa"/>
          <w:right w:w="0" w:type="dxa"/>
        </w:tblCellMar>
      </w:tblPr>
      <w:tblGrid>
        <w:gridCol w:w="335"/>
        <w:gridCol w:w="355"/>
        <w:gridCol w:w="5364"/>
        <w:gridCol w:w="275"/>
      </w:tblGrid>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(d)</w:t>
            </w:r>
          </w:p>
        </w:tc>
        <w:tc>
          <w:tcPr>
            <w:tcW w:w="5364" w:type="dxa"/>
            <w:tcBorders/>
            <w:shd w:fill="EEEEEE" w:val="clear"/>
            <w:vAlign w:val="center"/>
          </w:tcPr>
          <w:p>
            <w:pPr>
              <w:pStyle w:val="TableContents"/>
              <w:bidi w:val="0"/>
              <w:spacing w:before="0" w:after="283"/>
              <w:jc w:val="left"/>
              <w:rPr/>
            </w:pPr>
            <w:r>
              <w:rPr/>
              <w:t>Indemnity</w:t>
            </w:r>
          </w:p>
        </w:tc>
        <w:tc>
          <w:tcPr>
            <w:tcW w:w="275" w:type="dxa"/>
            <w:tcBorders/>
            <w:shd w:fill="EEEEEE" w:val="clear"/>
            <w:vAlign w:val="center"/>
          </w:tcPr>
          <w:p>
            <w:pPr>
              <w:pStyle w:val="TableContents"/>
              <w:bidi w:val="0"/>
              <w:spacing w:before="0" w:after="283"/>
              <w:jc w:val="right"/>
              <w:rPr/>
            </w:pPr>
            <w:r>
              <w:rPr/>
              <w:t>12</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(e)</w:t>
            </w:r>
          </w:p>
        </w:tc>
        <w:tc>
          <w:tcPr>
            <w:tcW w:w="5364" w:type="dxa"/>
            <w:tcBorders/>
            <w:shd w:fill="FFFFFF" w:val="clear"/>
            <w:vAlign w:val="center"/>
          </w:tcPr>
          <w:p>
            <w:pPr>
              <w:pStyle w:val="TableContents"/>
              <w:bidi w:val="0"/>
              <w:spacing w:before="0" w:after="283"/>
              <w:jc w:val="left"/>
              <w:rPr/>
            </w:pPr>
            <w:r>
              <w:rPr/>
              <w:t>Cost of Landlord’s Insurance</w:t>
            </w:r>
          </w:p>
        </w:tc>
        <w:tc>
          <w:tcPr>
            <w:tcW w:w="275" w:type="dxa"/>
            <w:tcBorders/>
            <w:shd w:fill="FFFFFF" w:val="clear"/>
            <w:vAlign w:val="center"/>
          </w:tcPr>
          <w:p>
            <w:pPr>
              <w:pStyle w:val="TableContents"/>
              <w:bidi w:val="0"/>
              <w:spacing w:before="0" w:after="283"/>
              <w:jc w:val="right"/>
              <w:rPr/>
            </w:pPr>
            <w:r>
              <w:rPr/>
              <w:t>13</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 </w:t>
            </w:r>
          </w:p>
        </w:tc>
        <w:tc>
          <w:tcPr>
            <w:tcW w:w="5364"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13.</w:t>
            </w:r>
          </w:p>
        </w:tc>
        <w:tc>
          <w:tcPr>
            <w:tcW w:w="5719" w:type="dxa"/>
            <w:gridSpan w:val="2"/>
            <w:tcBorders/>
            <w:shd w:fill="FFFFFF" w:val="clear"/>
            <w:vAlign w:val="center"/>
          </w:tcPr>
          <w:p>
            <w:pPr>
              <w:pStyle w:val="TableContents"/>
              <w:bidi w:val="0"/>
              <w:spacing w:before="0" w:after="283"/>
              <w:jc w:val="left"/>
              <w:rPr/>
            </w:pPr>
            <w:r>
              <w:rPr/>
              <w:t>Subordination; Attornment; Notice to Landlord’s Mortgagee</w:t>
            </w:r>
          </w:p>
        </w:tc>
        <w:tc>
          <w:tcPr>
            <w:tcW w:w="275" w:type="dxa"/>
            <w:tcBorders/>
            <w:shd w:fill="FFFFFF" w:val="clear"/>
            <w:vAlign w:val="center"/>
          </w:tcPr>
          <w:p>
            <w:pPr>
              <w:pStyle w:val="TableContents"/>
              <w:bidi w:val="0"/>
              <w:spacing w:before="0" w:after="283"/>
              <w:jc w:val="right"/>
              <w:rPr/>
            </w:pPr>
            <w:r>
              <w:rPr/>
              <w:t>13</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(a)</w:t>
            </w:r>
          </w:p>
        </w:tc>
        <w:tc>
          <w:tcPr>
            <w:tcW w:w="5364" w:type="dxa"/>
            <w:tcBorders/>
            <w:shd w:fill="EEEEEE" w:val="clear"/>
            <w:vAlign w:val="center"/>
          </w:tcPr>
          <w:p>
            <w:pPr>
              <w:pStyle w:val="TableContents"/>
              <w:bidi w:val="0"/>
              <w:spacing w:before="0" w:after="283"/>
              <w:jc w:val="left"/>
              <w:rPr/>
            </w:pPr>
            <w:r>
              <w:rPr/>
              <w:t>Subordination</w:t>
            </w:r>
          </w:p>
        </w:tc>
        <w:tc>
          <w:tcPr>
            <w:tcW w:w="275" w:type="dxa"/>
            <w:tcBorders/>
            <w:shd w:fill="EEEEEE" w:val="clear"/>
            <w:vAlign w:val="center"/>
          </w:tcPr>
          <w:p>
            <w:pPr>
              <w:pStyle w:val="TableContents"/>
              <w:bidi w:val="0"/>
              <w:spacing w:before="0" w:after="283"/>
              <w:jc w:val="right"/>
              <w:rPr/>
            </w:pPr>
            <w:r>
              <w:rPr/>
              <w:t>13</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(b)</w:t>
            </w:r>
          </w:p>
        </w:tc>
        <w:tc>
          <w:tcPr>
            <w:tcW w:w="5364" w:type="dxa"/>
            <w:tcBorders/>
            <w:shd w:fill="FFFFFF" w:val="clear"/>
            <w:vAlign w:val="center"/>
          </w:tcPr>
          <w:p>
            <w:pPr>
              <w:pStyle w:val="TableContents"/>
              <w:bidi w:val="0"/>
              <w:spacing w:before="0" w:after="283"/>
              <w:jc w:val="left"/>
              <w:rPr/>
            </w:pPr>
            <w:r>
              <w:rPr/>
              <w:t>Attornment</w:t>
            </w:r>
          </w:p>
        </w:tc>
        <w:tc>
          <w:tcPr>
            <w:tcW w:w="275" w:type="dxa"/>
            <w:tcBorders/>
            <w:shd w:fill="FFFFFF" w:val="clear"/>
            <w:vAlign w:val="center"/>
          </w:tcPr>
          <w:p>
            <w:pPr>
              <w:pStyle w:val="TableContents"/>
              <w:bidi w:val="0"/>
              <w:spacing w:before="0" w:after="283"/>
              <w:jc w:val="right"/>
              <w:rPr/>
            </w:pPr>
            <w:r>
              <w:rPr/>
              <w:t>13</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(c)</w:t>
            </w:r>
          </w:p>
        </w:tc>
        <w:tc>
          <w:tcPr>
            <w:tcW w:w="5364" w:type="dxa"/>
            <w:tcBorders/>
            <w:shd w:fill="EEEEEE" w:val="clear"/>
            <w:vAlign w:val="center"/>
          </w:tcPr>
          <w:p>
            <w:pPr>
              <w:pStyle w:val="TableContents"/>
              <w:bidi w:val="0"/>
              <w:spacing w:before="0" w:after="283"/>
              <w:jc w:val="left"/>
              <w:rPr/>
            </w:pPr>
            <w:r>
              <w:rPr/>
              <w:t>Notice to Landlord’s Mortgagee</w:t>
            </w:r>
          </w:p>
        </w:tc>
        <w:tc>
          <w:tcPr>
            <w:tcW w:w="275" w:type="dxa"/>
            <w:tcBorders/>
            <w:shd w:fill="EEEEEE" w:val="clear"/>
            <w:vAlign w:val="center"/>
          </w:tcPr>
          <w:p>
            <w:pPr>
              <w:pStyle w:val="TableContents"/>
              <w:bidi w:val="0"/>
              <w:spacing w:before="0" w:after="283"/>
              <w:jc w:val="right"/>
              <w:rPr/>
            </w:pPr>
            <w:r>
              <w:rPr/>
              <w:t>13</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(d)</w:t>
            </w:r>
          </w:p>
        </w:tc>
        <w:tc>
          <w:tcPr>
            <w:tcW w:w="5364" w:type="dxa"/>
            <w:tcBorders/>
            <w:shd w:fill="FFFFFF" w:val="clear"/>
            <w:vAlign w:val="center"/>
          </w:tcPr>
          <w:p>
            <w:pPr>
              <w:pStyle w:val="TableContents"/>
              <w:bidi w:val="0"/>
              <w:spacing w:before="0" w:after="283"/>
              <w:jc w:val="left"/>
              <w:rPr/>
            </w:pPr>
            <w:r>
              <w:rPr/>
              <w:t>Landlord’s Mortgagee’s Protection Provisions</w:t>
            </w:r>
          </w:p>
        </w:tc>
        <w:tc>
          <w:tcPr>
            <w:tcW w:w="275" w:type="dxa"/>
            <w:tcBorders/>
            <w:shd w:fill="FFFFFF" w:val="clear"/>
            <w:vAlign w:val="center"/>
          </w:tcPr>
          <w:p>
            <w:pPr>
              <w:pStyle w:val="TableContents"/>
              <w:bidi w:val="0"/>
              <w:spacing w:before="0" w:after="283"/>
              <w:jc w:val="right"/>
              <w:rPr/>
            </w:pPr>
            <w:r>
              <w:rPr/>
              <w:t>13</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 </w:t>
            </w:r>
          </w:p>
        </w:tc>
        <w:tc>
          <w:tcPr>
            <w:tcW w:w="5364"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14.</w:t>
            </w:r>
          </w:p>
        </w:tc>
        <w:tc>
          <w:tcPr>
            <w:tcW w:w="5719" w:type="dxa"/>
            <w:gridSpan w:val="2"/>
            <w:tcBorders/>
            <w:shd w:fill="FFFFFF" w:val="clear"/>
            <w:vAlign w:val="center"/>
          </w:tcPr>
          <w:p>
            <w:pPr>
              <w:pStyle w:val="TableContents"/>
              <w:bidi w:val="0"/>
              <w:spacing w:before="0" w:after="283"/>
              <w:jc w:val="left"/>
              <w:rPr/>
            </w:pPr>
            <w:r>
              <w:rPr/>
              <w:t>Rules and Regulations</w:t>
            </w:r>
          </w:p>
        </w:tc>
        <w:tc>
          <w:tcPr>
            <w:tcW w:w="275" w:type="dxa"/>
            <w:tcBorders/>
            <w:shd w:fill="FFFFFF" w:val="clear"/>
            <w:vAlign w:val="center"/>
          </w:tcPr>
          <w:p>
            <w:pPr>
              <w:pStyle w:val="TableContents"/>
              <w:bidi w:val="0"/>
              <w:spacing w:before="0" w:after="283"/>
              <w:jc w:val="right"/>
              <w:rPr/>
            </w:pPr>
            <w:r>
              <w:rPr/>
              <w:t>13</w:t>
            </w:r>
          </w:p>
        </w:tc>
      </w:tr>
      <w:tr>
        <w:trPr/>
        <w:tc>
          <w:tcPr>
            <w:tcW w:w="335" w:type="dxa"/>
            <w:tcBorders/>
            <w:shd w:fill="EEEEEE" w:val="clear"/>
            <w:vAlign w:val="center"/>
          </w:tcPr>
          <w:p>
            <w:pPr>
              <w:pStyle w:val="TableContents"/>
              <w:bidi w:val="0"/>
              <w:spacing w:before="0" w:after="283"/>
              <w:jc w:val="left"/>
              <w:rPr/>
            </w:pPr>
            <w:r>
              <w:rPr/>
              <w:t> </w:t>
            </w:r>
          </w:p>
        </w:tc>
        <w:tc>
          <w:tcPr>
            <w:tcW w:w="5719" w:type="dxa"/>
            <w:gridSpan w:val="2"/>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15.</w:t>
            </w:r>
          </w:p>
        </w:tc>
        <w:tc>
          <w:tcPr>
            <w:tcW w:w="5719" w:type="dxa"/>
            <w:gridSpan w:val="2"/>
            <w:tcBorders/>
            <w:shd w:fill="FFFFFF" w:val="clear"/>
            <w:vAlign w:val="center"/>
          </w:tcPr>
          <w:p>
            <w:pPr>
              <w:pStyle w:val="TableContents"/>
              <w:bidi w:val="0"/>
              <w:spacing w:before="0" w:after="283"/>
              <w:jc w:val="left"/>
              <w:rPr/>
            </w:pPr>
            <w:r>
              <w:rPr/>
              <w:t>Condemnation</w:t>
            </w:r>
          </w:p>
        </w:tc>
        <w:tc>
          <w:tcPr>
            <w:tcW w:w="275" w:type="dxa"/>
            <w:tcBorders/>
            <w:shd w:fill="FFFFFF" w:val="clear"/>
            <w:vAlign w:val="center"/>
          </w:tcPr>
          <w:p>
            <w:pPr>
              <w:pStyle w:val="TableContents"/>
              <w:bidi w:val="0"/>
              <w:spacing w:before="0" w:after="283"/>
              <w:jc w:val="right"/>
              <w:rPr/>
            </w:pPr>
            <w:r>
              <w:rPr/>
              <w:t>14</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(a)</w:t>
            </w:r>
          </w:p>
        </w:tc>
        <w:tc>
          <w:tcPr>
            <w:tcW w:w="5364" w:type="dxa"/>
            <w:tcBorders/>
            <w:shd w:fill="EEEEEE" w:val="clear"/>
            <w:vAlign w:val="center"/>
          </w:tcPr>
          <w:p>
            <w:pPr>
              <w:pStyle w:val="TableContents"/>
              <w:bidi w:val="0"/>
              <w:spacing w:before="0" w:after="283"/>
              <w:jc w:val="left"/>
              <w:rPr/>
            </w:pPr>
            <w:r>
              <w:rPr/>
              <w:t>Total Taking</w:t>
            </w:r>
          </w:p>
        </w:tc>
        <w:tc>
          <w:tcPr>
            <w:tcW w:w="275" w:type="dxa"/>
            <w:tcBorders/>
            <w:shd w:fill="EEEEEE" w:val="clear"/>
            <w:vAlign w:val="center"/>
          </w:tcPr>
          <w:p>
            <w:pPr>
              <w:pStyle w:val="TableContents"/>
              <w:bidi w:val="0"/>
              <w:spacing w:before="0" w:after="283"/>
              <w:jc w:val="right"/>
              <w:rPr/>
            </w:pPr>
            <w:r>
              <w:rPr/>
              <w:t>14</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(b)</w:t>
            </w:r>
          </w:p>
        </w:tc>
        <w:tc>
          <w:tcPr>
            <w:tcW w:w="5364" w:type="dxa"/>
            <w:tcBorders/>
            <w:shd w:fill="FFFFFF" w:val="clear"/>
            <w:vAlign w:val="center"/>
          </w:tcPr>
          <w:p>
            <w:pPr>
              <w:pStyle w:val="TableContents"/>
              <w:bidi w:val="0"/>
              <w:spacing w:before="0" w:after="283"/>
              <w:jc w:val="left"/>
              <w:rPr/>
            </w:pPr>
            <w:r>
              <w:rPr/>
              <w:t>Partial Taking - Tenant’s Rights</w:t>
            </w:r>
          </w:p>
        </w:tc>
        <w:tc>
          <w:tcPr>
            <w:tcW w:w="275" w:type="dxa"/>
            <w:tcBorders/>
            <w:shd w:fill="FFFFFF" w:val="clear"/>
            <w:vAlign w:val="center"/>
          </w:tcPr>
          <w:p>
            <w:pPr>
              <w:pStyle w:val="TableContents"/>
              <w:bidi w:val="0"/>
              <w:spacing w:before="0" w:after="283"/>
              <w:jc w:val="right"/>
              <w:rPr/>
            </w:pPr>
            <w:r>
              <w:rPr/>
              <w:t>14</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(c)</w:t>
            </w:r>
          </w:p>
        </w:tc>
        <w:tc>
          <w:tcPr>
            <w:tcW w:w="5364" w:type="dxa"/>
            <w:tcBorders/>
            <w:shd w:fill="EEEEEE" w:val="clear"/>
            <w:vAlign w:val="center"/>
          </w:tcPr>
          <w:p>
            <w:pPr>
              <w:pStyle w:val="TableContents"/>
              <w:bidi w:val="0"/>
              <w:spacing w:before="0" w:after="283"/>
              <w:jc w:val="left"/>
              <w:rPr/>
            </w:pPr>
            <w:r>
              <w:rPr/>
              <w:t>Partial Taking - Landlord’s Rights</w:t>
            </w:r>
          </w:p>
        </w:tc>
        <w:tc>
          <w:tcPr>
            <w:tcW w:w="275" w:type="dxa"/>
            <w:tcBorders/>
            <w:shd w:fill="EEEEEE" w:val="clear"/>
            <w:vAlign w:val="center"/>
          </w:tcPr>
          <w:p>
            <w:pPr>
              <w:pStyle w:val="TableContents"/>
              <w:bidi w:val="0"/>
              <w:spacing w:before="0" w:after="283"/>
              <w:jc w:val="right"/>
              <w:rPr/>
            </w:pPr>
            <w:r>
              <w:rPr/>
              <w:t>14</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(d)</w:t>
            </w:r>
          </w:p>
        </w:tc>
        <w:tc>
          <w:tcPr>
            <w:tcW w:w="5364" w:type="dxa"/>
            <w:tcBorders/>
            <w:shd w:fill="FFFFFF" w:val="clear"/>
            <w:vAlign w:val="center"/>
          </w:tcPr>
          <w:p>
            <w:pPr>
              <w:pStyle w:val="TableContents"/>
              <w:bidi w:val="0"/>
              <w:spacing w:before="0" w:after="283"/>
              <w:jc w:val="left"/>
              <w:rPr/>
            </w:pPr>
            <w:r>
              <w:rPr/>
              <w:t>Temporary Taking</w:t>
            </w:r>
          </w:p>
        </w:tc>
        <w:tc>
          <w:tcPr>
            <w:tcW w:w="275" w:type="dxa"/>
            <w:tcBorders/>
            <w:shd w:fill="FFFFFF" w:val="clear"/>
            <w:vAlign w:val="center"/>
          </w:tcPr>
          <w:p>
            <w:pPr>
              <w:pStyle w:val="TableContents"/>
              <w:bidi w:val="0"/>
              <w:spacing w:before="0" w:after="283"/>
              <w:jc w:val="right"/>
              <w:rPr/>
            </w:pPr>
            <w:r>
              <w:rPr/>
              <w:t>14</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(e)</w:t>
            </w:r>
          </w:p>
        </w:tc>
        <w:tc>
          <w:tcPr>
            <w:tcW w:w="5364" w:type="dxa"/>
            <w:tcBorders/>
            <w:shd w:fill="EEEEEE" w:val="clear"/>
            <w:vAlign w:val="center"/>
          </w:tcPr>
          <w:p>
            <w:pPr>
              <w:pStyle w:val="TableContents"/>
              <w:bidi w:val="0"/>
              <w:spacing w:before="0" w:after="283"/>
              <w:jc w:val="left"/>
              <w:rPr/>
            </w:pPr>
            <w:r>
              <w:rPr/>
              <w:t>Award</w:t>
            </w:r>
          </w:p>
        </w:tc>
        <w:tc>
          <w:tcPr>
            <w:tcW w:w="275" w:type="dxa"/>
            <w:tcBorders/>
            <w:shd w:fill="EEEEEE" w:val="clear"/>
            <w:vAlign w:val="center"/>
          </w:tcPr>
          <w:p>
            <w:pPr>
              <w:pStyle w:val="TableContents"/>
              <w:bidi w:val="0"/>
              <w:spacing w:before="0" w:after="283"/>
              <w:jc w:val="right"/>
              <w:rPr/>
            </w:pPr>
            <w:r>
              <w:rPr/>
              <w:t>15</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5364"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16.</w:t>
            </w:r>
          </w:p>
        </w:tc>
        <w:tc>
          <w:tcPr>
            <w:tcW w:w="5719" w:type="dxa"/>
            <w:gridSpan w:val="2"/>
            <w:tcBorders/>
            <w:shd w:fill="EEEEEE" w:val="clear"/>
            <w:vAlign w:val="center"/>
          </w:tcPr>
          <w:p>
            <w:pPr>
              <w:pStyle w:val="TableContents"/>
              <w:bidi w:val="0"/>
              <w:spacing w:before="0" w:after="283"/>
              <w:jc w:val="left"/>
              <w:rPr/>
            </w:pPr>
            <w:r>
              <w:rPr/>
              <w:t>Fire or Other Casualty</w:t>
            </w:r>
          </w:p>
        </w:tc>
        <w:tc>
          <w:tcPr>
            <w:tcW w:w="275" w:type="dxa"/>
            <w:tcBorders/>
            <w:shd w:fill="EEEEEE" w:val="clear"/>
            <w:vAlign w:val="center"/>
          </w:tcPr>
          <w:p>
            <w:pPr>
              <w:pStyle w:val="TableContents"/>
              <w:bidi w:val="0"/>
              <w:spacing w:before="0" w:after="283"/>
              <w:jc w:val="right"/>
              <w:rPr/>
            </w:pPr>
            <w:r>
              <w:rPr/>
              <w:t>15</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(a)</w:t>
            </w:r>
          </w:p>
        </w:tc>
        <w:tc>
          <w:tcPr>
            <w:tcW w:w="5364" w:type="dxa"/>
            <w:tcBorders/>
            <w:shd w:fill="FFFFFF" w:val="clear"/>
            <w:vAlign w:val="center"/>
          </w:tcPr>
          <w:p>
            <w:pPr>
              <w:pStyle w:val="TableContents"/>
              <w:bidi w:val="0"/>
              <w:spacing w:before="0" w:after="283"/>
              <w:jc w:val="left"/>
              <w:rPr/>
            </w:pPr>
            <w:r>
              <w:rPr/>
              <w:t>Repair Estimate</w:t>
            </w:r>
          </w:p>
        </w:tc>
        <w:tc>
          <w:tcPr>
            <w:tcW w:w="275" w:type="dxa"/>
            <w:tcBorders/>
            <w:shd w:fill="FFFFFF" w:val="clear"/>
            <w:vAlign w:val="center"/>
          </w:tcPr>
          <w:p>
            <w:pPr>
              <w:pStyle w:val="TableContents"/>
              <w:bidi w:val="0"/>
              <w:spacing w:before="0" w:after="283"/>
              <w:jc w:val="right"/>
              <w:rPr/>
            </w:pPr>
            <w:r>
              <w:rPr/>
              <w:t>15</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(b)</w:t>
            </w:r>
          </w:p>
        </w:tc>
        <w:tc>
          <w:tcPr>
            <w:tcW w:w="5364" w:type="dxa"/>
            <w:tcBorders/>
            <w:shd w:fill="EEEEEE" w:val="clear"/>
            <w:vAlign w:val="center"/>
          </w:tcPr>
          <w:p>
            <w:pPr>
              <w:pStyle w:val="TableContents"/>
              <w:bidi w:val="0"/>
              <w:spacing w:before="0" w:after="283"/>
              <w:jc w:val="left"/>
              <w:rPr/>
            </w:pPr>
            <w:r>
              <w:rPr/>
              <w:t>Tenant’s Rights</w:t>
            </w:r>
          </w:p>
        </w:tc>
        <w:tc>
          <w:tcPr>
            <w:tcW w:w="275" w:type="dxa"/>
            <w:tcBorders/>
            <w:shd w:fill="EEEEEE" w:val="clear"/>
            <w:vAlign w:val="center"/>
          </w:tcPr>
          <w:p>
            <w:pPr>
              <w:pStyle w:val="TableContents"/>
              <w:bidi w:val="0"/>
              <w:spacing w:before="0" w:after="283"/>
              <w:jc w:val="right"/>
              <w:rPr/>
            </w:pPr>
            <w:r>
              <w:rPr/>
              <w:t>15</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(c)</w:t>
            </w:r>
          </w:p>
        </w:tc>
        <w:tc>
          <w:tcPr>
            <w:tcW w:w="5364" w:type="dxa"/>
            <w:tcBorders/>
            <w:shd w:fill="FFFFFF" w:val="clear"/>
            <w:vAlign w:val="center"/>
          </w:tcPr>
          <w:p>
            <w:pPr>
              <w:pStyle w:val="TableContents"/>
              <w:bidi w:val="0"/>
              <w:spacing w:before="0" w:after="283"/>
              <w:jc w:val="left"/>
              <w:rPr/>
            </w:pPr>
            <w:r>
              <w:rPr/>
              <w:t>Landlord’s Rights</w:t>
            </w:r>
          </w:p>
        </w:tc>
        <w:tc>
          <w:tcPr>
            <w:tcW w:w="275" w:type="dxa"/>
            <w:tcBorders/>
            <w:shd w:fill="FFFFFF" w:val="clear"/>
            <w:vAlign w:val="center"/>
          </w:tcPr>
          <w:p>
            <w:pPr>
              <w:pStyle w:val="TableContents"/>
              <w:bidi w:val="0"/>
              <w:spacing w:before="0" w:after="283"/>
              <w:jc w:val="right"/>
              <w:rPr/>
            </w:pPr>
            <w:r>
              <w:rPr/>
              <w:t>15</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(d)</w:t>
            </w:r>
          </w:p>
        </w:tc>
        <w:tc>
          <w:tcPr>
            <w:tcW w:w="5364" w:type="dxa"/>
            <w:tcBorders/>
            <w:shd w:fill="EEEEEE" w:val="clear"/>
            <w:vAlign w:val="center"/>
          </w:tcPr>
          <w:p>
            <w:pPr>
              <w:pStyle w:val="TableContents"/>
              <w:bidi w:val="0"/>
              <w:spacing w:before="0" w:after="283"/>
              <w:jc w:val="left"/>
              <w:rPr/>
            </w:pPr>
            <w:r>
              <w:rPr/>
              <w:t>Repair Obligation</w:t>
            </w:r>
          </w:p>
        </w:tc>
        <w:tc>
          <w:tcPr>
            <w:tcW w:w="275" w:type="dxa"/>
            <w:tcBorders/>
            <w:shd w:fill="EEEEEE" w:val="clear"/>
            <w:vAlign w:val="center"/>
          </w:tcPr>
          <w:p>
            <w:pPr>
              <w:pStyle w:val="TableContents"/>
              <w:bidi w:val="0"/>
              <w:spacing w:before="0" w:after="283"/>
              <w:jc w:val="right"/>
              <w:rPr/>
            </w:pPr>
            <w:r>
              <w:rPr/>
              <w:t>15</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(e)</w:t>
            </w:r>
          </w:p>
        </w:tc>
        <w:tc>
          <w:tcPr>
            <w:tcW w:w="5364" w:type="dxa"/>
            <w:tcBorders/>
            <w:shd w:fill="FFFFFF" w:val="clear"/>
            <w:vAlign w:val="center"/>
          </w:tcPr>
          <w:p>
            <w:pPr>
              <w:pStyle w:val="TableContents"/>
              <w:bidi w:val="0"/>
              <w:spacing w:before="0" w:after="283"/>
              <w:jc w:val="left"/>
              <w:rPr/>
            </w:pPr>
            <w:r>
              <w:rPr/>
              <w:t>Abatement of Rent</w:t>
            </w:r>
          </w:p>
        </w:tc>
        <w:tc>
          <w:tcPr>
            <w:tcW w:w="275" w:type="dxa"/>
            <w:tcBorders/>
            <w:shd w:fill="FFFFFF" w:val="clear"/>
            <w:vAlign w:val="center"/>
          </w:tcPr>
          <w:p>
            <w:pPr>
              <w:pStyle w:val="TableContents"/>
              <w:bidi w:val="0"/>
              <w:spacing w:before="0" w:after="283"/>
              <w:jc w:val="right"/>
              <w:rPr/>
            </w:pPr>
            <w:r>
              <w:rPr/>
              <w:t>16</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 </w:t>
            </w:r>
          </w:p>
        </w:tc>
        <w:tc>
          <w:tcPr>
            <w:tcW w:w="5364"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17.</w:t>
            </w:r>
          </w:p>
        </w:tc>
        <w:tc>
          <w:tcPr>
            <w:tcW w:w="5719" w:type="dxa"/>
            <w:gridSpan w:val="2"/>
            <w:tcBorders/>
            <w:shd w:fill="FFFFFF" w:val="clear"/>
            <w:vAlign w:val="center"/>
          </w:tcPr>
          <w:p>
            <w:pPr>
              <w:pStyle w:val="TableContents"/>
              <w:bidi w:val="0"/>
              <w:spacing w:before="0" w:after="283"/>
              <w:jc w:val="left"/>
              <w:rPr/>
            </w:pPr>
            <w:r>
              <w:rPr/>
              <w:t>Personal Property Taxes</w:t>
            </w:r>
          </w:p>
        </w:tc>
        <w:tc>
          <w:tcPr>
            <w:tcW w:w="275" w:type="dxa"/>
            <w:tcBorders/>
            <w:shd w:fill="FFFFFF" w:val="clear"/>
            <w:vAlign w:val="center"/>
          </w:tcPr>
          <w:p>
            <w:pPr>
              <w:pStyle w:val="TableContents"/>
              <w:bidi w:val="0"/>
              <w:spacing w:before="0" w:after="283"/>
              <w:jc w:val="right"/>
              <w:rPr/>
            </w:pPr>
            <w:r>
              <w:rPr/>
              <w:t>16</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 </w:t>
            </w:r>
          </w:p>
        </w:tc>
        <w:tc>
          <w:tcPr>
            <w:tcW w:w="5364"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18.</w:t>
            </w:r>
          </w:p>
        </w:tc>
        <w:tc>
          <w:tcPr>
            <w:tcW w:w="5719" w:type="dxa"/>
            <w:gridSpan w:val="2"/>
            <w:tcBorders/>
            <w:shd w:fill="FFFFFF" w:val="clear"/>
            <w:vAlign w:val="center"/>
          </w:tcPr>
          <w:p>
            <w:pPr>
              <w:pStyle w:val="TableContents"/>
              <w:bidi w:val="0"/>
              <w:spacing w:before="0" w:after="283"/>
              <w:jc w:val="left"/>
              <w:rPr/>
            </w:pPr>
            <w:r>
              <w:rPr/>
              <w:t>Events of Default</w:t>
            </w:r>
          </w:p>
        </w:tc>
        <w:tc>
          <w:tcPr>
            <w:tcW w:w="275" w:type="dxa"/>
            <w:tcBorders/>
            <w:shd w:fill="FFFFFF" w:val="clear"/>
            <w:vAlign w:val="center"/>
          </w:tcPr>
          <w:p>
            <w:pPr>
              <w:pStyle w:val="TableContents"/>
              <w:bidi w:val="0"/>
              <w:spacing w:before="0" w:after="283"/>
              <w:jc w:val="right"/>
              <w:rPr/>
            </w:pPr>
            <w:r>
              <w:rPr/>
              <w:t>16</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(a)</w:t>
            </w:r>
          </w:p>
        </w:tc>
        <w:tc>
          <w:tcPr>
            <w:tcW w:w="5364" w:type="dxa"/>
            <w:tcBorders/>
            <w:shd w:fill="EEEEEE" w:val="clear"/>
            <w:vAlign w:val="center"/>
          </w:tcPr>
          <w:p>
            <w:pPr>
              <w:pStyle w:val="TableContents"/>
              <w:bidi w:val="0"/>
              <w:spacing w:before="0" w:after="283"/>
              <w:jc w:val="left"/>
              <w:rPr/>
            </w:pPr>
            <w:r>
              <w:rPr/>
              <w:t>Payment Default</w:t>
            </w:r>
          </w:p>
        </w:tc>
        <w:tc>
          <w:tcPr>
            <w:tcW w:w="275" w:type="dxa"/>
            <w:tcBorders/>
            <w:shd w:fill="EEEEEE" w:val="clear"/>
            <w:vAlign w:val="center"/>
          </w:tcPr>
          <w:p>
            <w:pPr>
              <w:pStyle w:val="TableContents"/>
              <w:bidi w:val="0"/>
              <w:spacing w:before="0" w:after="283"/>
              <w:jc w:val="right"/>
              <w:rPr/>
            </w:pPr>
            <w:r>
              <w:rPr/>
              <w:t>16</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(b)</w:t>
            </w:r>
          </w:p>
        </w:tc>
        <w:tc>
          <w:tcPr>
            <w:tcW w:w="5364" w:type="dxa"/>
            <w:tcBorders/>
            <w:shd w:fill="FFFFFF" w:val="clear"/>
            <w:vAlign w:val="center"/>
          </w:tcPr>
          <w:p>
            <w:pPr>
              <w:pStyle w:val="TableContents"/>
              <w:bidi w:val="0"/>
              <w:spacing w:before="0" w:after="283"/>
              <w:jc w:val="left"/>
              <w:rPr/>
            </w:pPr>
            <w:r>
              <w:rPr/>
              <w:t>Abandonment</w:t>
            </w:r>
          </w:p>
        </w:tc>
        <w:tc>
          <w:tcPr>
            <w:tcW w:w="275" w:type="dxa"/>
            <w:tcBorders/>
            <w:shd w:fill="FFFFFF" w:val="clear"/>
            <w:vAlign w:val="center"/>
          </w:tcPr>
          <w:p>
            <w:pPr>
              <w:pStyle w:val="TableContents"/>
              <w:bidi w:val="0"/>
              <w:spacing w:before="0" w:after="283"/>
              <w:jc w:val="right"/>
              <w:rPr/>
            </w:pPr>
            <w:r>
              <w:rPr/>
              <w:t>16</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(c)</w:t>
            </w:r>
          </w:p>
        </w:tc>
        <w:tc>
          <w:tcPr>
            <w:tcW w:w="5364" w:type="dxa"/>
            <w:tcBorders/>
            <w:shd w:fill="EEEEEE" w:val="clear"/>
            <w:vAlign w:val="center"/>
          </w:tcPr>
          <w:p>
            <w:pPr>
              <w:pStyle w:val="TableContents"/>
              <w:bidi w:val="0"/>
              <w:spacing w:before="0" w:after="283"/>
              <w:jc w:val="left"/>
              <w:rPr/>
            </w:pPr>
            <w:r>
              <w:rPr/>
              <w:t>Estoppel</w:t>
            </w:r>
          </w:p>
        </w:tc>
        <w:tc>
          <w:tcPr>
            <w:tcW w:w="275" w:type="dxa"/>
            <w:tcBorders/>
            <w:shd w:fill="EEEEEE" w:val="clear"/>
            <w:vAlign w:val="center"/>
          </w:tcPr>
          <w:p>
            <w:pPr>
              <w:pStyle w:val="TableContents"/>
              <w:bidi w:val="0"/>
              <w:spacing w:before="0" w:after="283"/>
              <w:jc w:val="right"/>
              <w:rPr/>
            </w:pPr>
            <w:r>
              <w:rPr/>
              <w:t>16</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(d)</w:t>
            </w:r>
          </w:p>
        </w:tc>
        <w:tc>
          <w:tcPr>
            <w:tcW w:w="5364" w:type="dxa"/>
            <w:tcBorders/>
            <w:shd w:fill="FFFFFF" w:val="clear"/>
            <w:vAlign w:val="center"/>
          </w:tcPr>
          <w:p>
            <w:pPr>
              <w:pStyle w:val="TableContents"/>
              <w:bidi w:val="0"/>
              <w:spacing w:before="0" w:after="283"/>
              <w:jc w:val="left"/>
              <w:rPr/>
            </w:pPr>
            <w:r>
              <w:rPr/>
              <w:t>Insurance</w:t>
            </w:r>
          </w:p>
        </w:tc>
        <w:tc>
          <w:tcPr>
            <w:tcW w:w="275" w:type="dxa"/>
            <w:tcBorders/>
            <w:shd w:fill="FFFFFF" w:val="clear"/>
            <w:vAlign w:val="center"/>
          </w:tcPr>
          <w:p>
            <w:pPr>
              <w:pStyle w:val="TableContents"/>
              <w:bidi w:val="0"/>
              <w:spacing w:before="0" w:after="283"/>
              <w:jc w:val="right"/>
              <w:rPr/>
            </w:pPr>
            <w:r>
              <w:rPr/>
              <w:t>16</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(e)</w:t>
            </w:r>
          </w:p>
        </w:tc>
        <w:tc>
          <w:tcPr>
            <w:tcW w:w="5364" w:type="dxa"/>
            <w:tcBorders/>
            <w:shd w:fill="EEEEEE" w:val="clear"/>
            <w:vAlign w:val="center"/>
          </w:tcPr>
          <w:p>
            <w:pPr>
              <w:pStyle w:val="TableContents"/>
              <w:bidi w:val="0"/>
              <w:spacing w:before="0" w:after="283"/>
              <w:jc w:val="left"/>
              <w:rPr/>
            </w:pPr>
            <w:r>
              <w:rPr/>
              <w:t>Mechanic’s Liens</w:t>
            </w:r>
          </w:p>
        </w:tc>
        <w:tc>
          <w:tcPr>
            <w:tcW w:w="275" w:type="dxa"/>
            <w:tcBorders/>
            <w:shd w:fill="EEEEEE" w:val="clear"/>
            <w:vAlign w:val="center"/>
          </w:tcPr>
          <w:p>
            <w:pPr>
              <w:pStyle w:val="TableContents"/>
              <w:bidi w:val="0"/>
              <w:spacing w:before="0" w:after="283"/>
              <w:jc w:val="right"/>
              <w:rPr/>
            </w:pPr>
            <w:r>
              <w:rPr/>
              <w:t>16</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(f)</w:t>
            </w:r>
          </w:p>
        </w:tc>
        <w:tc>
          <w:tcPr>
            <w:tcW w:w="5364" w:type="dxa"/>
            <w:tcBorders/>
            <w:shd w:fill="FFFFFF" w:val="clear"/>
            <w:vAlign w:val="center"/>
          </w:tcPr>
          <w:p>
            <w:pPr>
              <w:pStyle w:val="TableContents"/>
              <w:bidi w:val="0"/>
              <w:spacing w:before="0" w:after="283"/>
              <w:jc w:val="left"/>
              <w:rPr/>
            </w:pPr>
            <w:r>
              <w:rPr/>
              <w:t>Other Defaults</w:t>
            </w:r>
          </w:p>
        </w:tc>
        <w:tc>
          <w:tcPr>
            <w:tcW w:w="275" w:type="dxa"/>
            <w:tcBorders/>
            <w:shd w:fill="FFFFFF" w:val="clear"/>
            <w:vAlign w:val="center"/>
          </w:tcPr>
          <w:p>
            <w:pPr>
              <w:pStyle w:val="TableContents"/>
              <w:bidi w:val="0"/>
              <w:spacing w:before="0" w:after="283"/>
              <w:jc w:val="right"/>
              <w:rPr/>
            </w:pPr>
            <w:r>
              <w:rPr/>
              <w:t>16</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(g)</w:t>
            </w:r>
          </w:p>
        </w:tc>
        <w:tc>
          <w:tcPr>
            <w:tcW w:w="5364" w:type="dxa"/>
            <w:tcBorders/>
            <w:shd w:fill="EEEEEE" w:val="clear"/>
            <w:vAlign w:val="center"/>
          </w:tcPr>
          <w:p>
            <w:pPr>
              <w:pStyle w:val="TableContents"/>
              <w:bidi w:val="0"/>
              <w:spacing w:before="0" w:after="283"/>
              <w:jc w:val="left"/>
              <w:rPr/>
            </w:pPr>
            <w:r>
              <w:rPr/>
              <w:t>Insolvency</w:t>
            </w:r>
          </w:p>
        </w:tc>
        <w:tc>
          <w:tcPr>
            <w:tcW w:w="275" w:type="dxa"/>
            <w:tcBorders/>
            <w:shd w:fill="EEEEEE" w:val="clear"/>
            <w:vAlign w:val="center"/>
          </w:tcPr>
          <w:p>
            <w:pPr>
              <w:pStyle w:val="TableContents"/>
              <w:bidi w:val="0"/>
              <w:spacing w:before="0" w:after="283"/>
              <w:jc w:val="right"/>
              <w:rPr/>
            </w:pPr>
            <w:r>
              <w:rPr/>
              <w:t>17</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5364"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19.</w:t>
            </w:r>
          </w:p>
        </w:tc>
        <w:tc>
          <w:tcPr>
            <w:tcW w:w="5719" w:type="dxa"/>
            <w:gridSpan w:val="2"/>
            <w:tcBorders/>
            <w:shd w:fill="EEEEEE" w:val="clear"/>
            <w:vAlign w:val="center"/>
          </w:tcPr>
          <w:p>
            <w:pPr>
              <w:pStyle w:val="TableContents"/>
              <w:bidi w:val="0"/>
              <w:spacing w:before="0" w:after="283"/>
              <w:jc w:val="left"/>
              <w:rPr/>
            </w:pPr>
            <w:r>
              <w:rPr/>
              <w:t>Remedies</w:t>
            </w:r>
          </w:p>
        </w:tc>
        <w:tc>
          <w:tcPr>
            <w:tcW w:w="275" w:type="dxa"/>
            <w:tcBorders/>
            <w:shd w:fill="EEEEEE" w:val="clear"/>
            <w:vAlign w:val="center"/>
          </w:tcPr>
          <w:p>
            <w:pPr>
              <w:pStyle w:val="TableContents"/>
              <w:bidi w:val="0"/>
              <w:spacing w:before="0" w:after="283"/>
              <w:jc w:val="right"/>
              <w:rPr/>
            </w:pPr>
            <w:r>
              <w:rPr/>
              <w:t>17</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(a)</w:t>
            </w:r>
          </w:p>
        </w:tc>
        <w:tc>
          <w:tcPr>
            <w:tcW w:w="5364" w:type="dxa"/>
            <w:tcBorders/>
            <w:shd w:fill="FFFFFF" w:val="clear"/>
            <w:vAlign w:val="center"/>
          </w:tcPr>
          <w:p>
            <w:pPr>
              <w:pStyle w:val="TableContents"/>
              <w:bidi w:val="0"/>
              <w:spacing w:before="0" w:after="283"/>
              <w:jc w:val="left"/>
              <w:rPr/>
            </w:pPr>
            <w:r>
              <w:rPr/>
              <w:t>Termination of Lease</w:t>
            </w:r>
          </w:p>
        </w:tc>
        <w:tc>
          <w:tcPr>
            <w:tcW w:w="275" w:type="dxa"/>
            <w:tcBorders/>
            <w:shd w:fill="FFFFFF" w:val="clear"/>
            <w:vAlign w:val="center"/>
          </w:tcPr>
          <w:p>
            <w:pPr>
              <w:pStyle w:val="TableContents"/>
              <w:bidi w:val="0"/>
              <w:spacing w:before="0" w:after="283"/>
              <w:jc w:val="right"/>
              <w:rPr/>
            </w:pPr>
            <w:r>
              <w:rPr/>
              <w:t>17</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(b)</w:t>
            </w:r>
          </w:p>
        </w:tc>
        <w:tc>
          <w:tcPr>
            <w:tcW w:w="5364" w:type="dxa"/>
            <w:tcBorders/>
            <w:shd w:fill="EEEEEE" w:val="clear"/>
            <w:vAlign w:val="center"/>
          </w:tcPr>
          <w:p>
            <w:pPr>
              <w:pStyle w:val="TableContents"/>
              <w:bidi w:val="0"/>
              <w:spacing w:before="0" w:after="283"/>
              <w:jc w:val="left"/>
              <w:rPr/>
            </w:pPr>
            <w:r>
              <w:rPr/>
              <w:t>Termination of Possession</w:t>
            </w:r>
          </w:p>
        </w:tc>
        <w:tc>
          <w:tcPr>
            <w:tcW w:w="275" w:type="dxa"/>
            <w:tcBorders/>
            <w:shd w:fill="EEEEEE" w:val="clear"/>
            <w:vAlign w:val="center"/>
          </w:tcPr>
          <w:p>
            <w:pPr>
              <w:pStyle w:val="TableContents"/>
              <w:bidi w:val="0"/>
              <w:spacing w:before="0" w:after="283"/>
              <w:jc w:val="right"/>
              <w:rPr/>
            </w:pPr>
            <w:r>
              <w:rPr/>
              <w:t>17</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(c)</w:t>
            </w:r>
          </w:p>
        </w:tc>
        <w:tc>
          <w:tcPr>
            <w:tcW w:w="5364" w:type="dxa"/>
            <w:tcBorders/>
            <w:shd w:fill="FFFFFF" w:val="clear"/>
            <w:vAlign w:val="center"/>
          </w:tcPr>
          <w:p>
            <w:pPr>
              <w:pStyle w:val="TableContents"/>
              <w:bidi w:val="0"/>
              <w:spacing w:before="0" w:after="283"/>
              <w:jc w:val="left"/>
              <w:rPr/>
            </w:pPr>
            <w:r>
              <w:rPr/>
              <w:t>Perform Acts on Behalf of Tenant</w:t>
            </w:r>
          </w:p>
        </w:tc>
        <w:tc>
          <w:tcPr>
            <w:tcW w:w="275" w:type="dxa"/>
            <w:tcBorders/>
            <w:shd w:fill="FFFFFF" w:val="clear"/>
            <w:vAlign w:val="center"/>
          </w:tcPr>
          <w:p>
            <w:pPr>
              <w:pStyle w:val="TableContents"/>
              <w:bidi w:val="0"/>
              <w:spacing w:before="0" w:after="283"/>
              <w:jc w:val="right"/>
              <w:rPr/>
            </w:pPr>
            <w:r>
              <w:rPr/>
              <w:t>17</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(d)</w:t>
            </w:r>
          </w:p>
        </w:tc>
        <w:tc>
          <w:tcPr>
            <w:tcW w:w="5364" w:type="dxa"/>
            <w:tcBorders/>
            <w:shd w:fill="EEEEEE" w:val="clear"/>
            <w:vAlign w:val="center"/>
          </w:tcPr>
          <w:p>
            <w:pPr>
              <w:pStyle w:val="TableContents"/>
              <w:bidi w:val="0"/>
              <w:spacing w:before="0" w:after="283"/>
              <w:jc w:val="left"/>
              <w:rPr/>
            </w:pPr>
            <w:r>
              <w:rPr/>
              <w:t>Suspension of Services</w:t>
            </w:r>
          </w:p>
        </w:tc>
        <w:tc>
          <w:tcPr>
            <w:tcW w:w="275" w:type="dxa"/>
            <w:tcBorders/>
            <w:shd w:fill="EEEEEE" w:val="clear"/>
            <w:vAlign w:val="center"/>
          </w:tcPr>
          <w:p>
            <w:pPr>
              <w:pStyle w:val="TableContents"/>
              <w:bidi w:val="0"/>
              <w:spacing w:before="0" w:after="283"/>
              <w:jc w:val="right"/>
              <w:rPr/>
            </w:pPr>
            <w:r>
              <w:rPr/>
              <w:t>17</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(e)</w:t>
            </w:r>
          </w:p>
        </w:tc>
        <w:tc>
          <w:tcPr>
            <w:tcW w:w="5364" w:type="dxa"/>
            <w:tcBorders/>
            <w:shd w:fill="FFFFFF" w:val="clear"/>
            <w:vAlign w:val="center"/>
          </w:tcPr>
          <w:p>
            <w:pPr>
              <w:pStyle w:val="TableContents"/>
              <w:bidi w:val="0"/>
              <w:spacing w:before="0" w:after="283"/>
              <w:jc w:val="left"/>
              <w:rPr/>
            </w:pPr>
            <w:r>
              <w:rPr/>
              <w:t>Alteration of Locks</w:t>
            </w:r>
          </w:p>
        </w:tc>
        <w:tc>
          <w:tcPr>
            <w:tcW w:w="275" w:type="dxa"/>
            <w:tcBorders/>
            <w:shd w:fill="FFFFFF" w:val="clear"/>
            <w:vAlign w:val="center"/>
          </w:tcPr>
          <w:p>
            <w:pPr>
              <w:pStyle w:val="TableContents"/>
              <w:bidi w:val="0"/>
              <w:spacing w:before="0" w:after="283"/>
              <w:jc w:val="right"/>
              <w:rPr/>
            </w:pPr>
            <w:r>
              <w:rPr/>
              <w:t>18</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 </w:t>
            </w:r>
          </w:p>
        </w:tc>
        <w:tc>
          <w:tcPr>
            <w:tcW w:w="5364"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20.</w:t>
            </w:r>
          </w:p>
        </w:tc>
        <w:tc>
          <w:tcPr>
            <w:tcW w:w="5719" w:type="dxa"/>
            <w:gridSpan w:val="2"/>
            <w:tcBorders/>
            <w:shd w:fill="FFFFFF" w:val="clear"/>
            <w:vAlign w:val="center"/>
          </w:tcPr>
          <w:p>
            <w:pPr>
              <w:pStyle w:val="TableContents"/>
              <w:bidi w:val="0"/>
              <w:spacing w:before="0" w:after="283"/>
              <w:jc w:val="left"/>
              <w:rPr/>
            </w:pPr>
            <w:r>
              <w:rPr/>
              <w:t>Payment by Tenant; Non-Waiver; Cumulative Remedies</w:t>
            </w:r>
          </w:p>
        </w:tc>
        <w:tc>
          <w:tcPr>
            <w:tcW w:w="275" w:type="dxa"/>
            <w:tcBorders/>
            <w:shd w:fill="FFFFFF" w:val="clear"/>
            <w:vAlign w:val="center"/>
          </w:tcPr>
          <w:p>
            <w:pPr>
              <w:pStyle w:val="TableContents"/>
              <w:bidi w:val="0"/>
              <w:spacing w:before="0" w:after="283"/>
              <w:jc w:val="right"/>
              <w:rPr/>
            </w:pPr>
            <w:r>
              <w:rPr/>
              <w:t>18</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(a)</w:t>
            </w:r>
          </w:p>
        </w:tc>
        <w:tc>
          <w:tcPr>
            <w:tcW w:w="5364" w:type="dxa"/>
            <w:tcBorders/>
            <w:shd w:fill="EEEEEE" w:val="clear"/>
            <w:vAlign w:val="center"/>
          </w:tcPr>
          <w:p>
            <w:pPr>
              <w:pStyle w:val="TableContents"/>
              <w:bidi w:val="0"/>
              <w:spacing w:before="0" w:after="283"/>
              <w:jc w:val="left"/>
              <w:rPr/>
            </w:pPr>
            <w:r>
              <w:rPr/>
              <w:t>Payment by Tenant</w:t>
            </w:r>
          </w:p>
        </w:tc>
        <w:tc>
          <w:tcPr>
            <w:tcW w:w="275" w:type="dxa"/>
            <w:tcBorders/>
            <w:shd w:fill="EEEEEE" w:val="clear"/>
            <w:vAlign w:val="center"/>
          </w:tcPr>
          <w:p>
            <w:pPr>
              <w:pStyle w:val="TableContents"/>
              <w:bidi w:val="0"/>
              <w:spacing w:before="0" w:after="283"/>
              <w:jc w:val="right"/>
              <w:rPr/>
            </w:pPr>
            <w:r>
              <w:rPr/>
              <w:t>18</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(b)</w:t>
            </w:r>
          </w:p>
        </w:tc>
        <w:tc>
          <w:tcPr>
            <w:tcW w:w="5364" w:type="dxa"/>
            <w:tcBorders/>
            <w:shd w:fill="FFFFFF" w:val="clear"/>
            <w:vAlign w:val="center"/>
          </w:tcPr>
          <w:p>
            <w:pPr>
              <w:pStyle w:val="TableContents"/>
              <w:bidi w:val="0"/>
              <w:spacing w:before="0" w:after="283"/>
              <w:jc w:val="left"/>
              <w:rPr/>
            </w:pPr>
            <w:r>
              <w:rPr/>
              <w:t>No Waiver</w:t>
            </w:r>
          </w:p>
        </w:tc>
        <w:tc>
          <w:tcPr>
            <w:tcW w:w="275" w:type="dxa"/>
            <w:tcBorders/>
            <w:shd w:fill="FFFFFF" w:val="clear"/>
            <w:vAlign w:val="center"/>
          </w:tcPr>
          <w:p>
            <w:pPr>
              <w:pStyle w:val="TableContents"/>
              <w:bidi w:val="0"/>
              <w:spacing w:before="0" w:after="283"/>
              <w:jc w:val="right"/>
              <w:rPr/>
            </w:pPr>
            <w:r>
              <w:rPr/>
              <w:t>18</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(c)</w:t>
            </w:r>
          </w:p>
        </w:tc>
        <w:tc>
          <w:tcPr>
            <w:tcW w:w="5364" w:type="dxa"/>
            <w:tcBorders/>
            <w:shd w:fill="EEEEEE" w:val="clear"/>
            <w:vAlign w:val="center"/>
          </w:tcPr>
          <w:p>
            <w:pPr>
              <w:pStyle w:val="TableContents"/>
              <w:bidi w:val="0"/>
              <w:spacing w:before="0" w:after="283"/>
              <w:jc w:val="left"/>
              <w:rPr/>
            </w:pPr>
            <w:r>
              <w:rPr/>
              <w:t>Cumulative Remedies</w:t>
            </w:r>
          </w:p>
        </w:tc>
        <w:tc>
          <w:tcPr>
            <w:tcW w:w="275" w:type="dxa"/>
            <w:tcBorders/>
            <w:shd w:fill="EEEEEE" w:val="clear"/>
            <w:vAlign w:val="center"/>
          </w:tcPr>
          <w:p>
            <w:pPr>
              <w:pStyle w:val="TableContents"/>
              <w:bidi w:val="0"/>
              <w:spacing w:before="0" w:after="283"/>
              <w:jc w:val="right"/>
              <w:rPr/>
            </w:pPr>
            <w:r>
              <w:rPr/>
              <w:t>18</w:t>
            </w:r>
          </w:p>
        </w:tc>
      </w:tr>
    </w:tbl>
    <w:p>
      <w:pPr>
        <w:pStyle w:val="TextBody"/>
        <w:bidi w:val="0"/>
        <w:spacing w:before="0" w:after="283"/>
        <w:jc w:val="left"/>
        <w:rPr/>
      </w:pPr>
      <w:r>
        <w:rPr/>
        <w:t> </w:t>
      </w:r>
    </w:p>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6035" w:type="dxa"/>
        <w:jc w:val="left"/>
        <w:tblInd w:w="0" w:type="dxa"/>
        <w:tblLayout w:type="fixed"/>
        <w:tblCellMar>
          <w:top w:w="0" w:type="dxa"/>
          <w:left w:w="0" w:type="dxa"/>
          <w:bottom w:w="0" w:type="dxa"/>
          <w:right w:w="0" w:type="dxa"/>
        </w:tblCellMar>
      </w:tblPr>
      <w:tblGrid>
        <w:gridCol w:w="335"/>
        <w:gridCol w:w="350"/>
        <w:gridCol w:w="5075"/>
        <w:gridCol w:w="275"/>
      </w:tblGrid>
      <w:tr>
        <w:trPr/>
        <w:tc>
          <w:tcPr>
            <w:tcW w:w="335" w:type="dxa"/>
            <w:tcBorders/>
            <w:shd w:fill="EEEEEE" w:val="clear"/>
            <w:vAlign w:val="center"/>
          </w:tcPr>
          <w:p>
            <w:pPr>
              <w:pStyle w:val="TableContents"/>
              <w:bidi w:val="0"/>
              <w:spacing w:before="0" w:after="283"/>
              <w:jc w:val="left"/>
              <w:rPr>
                <w:b/>
              </w:rPr>
            </w:pPr>
            <w:r>
              <w:rPr>
                <w:b/>
              </w:rPr>
              <w:t>21.</w:t>
            </w:r>
          </w:p>
        </w:tc>
        <w:tc>
          <w:tcPr>
            <w:tcW w:w="5425" w:type="dxa"/>
            <w:gridSpan w:val="2"/>
            <w:tcBorders/>
            <w:shd w:fill="EEEEEE" w:val="clear"/>
            <w:vAlign w:val="center"/>
          </w:tcPr>
          <w:p>
            <w:pPr>
              <w:pStyle w:val="TableContents"/>
              <w:bidi w:val="0"/>
              <w:spacing w:before="0" w:after="283"/>
              <w:jc w:val="left"/>
              <w:rPr/>
            </w:pPr>
            <w:r>
              <w:rPr/>
              <w:t>Landlord’s Lien</w:t>
            </w:r>
          </w:p>
        </w:tc>
        <w:tc>
          <w:tcPr>
            <w:tcW w:w="275" w:type="dxa"/>
            <w:tcBorders/>
            <w:shd w:fill="EEEEEE" w:val="clear"/>
            <w:vAlign w:val="center"/>
          </w:tcPr>
          <w:p>
            <w:pPr>
              <w:pStyle w:val="TableContents"/>
              <w:bidi w:val="0"/>
              <w:spacing w:before="0" w:after="283"/>
              <w:jc w:val="right"/>
              <w:rPr/>
            </w:pPr>
            <w:r>
              <w:rPr/>
              <w:t>18</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0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22.</w:t>
            </w:r>
          </w:p>
        </w:tc>
        <w:tc>
          <w:tcPr>
            <w:tcW w:w="5425" w:type="dxa"/>
            <w:gridSpan w:val="2"/>
            <w:tcBorders/>
            <w:shd w:fill="EEEEEE" w:val="clear"/>
            <w:vAlign w:val="center"/>
          </w:tcPr>
          <w:p>
            <w:pPr>
              <w:pStyle w:val="TableContents"/>
              <w:bidi w:val="0"/>
              <w:spacing w:before="0" w:after="283"/>
              <w:jc w:val="left"/>
              <w:rPr/>
            </w:pPr>
            <w:r>
              <w:rPr/>
              <w:t>Surrender of Premises</w:t>
            </w:r>
          </w:p>
        </w:tc>
        <w:tc>
          <w:tcPr>
            <w:tcW w:w="275" w:type="dxa"/>
            <w:tcBorders/>
            <w:shd w:fill="EEEEEE" w:val="clear"/>
            <w:vAlign w:val="center"/>
          </w:tcPr>
          <w:p>
            <w:pPr>
              <w:pStyle w:val="TableContents"/>
              <w:bidi w:val="0"/>
              <w:spacing w:before="0" w:after="283"/>
              <w:jc w:val="right"/>
              <w:rPr/>
            </w:pPr>
            <w:r>
              <w:rPr/>
              <w:t>19</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0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23.</w:t>
            </w:r>
          </w:p>
        </w:tc>
        <w:tc>
          <w:tcPr>
            <w:tcW w:w="5425" w:type="dxa"/>
            <w:gridSpan w:val="2"/>
            <w:tcBorders/>
            <w:shd w:fill="EEEEEE" w:val="clear"/>
            <w:vAlign w:val="center"/>
          </w:tcPr>
          <w:p>
            <w:pPr>
              <w:pStyle w:val="TableContents"/>
              <w:bidi w:val="0"/>
              <w:spacing w:before="0" w:after="283"/>
              <w:jc w:val="left"/>
              <w:rPr/>
            </w:pPr>
            <w:r>
              <w:rPr/>
              <w:t>Holding Over</w:t>
            </w:r>
          </w:p>
        </w:tc>
        <w:tc>
          <w:tcPr>
            <w:tcW w:w="275" w:type="dxa"/>
            <w:tcBorders/>
            <w:shd w:fill="EEEEEE" w:val="clear"/>
            <w:vAlign w:val="center"/>
          </w:tcPr>
          <w:p>
            <w:pPr>
              <w:pStyle w:val="TableContents"/>
              <w:bidi w:val="0"/>
              <w:spacing w:before="0" w:after="283"/>
              <w:jc w:val="right"/>
              <w:rPr/>
            </w:pPr>
            <w:r>
              <w:rPr/>
              <w:t>19</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0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24.</w:t>
            </w:r>
          </w:p>
        </w:tc>
        <w:tc>
          <w:tcPr>
            <w:tcW w:w="5425" w:type="dxa"/>
            <w:gridSpan w:val="2"/>
            <w:tcBorders/>
            <w:shd w:fill="EEEEEE" w:val="clear"/>
            <w:vAlign w:val="center"/>
          </w:tcPr>
          <w:p>
            <w:pPr>
              <w:pStyle w:val="TableContents"/>
              <w:bidi w:val="0"/>
              <w:spacing w:before="0" w:after="283"/>
              <w:jc w:val="left"/>
              <w:rPr/>
            </w:pPr>
            <w:r>
              <w:rPr/>
              <w:t>Certain Rights Reserved by Landlord</w:t>
            </w:r>
          </w:p>
        </w:tc>
        <w:tc>
          <w:tcPr>
            <w:tcW w:w="275" w:type="dxa"/>
            <w:tcBorders/>
            <w:shd w:fill="EEEEEE" w:val="clear"/>
            <w:vAlign w:val="center"/>
          </w:tcPr>
          <w:p>
            <w:pPr>
              <w:pStyle w:val="TableContents"/>
              <w:bidi w:val="0"/>
              <w:spacing w:before="0" w:after="283"/>
              <w:jc w:val="right"/>
              <w:rPr/>
            </w:pPr>
            <w:r>
              <w:rPr/>
              <w:t>20</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(a)</w:t>
            </w:r>
          </w:p>
        </w:tc>
        <w:tc>
          <w:tcPr>
            <w:tcW w:w="5075" w:type="dxa"/>
            <w:tcBorders/>
            <w:shd w:fill="FFFFFF" w:val="clear"/>
            <w:vAlign w:val="center"/>
          </w:tcPr>
          <w:p>
            <w:pPr>
              <w:pStyle w:val="TableContents"/>
              <w:bidi w:val="0"/>
              <w:spacing w:before="0" w:after="283"/>
              <w:jc w:val="left"/>
              <w:rPr/>
            </w:pPr>
            <w:r>
              <w:rPr/>
              <w:t>Building Operations</w:t>
            </w:r>
          </w:p>
        </w:tc>
        <w:tc>
          <w:tcPr>
            <w:tcW w:w="275" w:type="dxa"/>
            <w:tcBorders/>
            <w:shd w:fill="FFFFFF" w:val="clear"/>
            <w:vAlign w:val="center"/>
          </w:tcPr>
          <w:p>
            <w:pPr>
              <w:pStyle w:val="TableContents"/>
              <w:bidi w:val="0"/>
              <w:spacing w:before="0" w:after="283"/>
              <w:jc w:val="right"/>
              <w:rPr/>
            </w:pPr>
            <w:r>
              <w:rPr/>
              <w:t>20</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(b)</w:t>
            </w:r>
          </w:p>
        </w:tc>
        <w:tc>
          <w:tcPr>
            <w:tcW w:w="5075" w:type="dxa"/>
            <w:tcBorders/>
            <w:shd w:fill="EEEEEE" w:val="clear"/>
            <w:vAlign w:val="center"/>
          </w:tcPr>
          <w:p>
            <w:pPr>
              <w:pStyle w:val="TableContents"/>
              <w:bidi w:val="0"/>
              <w:spacing w:before="0" w:after="283"/>
              <w:jc w:val="left"/>
              <w:rPr/>
            </w:pPr>
            <w:r>
              <w:rPr/>
              <w:t>Security</w:t>
            </w:r>
          </w:p>
        </w:tc>
        <w:tc>
          <w:tcPr>
            <w:tcW w:w="275" w:type="dxa"/>
            <w:tcBorders/>
            <w:shd w:fill="EEEEEE" w:val="clear"/>
            <w:vAlign w:val="center"/>
          </w:tcPr>
          <w:p>
            <w:pPr>
              <w:pStyle w:val="TableContents"/>
              <w:bidi w:val="0"/>
              <w:spacing w:before="0" w:after="283"/>
              <w:jc w:val="right"/>
              <w:rPr/>
            </w:pPr>
            <w:r>
              <w:rPr/>
              <w:t>20</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(c)</w:t>
            </w:r>
          </w:p>
        </w:tc>
        <w:tc>
          <w:tcPr>
            <w:tcW w:w="5075" w:type="dxa"/>
            <w:tcBorders/>
            <w:shd w:fill="FFFFFF" w:val="clear"/>
            <w:vAlign w:val="center"/>
          </w:tcPr>
          <w:p>
            <w:pPr>
              <w:pStyle w:val="TableContents"/>
              <w:bidi w:val="0"/>
              <w:spacing w:before="0" w:after="283"/>
              <w:jc w:val="left"/>
              <w:rPr/>
            </w:pPr>
            <w:r>
              <w:rPr/>
              <w:t>Prospective Purchasers and Lenders</w:t>
            </w:r>
          </w:p>
        </w:tc>
        <w:tc>
          <w:tcPr>
            <w:tcW w:w="275" w:type="dxa"/>
            <w:tcBorders/>
            <w:shd w:fill="FFFFFF" w:val="clear"/>
            <w:vAlign w:val="center"/>
          </w:tcPr>
          <w:p>
            <w:pPr>
              <w:pStyle w:val="TableContents"/>
              <w:bidi w:val="0"/>
              <w:spacing w:before="0" w:after="283"/>
              <w:jc w:val="right"/>
              <w:rPr/>
            </w:pPr>
            <w:r>
              <w:rPr/>
              <w:t>20</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(d)</w:t>
            </w:r>
          </w:p>
        </w:tc>
        <w:tc>
          <w:tcPr>
            <w:tcW w:w="5075" w:type="dxa"/>
            <w:tcBorders/>
            <w:shd w:fill="EEEEEE" w:val="clear"/>
            <w:vAlign w:val="center"/>
          </w:tcPr>
          <w:p>
            <w:pPr>
              <w:pStyle w:val="TableContents"/>
              <w:bidi w:val="0"/>
              <w:spacing w:before="0" w:after="283"/>
              <w:jc w:val="left"/>
              <w:rPr/>
            </w:pPr>
            <w:r>
              <w:rPr/>
              <w:t>Prospective Tenants</w:t>
            </w:r>
          </w:p>
        </w:tc>
        <w:tc>
          <w:tcPr>
            <w:tcW w:w="275" w:type="dxa"/>
            <w:tcBorders/>
            <w:shd w:fill="EEEEEE" w:val="clear"/>
            <w:vAlign w:val="center"/>
          </w:tcPr>
          <w:p>
            <w:pPr>
              <w:pStyle w:val="TableContents"/>
              <w:bidi w:val="0"/>
              <w:spacing w:before="0" w:after="283"/>
              <w:jc w:val="right"/>
              <w:rPr/>
            </w:pPr>
            <w:r>
              <w:rPr/>
              <w:t>20</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0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25.</w:t>
            </w:r>
          </w:p>
        </w:tc>
        <w:tc>
          <w:tcPr>
            <w:tcW w:w="5425" w:type="dxa"/>
            <w:gridSpan w:val="2"/>
            <w:tcBorders/>
            <w:shd w:fill="EEEEEE" w:val="clear"/>
            <w:vAlign w:val="center"/>
          </w:tcPr>
          <w:p>
            <w:pPr>
              <w:pStyle w:val="TableContents"/>
              <w:bidi w:val="0"/>
              <w:spacing w:before="0" w:after="283"/>
              <w:jc w:val="left"/>
              <w:rPr/>
            </w:pPr>
            <w:r>
              <w:rPr/>
              <w:t>Intentionally Omitted</w:t>
            </w:r>
          </w:p>
        </w:tc>
        <w:tc>
          <w:tcPr>
            <w:tcW w:w="275" w:type="dxa"/>
            <w:tcBorders/>
            <w:shd w:fill="EEEEEE" w:val="clear"/>
            <w:vAlign w:val="center"/>
          </w:tcPr>
          <w:p>
            <w:pPr>
              <w:pStyle w:val="TableContents"/>
              <w:bidi w:val="0"/>
              <w:spacing w:before="0" w:after="283"/>
              <w:jc w:val="right"/>
              <w:rPr/>
            </w:pPr>
            <w:r>
              <w:rPr/>
              <w:t>20</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075" w:type="dxa"/>
            <w:tcBorders/>
            <w:shd w:fill="FFFFFF" w:val="clear"/>
            <w:vAlign w:val="center"/>
          </w:tcPr>
          <w:p>
            <w:pPr>
              <w:pStyle w:val="TableContents"/>
              <w:bidi w:val="0"/>
              <w:spacing w:before="0" w:after="283"/>
              <w:jc w:val="left"/>
              <w:rPr>
                <w:sz w:val="4"/>
                <w:szCs w:val="4"/>
              </w:rPr>
            </w:pPr>
            <w:r>
              <w:rPr>
                <w:sz w:val="4"/>
                <w:szCs w:val="4"/>
              </w:rPr>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26.</w:t>
            </w:r>
          </w:p>
        </w:tc>
        <w:tc>
          <w:tcPr>
            <w:tcW w:w="5425" w:type="dxa"/>
            <w:gridSpan w:val="2"/>
            <w:tcBorders/>
            <w:shd w:fill="EEEEEE" w:val="clear"/>
            <w:vAlign w:val="center"/>
          </w:tcPr>
          <w:p>
            <w:pPr>
              <w:pStyle w:val="TableContents"/>
              <w:bidi w:val="0"/>
              <w:spacing w:before="0" w:after="283"/>
              <w:jc w:val="left"/>
              <w:rPr/>
            </w:pPr>
            <w:r>
              <w:rPr/>
              <w:t>Miscellaneous</w:t>
            </w:r>
          </w:p>
        </w:tc>
        <w:tc>
          <w:tcPr>
            <w:tcW w:w="275" w:type="dxa"/>
            <w:tcBorders/>
            <w:shd w:fill="EEEEEE" w:val="clear"/>
            <w:vAlign w:val="center"/>
          </w:tcPr>
          <w:p>
            <w:pPr>
              <w:pStyle w:val="TableContents"/>
              <w:bidi w:val="0"/>
              <w:spacing w:before="0" w:after="283"/>
              <w:jc w:val="right"/>
              <w:rPr/>
            </w:pPr>
            <w:r>
              <w:rPr/>
              <w:t>20</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(a)</w:t>
            </w:r>
          </w:p>
        </w:tc>
        <w:tc>
          <w:tcPr>
            <w:tcW w:w="5075" w:type="dxa"/>
            <w:tcBorders/>
            <w:shd w:fill="FFFFFF" w:val="clear"/>
            <w:vAlign w:val="center"/>
          </w:tcPr>
          <w:p>
            <w:pPr>
              <w:pStyle w:val="TableContents"/>
              <w:bidi w:val="0"/>
              <w:spacing w:before="0" w:after="283"/>
              <w:jc w:val="left"/>
              <w:rPr/>
            </w:pPr>
            <w:r>
              <w:rPr/>
              <w:t>Landlord Transfer</w:t>
            </w:r>
          </w:p>
        </w:tc>
        <w:tc>
          <w:tcPr>
            <w:tcW w:w="275" w:type="dxa"/>
            <w:tcBorders/>
            <w:shd w:fill="FFFFFF" w:val="clear"/>
            <w:vAlign w:val="center"/>
          </w:tcPr>
          <w:p>
            <w:pPr>
              <w:pStyle w:val="TableContents"/>
              <w:bidi w:val="0"/>
              <w:spacing w:before="0" w:after="283"/>
              <w:jc w:val="right"/>
              <w:rPr/>
            </w:pPr>
            <w:r>
              <w:rPr/>
              <w:t>20</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(b)</w:t>
            </w:r>
          </w:p>
        </w:tc>
        <w:tc>
          <w:tcPr>
            <w:tcW w:w="5075" w:type="dxa"/>
            <w:tcBorders/>
            <w:shd w:fill="EEEEEE" w:val="clear"/>
            <w:vAlign w:val="center"/>
          </w:tcPr>
          <w:p>
            <w:pPr>
              <w:pStyle w:val="TableContents"/>
              <w:bidi w:val="0"/>
              <w:spacing w:before="0" w:after="283"/>
              <w:jc w:val="left"/>
              <w:rPr/>
            </w:pPr>
            <w:r>
              <w:rPr/>
              <w:t>Landlord’s Liability</w:t>
            </w:r>
          </w:p>
        </w:tc>
        <w:tc>
          <w:tcPr>
            <w:tcW w:w="275" w:type="dxa"/>
            <w:tcBorders/>
            <w:shd w:fill="EEEEEE" w:val="clear"/>
            <w:vAlign w:val="center"/>
          </w:tcPr>
          <w:p>
            <w:pPr>
              <w:pStyle w:val="TableContents"/>
              <w:bidi w:val="0"/>
              <w:spacing w:before="0" w:after="283"/>
              <w:jc w:val="right"/>
              <w:rPr/>
            </w:pPr>
            <w:r>
              <w:rPr/>
              <w:t>20</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(c)</w:t>
            </w:r>
          </w:p>
        </w:tc>
        <w:tc>
          <w:tcPr>
            <w:tcW w:w="5075" w:type="dxa"/>
            <w:tcBorders/>
            <w:shd w:fill="FFFFFF" w:val="clear"/>
            <w:vAlign w:val="center"/>
          </w:tcPr>
          <w:p>
            <w:pPr>
              <w:pStyle w:val="TableContents"/>
              <w:bidi w:val="0"/>
              <w:spacing w:before="0" w:after="283"/>
              <w:jc w:val="left"/>
              <w:rPr/>
            </w:pPr>
            <w:r>
              <w:rPr/>
              <w:t>Force Majeure</w:t>
            </w:r>
          </w:p>
        </w:tc>
        <w:tc>
          <w:tcPr>
            <w:tcW w:w="275" w:type="dxa"/>
            <w:tcBorders/>
            <w:shd w:fill="FFFFFF" w:val="clear"/>
            <w:vAlign w:val="center"/>
          </w:tcPr>
          <w:p>
            <w:pPr>
              <w:pStyle w:val="TableContents"/>
              <w:bidi w:val="0"/>
              <w:spacing w:before="0" w:after="283"/>
              <w:jc w:val="right"/>
              <w:rPr/>
            </w:pPr>
            <w:r>
              <w:rPr/>
              <w:t>20</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(d)</w:t>
            </w:r>
          </w:p>
        </w:tc>
        <w:tc>
          <w:tcPr>
            <w:tcW w:w="5075" w:type="dxa"/>
            <w:tcBorders/>
            <w:shd w:fill="EEEEEE" w:val="clear"/>
            <w:vAlign w:val="center"/>
          </w:tcPr>
          <w:p>
            <w:pPr>
              <w:pStyle w:val="TableContents"/>
              <w:bidi w:val="0"/>
              <w:spacing w:before="0" w:after="283"/>
              <w:jc w:val="left"/>
              <w:rPr/>
            </w:pPr>
            <w:r>
              <w:rPr/>
              <w:t>Brokerage</w:t>
            </w:r>
          </w:p>
        </w:tc>
        <w:tc>
          <w:tcPr>
            <w:tcW w:w="275" w:type="dxa"/>
            <w:tcBorders/>
            <w:shd w:fill="EEEEEE" w:val="clear"/>
            <w:vAlign w:val="center"/>
          </w:tcPr>
          <w:p>
            <w:pPr>
              <w:pStyle w:val="TableContents"/>
              <w:bidi w:val="0"/>
              <w:spacing w:before="0" w:after="283"/>
              <w:jc w:val="right"/>
              <w:rPr/>
            </w:pPr>
            <w:r>
              <w:rPr/>
              <w:t>21</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(e)</w:t>
            </w:r>
          </w:p>
        </w:tc>
        <w:tc>
          <w:tcPr>
            <w:tcW w:w="5075" w:type="dxa"/>
            <w:tcBorders/>
            <w:shd w:fill="FFFFFF" w:val="clear"/>
            <w:vAlign w:val="center"/>
          </w:tcPr>
          <w:p>
            <w:pPr>
              <w:pStyle w:val="TableContents"/>
              <w:bidi w:val="0"/>
              <w:spacing w:before="0" w:after="283"/>
              <w:jc w:val="left"/>
              <w:rPr/>
            </w:pPr>
            <w:r>
              <w:rPr/>
              <w:t>Estoppel Certificates</w:t>
            </w:r>
          </w:p>
        </w:tc>
        <w:tc>
          <w:tcPr>
            <w:tcW w:w="275" w:type="dxa"/>
            <w:tcBorders/>
            <w:shd w:fill="FFFFFF" w:val="clear"/>
            <w:vAlign w:val="center"/>
          </w:tcPr>
          <w:p>
            <w:pPr>
              <w:pStyle w:val="TableContents"/>
              <w:bidi w:val="0"/>
              <w:spacing w:before="0" w:after="283"/>
              <w:jc w:val="right"/>
              <w:rPr/>
            </w:pPr>
            <w:r>
              <w:rPr/>
              <w:t>21</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(f)</w:t>
            </w:r>
          </w:p>
        </w:tc>
        <w:tc>
          <w:tcPr>
            <w:tcW w:w="5075" w:type="dxa"/>
            <w:tcBorders/>
            <w:shd w:fill="EEEEEE" w:val="clear"/>
            <w:vAlign w:val="center"/>
          </w:tcPr>
          <w:p>
            <w:pPr>
              <w:pStyle w:val="TableContents"/>
              <w:bidi w:val="0"/>
              <w:spacing w:before="0" w:after="283"/>
              <w:jc w:val="left"/>
              <w:rPr/>
            </w:pPr>
            <w:r>
              <w:rPr/>
              <w:t>Notices</w:t>
            </w:r>
          </w:p>
        </w:tc>
        <w:tc>
          <w:tcPr>
            <w:tcW w:w="275" w:type="dxa"/>
            <w:tcBorders/>
            <w:shd w:fill="EEEEEE" w:val="clear"/>
            <w:vAlign w:val="center"/>
          </w:tcPr>
          <w:p>
            <w:pPr>
              <w:pStyle w:val="TableContents"/>
              <w:bidi w:val="0"/>
              <w:spacing w:before="0" w:after="283"/>
              <w:jc w:val="right"/>
              <w:rPr/>
            </w:pPr>
            <w:r>
              <w:rPr/>
              <w:t>21</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(g)</w:t>
            </w:r>
          </w:p>
        </w:tc>
        <w:tc>
          <w:tcPr>
            <w:tcW w:w="5075" w:type="dxa"/>
            <w:tcBorders/>
            <w:shd w:fill="FFFFFF" w:val="clear"/>
            <w:vAlign w:val="center"/>
          </w:tcPr>
          <w:p>
            <w:pPr>
              <w:pStyle w:val="TableContents"/>
              <w:bidi w:val="0"/>
              <w:spacing w:before="0" w:after="283"/>
              <w:jc w:val="left"/>
              <w:rPr/>
            </w:pPr>
            <w:r>
              <w:rPr/>
              <w:t>Separability</w:t>
            </w:r>
          </w:p>
        </w:tc>
        <w:tc>
          <w:tcPr>
            <w:tcW w:w="275" w:type="dxa"/>
            <w:tcBorders/>
            <w:shd w:fill="FFFFFF" w:val="clear"/>
            <w:vAlign w:val="center"/>
          </w:tcPr>
          <w:p>
            <w:pPr>
              <w:pStyle w:val="TableContents"/>
              <w:bidi w:val="0"/>
              <w:spacing w:before="0" w:after="283"/>
              <w:jc w:val="right"/>
              <w:rPr/>
            </w:pPr>
            <w:r>
              <w:rPr/>
              <w:t>21</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(h)</w:t>
            </w:r>
          </w:p>
        </w:tc>
        <w:tc>
          <w:tcPr>
            <w:tcW w:w="5075" w:type="dxa"/>
            <w:tcBorders/>
            <w:shd w:fill="EEEEEE" w:val="clear"/>
            <w:vAlign w:val="center"/>
          </w:tcPr>
          <w:p>
            <w:pPr>
              <w:pStyle w:val="TableContents"/>
              <w:bidi w:val="0"/>
              <w:spacing w:before="0" w:after="283"/>
              <w:jc w:val="left"/>
              <w:rPr/>
            </w:pPr>
            <w:r>
              <w:rPr/>
              <w:t>Amendments; Binding Effect; No Electronic Records</w:t>
            </w:r>
          </w:p>
        </w:tc>
        <w:tc>
          <w:tcPr>
            <w:tcW w:w="275" w:type="dxa"/>
            <w:tcBorders/>
            <w:shd w:fill="EEEEEE" w:val="clear"/>
            <w:vAlign w:val="center"/>
          </w:tcPr>
          <w:p>
            <w:pPr>
              <w:pStyle w:val="TableContents"/>
              <w:bidi w:val="0"/>
              <w:spacing w:before="0" w:after="283"/>
              <w:jc w:val="right"/>
              <w:rPr/>
            </w:pPr>
            <w:r>
              <w:rPr/>
              <w:t>21</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(i)</w:t>
            </w:r>
          </w:p>
        </w:tc>
        <w:tc>
          <w:tcPr>
            <w:tcW w:w="5075" w:type="dxa"/>
            <w:tcBorders/>
            <w:shd w:fill="FFFFFF" w:val="clear"/>
            <w:vAlign w:val="center"/>
          </w:tcPr>
          <w:p>
            <w:pPr>
              <w:pStyle w:val="TableContents"/>
              <w:bidi w:val="0"/>
              <w:spacing w:before="0" w:after="283"/>
              <w:jc w:val="left"/>
              <w:rPr/>
            </w:pPr>
            <w:r>
              <w:rPr/>
              <w:t>Quiet Enjoyment</w:t>
            </w:r>
          </w:p>
        </w:tc>
        <w:tc>
          <w:tcPr>
            <w:tcW w:w="275" w:type="dxa"/>
            <w:tcBorders/>
            <w:shd w:fill="FFFFFF" w:val="clear"/>
            <w:vAlign w:val="center"/>
          </w:tcPr>
          <w:p>
            <w:pPr>
              <w:pStyle w:val="TableContents"/>
              <w:bidi w:val="0"/>
              <w:spacing w:before="0" w:after="283"/>
              <w:jc w:val="right"/>
              <w:rPr/>
            </w:pPr>
            <w:r>
              <w:rPr/>
              <w:t>22</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(j)</w:t>
            </w:r>
          </w:p>
        </w:tc>
        <w:tc>
          <w:tcPr>
            <w:tcW w:w="5075" w:type="dxa"/>
            <w:tcBorders/>
            <w:shd w:fill="EEEEEE" w:val="clear"/>
            <w:vAlign w:val="center"/>
          </w:tcPr>
          <w:p>
            <w:pPr>
              <w:pStyle w:val="TableContents"/>
              <w:bidi w:val="0"/>
              <w:spacing w:before="0" w:after="283"/>
              <w:jc w:val="left"/>
              <w:rPr/>
            </w:pPr>
            <w:r>
              <w:rPr/>
              <w:t>Entire Agreement</w:t>
            </w:r>
          </w:p>
        </w:tc>
        <w:tc>
          <w:tcPr>
            <w:tcW w:w="275" w:type="dxa"/>
            <w:tcBorders/>
            <w:shd w:fill="EEEEEE" w:val="clear"/>
            <w:vAlign w:val="center"/>
          </w:tcPr>
          <w:p>
            <w:pPr>
              <w:pStyle w:val="TableContents"/>
              <w:bidi w:val="0"/>
              <w:spacing w:before="0" w:after="283"/>
              <w:jc w:val="right"/>
              <w:rPr/>
            </w:pPr>
            <w:r>
              <w:rPr/>
              <w:t>22</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(k)</w:t>
            </w:r>
          </w:p>
        </w:tc>
        <w:tc>
          <w:tcPr>
            <w:tcW w:w="5075" w:type="dxa"/>
            <w:tcBorders/>
            <w:shd w:fill="FFFFFF" w:val="clear"/>
            <w:vAlign w:val="center"/>
          </w:tcPr>
          <w:p>
            <w:pPr>
              <w:pStyle w:val="TableContents"/>
              <w:bidi w:val="0"/>
              <w:spacing w:before="0" w:after="283"/>
              <w:jc w:val="left"/>
              <w:rPr/>
            </w:pPr>
            <w:r>
              <w:rPr/>
              <w:t>Waiver of Jury Trial</w:t>
            </w:r>
          </w:p>
        </w:tc>
        <w:tc>
          <w:tcPr>
            <w:tcW w:w="275" w:type="dxa"/>
            <w:tcBorders/>
            <w:shd w:fill="FFFFFF" w:val="clear"/>
            <w:vAlign w:val="center"/>
          </w:tcPr>
          <w:p>
            <w:pPr>
              <w:pStyle w:val="TableContents"/>
              <w:bidi w:val="0"/>
              <w:spacing w:before="0" w:after="283"/>
              <w:jc w:val="right"/>
              <w:rPr/>
            </w:pPr>
            <w:r>
              <w:rPr/>
              <w:t>22</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(l)</w:t>
            </w:r>
          </w:p>
        </w:tc>
        <w:tc>
          <w:tcPr>
            <w:tcW w:w="5075" w:type="dxa"/>
            <w:tcBorders/>
            <w:shd w:fill="EEEEEE" w:val="clear"/>
            <w:vAlign w:val="center"/>
          </w:tcPr>
          <w:p>
            <w:pPr>
              <w:pStyle w:val="TableContents"/>
              <w:bidi w:val="0"/>
              <w:spacing w:before="0" w:after="283"/>
              <w:jc w:val="left"/>
              <w:rPr/>
            </w:pPr>
            <w:r>
              <w:rPr/>
              <w:t>Governing Law</w:t>
            </w:r>
          </w:p>
        </w:tc>
        <w:tc>
          <w:tcPr>
            <w:tcW w:w="275" w:type="dxa"/>
            <w:tcBorders/>
            <w:shd w:fill="EEEEEE" w:val="clear"/>
            <w:vAlign w:val="center"/>
          </w:tcPr>
          <w:p>
            <w:pPr>
              <w:pStyle w:val="TableContents"/>
              <w:bidi w:val="0"/>
              <w:spacing w:before="0" w:after="283"/>
              <w:jc w:val="right"/>
              <w:rPr/>
            </w:pPr>
            <w:r>
              <w:rPr/>
              <w:t>22</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(m)</w:t>
            </w:r>
          </w:p>
        </w:tc>
        <w:tc>
          <w:tcPr>
            <w:tcW w:w="5075" w:type="dxa"/>
            <w:tcBorders/>
            <w:shd w:fill="FFFFFF" w:val="clear"/>
            <w:vAlign w:val="center"/>
          </w:tcPr>
          <w:p>
            <w:pPr>
              <w:pStyle w:val="TableContents"/>
              <w:bidi w:val="0"/>
              <w:spacing w:before="0" w:after="283"/>
              <w:jc w:val="left"/>
              <w:rPr/>
            </w:pPr>
            <w:r>
              <w:rPr/>
              <w:t>Recording</w:t>
            </w:r>
          </w:p>
        </w:tc>
        <w:tc>
          <w:tcPr>
            <w:tcW w:w="275" w:type="dxa"/>
            <w:tcBorders/>
            <w:shd w:fill="FFFFFF" w:val="clear"/>
            <w:vAlign w:val="center"/>
          </w:tcPr>
          <w:p>
            <w:pPr>
              <w:pStyle w:val="TableContents"/>
              <w:bidi w:val="0"/>
              <w:spacing w:before="0" w:after="283"/>
              <w:jc w:val="right"/>
              <w:rPr/>
            </w:pPr>
            <w:r>
              <w:rPr/>
              <w:t>22</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(n)</w:t>
            </w:r>
          </w:p>
        </w:tc>
        <w:tc>
          <w:tcPr>
            <w:tcW w:w="5075" w:type="dxa"/>
            <w:tcBorders/>
            <w:shd w:fill="EEEEEE" w:val="clear"/>
            <w:vAlign w:val="center"/>
          </w:tcPr>
          <w:p>
            <w:pPr>
              <w:pStyle w:val="TableContents"/>
              <w:bidi w:val="0"/>
              <w:spacing w:before="0" w:after="283"/>
              <w:jc w:val="left"/>
              <w:rPr/>
            </w:pPr>
            <w:r>
              <w:rPr/>
              <w:t>Water or Mold Notification</w:t>
            </w:r>
          </w:p>
        </w:tc>
        <w:tc>
          <w:tcPr>
            <w:tcW w:w="275" w:type="dxa"/>
            <w:tcBorders/>
            <w:shd w:fill="EEEEEE" w:val="clear"/>
            <w:vAlign w:val="center"/>
          </w:tcPr>
          <w:p>
            <w:pPr>
              <w:pStyle w:val="TableContents"/>
              <w:bidi w:val="0"/>
              <w:spacing w:before="0" w:after="283"/>
              <w:jc w:val="right"/>
              <w:rPr/>
            </w:pPr>
            <w:r>
              <w:rPr/>
              <w:t>22</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(o)</w:t>
            </w:r>
          </w:p>
        </w:tc>
        <w:tc>
          <w:tcPr>
            <w:tcW w:w="5075" w:type="dxa"/>
            <w:tcBorders/>
            <w:shd w:fill="FFFFFF" w:val="clear"/>
            <w:vAlign w:val="center"/>
          </w:tcPr>
          <w:p>
            <w:pPr>
              <w:pStyle w:val="TableContents"/>
              <w:bidi w:val="0"/>
              <w:spacing w:before="0" w:after="283"/>
              <w:jc w:val="left"/>
              <w:rPr/>
            </w:pPr>
            <w:r>
              <w:rPr/>
              <w:t>Joint and Several Liability</w:t>
            </w:r>
          </w:p>
        </w:tc>
        <w:tc>
          <w:tcPr>
            <w:tcW w:w="275" w:type="dxa"/>
            <w:tcBorders/>
            <w:shd w:fill="FFFFFF" w:val="clear"/>
            <w:vAlign w:val="center"/>
          </w:tcPr>
          <w:p>
            <w:pPr>
              <w:pStyle w:val="TableContents"/>
              <w:bidi w:val="0"/>
              <w:spacing w:before="0" w:after="283"/>
              <w:jc w:val="right"/>
              <w:rPr/>
            </w:pPr>
            <w:r>
              <w:rPr/>
              <w:t>22</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(p)</w:t>
            </w:r>
          </w:p>
        </w:tc>
        <w:tc>
          <w:tcPr>
            <w:tcW w:w="5075" w:type="dxa"/>
            <w:tcBorders/>
            <w:shd w:fill="EEEEEE" w:val="clear"/>
            <w:vAlign w:val="center"/>
          </w:tcPr>
          <w:p>
            <w:pPr>
              <w:pStyle w:val="TableContents"/>
              <w:bidi w:val="0"/>
              <w:spacing w:before="0" w:after="283"/>
              <w:jc w:val="left"/>
              <w:rPr/>
            </w:pPr>
            <w:r>
              <w:rPr/>
              <w:t>Financial Reports</w:t>
            </w:r>
          </w:p>
        </w:tc>
        <w:tc>
          <w:tcPr>
            <w:tcW w:w="275" w:type="dxa"/>
            <w:tcBorders/>
            <w:shd w:fill="EEEEEE" w:val="clear"/>
            <w:vAlign w:val="center"/>
          </w:tcPr>
          <w:p>
            <w:pPr>
              <w:pStyle w:val="TableContents"/>
              <w:bidi w:val="0"/>
              <w:spacing w:before="0" w:after="283"/>
              <w:jc w:val="right"/>
              <w:rPr/>
            </w:pPr>
            <w:r>
              <w:rPr/>
              <w:t>22</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(q)</w:t>
            </w:r>
          </w:p>
        </w:tc>
        <w:tc>
          <w:tcPr>
            <w:tcW w:w="5075" w:type="dxa"/>
            <w:tcBorders/>
            <w:shd w:fill="FFFFFF" w:val="clear"/>
            <w:vAlign w:val="center"/>
          </w:tcPr>
          <w:p>
            <w:pPr>
              <w:pStyle w:val="TableContents"/>
              <w:bidi w:val="0"/>
              <w:spacing w:before="0" w:after="283"/>
              <w:jc w:val="left"/>
              <w:rPr/>
            </w:pPr>
            <w:r>
              <w:rPr/>
              <w:t>Landlord’s Fees</w:t>
            </w:r>
          </w:p>
        </w:tc>
        <w:tc>
          <w:tcPr>
            <w:tcW w:w="275" w:type="dxa"/>
            <w:tcBorders/>
            <w:shd w:fill="FFFFFF" w:val="clear"/>
            <w:vAlign w:val="center"/>
          </w:tcPr>
          <w:p>
            <w:pPr>
              <w:pStyle w:val="TableContents"/>
              <w:bidi w:val="0"/>
              <w:spacing w:before="0" w:after="283"/>
              <w:jc w:val="right"/>
              <w:rPr/>
            </w:pPr>
            <w:r>
              <w:rPr/>
              <w:t>22</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(r)</w:t>
            </w:r>
          </w:p>
        </w:tc>
        <w:tc>
          <w:tcPr>
            <w:tcW w:w="5075" w:type="dxa"/>
            <w:tcBorders/>
            <w:shd w:fill="EEEEEE" w:val="clear"/>
            <w:vAlign w:val="center"/>
          </w:tcPr>
          <w:p>
            <w:pPr>
              <w:pStyle w:val="TableContents"/>
              <w:bidi w:val="0"/>
              <w:spacing w:before="0" w:after="283"/>
              <w:jc w:val="left"/>
              <w:rPr/>
            </w:pPr>
            <w:r>
              <w:rPr/>
              <w:t>Telecommunications</w:t>
            </w:r>
          </w:p>
        </w:tc>
        <w:tc>
          <w:tcPr>
            <w:tcW w:w="275" w:type="dxa"/>
            <w:tcBorders/>
            <w:shd w:fill="EEEEEE" w:val="clear"/>
            <w:vAlign w:val="center"/>
          </w:tcPr>
          <w:p>
            <w:pPr>
              <w:pStyle w:val="TableContents"/>
              <w:bidi w:val="0"/>
              <w:spacing w:before="0" w:after="283"/>
              <w:jc w:val="right"/>
              <w:rPr/>
            </w:pPr>
            <w:r>
              <w:rPr/>
              <w:t>23</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(s)</w:t>
            </w:r>
          </w:p>
        </w:tc>
        <w:tc>
          <w:tcPr>
            <w:tcW w:w="5075" w:type="dxa"/>
            <w:tcBorders/>
            <w:shd w:fill="FFFFFF" w:val="clear"/>
            <w:vAlign w:val="center"/>
          </w:tcPr>
          <w:p>
            <w:pPr>
              <w:pStyle w:val="TableContents"/>
              <w:bidi w:val="0"/>
              <w:spacing w:before="0" w:after="283"/>
              <w:jc w:val="left"/>
              <w:rPr/>
            </w:pPr>
            <w:r>
              <w:rPr/>
              <w:t>Confidentiality</w:t>
            </w:r>
          </w:p>
        </w:tc>
        <w:tc>
          <w:tcPr>
            <w:tcW w:w="275" w:type="dxa"/>
            <w:tcBorders/>
            <w:shd w:fill="FFFFFF" w:val="clear"/>
            <w:vAlign w:val="center"/>
          </w:tcPr>
          <w:p>
            <w:pPr>
              <w:pStyle w:val="TableContents"/>
              <w:bidi w:val="0"/>
              <w:spacing w:before="0" w:after="283"/>
              <w:jc w:val="right"/>
              <w:rPr/>
            </w:pPr>
            <w:r>
              <w:rPr/>
              <w:t>23</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(t)</w:t>
            </w:r>
          </w:p>
        </w:tc>
        <w:tc>
          <w:tcPr>
            <w:tcW w:w="5075" w:type="dxa"/>
            <w:tcBorders/>
            <w:shd w:fill="EEEEEE" w:val="clear"/>
            <w:vAlign w:val="center"/>
          </w:tcPr>
          <w:p>
            <w:pPr>
              <w:pStyle w:val="TableContents"/>
              <w:bidi w:val="0"/>
              <w:spacing w:before="0" w:after="283"/>
              <w:jc w:val="left"/>
              <w:rPr/>
            </w:pPr>
            <w:r>
              <w:rPr/>
              <w:t>Authority</w:t>
            </w:r>
          </w:p>
        </w:tc>
        <w:tc>
          <w:tcPr>
            <w:tcW w:w="275" w:type="dxa"/>
            <w:tcBorders/>
            <w:shd w:fill="EEEEEE" w:val="clear"/>
            <w:vAlign w:val="center"/>
          </w:tcPr>
          <w:p>
            <w:pPr>
              <w:pStyle w:val="TableContents"/>
              <w:bidi w:val="0"/>
              <w:spacing w:before="0" w:after="283"/>
              <w:jc w:val="right"/>
              <w:rPr/>
            </w:pPr>
            <w:r>
              <w:rPr/>
              <w:t>23</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(u)</w:t>
            </w:r>
          </w:p>
        </w:tc>
        <w:tc>
          <w:tcPr>
            <w:tcW w:w="5075" w:type="dxa"/>
            <w:tcBorders/>
            <w:shd w:fill="FFFFFF" w:val="clear"/>
            <w:vAlign w:val="center"/>
          </w:tcPr>
          <w:p>
            <w:pPr>
              <w:pStyle w:val="TableContents"/>
              <w:bidi w:val="0"/>
              <w:spacing w:before="0" w:after="283"/>
              <w:jc w:val="left"/>
              <w:rPr/>
            </w:pPr>
            <w:r>
              <w:rPr/>
              <w:t>Security Service</w:t>
            </w:r>
          </w:p>
        </w:tc>
        <w:tc>
          <w:tcPr>
            <w:tcW w:w="275" w:type="dxa"/>
            <w:tcBorders/>
            <w:shd w:fill="FFFFFF" w:val="clear"/>
            <w:vAlign w:val="center"/>
          </w:tcPr>
          <w:p>
            <w:pPr>
              <w:pStyle w:val="TableContents"/>
              <w:bidi w:val="0"/>
              <w:spacing w:before="0" w:after="283"/>
              <w:jc w:val="right"/>
              <w:rPr/>
            </w:pPr>
            <w:r>
              <w:rPr/>
              <w:t>23</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(v)</w:t>
            </w:r>
          </w:p>
        </w:tc>
        <w:tc>
          <w:tcPr>
            <w:tcW w:w="5075" w:type="dxa"/>
            <w:tcBorders/>
            <w:shd w:fill="EEEEEE" w:val="clear"/>
            <w:vAlign w:val="center"/>
          </w:tcPr>
          <w:p>
            <w:pPr>
              <w:pStyle w:val="TableContents"/>
              <w:bidi w:val="0"/>
              <w:spacing w:before="0" w:after="283"/>
              <w:jc w:val="left"/>
              <w:rPr/>
            </w:pPr>
            <w:r>
              <w:rPr/>
              <w:t>List of Exhibits</w:t>
            </w:r>
          </w:p>
        </w:tc>
        <w:tc>
          <w:tcPr>
            <w:tcW w:w="275" w:type="dxa"/>
            <w:tcBorders/>
            <w:shd w:fill="EEEEEE" w:val="clear"/>
            <w:vAlign w:val="center"/>
          </w:tcPr>
          <w:p>
            <w:pPr>
              <w:pStyle w:val="TableContents"/>
              <w:bidi w:val="0"/>
              <w:spacing w:before="0" w:after="283"/>
              <w:jc w:val="right"/>
              <w:rPr/>
            </w:pPr>
            <w:r>
              <w:rPr/>
              <w:t>23</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(w)</w:t>
            </w:r>
          </w:p>
        </w:tc>
        <w:tc>
          <w:tcPr>
            <w:tcW w:w="5075" w:type="dxa"/>
            <w:tcBorders/>
            <w:shd w:fill="FFFFFF" w:val="clear"/>
            <w:vAlign w:val="center"/>
          </w:tcPr>
          <w:p>
            <w:pPr>
              <w:pStyle w:val="TableContents"/>
              <w:bidi w:val="0"/>
              <w:spacing w:before="0" w:after="283"/>
              <w:jc w:val="left"/>
              <w:rPr/>
            </w:pPr>
            <w:r>
              <w:rPr/>
              <w:t>Prohibited Persons and Transactions</w:t>
            </w:r>
          </w:p>
        </w:tc>
        <w:tc>
          <w:tcPr>
            <w:tcW w:w="275" w:type="dxa"/>
            <w:tcBorders/>
            <w:shd w:fill="FFFFFF" w:val="clear"/>
            <w:vAlign w:val="center"/>
          </w:tcPr>
          <w:p>
            <w:pPr>
              <w:pStyle w:val="TableContents"/>
              <w:bidi w:val="0"/>
              <w:spacing w:before="0" w:after="283"/>
              <w:jc w:val="right"/>
              <w:rPr/>
            </w:pPr>
            <w:r>
              <w:rPr/>
              <w:t>24</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(x)</w:t>
            </w:r>
          </w:p>
        </w:tc>
        <w:tc>
          <w:tcPr>
            <w:tcW w:w="5075" w:type="dxa"/>
            <w:tcBorders/>
            <w:shd w:fill="EEEEEE" w:val="clear"/>
            <w:vAlign w:val="center"/>
          </w:tcPr>
          <w:p>
            <w:pPr>
              <w:pStyle w:val="TableContents"/>
              <w:bidi w:val="0"/>
              <w:spacing w:before="0" w:after="283"/>
              <w:jc w:val="left"/>
              <w:rPr/>
            </w:pPr>
            <w:r>
              <w:rPr/>
              <w:t>Determination of Charges</w:t>
            </w:r>
          </w:p>
        </w:tc>
        <w:tc>
          <w:tcPr>
            <w:tcW w:w="275" w:type="dxa"/>
            <w:tcBorders/>
            <w:shd w:fill="EEEEEE" w:val="clear"/>
            <w:vAlign w:val="center"/>
          </w:tcPr>
          <w:p>
            <w:pPr>
              <w:pStyle w:val="TableContents"/>
              <w:bidi w:val="0"/>
              <w:spacing w:before="0" w:after="283"/>
              <w:jc w:val="right"/>
              <w:rPr/>
            </w:pPr>
            <w:r>
              <w:rPr/>
              <w:t>24</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(y)</w:t>
            </w:r>
          </w:p>
        </w:tc>
        <w:tc>
          <w:tcPr>
            <w:tcW w:w="5075" w:type="dxa"/>
            <w:tcBorders/>
            <w:shd w:fill="FFFFFF" w:val="clear"/>
            <w:vAlign w:val="center"/>
          </w:tcPr>
          <w:p>
            <w:pPr>
              <w:pStyle w:val="TableContents"/>
              <w:bidi w:val="0"/>
              <w:spacing w:before="0" w:after="283"/>
              <w:jc w:val="left"/>
              <w:rPr/>
            </w:pPr>
            <w:r>
              <w:rPr/>
              <w:t>No Invasive Testing</w:t>
            </w:r>
          </w:p>
        </w:tc>
        <w:tc>
          <w:tcPr>
            <w:tcW w:w="275" w:type="dxa"/>
            <w:tcBorders/>
            <w:shd w:fill="FFFFFF" w:val="clear"/>
            <w:vAlign w:val="center"/>
          </w:tcPr>
          <w:p>
            <w:pPr>
              <w:pStyle w:val="TableContents"/>
              <w:bidi w:val="0"/>
              <w:spacing w:before="0" w:after="283"/>
              <w:jc w:val="right"/>
              <w:rPr/>
            </w:pPr>
            <w:r>
              <w:rPr/>
              <w:t>24</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(z)</w:t>
            </w:r>
          </w:p>
        </w:tc>
        <w:tc>
          <w:tcPr>
            <w:tcW w:w="5075" w:type="dxa"/>
            <w:tcBorders/>
            <w:shd w:fill="EEEEEE" w:val="clear"/>
            <w:vAlign w:val="center"/>
          </w:tcPr>
          <w:p>
            <w:pPr>
              <w:pStyle w:val="TableContents"/>
              <w:bidi w:val="0"/>
              <w:spacing w:before="0" w:after="283"/>
              <w:jc w:val="left"/>
              <w:rPr/>
            </w:pPr>
            <w:r>
              <w:rPr/>
              <w:t>Counterparts</w:t>
            </w:r>
          </w:p>
        </w:tc>
        <w:tc>
          <w:tcPr>
            <w:tcW w:w="275" w:type="dxa"/>
            <w:tcBorders/>
            <w:shd w:fill="EEEEEE" w:val="clear"/>
            <w:vAlign w:val="center"/>
          </w:tcPr>
          <w:p>
            <w:pPr>
              <w:pStyle w:val="TableContents"/>
              <w:bidi w:val="0"/>
              <w:spacing w:before="0" w:after="283"/>
              <w:jc w:val="right"/>
              <w:rPr/>
            </w:pPr>
            <w:r>
              <w:rPr/>
              <w:t>24</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0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27.</w:t>
            </w:r>
          </w:p>
        </w:tc>
        <w:tc>
          <w:tcPr>
            <w:tcW w:w="5425" w:type="dxa"/>
            <w:gridSpan w:val="2"/>
            <w:tcBorders/>
            <w:shd w:fill="EEEEEE" w:val="clear"/>
            <w:vAlign w:val="center"/>
          </w:tcPr>
          <w:p>
            <w:pPr>
              <w:pStyle w:val="TableContents"/>
              <w:bidi w:val="0"/>
              <w:spacing w:before="0" w:after="283"/>
              <w:jc w:val="left"/>
              <w:rPr/>
            </w:pPr>
            <w:r>
              <w:rPr/>
              <w:t>Environmental Requirements</w:t>
            </w:r>
          </w:p>
        </w:tc>
        <w:tc>
          <w:tcPr>
            <w:tcW w:w="275" w:type="dxa"/>
            <w:tcBorders/>
            <w:shd w:fill="EEEEEE" w:val="clear"/>
            <w:vAlign w:val="center"/>
          </w:tcPr>
          <w:p>
            <w:pPr>
              <w:pStyle w:val="TableContents"/>
              <w:bidi w:val="0"/>
              <w:spacing w:before="0" w:after="283"/>
              <w:jc w:val="right"/>
              <w:rPr/>
            </w:pPr>
            <w:r>
              <w:rPr/>
              <w:t>24</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(a)</w:t>
            </w:r>
          </w:p>
        </w:tc>
        <w:tc>
          <w:tcPr>
            <w:tcW w:w="5075" w:type="dxa"/>
            <w:tcBorders/>
            <w:shd w:fill="FFFFFF" w:val="clear"/>
            <w:vAlign w:val="center"/>
          </w:tcPr>
          <w:p>
            <w:pPr>
              <w:pStyle w:val="TableContents"/>
              <w:bidi w:val="0"/>
              <w:spacing w:before="0" w:after="283"/>
              <w:jc w:val="left"/>
              <w:rPr/>
            </w:pPr>
            <w:r>
              <w:rPr/>
              <w:t>Prohibition against Hazardous Materials</w:t>
            </w:r>
          </w:p>
        </w:tc>
        <w:tc>
          <w:tcPr>
            <w:tcW w:w="275" w:type="dxa"/>
            <w:tcBorders/>
            <w:shd w:fill="FFFFFF" w:val="clear"/>
            <w:vAlign w:val="center"/>
          </w:tcPr>
          <w:p>
            <w:pPr>
              <w:pStyle w:val="TableContents"/>
              <w:bidi w:val="0"/>
              <w:spacing w:before="0" w:after="283"/>
              <w:jc w:val="right"/>
              <w:rPr/>
            </w:pPr>
            <w:r>
              <w:rPr/>
              <w:t>24</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(b)</w:t>
            </w:r>
          </w:p>
        </w:tc>
        <w:tc>
          <w:tcPr>
            <w:tcW w:w="5075" w:type="dxa"/>
            <w:tcBorders/>
            <w:shd w:fill="EEEEEE" w:val="clear"/>
            <w:vAlign w:val="center"/>
          </w:tcPr>
          <w:p>
            <w:pPr>
              <w:pStyle w:val="TableContents"/>
              <w:bidi w:val="0"/>
              <w:spacing w:before="0" w:after="283"/>
              <w:jc w:val="left"/>
              <w:rPr/>
            </w:pPr>
            <w:r>
              <w:rPr/>
              <w:t>Environmental Requirements</w:t>
            </w:r>
          </w:p>
        </w:tc>
        <w:tc>
          <w:tcPr>
            <w:tcW w:w="275" w:type="dxa"/>
            <w:tcBorders/>
            <w:shd w:fill="EEEEEE" w:val="clear"/>
            <w:vAlign w:val="center"/>
          </w:tcPr>
          <w:p>
            <w:pPr>
              <w:pStyle w:val="TableContents"/>
              <w:bidi w:val="0"/>
              <w:spacing w:before="0" w:after="283"/>
              <w:jc w:val="right"/>
              <w:rPr/>
            </w:pPr>
            <w:r>
              <w:rPr/>
              <w:t>24</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(c)</w:t>
            </w:r>
          </w:p>
        </w:tc>
        <w:tc>
          <w:tcPr>
            <w:tcW w:w="5075" w:type="dxa"/>
            <w:tcBorders/>
            <w:shd w:fill="FFFFFF" w:val="clear"/>
            <w:vAlign w:val="center"/>
          </w:tcPr>
          <w:p>
            <w:pPr>
              <w:pStyle w:val="TableContents"/>
              <w:bidi w:val="0"/>
              <w:spacing w:before="0" w:after="283"/>
              <w:jc w:val="left"/>
              <w:rPr/>
            </w:pPr>
            <w:r>
              <w:rPr/>
              <w:t>Removal of Hazardous Materials</w:t>
            </w:r>
          </w:p>
        </w:tc>
        <w:tc>
          <w:tcPr>
            <w:tcW w:w="275" w:type="dxa"/>
            <w:tcBorders/>
            <w:shd w:fill="FFFFFF" w:val="clear"/>
            <w:vAlign w:val="center"/>
          </w:tcPr>
          <w:p>
            <w:pPr>
              <w:pStyle w:val="TableContents"/>
              <w:bidi w:val="0"/>
              <w:spacing w:before="0" w:after="283"/>
              <w:jc w:val="right"/>
              <w:rPr/>
            </w:pPr>
            <w:r>
              <w:rPr/>
              <w:t>25</w:t>
            </w:r>
          </w:p>
        </w:tc>
      </w:tr>
    </w:tbl>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v</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3725" w:type="dxa"/>
        <w:jc w:val="left"/>
        <w:tblInd w:w="0" w:type="dxa"/>
        <w:tblLayout w:type="fixed"/>
        <w:tblCellMar>
          <w:top w:w="0" w:type="dxa"/>
          <w:left w:w="0" w:type="dxa"/>
          <w:bottom w:w="0" w:type="dxa"/>
          <w:right w:w="0" w:type="dxa"/>
        </w:tblCellMar>
      </w:tblPr>
      <w:tblGrid>
        <w:gridCol w:w="335"/>
        <w:gridCol w:w="290"/>
        <w:gridCol w:w="2825"/>
        <w:gridCol w:w="275"/>
      </w:tblGrid>
      <w:tr>
        <w:trPr/>
        <w:tc>
          <w:tcPr>
            <w:tcW w:w="335" w:type="dxa"/>
            <w:tcBorders/>
            <w:shd w:fill="EEEEEE" w:val="clear"/>
            <w:vAlign w:val="center"/>
          </w:tcPr>
          <w:p>
            <w:pPr>
              <w:pStyle w:val="TableContents"/>
              <w:bidi w:val="0"/>
              <w:spacing w:before="0" w:after="283"/>
              <w:jc w:val="left"/>
              <w:rPr/>
            </w:pPr>
            <w:r>
              <w:rPr/>
              <w:t> </w:t>
            </w:r>
          </w:p>
        </w:tc>
        <w:tc>
          <w:tcPr>
            <w:tcW w:w="290" w:type="dxa"/>
            <w:tcBorders/>
            <w:shd w:fill="EEEEEE" w:val="clear"/>
            <w:vAlign w:val="center"/>
          </w:tcPr>
          <w:p>
            <w:pPr>
              <w:pStyle w:val="TableContents"/>
              <w:bidi w:val="0"/>
              <w:spacing w:before="0" w:after="283"/>
              <w:jc w:val="left"/>
              <w:rPr/>
            </w:pPr>
            <w:r>
              <w:rPr/>
              <w:t>(d)</w:t>
            </w:r>
          </w:p>
        </w:tc>
        <w:tc>
          <w:tcPr>
            <w:tcW w:w="2825" w:type="dxa"/>
            <w:tcBorders/>
            <w:shd w:fill="EEEEEE" w:val="clear"/>
            <w:vAlign w:val="center"/>
          </w:tcPr>
          <w:p>
            <w:pPr>
              <w:pStyle w:val="TableContents"/>
              <w:bidi w:val="0"/>
              <w:spacing w:before="0" w:after="283"/>
              <w:jc w:val="left"/>
              <w:rPr/>
            </w:pPr>
            <w:r>
              <w:rPr/>
              <w:t>Tenant’s Indemnity</w:t>
            </w:r>
          </w:p>
        </w:tc>
        <w:tc>
          <w:tcPr>
            <w:tcW w:w="275" w:type="dxa"/>
            <w:tcBorders/>
            <w:shd w:fill="EEEEEE" w:val="clear"/>
            <w:vAlign w:val="center"/>
          </w:tcPr>
          <w:p>
            <w:pPr>
              <w:pStyle w:val="TableContents"/>
              <w:bidi w:val="0"/>
              <w:spacing w:before="0" w:after="283"/>
              <w:jc w:val="right"/>
              <w:rPr/>
            </w:pPr>
            <w:r>
              <w:rPr/>
              <w:t>25</w:t>
            </w:r>
          </w:p>
        </w:tc>
      </w:tr>
      <w:tr>
        <w:trPr/>
        <w:tc>
          <w:tcPr>
            <w:tcW w:w="33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(e)</w:t>
            </w:r>
          </w:p>
        </w:tc>
        <w:tc>
          <w:tcPr>
            <w:tcW w:w="2825" w:type="dxa"/>
            <w:tcBorders/>
            <w:shd w:fill="FFFFFF" w:val="clear"/>
            <w:vAlign w:val="center"/>
          </w:tcPr>
          <w:p>
            <w:pPr>
              <w:pStyle w:val="TableContents"/>
              <w:bidi w:val="0"/>
              <w:spacing w:before="0" w:after="283"/>
              <w:jc w:val="left"/>
              <w:rPr/>
            </w:pPr>
            <w:r>
              <w:rPr/>
              <w:t>Inspections and Tests</w:t>
            </w:r>
          </w:p>
        </w:tc>
        <w:tc>
          <w:tcPr>
            <w:tcW w:w="275" w:type="dxa"/>
            <w:tcBorders/>
            <w:shd w:fill="FFFFFF" w:val="clear"/>
            <w:vAlign w:val="center"/>
          </w:tcPr>
          <w:p>
            <w:pPr>
              <w:pStyle w:val="TableContents"/>
              <w:bidi w:val="0"/>
              <w:spacing w:before="0" w:after="283"/>
              <w:jc w:val="right"/>
              <w:rPr/>
            </w:pPr>
            <w:r>
              <w:rPr/>
              <w:t>25</w:t>
            </w:r>
          </w:p>
        </w:tc>
      </w:tr>
      <w:tr>
        <w:trPr/>
        <w:tc>
          <w:tcPr>
            <w:tcW w:w="33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28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28.</w:t>
            </w:r>
          </w:p>
        </w:tc>
        <w:tc>
          <w:tcPr>
            <w:tcW w:w="290" w:type="dxa"/>
            <w:tcBorders/>
            <w:shd w:fill="EEEEEE" w:val="clear"/>
            <w:vAlign w:val="center"/>
          </w:tcPr>
          <w:p>
            <w:pPr>
              <w:pStyle w:val="TableContents"/>
              <w:bidi w:val="0"/>
              <w:spacing w:before="0" w:after="283"/>
              <w:jc w:val="left"/>
              <w:rPr/>
            </w:pPr>
            <w:r>
              <w:rPr/>
              <w:t> </w:t>
            </w:r>
          </w:p>
        </w:tc>
        <w:tc>
          <w:tcPr>
            <w:tcW w:w="2825" w:type="dxa"/>
            <w:tcBorders/>
            <w:shd w:fill="EEEEEE" w:val="clear"/>
            <w:vAlign w:val="center"/>
          </w:tcPr>
          <w:p>
            <w:pPr>
              <w:pStyle w:val="TableContents"/>
              <w:bidi w:val="0"/>
              <w:spacing w:before="0" w:after="283"/>
              <w:jc w:val="left"/>
              <w:rPr/>
            </w:pPr>
            <w:r>
              <w:rPr/>
              <w:t>Parking</w:t>
            </w:r>
          </w:p>
        </w:tc>
        <w:tc>
          <w:tcPr>
            <w:tcW w:w="275" w:type="dxa"/>
            <w:tcBorders/>
            <w:shd w:fill="EEEEEE" w:val="clear"/>
            <w:vAlign w:val="center"/>
          </w:tcPr>
          <w:p>
            <w:pPr>
              <w:pStyle w:val="TableContents"/>
              <w:bidi w:val="0"/>
              <w:spacing w:before="0" w:after="283"/>
              <w:jc w:val="right"/>
              <w:rPr/>
            </w:pPr>
            <w:r>
              <w:rPr/>
              <w:t>25</w:t>
            </w:r>
          </w:p>
        </w:tc>
      </w:tr>
      <w:tr>
        <w:trPr/>
        <w:tc>
          <w:tcPr>
            <w:tcW w:w="33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28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29.</w:t>
            </w:r>
          </w:p>
        </w:tc>
        <w:tc>
          <w:tcPr>
            <w:tcW w:w="290" w:type="dxa"/>
            <w:tcBorders/>
            <w:shd w:fill="EEEEEE" w:val="clear"/>
            <w:vAlign w:val="center"/>
          </w:tcPr>
          <w:p>
            <w:pPr>
              <w:pStyle w:val="TableContents"/>
              <w:bidi w:val="0"/>
              <w:spacing w:before="0" w:after="283"/>
              <w:jc w:val="left"/>
              <w:rPr/>
            </w:pPr>
            <w:r>
              <w:rPr/>
              <w:t> </w:t>
            </w:r>
          </w:p>
        </w:tc>
        <w:tc>
          <w:tcPr>
            <w:tcW w:w="2825" w:type="dxa"/>
            <w:tcBorders/>
            <w:shd w:fill="EEEEEE" w:val="clear"/>
            <w:vAlign w:val="center"/>
          </w:tcPr>
          <w:p>
            <w:pPr>
              <w:pStyle w:val="TableContents"/>
              <w:bidi w:val="0"/>
              <w:spacing w:before="0" w:after="283"/>
              <w:jc w:val="left"/>
              <w:rPr/>
            </w:pPr>
            <w:r>
              <w:rPr/>
              <w:t>Governmental Applications</w:t>
            </w:r>
          </w:p>
        </w:tc>
        <w:tc>
          <w:tcPr>
            <w:tcW w:w="275" w:type="dxa"/>
            <w:tcBorders/>
            <w:shd w:fill="EEEEEE" w:val="clear"/>
            <w:vAlign w:val="center"/>
          </w:tcPr>
          <w:p>
            <w:pPr>
              <w:pStyle w:val="TableContents"/>
              <w:bidi w:val="0"/>
              <w:spacing w:before="0" w:after="283"/>
              <w:jc w:val="right"/>
              <w:rPr/>
            </w:pPr>
            <w:r>
              <w:rPr/>
              <w:t>25</w:t>
            </w:r>
          </w:p>
        </w:tc>
      </w:tr>
      <w:tr>
        <w:trPr/>
        <w:tc>
          <w:tcPr>
            <w:tcW w:w="33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28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30</w:t>
            </w:r>
          </w:p>
        </w:tc>
        <w:tc>
          <w:tcPr>
            <w:tcW w:w="290" w:type="dxa"/>
            <w:tcBorders/>
            <w:shd w:fill="EEEEEE" w:val="clear"/>
            <w:vAlign w:val="center"/>
          </w:tcPr>
          <w:p>
            <w:pPr>
              <w:pStyle w:val="TableContents"/>
              <w:bidi w:val="0"/>
              <w:spacing w:before="0" w:after="283"/>
              <w:jc w:val="left"/>
              <w:rPr/>
            </w:pPr>
            <w:r>
              <w:rPr/>
              <w:t> </w:t>
            </w:r>
          </w:p>
        </w:tc>
        <w:tc>
          <w:tcPr>
            <w:tcW w:w="2825" w:type="dxa"/>
            <w:tcBorders/>
            <w:shd w:fill="EEEEEE" w:val="clear"/>
            <w:vAlign w:val="center"/>
          </w:tcPr>
          <w:p>
            <w:pPr>
              <w:pStyle w:val="TableContents"/>
              <w:bidi w:val="0"/>
              <w:spacing w:before="0" w:after="283"/>
              <w:jc w:val="left"/>
              <w:rPr/>
            </w:pPr>
            <w:r>
              <w:rPr/>
              <w:t>Landlord Termination Option</w:t>
            </w:r>
          </w:p>
        </w:tc>
        <w:tc>
          <w:tcPr>
            <w:tcW w:w="275" w:type="dxa"/>
            <w:tcBorders/>
            <w:shd w:fill="EEEEEE" w:val="clear"/>
            <w:vAlign w:val="center"/>
          </w:tcPr>
          <w:p>
            <w:pPr>
              <w:pStyle w:val="TableContents"/>
              <w:bidi w:val="0"/>
              <w:spacing w:before="0" w:after="283"/>
              <w:jc w:val="right"/>
              <w:rPr/>
            </w:pPr>
            <w:r>
              <w:rPr/>
              <w:t>26</w:t>
            </w:r>
          </w:p>
        </w:tc>
      </w:tr>
      <w:tr>
        <w:trPr/>
        <w:tc>
          <w:tcPr>
            <w:tcW w:w="33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28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31.</w:t>
            </w:r>
          </w:p>
        </w:tc>
        <w:tc>
          <w:tcPr>
            <w:tcW w:w="290" w:type="dxa"/>
            <w:tcBorders/>
            <w:shd w:fill="EEEEEE" w:val="clear"/>
            <w:vAlign w:val="center"/>
          </w:tcPr>
          <w:p>
            <w:pPr>
              <w:pStyle w:val="TableContents"/>
              <w:bidi w:val="0"/>
              <w:spacing w:before="0" w:after="283"/>
              <w:jc w:val="left"/>
              <w:rPr/>
            </w:pPr>
            <w:r>
              <w:rPr/>
              <w:t> </w:t>
            </w:r>
          </w:p>
        </w:tc>
        <w:tc>
          <w:tcPr>
            <w:tcW w:w="2825" w:type="dxa"/>
            <w:tcBorders/>
            <w:shd w:fill="EEEEEE" w:val="clear"/>
            <w:vAlign w:val="center"/>
          </w:tcPr>
          <w:p>
            <w:pPr>
              <w:pStyle w:val="TableContents"/>
              <w:bidi w:val="0"/>
              <w:spacing w:before="0" w:after="283"/>
              <w:jc w:val="left"/>
              <w:rPr/>
            </w:pPr>
            <w:r>
              <w:rPr/>
              <w:t>Tenant Termination Option</w:t>
            </w:r>
          </w:p>
        </w:tc>
        <w:tc>
          <w:tcPr>
            <w:tcW w:w="275" w:type="dxa"/>
            <w:tcBorders/>
            <w:shd w:fill="EEEEEE" w:val="clear"/>
            <w:vAlign w:val="center"/>
          </w:tcPr>
          <w:p>
            <w:pPr>
              <w:pStyle w:val="TableContents"/>
              <w:bidi w:val="0"/>
              <w:spacing w:before="0" w:after="283"/>
              <w:jc w:val="right"/>
              <w:rPr/>
            </w:pPr>
            <w:r>
              <w:rPr/>
              <w:t>26</w:t>
            </w:r>
          </w:p>
        </w:tc>
      </w:tr>
      <w:tr>
        <w:trPr/>
        <w:tc>
          <w:tcPr>
            <w:tcW w:w="33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28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32.</w:t>
            </w:r>
          </w:p>
        </w:tc>
        <w:tc>
          <w:tcPr>
            <w:tcW w:w="290" w:type="dxa"/>
            <w:tcBorders/>
            <w:shd w:fill="EEEEEE" w:val="clear"/>
            <w:vAlign w:val="center"/>
          </w:tcPr>
          <w:p>
            <w:pPr>
              <w:pStyle w:val="TableContents"/>
              <w:bidi w:val="0"/>
              <w:spacing w:before="0" w:after="283"/>
              <w:jc w:val="left"/>
              <w:rPr/>
            </w:pPr>
            <w:r>
              <w:rPr/>
              <w:t> </w:t>
            </w:r>
          </w:p>
        </w:tc>
        <w:tc>
          <w:tcPr>
            <w:tcW w:w="2825" w:type="dxa"/>
            <w:tcBorders/>
            <w:shd w:fill="EEEEEE" w:val="clear"/>
            <w:vAlign w:val="center"/>
          </w:tcPr>
          <w:p>
            <w:pPr>
              <w:pStyle w:val="TableContents"/>
              <w:bidi w:val="0"/>
              <w:spacing w:before="0" w:after="283"/>
              <w:jc w:val="left"/>
              <w:rPr/>
            </w:pPr>
            <w:r>
              <w:rPr/>
              <w:t>Solar Panels</w:t>
            </w:r>
          </w:p>
        </w:tc>
        <w:tc>
          <w:tcPr>
            <w:tcW w:w="275" w:type="dxa"/>
            <w:tcBorders/>
            <w:shd w:fill="EEEEEE" w:val="clear"/>
            <w:vAlign w:val="center"/>
          </w:tcPr>
          <w:p>
            <w:pPr>
              <w:pStyle w:val="TableContents"/>
              <w:bidi w:val="0"/>
              <w:spacing w:before="0" w:after="283"/>
              <w:jc w:val="right"/>
              <w:rPr/>
            </w:pPr>
            <w:r>
              <w:rPr/>
              <w:t>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vi</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LIST OF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3395"/>
        <w:gridCol w:w="950"/>
      </w:tblGrid>
      <w:tr>
        <w:trPr/>
        <w:tc>
          <w:tcPr>
            <w:tcW w:w="3395"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b/>
              </w:rPr>
            </w:pPr>
            <w:r>
              <w:rPr>
                <w:b/>
              </w:rPr>
              <w:t>Page No.</w:t>
            </w:r>
          </w:p>
        </w:tc>
      </w:tr>
      <w:tr>
        <w:trPr/>
        <w:tc>
          <w:tcPr>
            <w:tcW w:w="339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r>
      <w:tr>
        <w:trPr/>
        <w:tc>
          <w:tcPr>
            <w:tcW w:w="3395" w:type="dxa"/>
            <w:tcBorders/>
            <w:shd w:fill="EEEEEE" w:val="clear"/>
            <w:vAlign w:val="center"/>
          </w:tcPr>
          <w:p>
            <w:pPr>
              <w:pStyle w:val="TableContents"/>
              <w:bidi w:val="0"/>
              <w:spacing w:before="0" w:after="283"/>
              <w:jc w:val="left"/>
              <w:rPr/>
            </w:pPr>
            <w:r>
              <w:rPr/>
              <w:t>Additional Rent</w:t>
            </w:r>
          </w:p>
        </w:tc>
        <w:tc>
          <w:tcPr>
            <w:tcW w:w="950" w:type="dxa"/>
            <w:tcBorders/>
            <w:shd w:fill="EEEEEE" w:val="clear"/>
            <w:vAlign w:val="center"/>
          </w:tcPr>
          <w:p>
            <w:pPr>
              <w:pStyle w:val="TableContents"/>
              <w:bidi w:val="0"/>
              <w:spacing w:before="0" w:after="283"/>
              <w:jc w:val="right"/>
              <w:rPr/>
            </w:pPr>
            <w:r>
              <w:rPr/>
              <w:t>ii</w:t>
            </w:r>
          </w:p>
        </w:tc>
      </w:tr>
      <w:tr>
        <w:trPr/>
        <w:tc>
          <w:tcPr>
            <w:tcW w:w="3395" w:type="dxa"/>
            <w:tcBorders/>
            <w:shd w:fill="FFFFFF" w:val="clear"/>
            <w:vAlign w:val="center"/>
          </w:tcPr>
          <w:p>
            <w:pPr>
              <w:pStyle w:val="TableContents"/>
              <w:bidi w:val="0"/>
              <w:spacing w:before="0" w:after="283"/>
              <w:jc w:val="left"/>
              <w:rPr/>
            </w:pPr>
            <w:r>
              <w:rPr/>
              <w:t>Affiliate</w:t>
            </w:r>
          </w:p>
        </w:tc>
        <w:tc>
          <w:tcPr>
            <w:tcW w:w="950" w:type="dxa"/>
            <w:tcBorders/>
            <w:shd w:fill="FFFFFF" w:val="clear"/>
            <w:vAlign w:val="center"/>
          </w:tcPr>
          <w:p>
            <w:pPr>
              <w:pStyle w:val="TableContents"/>
              <w:bidi w:val="0"/>
              <w:spacing w:before="0" w:after="283"/>
              <w:jc w:val="right"/>
              <w:rPr/>
            </w:pPr>
            <w:r>
              <w:rPr/>
              <w:t>1</w:t>
            </w:r>
          </w:p>
        </w:tc>
      </w:tr>
      <w:tr>
        <w:trPr/>
        <w:tc>
          <w:tcPr>
            <w:tcW w:w="3395" w:type="dxa"/>
            <w:tcBorders/>
            <w:shd w:fill="EEEEEE" w:val="clear"/>
            <w:vAlign w:val="center"/>
          </w:tcPr>
          <w:p>
            <w:pPr>
              <w:pStyle w:val="TableContents"/>
              <w:bidi w:val="0"/>
              <w:spacing w:before="0" w:after="283"/>
              <w:jc w:val="left"/>
              <w:rPr/>
            </w:pPr>
            <w:r>
              <w:rPr/>
              <w:t>Basic Lease Information</w:t>
            </w:r>
          </w:p>
        </w:tc>
        <w:tc>
          <w:tcPr>
            <w:tcW w:w="950" w:type="dxa"/>
            <w:tcBorders/>
            <w:shd w:fill="EEEEEE" w:val="clear"/>
            <w:vAlign w:val="center"/>
          </w:tcPr>
          <w:p>
            <w:pPr>
              <w:pStyle w:val="TableContents"/>
              <w:bidi w:val="0"/>
              <w:spacing w:before="0" w:after="283"/>
              <w:jc w:val="right"/>
              <w:rPr/>
            </w:pPr>
            <w:r>
              <w:rPr/>
              <w:t>1</w:t>
            </w:r>
          </w:p>
        </w:tc>
      </w:tr>
      <w:tr>
        <w:trPr/>
        <w:tc>
          <w:tcPr>
            <w:tcW w:w="3395" w:type="dxa"/>
            <w:tcBorders/>
            <w:shd w:fill="FFFFFF" w:val="clear"/>
            <w:vAlign w:val="center"/>
          </w:tcPr>
          <w:p>
            <w:pPr>
              <w:pStyle w:val="TableContents"/>
              <w:bidi w:val="0"/>
              <w:spacing w:before="0" w:after="283"/>
              <w:jc w:val="left"/>
              <w:rPr/>
            </w:pPr>
            <w:r>
              <w:rPr/>
              <w:t>Basic Rent</w:t>
            </w:r>
          </w:p>
        </w:tc>
        <w:tc>
          <w:tcPr>
            <w:tcW w:w="950" w:type="dxa"/>
            <w:tcBorders/>
            <w:shd w:fill="FFFFFF" w:val="clear"/>
            <w:vAlign w:val="center"/>
          </w:tcPr>
          <w:p>
            <w:pPr>
              <w:pStyle w:val="TableContents"/>
              <w:bidi w:val="0"/>
              <w:spacing w:before="0" w:after="283"/>
              <w:jc w:val="right"/>
              <w:rPr/>
            </w:pPr>
            <w:r>
              <w:rPr/>
              <w:t>i</w:t>
            </w:r>
          </w:p>
        </w:tc>
      </w:tr>
      <w:tr>
        <w:trPr/>
        <w:tc>
          <w:tcPr>
            <w:tcW w:w="3395" w:type="dxa"/>
            <w:tcBorders/>
            <w:shd w:fill="EEEEEE" w:val="clear"/>
            <w:vAlign w:val="center"/>
          </w:tcPr>
          <w:p>
            <w:pPr>
              <w:pStyle w:val="TableContents"/>
              <w:bidi w:val="0"/>
              <w:spacing w:before="0" w:after="283"/>
              <w:jc w:val="left"/>
              <w:rPr/>
            </w:pPr>
            <w:r>
              <w:rPr/>
              <w:t>Building</w:t>
            </w:r>
          </w:p>
        </w:tc>
        <w:tc>
          <w:tcPr>
            <w:tcW w:w="950" w:type="dxa"/>
            <w:tcBorders/>
            <w:shd w:fill="EEEEEE" w:val="clear"/>
            <w:vAlign w:val="center"/>
          </w:tcPr>
          <w:p>
            <w:pPr>
              <w:pStyle w:val="TableContents"/>
              <w:bidi w:val="0"/>
              <w:spacing w:before="0" w:after="283"/>
              <w:jc w:val="right"/>
              <w:rPr/>
            </w:pPr>
            <w:r>
              <w:rPr/>
              <w:t>i</w:t>
            </w:r>
          </w:p>
        </w:tc>
      </w:tr>
      <w:tr>
        <w:trPr/>
        <w:tc>
          <w:tcPr>
            <w:tcW w:w="3395" w:type="dxa"/>
            <w:tcBorders/>
            <w:shd w:fill="FFFFFF" w:val="clear"/>
            <w:vAlign w:val="center"/>
          </w:tcPr>
          <w:p>
            <w:pPr>
              <w:pStyle w:val="TableContents"/>
              <w:bidi w:val="0"/>
              <w:spacing w:before="0" w:after="283"/>
              <w:jc w:val="left"/>
              <w:rPr/>
            </w:pPr>
            <w:r>
              <w:rPr/>
              <w:t>Building’s Structure</w:t>
            </w:r>
          </w:p>
        </w:tc>
        <w:tc>
          <w:tcPr>
            <w:tcW w:w="950" w:type="dxa"/>
            <w:tcBorders/>
            <w:shd w:fill="FFFFFF" w:val="clear"/>
            <w:vAlign w:val="center"/>
          </w:tcPr>
          <w:p>
            <w:pPr>
              <w:pStyle w:val="TableContents"/>
              <w:bidi w:val="0"/>
              <w:spacing w:before="0" w:after="283"/>
              <w:jc w:val="right"/>
              <w:rPr/>
            </w:pPr>
            <w:r>
              <w:rPr/>
              <w:t>1</w:t>
            </w:r>
          </w:p>
        </w:tc>
      </w:tr>
      <w:tr>
        <w:trPr/>
        <w:tc>
          <w:tcPr>
            <w:tcW w:w="3395" w:type="dxa"/>
            <w:tcBorders/>
            <w:shd w:fill="EEEEEE" w:val="clear"/>
            <w:vAlign w:val="center"/>
          </w:tcPr>
          <w:p>
            <w:pPr>
              <w:pStyle w:val="TableContents"/>
              <w:bidi w:val="0"/>
              <w:spacing w:before="0" w:after="283"/>
              <w:jc w:val="left"/>
              <w:rPr/>
            </w:pPr>
            <w:r>
              <w:rPr/>
              <w:t>Building’s Systems</w:t>
            </w:r>
          </w:p>
        </w:tc>
        <w:tc>
          <w:tcPr>
            <w:tcW w:w="950" w:type="dxa"/>
            <w:tcBorders/>
            <w:shd w:fill="EEEEEE" w:val="clear"/>
            <w:vAlign w:val="center"/>
          </w:tcPr>
          <w:p>
            <w:pPr>
              <w:pStyle w:val="TableContents"/>
              <w:bidi w:val="0"/>
              <w:spacing w:before="0" w:after="283"/>
              <w:jc w:val="right"/>
              <w:rPr/>
            </w:pPr>
            <w:r>
              <w:rPr/>
              <w:t>1</w:t>
            </w:r>
          </w:p>
        </w:tc>
      </w:tr>
      <w:tr>
        <w:trPr/>
        <w:tc>
          <w:tcPr>
            <w:tcW w:w="3395" w:type="dxa"/>
            <w:tcBorders/>
            <w:shd w:fill="FFFFFF" w:val="clear"/>
            <w:vAlign w:val="center"/>
          </w:tcPr>
          <w:p>
            <w:pPr>
              <w:pStyle w:val="TableContents"/>
              <w:bidi w:val="0"/>
              <w:spacing w:before="0" w:after="283"/>
              <w:jc w:val="left"/>
              <w:rPr/>
            </w:pPr>
            <w:r>
              <w:rPr/>
              <w:t>Casualty</w:t>
            </w:r>
          </w:p>
        </w:tc>
        <w:tc>
          <w:tcPr>
            <w:tcW w:w="950" w:type="dxa"/>
            <w:tcBorders/>
            <w:shd w:fill="FFFFFF" w:val="clear"/>
            <w:vAlign w:val="center"/>
          </w:tcPr>
          <w:p>
            <w:pPr>
              <w:pStyle w:val="TableContents"/>
              <w:bidi w:val="0"/>
              <w:spacing w:before="0" w:after="283"/>
              <w:jc w:val="right"/>
              <w:rPr/>
            </w:pPr>
            <w:r>
              <w:rPr/>
              <w:t>15</w:t>
            </w:r>
          </w:p>
        </w:tc>
      </w:tr>
      <w:tr>
        <w:trPr/>
        <w:tc>
          <w:tcPr>
            <w:tcW w:w="3395" w:type="dxa"/>
            <w:tcBorders/>
            <w:shd w:fill="EEEEEE" w:val="clear"/>
            <w:vAlign w:val="center"/>
          </w:tcPr>
          <w:p>
            <w:pPr>
              <w:pStyle w:val="TableContents"/>
              <w:bidi w:val="0"/>
              <w:spacing w:before="0" w:after="283"/>
              <w:jc w:val="left"/>
              <w:rPr/>
            </w:pPr>
            <w:r>
              <w:rPr/>
              <w:t>Code Modification</w:t>
            </w:r>
          </w:p>
        </w:tc>
        <w:tc>
          <w:tcPr>
            <w:tcW w:w="950" w:type="dxa"/>
            <w:tcBorders/>
            <w:shd w:fill="EEEEEE" w:val="clear"/>
            <w:vAlign w:val="center"/>
          </w:tcPr>
          <w:p>
            <w:pPr>
              <w:pStyle w:val="TableContents"/>
              <w:bidi w:val="0"/>
              <w:spacing w:before="0" w:after="283"/>
              <w:jc w:val="right"/>
              <w:rPr/>
            </w:pPr>
            <w:r>
              <w:rPr/>
              <w:t>8</w:t>
            </w:r>
          </w:p>
        </w:tc>
      </w:tr>
      <w:tr>
        <w:trPr/>
        <w:tc>
          <w:tcPr>
            <w:tcW w:w="3395" w:type="dxa"/>
            <w:tcBorders/>
            <w:shd w:fill="FFFFFF" w:val="clear"/>
            <w:vAlign w:val="center"/>
          </w:tcPr>
          <w:p>
            <w:pPr>
              <w:pStyle w:val="TableContents"/>
              <w:bidi w:val="0"/>
              <w:spacing w:before="0" w:after="283"/>
              <w:jc w:val="left"/>
              <w:rPr/>
            </w:pPr>
            <w:r>
              <w:rPr/>
              <w:t>Collateral</w:t>
            </w:r>
          </w:p>
        </w:tc>
        <w:tc>
          <w:tcPr>
            <w:tcW w:w="950" w:type="dxa"/>
            <w:tcBorders/>
            <w:shd w:fill="FFFFFF" w:val="clear"/>
            <w:vAlign w:val="center"/>
          </w:tcPr>
          <w:p>
            <w:pPr>
              <w:pStyle w:val="TableContents"/>
              <w:bidi w:val="0"/>
              <w:spacing w:before="0" w:after="283"/>
              <w:jc w:val="right"/>
              <w:rPr/>
            </w:pPr>
            <w:r>
              <w:rPr/>
              <w:t>22</w:t>
            </w:r>
          </w:p>
        </w:tc>
      </w:tr>
      <w:tr>
        <w:trPr/>
        <w:tc>
          <w:tcPr>
            <w:tcW w:w="3395" w:type="dxa"/>
            <w:tcBorders/>
            <w:shd w:fill="EEEEEE" w:val="clear"/>
            <w:vAlign w:val="center"/>
          </w:tcPr>
          <w:p>
            <w:pPr>
              <w:pStyle w:val="TableContents"/>
              <w:bidi w:val="0"/>
              <w:spacing w:before="0" w:after="283"/>
              <w:jc w:val="left"/>
              <w:rPr/>
            </w:pPr>
            <w:r>
              <w:rPr/>
              <w:t>Commencement Date</w:t>
            </w:r>
          </w:p>
        </w:tc>
        <w:tc>
          <w:tcPr>
            <w:tcW w:w="950" w:type="dxa"/>
            <w:tcBorders/>
            <w:shd w:fill="EEEEEE" w:val="clear"/>
            <w:vAlign w:val="center"/>
          </w:tcPr>
          <w:p>
            <w:pPr>
              <w:pStyle w:val="TableContents"/>
              <w:bidi w:val="0"/>
              <w:spacing w:before="0" w:after="283"/>
              <w:jc w:val="right"/>
              <w:rPr/>
            </w:pPr>
            <w:r>
              <w:rPr/>
              <w:t>i</w:t>
            </w:r>
          </w:p>
        </w:tc>
      </w:tr>
      <w:tr>
        <w:trPr/>
        <w:tc>
          <w:tcPr>
            <w:tcW w:w="3395" w:type="dxa"/>
            <w:tcBorders/>
            <w:shd w:fill="FFFFFF" w:val="clear"/>
            <w:vAlign w:val="center"/>
          </w:tcPr>
          <w:p>
            <w:pPr>
              <w:pStyle w:val="TableContents"/>
              <w:bidi w:val="0"/>
              <w:spacing w:before="0" w:after="283"/>
              <w:jc w:val="left"/>
              <w:rPr/>
            </w:pPr>
            <w:r>
              <w:rPr/>
              <w:t>Complex</w:t>
            </w:r>
          </w:p>
        </w:tc>
        <w:tc>
          <w:tcPr>
            <w:tcW w:w="950" w:type="dxa"/>
            <w:tcBorders/>
            <w:shd w:fill="FFFFFF" w:val="clear"/>
            <w:vAlign w:val="center"/>
          </w:tcPr>
          <w:p>
            <w:pPr>
              <w:pStyle w:val="TableContents"/>
              <w:bidi w:val="0"/>
              <w:spacing w:before="0" w:after="283"/>
              <w:jc w:val="right"/>
              <w:rPr/>
            </w:pPr>
            <w:r>
              <w:rPr/>
              <w:t>3</w:t>
            </w:r>
          </w:p>
        </w:tc>
      </w:tr>
      <w:tr>
        <w:trPr/>
        <w:tc>
          <w:tcPr>
            <w:tcW w:w="3395" w:type="dxa"/>
            <w:tcBorders/>
            <w:shd w:fill="EEEEEE" w:val="clear"/>
            <w:vAlign w:val="center"/>
          </w:tcPr>
          <w:p>
            <w:pPr>
              <w:pStyle w:val="TableContents"/>
              <w:bidi w:val="0"/>
              <w:spacing w:before="0" w:after="283"/>
              <w:jc w:val="left"/>
              <w:rPr/>
            </w:pPr>
            <w:r>
              <w:rPr/>
              <w:t>Damage Notice</w:t>
            </w:r>
          </w:p>
        </w:tc>
        <w:tc>
          <w:tcPr>
            <w:tcW w:w="950" w:type="dxa"/>
            <w:tcBorders/>
            <w:shd w:fill="EEEEEE" w:val="clear"/>
            <w:vAlign w:val="center"/>
          </w:tcPr>
          <w:p>
            <w:pPr>
              <w:pStyle w:val="TableContents"/>
              <w:bidi w:val="0"/>
              <w:spacing w:before="0" w:after="283"/>
              <w:jc w:val="right"/>
              <w:rPr/>
            </w:pPr>
            <w:r>
              <w:rPr/>
              <w:t>15</w:t>
            </w:r>
          </w:p>
        </w:tc>
      </w:tr>
      <w:tr>
        <w:trPr/>
        <w:tc>
          <w:tcPr>
            <w:tcW w:w="3395" w:type="dxa"/>
            <w:tcBorders/>
            <w:shd w:fill="FFFFFF" w:val="clear"/>
            <w:vAlign w:val="center"/>
          </w:tcPr>
          <w:p>
            <w:pPr>
              <w:pStyle w:val="TableContents"/>
              <w:bidi w:val="0"/>
              <w:spacing w:before="0" w:after="283"/>
              <w:jc w:val="left"/>
              <w:rPr/>
            </w:pPr>
            <w:r>
              <w:rPr/>
              <w:t>Default Rate</w:t>
            </w:r>
          </w:p>
        </w:tc>
        <w:tc>
          <w:tcPr>
            <w:tcW w:w="950" w:type="dxa"/>
            <w:tcBorders/>
            <w:shd w:fill="FFFFFF" w:val="clear"/>
            <w:vAlign w:val="center"/>
          </w:tcPr>
          <w:p>
            <w:pPr>
              <w:pStyle w:val="TableContents"/>
              <w:bidi w:val="0"/>
              <w:spacing w:before="0" w:after="283"/>
              <w:jc w:val="right"/>
              <w:rPr/>
            </w:pPr>
            <w:r>
              <w:rPr/>
              <w:t>5</w:t>
            </w:r>
          </w:p>
        </w:tc>
      </w:tr>
      <w:tr>
        <w:trPr/>
        <w:tc>
          <w:tcPr>
            <w:tcW w:w="3395" w:type="dxa"/>
            <w:tcBorders/>
            <w:shd w:fill="EEEEEE" w:val="clear"/>
            <w:vAlign w:val="center"/>
          </w:tcPr>
          <w:p>
            <w:pPr>
              <w:pStyle w:val="TableContents"/>
              <w:bidi w:val="0"/>
              <w:spacing w:before="0" w:after="283"/>
              <w:jc w:val="left"/>
              <w:rPr/>
            </w:pPr>
            <w:r>
              <w:rPr/>
              <w:t>Environmental Requirements</w:t>
            </w:r>
          </w:p>
        </w:tc>
        <w:tc>
          <w:tcPr>
            <w:tcW w:w="950" w:type="dxa"/>
            <w:tcBorders/>
            <w:shd w:fill="EEEEEE" w:val="clear"/>
            <w:vAlign w:val="center"/>
          </w:tcPr>
          <w:p>
            <w:pPr>
              <w:pStyle w:val="TableContents"/>
              <w:bidi w:val="0"/>
              <w:spacing w:before="0" w:after="283"/>
              <w:jc w:val="right"/>
              <w:rPr/>
            </w:pPr>
            <w:r>
              <w:rPr/>
              <w:t>24</w:t>
            </w:r>
          </w:p>
        </w:tc>
      </w:tr>
      <w:tr>
        <w:trPr/>
        <w:tc>
          <w:tcPr>
            <w:tcW w:w="3395" w:type="dxa"/>
            <w:tcBorders/>
            <w:shd w:fill="FFFFFF" w:val="clear"/>
            <w:vAlign w:val="center"/>
          </w:tcPr>
          <w:p>
            <w:pPr>
              <w:pStyle w:val="TableContents"/>
              <w:bidi w:val="0"/>
              <w:spacing w:before="0" w:after="283"/>
              <w:jc w:val="left"/>
              <w:rPr/>
            </w:pPr>
            <w:r>
              <w:rPr/>
              <w:t>Estimated Delivery Date</w:t>
            </w:r>
          </w:p>
        </w:tc>
        <w:tc>
          <w:tcPr>
            <w:tcW w:w="950" w:type="dxa"/>
            <w:tcBorders/>
            <w:shd w:fill="FFFFFF" w:val="clear"/>
            <w:vAlign w:val="center"/>
          </w:tcPr>
          <w:p>
            <w:pPr>
              <w:pStyle w:val="TableContents"/>
              <w:bidi w:val="0"/>
              <w:spacing w:before="0" w:after="283"/>
              <w:jc w:val="right"/>
              <w:rPr/>
            </w:pPr>
            <w:r>
              <w:rPr/>
              <w:t>1</w:t>
            </w:r>
          </w:p>
        </w:tc>
      </w:tr>
      <w:tr>
        <w:trPr/>
        <w:tc>
          <w:tcPr>
            <w:tcW w:w="3395" w:type="dxa"/>
            <w:tcBorders/>
            <w:shd w:fill="EEEEEE" w:val="clear"/>
            <w:vAlign w:val="center"/>
          </w:tcPr>
          <w:p>
            <w:pPr>
              <w:pStyle w:val="TableContents"/>
              <w:bidi w:val="0"/>
              <w:spacing w:before="0" w:after="283"/>
              <w:jc w:val="left"/>
              <w:rPr/>
            </w:pPr>
            <w:r>
              <w:rPr/>
              <w:t>Event of Default</w:t>
            </w:r>
          </w:p>
        </w:tc>
        <w:tc>
          <w:tcPr>
            <w:tcW w:w="950" w:type="dxa"/>
            <w:tcBorders/>
            <w:shd w:fill="EEEEEE" w:val="clear"/>
            <w:vAlign w:val="center"/>
          </w:tcPr>
          <w:p>
            <w:pPr>
              <w:pStyle w:val="TableContents"/>
              <w:bidi w:val="0"/>
              <w:spacing w:before="0" w:after="283"/>
              <w:jc w:val="right"/>
              <w:rPr/>
            </w:pPr>
            <w:r>
              <w:rPr/>
              <w:t>16</w:t>
            </w:r>
          </w:p>
        </w:tc>
      </w:tr>
      <w:tr>
        <w:trPr/>
        <w:tc>
          <w:tcPr>
            <w:tcW w:w="3395" w:type="dxa"/>
            <w:tcBorders/>
            <w:shd w:fill="FFFFFF" w:val="clear"/>
            <w:vAlign w:val="center"/>
          </w:tcPr>
          <w:p>
            <w:pPr>
              <w:pStyle w:val="TableContents"/>
              <w:bidi w:val="0"/>
              <w:spacing w:before="0" w:after="283"/>
              <w:jc w:val="left"/>
              <w:rPr/>
            </w:pPr>
            <w:r>
              <w:rPr/>
              <w:t>GAAP</w:t>
            </w:r>
          </w:p>
        </w:tc>
        <w:tc>
          <w:tcPr>
            <w:tcW w:w="950" w:type="dxa"/>
            <w:tcBorders/>
            <w:shd w:fill="FFFFFF" w:val="clear"/>
            <w:vAlign w:val="center"/>
          </w:tcPr>
          <w:p>
            <w:pPr>
              <w:pStyle w:val="TableContents"/>
              <w:bidi w:val="0"/>
              <w:spacing w:before="0" w:after="283"/>
              <w:jc w:val="right"/>
              <w:rPr/>
            </w:pPr>
            <w:r>
              <w:rPr/>
              <w:t>11</w:t>
            </w:r>
          </w:p>
        </w:tc>
      </w:tr>
      <w:tr>
        <w:trPr/>
        <w:tc>
          <w:tcPr>
            <w:tcW w:w="3395" w:type="dxa"/>
            <w:tcBorders/>
            <w:shd w:fill="EEEEEE" w:val="clear"/>
            <w:vAlign w:val="center"/>
          </w:tcPr>
          <w:p>
            <w:pPr>
              <w:pStyle w:val="TableContents"/>
              <w:bidi w:val="0"/>
              <w:spacing w:before="0" w:after="283"/>
              <w:jc w:val="left"/>
              <w:rPr/>
            </w:pPr>
            <w:r>
              <w:rPr/>
              <w:t>Governmental Requirements</w:t>
            </w:r>
          </w:p>
        </w:tc>
        <w:tc>
          <w:tcPr>
            <w:tcW w:w="950" w:type="dxa"/>
            <w:tcBorders/>
            <w:shd w:fill="EEEEEE" w:val="clear"/>
            <w:vAlign w:val="center"/>
          </w:tcPr>
          <w:p>
            <w:pPr>
              <w:pStyle w:val="TableContents"/>
              <w:bidi w:val="0"/>
              <w:spacing w:before="0" w:after="283"/>
              <w:jc w:val="right"/>
              <w:rPr/>
            </w:pPr>
            <w:r>
              <w:rPr/>
              <w:t>8</w:t>
            </w:r>
          </w:p>
        </w:tc>
      </w:tr>
      <w:tr>
        <w:trPr/>
        <w:tc>
          <w:tcPr>
            <w:tcW w:w="3395" w:type="dxa"/>
            <w:tcBorders/>
            <w:shd w:fill="FFFFFF" w:val="clear"/>
            <w:vAlign w:val="center"/>
          </w:tcPr>
          <w:p>
            <w:pPr>
              <w:pStyle w:val="TableContents"/>
              <w:bidi w:val="0"/>
              <w:spacing w:before="0" w:after="283"/>
              <w:jc w:val="left"/>
              <w:rPr/>
            </w:pPr>
            <w:r>
              <w:rPr/>
              <w:t>Hazardous Materials</w:t>
            </w:r>
          </w:p>
        </w:tc>
        <w:tc>
          <w:tcPr>
            <w:tcW w:w="950" w:type="dxa"/>
            <w:tcBorders/>
            <w:shd w:fill="FFFFFF" w:val="clear"/>
            <w:vAlign w:val="center"/>
          </w:tcPr>
          <w:p>
            <w:pPr>
              <w:pStyle w:val="TableContents"/>
              <w:bidi w:val="0"/>
              <w:spacing w:before="0" w:after="283"/>
              <w:jc w:val="right"/>
              <w:rPr/>
            </w:pPr>
            <w:r>
              <w:rPr/>
              <w:t>24</w:t>
            </w:r>
          </w:p>
        </w:tc>
      </w:tr>
      <w:tr>
        <w:trPr/>
        <w:tc>
          <w:tcPr>
            <w:tcW w:w="3395" w:type="dxa"/>
            <w:tcBorders/>
            <w:shd w:fill="EEEEEE" w:val="clear"/>
            <w:vAlign w:val="center"/>
          </w:tcPr>
          <w:p>
            <w:pPr>
              <w:pStyle w:val="TableContents"/>
              <w:bidi w:val="0"/>
              <w:spacing w:before="0" w:after="283"/>
              <w:jc w:val="left"/>
              <w:rPr/>
            </w:pPr>
            <w:r>
              <w:rPr/>
              <w:t>including</w:t>
            </w:r>
          </w:p>
        </w:tc>
        <w:tc>
          <w:tcPr>
            <w:tcW w:w="950" w:type="dxa"/>
            <w:tcBorders/>
            <w:shd w:fill="EEEEEE" w:val="clear"/>
            <w:vAlign w:val="center"/>
          </w:tcPr>
          <w:p>
            <w:pPr>
              <w:pStyle w:val="TableContents"/>
              <w:bidi w:val="0"/>
              <w:spacing w:before="0" w:after="283"/>
              <w:jc w:val="right"/>
              <w:rPr/>
            </w:pPr>
            <w:r>
              <w:rPr/>
              <w:t>1</w:t>
            </w:r>
          </w:p>
        </w:tc>
      </w:tr>
      <w:tr>
        <w:trPr/>
        <w:tc>
          <w:tcPr>
            <w:tcW w:w="3395" w:type="dxa"/>
            <w:tcBorders/>
            <w:shd w:fill="FFFFFF" w:val="clear"/>
            <w:vAlign w:val="center"/>
          </w:tcPr>
          <w:p>
            <w:pPr>
              <w:pStyle w:val="TableContents"/>
              <w:bidi w:val="0"/>
              <w:spacing w:before="0" w:after="283"/>
              <w:jc w:val="left"/>
              <w:rPr/>
            </w:pPr>
            <w:r>
              <w:rPr/>
              <w:t>Insurance Costs</w:t>
            </w:r>
          </w:p>
        </w:tc>
        <w:tc>
          <w:tcPr>
            <w:tcW w:w="950" w:type="dxa"/>
            <w:tcBorders/>
            <w:shd w:fill="FFFFFF" w:val="clear"/>
            <w:vAlign w:val="center"/>
          </w:tcPr>
          <w:p>
            <w:pPr>
              <w:pStyle w:val="TableContents"/>
              <w:bidi w:val="0"/>
              <w:spacing w:before="0" w:after="283"/>
              <w:jc w:val="right"/>
              <w:rPr/>
            </w:pPr>
            <w:r>
              <w:rPr/>
              <w:t>13</w:t>
            </w:r>
          </w:p>
        </w:tc>
      </w:tr>
      <w:tr>
        <w:trPr/>
        <w:tc>
          <w:tcPr>
            <w:tcW w:w="3395" w:type="dxa"/>
            <w:tcBorders/>
            <w:shd w:fill="EEEEEE" w:val="clear"/>
            <w:vAlign w:val="center"/>
          </w:tcPr>
          <w:p>
            <w:pPr>
              <w:pStyle w:val="TableContents"/>
              <w:bidi w:val="0"/>
              <w:spacing w:before="0" w:after="283"/>
              <w:jc w:val="left"/>
              <w:rPr/>
            </w:pPr>
            <w:r>
              <w:rPr/>
              <w:t>Land</w:t>
            </w:r>
          </w:p>
        </w:tc>
        <w:tc>
          <w:tcPr>
            <w:tcW w:w="950" w:type="dxa"/>
            <w:tcBorders/>
            <w:shd w:fill="EEEEEE" w:val="clear"/>
            <w:vAlign w:val="center"/>
          </w:tcPr>
          <w:p>
            <w:pPr>
              <w:pStyle w:val="TableContents"/>
              <w:bidi w:val="0"/>
              <w:spacing w:before="0" w:after="283"/>
              <w:jc w:val="right"/>
              <w:rPr/>
            </w:pPr>
            <w:r>
              <w:rPr/>
              <w:t>i</w:t>
            </w:r>
          </w:p>
        </w:tc>
      </w:tr>
      <w:tr>
        <w:trPr/>
        <w:tc>
          <w:tcPr>
            <w:tcW w:w="3395" w:type="dxa"/>
            <w:tcBorders/>
            <w:shd w:fill="FFFFFF" w:val="clear"/>
            <w:vAlign w:val="center"/>
          </w:tcPr>
          <w:p>
            <w:pPr>
              <w:pStyle w:val="TableContents"/>
              <w:bidi w:val="0"/>
              <w:spacing w:before="0" w:after="283"/>
              <w:jc w:val="left"/>
              <w:rPr/>
            </w:pPr>
            <w:r>
              <w:rPr/>
              <w:t>Landlord</w:t>
            </w:r>
          </w:p>
        </w:tc>
        <w:tc>
          <w:tcPr>
            <w:tcW w:w="950" w:type="dxa"/>
            <w:tcBorders/>
            <w:shd w:fill="FFFFFF" w:val="clear"/>
            <w:vAlign w:val="center"/>
          </w:tcPr>
          <w:p>
            <w:pPr>
              <w:pStyle w:val="TableContents"/>
              <w:bidi w:val="0"/>
              <w:spacing w:before="0" w:after="283"/>
              <w:jc w:val="right"/>
              <w:rPr/>
            </w:pPr>
            <w:r>
              <w:rPr/>
              <w:t>1</w:t>
            </w:r>
          </w:p>
        </w:tc>
      </w:tr>
      <w:tr>
        <w:trPr/>
        <w:tc>
          <w:tcPr>
            <w:tcW w:w="3395" w:type="dxa"/>
            <w:tcBorders/>
            <w:shd w:fill="EEEEEE" w:val="clear"/>
            <w:vAlign w:val="center"/>
          </w:tcPr>
          <w:p>
            <w:pPr>
              <w:pStyle w:val="TableContents"/>
              <w:bidi w:val="0"/>
              <w:spacing w:before="0" w:after="283"/>
              <w:jc w:val="left"/>
              <w:rPr/>
            </w:pPr>
            <w:r>
              <w:rPr/>
              <w:t>Landlord’s Mortgagee</w:t>
            </w:r>
          </w:p>
        </w:tc>
        <w:tc>
          <w:tcPr>
            <w:tcW w:w="950" w:type="dxa"/>
            <w:tcBorders/>
            <w:shd w:fill="EEEEEE" w:val="clear"/>
            <w:vAlign w:val="center"/>
          </w:tcPr>
          <w:p>
            <w:pPr>
              <w:pStyle w:val="TableContents"/>
              <w:bidi w:val="0"/>
              <w:spacing w:before="0" w:after="283"/>
              <w:jc w:val="right"/>
              <w:rPr/>
            </w:pPr>
            <w:r>
              <w:rPr/>
              <w:t>13</w:t>
            </w:r>
          </w:p>
        </w:tc>
      </w:tr>
      <w:tr>
        <w:trPr/>
        <w:tc>
          <w:tcPr>
            <w:tcW w:w="3395" w:type="dxa"/>
            <w:tcBorders/>
            <w:shd w:fill="FFFFFF" w:val="clear"/>
            <w:vAlign w:val="center"/>
          </w:tcPr>
          <w:p>
            <w:pPr>
              <w:pStyle w:val="TableContents"/>
              <w:bidi w:val="0"/>
              <w:spacing w:before="0" w:after="283"/>
              <w:jc w:val="left"/>
              <w:rPr/>
            </w:pPr>
            <w:r>
              <w:rPr/>
              <w:t>Law</w:t>
            </w:r>
          </w:p>
        </w:tc>
        <w:tc>
          <w:tcPr>
            <w:tcW w:w="950" w:type="dxa"/>
            <w:tcBorders/>
            <w:shd w:fill="FFFFFF" w:val="clear"/>
            <w:vAlign w:val="center"/>
          </w:tcPr>
          <w:p>
            <w:pPr>
              <w:pStyle w:val="TableContents"/>
              <w:bidi w:val="0"/>
              <w:spacing w:before="0" w:after="283"/>
              <w:jc w:val="right"/>
              <w:rPr/>
            </w:pPr>
            <w:r>
              <w:rPr/>
              <w:t>1</w:t>
            </w:r>
          </w:p>
        </w:tc>
      </w:tr>
      <w:tr>
        <w:trPr/>
        <w:tc>
          <w:tcPr>
            <w:tcW w:w="3395" w:type="dxa"/>
            <w:tcBorders/>
            <w:shd w:fill="EEEEEE" w:val="clear"/>
            <w:vAlign w:val="center"/>
          </w:tcPr>
          <w:p>
            <w:pPr>
              <w:pStyle w:val="TableContents"/>
              <w:bidi w:val="0"/>
              <w:spacing w:before="0" w:after="283"/>
              <w:jc w:val="left"/>
              <w:rPr/>
            </w:pPr>
            <w:r>
              <w:rPr/>
              <w:t>Laws</w:t>
            </w:r>
          </w:p>
        </w:tc>
        <w:tc>
          <w:tcPr>
            <w:tcW w:w="950" w:type="dxa"/>
            <w:tcBorders/>
            <w:shd w:fill="EEEEEE" w:val="clear"/>
            <w:vAlign w:val="center"/>
          </w:tcPr>
          <w:p>
            <w:pPr>
              <w:pStyle w:val="TableContents"/>
              <w:bidi w:val="0"/>
              <w:spacing w:before="0" w:after="283"/>
              <w:jc w:val="right"/>
              <w:rPr/>
            </w:pPr>
            <w:r>
              <w:rPr/>
              <w:t>1</w:t>
            </w:r>
          </w:p>
        </w:tc>
      </w:tr>
      <w:tr>
        <w:trPr/>
        <w:tc>
          <w:tcPr>
            <w:tcW w:w="3395" w:type="dxa"/>
            <w:tcBorders/>
            <w:shd w:fill="FFFFFF" w:val="clear"/>
            <w:vAlign w:val="center"/>
          </w:tcPr>
          <w:p>
            <w:pPr>
              <w:pStyle w:val="TableContents"/>
              <w:bidi w:val="0"/>
              <w:spacing w:before="0" w:after="283"/>
              <w:jc w:val="left"/>
              <w:rPr/>
            </w:pPr>
            <w:r>
              <w:rPr/>
              <w:t>Lease</w:t>
            </w:r>
          </w:p>
        </w:tc>
        <w:tc>
          <w:tcPr>
            <w:tcW w:w="950" w:type="dxa"/>
            <w:tcBorders/>
            <w:shd w:fill="FFFFFF" w:val="clear"/>
            <w:vAlign w:val="center"/>
          </w:tcPr>
          <w:p>
            <w:pPr>
              <w:pStyle w:val="TableContents"/>
              <w:bidi w:val="0"/>
              <w:spacing w:before="0" w:after="283"/>
              <w:jc w:val="right"/>
              <w:rPr/>
            </w:pPr>
            <w:r>
              <w:rPr/>
              <w:t>1</w:t>
            </w:r>
          </w:p>
        </w:tc>
      </w:tr>
      <w:tr>
        <w:trPr/>
        <w:tc>
          <w:tcPr>
            <w:tcW w:w="3395" w:type="dxa"/>
            <w:tcBorders/>
            <w:shd w:fill="EEEEEE" w:val="clear"/>
            <w:vAlign w:val="center"/>
          </w:tcPr>
          <w:p>
            <w:pPr>
              <w:pStyle w:val="TableContents"/>
              <w:bidi w:val="0"/>
              <w:spacing w:before="0" w:after="283"/>
              <w:jc w:val="left"/>
              <w:rPr/>
            </w:pPr>
            <w:r>
              <w:rPr/>
              <w:t>Lease Month</w:t>
            </w:r>
          </w:p>
        </w:tc>
        <w:tc>
          <w:tcPr>
            <w:tcW w:w="950" w:type="dxa"/>
            <w:tcBorders/>
            <w:shd w:fill="EEEEEE" w:val="clear"/>
            <w:vAlign w:val="center"/>
          </w:tcPr>
          <w:p>
            <w:pPr>
              <w:pStyle w:val="TableContents"/>
              <w:bidi w:val="0"/>
              <w:spacing w:before="0" w:after="283"/>
              <w:jc w:val="right"/>
              <w:rPr/>
            </w:pPr>
            <w:r>
              <w:rPr/>
              <w:t>ii</w:t>
            </w:r>
          </w:p>
        </w:tc>
      </w:tr>
      <w:tr>
        <w:trPr/>
        <w:tc>
          <w:tcPr>
            <w:tcW w:w="3395" w:type="dxa"/>
            <w:tcBorders/>
            <w:shd w:fill="FFFFFF" w:val="clear"/>
            <w:vAlign w:val="center"/>
          </w:tcPr>
          <w:p>
            <w:pPr>
              <w:pStyle w:val="TableContents"/>
              <w:bidi w:val="0"/>
              <w:spacing w:before="0" w:after="283"/>
              <w:jc w:val="left"/>
              <w:rPr/>
            </w:pPr>
            <w:r>
              <w:rPr/>
              <w:t>Loss</w:t>
            </w:r>
          </w:p>
        </w:tc>
        <w:tc>
          <w:tcPr>
            <w:tcW w:w="950" w:type="dxa"/>
            <w:tcBorders/>
            <w:shd w:fill="FFFFFF" w:val="clear"/>
            <w:vAlign w:val="center"/>
          </w:tcPr>
          <w:p>
            <w:pPr>
              <w:pStyle w:val="TableContents"/>
              <w:bidi w:val="0"/>
              <w:spacing w:before="0" w:after="283"/>
              <w:jc w:val="right"/>
              <w:rPr/>
            </w:pPr>
            <w:r>
              <w:rPr/>
              <w:t>12</w:t>
            </w:r>
          </w:p>
        </w:tc>
      </w:tr>
      <w:tr>
        <w:trPr/>
        <w:tc>
          <w:tcPr>
            <w:tcW w:w="3395" w:type="dxa"/>
            <w:tcBorders/>
            <w:shd w:fill="EEEEEE" w:val="clear"/>
            <w:vAlign w:val="center"/>
          </w:tcPr>
          <w:p>
            <w:pPr>
              <w:pStyle w:val="TableContents"/>
              <w:bidi w:val="0"/>
              <w:spacing w:before="0" w:after="283"/>
              <w:jc w:val="left"/>
              <w:rPr/>
            </w:pPr>
            <w:r>
              <w:rPr/>
              <w:t>Mortgage</w:t>
            </w:r>
          </w:p>
        </w:tc>
        <w:tc>
          <w:tcPr>
            <w:tcW w:w="950" w:type="dxa"/>
            <w:tcBorders/>
            <w:shd w:fill="EEEEEE" w:val="clear"/>
            <w:vAlign w:val="center"/>
          </w:tcPr>
          <w:p>
            <w:pPr>
              <w:pStyle w:val="TableContents"/>
              <w:bidi w:val="0"/>
              <w:spacing w:before="0" w:after="283"/>
              <w:jc w:val="right"/>
              <w:rPr/>
            </w:pPr>
            <w:r>
              <w:rPr/>
              <w:t>13</w:t>
            </w:r>
          </w:p>
        </w:tc>
      </w:tr>
      <w:tr>
        <w:trPr/>
        <w:tc>
          <w:tcPr>
            <w:tcW w:w="3395" w:type="dxa"/>
            <w:tcBorders/>
            <w:shd w:fill="FFFFFF" w:val="clear"/>
            <w:vAlign w:val="center"/>
          </w:tcPr>
          <w:p>
            <w:pPr>
              <w:pStyle w:val="TableContents"/>
              <w:bidi w:val="0"/>
              <w:spacing w:before="0" w:after="283"/>
              <w:jc w:val="left"/>
              <w:rPr/>
            </w:pPr>
            <w:r>
              <w:rPr/>
              <w:t>OFAC</w:t>
            </w:r>
          </w:p>
        </w:tc>
        <w:tc>
          <w:tcPr>
            <w:tcW w:w="950" w:type="dxa"/>
            <w:tcBorders/>
            <w:shd w:fill="FFFFFF" w:val="clear"/>
            <w:vAlign w:val="center"/>
          </w:tcPr>
          <w:p>
            <w:pPr>
              <w:pStyle w:val="TableContents"/>
              <w:bidi w:val="0"/>
              <w:spacing w:before="0" w:after="283"/>
              <w:jc w:val="right"/>
              <w:rPr/>
            </w:pPr>
            <w:r>
              <w:rPr/>
              <w:t>9</w:t>
            </w:r>
          </w:p>
        </w:tc>
      </w:tr>
      <w:tr>
        <w:trPr/>
        <w:tc>
          <w:tcPr>
            <w:tcW w:w="3395" w:type="dxa"/>
            <w:tcBorders/>
            <w:shd w:fill="EEEEEE" w:val="clear"/>
            <w:vAlign w:val="center"/>
          </w:tcPr>
          <w:p>
            <w:pPr>
              <w:pStyle w:val="TableContents"/>
              <w:bidi w:val="0"/>
              <w:spacing w:before="0" w:after="283"/>
              <w:jc w:val="left"/>
              <w:rPr/>
            </w:pPr>
            <w:r>
              <w:rPr/>
              <w:t>Operating Costs</w:t>
            </w:r>
          </w:p>
        </w:tc>
        <w:tc>
          <w:tcPr>
            <w:tcW w:w="950" w:type="dxa"/>
            <w:tcBorders/>
            <w:shd w:fill="EEEEEE" w:val="clear"/>
            <w:vAlign w:val="center"/>
          </w:tcPr>
          <w:p>
            <w:pPr>
              <w:pStyle w:val="TableContents"/>
              <w:bidi w:val="0"/>
              <w:spacing w:before="0" w:after="283"/>
              <w:jc w:val="right"/>
              <w:rPr/>
            </w:pPr>
            <w:r>
              <w:rPr/>
              <w:t>3</w:t>
            </w:r>
          </w:p>
        </w:tc>
      </w:tr>
      <w:tr>
        <w:trPr/>
        <w:tc>
          <w:tcPr>
            <w:tcW w:w="3395" w:type="dxa"/>
            <w:tcBorders/>
            <w:shd w:fill="FFFFFF" w:val="clear"/>
            <w:vAlign w:val="center"/>
          </w:tcPr>
          <w:p>
            <w:pPr>
              <w:pStyle w:val="TableContents"/>
              <w:bidi w:val="0"/>
              <w:spacing w:before="0" w:after="283"/>
              <w:jc w:val="left"/>
              <w:rPr/>
            </w:pPr>
            <w:r>
              <w:rPr/>
              <w:t>Operating Costs and Tax Statement</w:t>
            </w:r>
          </w:p>
        </w:tc>
        <w:tc>
          <w:tcPr>
            <w:tcW w:w="950" w:type="dxa"/>
            <w:tcBorders/>
            <w:shd w:fill="FFFFFF" w:val="clear"/>
            <w:vAlign w:val="center"/>
          </w:tcPr>
          <w:p>
            <w:pPr>
              <w:pStyle w:val="TableContents"/>
              <w:bidi w:val="0"/>
              <w:spacing w:before="0" w:after="283"/>
              <w:jc w:val="right"/>
              <w:rPr/>
            </w:pPr>
            <w:r>
              <w:rPr/>
              <w:t>4</w:t>
            </w:r>
          </w:p>
        </w:tc>
      </w:tr>
      <w:tr>
        <w:trPr/>
        <w:tc>
          <w:tcPr>
            <w:tcW w:w="3395" w:type="dxa"/>
            <w:tcBorders/>
            <w:shd w:fill="EEEEEE" w:val="clear"/>
            <w:vAlign w:val="center"/>
          </w:tcPr>
          <w:p>
            <w:pPr>
              <w:pStyle w:val="TableContents"/>
              <w:bidi w:val="0"/>
              <w:spacing w:before="0" w:after="283"/>
              <w:jc w:val="left"/>
              <w:rPr/>
            </w:pPr>
            <w:r>
              <w:rPr/>
              <w:t>Permitted Transfer</w:t>
            </w:r>
          </w:p>
        </w:tc>
        <w:tc>
          <w:tcPr>
            <w:tcW w:w="950" w:type="dxa"/>
            <w:tcBorders/>
            <w:shd w:fill="EEEEEE" w:val="clear"/>
            <w:vAlign w:val="center"/>
          </w:tcPr>
          <w:p>
            <w:pPr>
              <w:pStyle w:val="TableContents"/>
              <w:bidi w:val="0"/>
              <w:spacing w:before="0" w:after="283"/>
              <w:jc w:val="right"/>
              <w:rPr/>
            </w:pPr>
            <w:r>
              <w:rPr/>
              <w:t>10</w:t>
            </w:r>
          </w:p>
        </w:tc>
      </w:tr>
      <w:tr>
        <w:trPr/>
        <w:tc>
          <w:tcPr>
            <w:tcW w:w="3395" w:type="dxa"/>
            <w:tcBorders/>
            <w:shd w:fill="FFFFFF" w:val="clear"/>
            <w:vAlign w:val="center"/>
          </w:tcPr>
          <w:p>
            <w:pPr>
              <w:pStyle w:val="TableContents"/>
              <w:bidi w:val="0"/>
              <w:spacing w:before="0" w:after="283"/>
              <w:jc w:val="left"/>
              <w:rPr/>
            </w:pPr>
            <w:r>
              <w:rPr/>
              <w:t>Permitted Transferee</w:t>
            </w:r>
          </w:p>
        </w:tc>
        <w:tc>
          <w:tcPr>
            <w:tcW w:w="950" w:type="dxa"/>
            <w:tcBorders/>
            <w:shd w:fill="FFFFFF" w:val="clear"/>
            <w:vAlign w:val="center"/>
          </w:tcPr>
          <w:p>
            <w:pPr>
              <w:pStyle w:val="TableContents"/>
              <w:bidi w:val="0"/>
              <w:spacing w:before="0" w:after="283"/>
              <w:jc w:val="right"/>
              <w:rPr/>
            </w:pPr>
            <w:r>
              <w:rPr/>
              <w:t>10</w:t>
            </w:r>
          </w:p>
        </w:tc>
      </w:tr>
      <w:tr>
        <w:trPr/>
        <w:tc>
          <w:tcPr>
            <w:tcW w:w="3395" w:type="dxa"/>
            <w:tcBorders/>
            <w:shd w:fill="EEEEEE" w:val="clear"/>
            <w:vAlign w:val="center"/>
          </w:tcPr>
          <w:p>
            <w:pPr>
              <w:pStyle w:val="TableContents"/>
              <w:bidi w:val="0"/>
              <w:spacing w:before="0" w:after="283"/>
              <w:jc w:val="left"/>
              <w:rPr/>
            </w:pPr>
            <w:r>
              <w:rPr/>
              <w:t>Permitted Use</w:t>
            </w:r>
          </w:p>
        </w:tc>
        <w:tc>
          <w:tcPr>
            <w:tcW w:w="950" w:type="dxa"/>
            <w:tcBorders/>
            <w:shd w:fill="EEEEEE" w:val="clear"/>
            <w:vAlign w:val="center"/>
          </w:tcPr>
          <w:p>
            <w:pPr>
              <w:pStyle w:val="TableContents"/>
              <w:bidi w:val="0"/>
              <w:spacing w:before="0" w:after="283"/>
              <w:jc w:val="right"/>
              <w:rPr/>
            </w:pPr>
            <w:r>
              <w:rPr/>
              <w:t>ii</w:t>
            </w:r>
          </w:p>
        </w:tc>
      </w:tr>
      <w:tr>
        <w:trPr/>
        <w:tc>
          <w:tcPr>
            <w:tcW w:w="3395" w:type="dxa"/>
            <w:tcBorders/>
            <w:shd w:fill="FFFFFF" w:val="clear"/>
            <w:vAlign w:val="center"/>
          </w:tcPr>
          <w:p>
            <w:pPr>
              <w:pStyle w:val="TableContents"/>
              <w:bidi w:val="0"/>
              <w:spacing w:before="0" w:after="283"/>
              <w:jc w:val="left"/>
              <w:rPr/>
            </w:pPr>
            <w:r>
              <w:rPr/>
              <w:t>Premises</w:t>
            </w:r>
          </w:p>
        </w:tc>
        <w:tc>
          <w:tcPr>
            <w:tcW w:w="950" w:type="dxa"/>
            <w:tcBorders/>
            <w:shd w:fill="FFFFFF" w:val="clear"/>
            <w:vAlign w:val="center"/>
          </w:tcPr>
          <w:p>
            <w:pPr>
              <w:pStyle w:val="TableContents"/>
              <w:bidi w:val="0"/>
              <w:spacing w:before="0" w:after="283"/>
              <w:jc w:val="right"/>
              <w:rPr/>
            </w:pPr>
            <w:r>
              <w:rPr/>
              <w:t>i</w:t>
            </w:r>
          </w:p>
        </w:tc>
      </w:tr>
      <w:tr>
        <w:trPr/>
        <w:tc>
          <w:tcPr>
            <w:tcW w:w="3395" w:type="dxa"/>
            <w:tcBorders/>
            <w:shd w:fill="EEEEEE" w:val="clear"/>
            <w:vAlign w:val="center"/>
          </w:tcPr>
          <w:p>
            <w:pPr>
              <w:pStyle w:val="TableContents"/>
              <w:bidi w:val="0"/>
              <w:spacing w:before="0" w:after="283"/>
              <w:jc w:val="left"/>
              <w:rPr/>
            </w:pPr>
            <w:r>
              <w:rPr/>
              <w:t>Primary Lease</w:t>
            </w:r>
          </w:p>
        </w:tc>
        <w:tc>
          <w:tcPr>
            <w:tcW w:w="950" w:type="dxa"/>
            <w:tcBorders/>
            <w:shd w:fill="EEEEEE" w:val="clear"/>
            <w:vAlign w:val="center"/>
          </w:tcPr>
          <w:p>
            <w:pPr>
              <w:pStyle w:val="TableContents"/>
              <w:bidi w:val="0"/>
              <w:spacing w:before="0" w:after="283"/>
              <w:jc w:val="right"/>
              <w:rPr/>
            </w:pPr>
            <w:r>
              <w:rPr/>
              <w:t>13</w:t>
            </w:r>
          </w:p>
        </w:tc>
      </w:tr>
      <w:tr>
        <w:trPr/>
        <w:tc>
          <w:tcPr>
            <w:tcW w:w="3395" w:type="dxa"/>
            <w:tcBorders/>
            <w:shd w:fill="FFFFFF" w:val="clear"/>
            <w:vAlign w:val="center"/>
          </w:tcPr>
          <w:p>
            <w:pPr>
              <w:pStyle w:val="TableContents"/>
              <w:bidi w:val="0"/>
              <w:spacing w:before="0" w:after="283"/>
              <w:jc w:val="left"/>
              <w:rPr/>
            </w:pPr>
            <w:r>
              <w:rPr/>
              <w:t>Project</w:t>
            </w:r>
          </w:p>
        </w:tc>
        <w:tc>
          <w:tcPr>
            <w:tcW w:w="950" w:type="dxa"/>
            <w:tcBorders/>
            <w:shd w:fill="FFFFFF" w:val="clear"/>
            <w:vAlign w:val="center"/>
          </w:tcPr>
          <w:p>
            <w:pPr>
              <w:pStyle w:val="TableContents"/>
              <w:bidi w:val="0"/>
              <w:spacing w:before="0" w:after="283"/>
              <w:jc w:val="right"/>
              <w:rPr/>
            </w:pPr>
            <w:r>
              <w:rPr/>
              <w:t>i</w:t>
            </w:r>
          </w:p>
        </w:tc>
      </w:tr>
      <w:tr>
        <w:trPr/>
        <w:tc>
          <w:tcPr>
            <w:tcW w:w="3395" w:type="dxa"/>
            <w:tcBorders/>
            <w:shd w:fill="EEEEEE" w:val="clear"/>
            <w:vAlign w:val="center"/>
          </w:tcPr>
          <w:p>
            <w:pPr>
              <w:pStyle w:val="TableContents"/>
              <w:bidi w:val="0"/>
              <w:spacing w:before="0" w:after="283"/>
              <w:jc w:val="left"/>
              <w:rPr/>
            </w:pPr>
            <w:r>
              <w:rPr/>
              <w:t>PSA</w:t>
            </w:r>
          </w:p>
        </w:tc>
        <w:tc>
          <w:tcPr>
            <w:tcW w:w="950" w:type="dxa"/>
            <w:tcBorders/>
            <w:shd w:fill="EEEEEE" w:val="clear"/>
            <w:vAlign w:val="center"/>
          </w:tcPr>
          <w:p>
            <w:pPr>
              <w:pStyle w:val="TableContents"/>
              <w:bidi w:val="0"/>
              <w:spacing w:before="0" w:after="283"/>
              <w:jc w:val="right"/>
              <w:rPr/>
            </w:pPr>
            <w:r>
              <w:rPr/>
              <w:t>5</w:t>
            </w:r>
          </w:p>
        </w:tc>
      </w:tr>
      <w:tr>
        <w:trPr/>
        <w:tc>
          <w:tcPr>
            <w:tcW w:w="3395" w:type="dxa"/>
            <w:tcBorders/>
            <w:shd w:fill="FFFFFF" w:val="clear"/>
            <w:vAlign w:val="center"/>
          </w:tcPr>
          <w:p>
            <w:pPr>
              <w:pStyle w:val="TableContents"/>
              <w:bidi w:val="0"/>
              <w:spacing w:before="0" w:after="283"/>
              <w:jc w:val="left"/>
              <w:rPr/>
            </w:pPr>
            <w:r>
              <w:rPr/>
              <w:t>Punchlist Items</w:t>
            </w:r>
          </w:p>
        </w:tc>
        <w:tc>
          <w:tcPr>
            <w:tcW w:w="950" w:type="dxa"/>
            <w:tcBorders/>
            <w:shd w:fill="FFFFFF" w:val="clear"/>
            <w:vAlign w:val="center"/>
          </w:tcPr>
          <w:p>
            <w:pPr>
              <w:pStyle w:val="TableContents"/>
              <w:bidi w:val="0"/>
              <w:spacing w:before="0" w:after="283"/>
              <w:jc w:val="right"/>
              <w:rPr/>
            </w:pPr>
            <w:r>
              <w:rPr/>
              <w:t>E-3</w:t>
            </w:r>
          </w:p>
        </w:tc>
      </w:tr>
      <w:tr>
        <w:trPr/>
        <w:tc>
          <w:tcPr>
            <w:tcW w:w="3395" w:type="dxa"/>
            <w:tcBorders/>
            <w:shd w:fill="EEEEEE" w:val="clear"/>
            <w:vAlign w:val="center"/>
          </w:tcPr>
          <w:p>
            <w:pPr>
              <w:pStyle w:val="TableContents"/>
              <w:bidi w:val="0"/>
              <w:spacing w:before="0" w:after="283"/>
              <w:jc w:val="left"/>
              <w:rPr/>
            </w:pPr>
            <w:r>
              <w:rPr/>
              <w:t>Rent</w:t>
            </w:r>
          </w:p>
        </w:tc>
        <w:tc>
          <w:tcPr>
            <w:tcW w:w="950" w:type="dxa"/>
            <w:tcBorders/>
            <w:shd w:fill="EEEEEE" w:val="clear"/>
            <w:vAlign w:val="center"/>
          </w:tcPr>
          <w:p>
            <w:pPr>
              <w:pStyle w:val="TableContents"/>
              <w:bidi w:val="0"/>
              <w:spacing w:before="0" w:after="283"/>
              <w:jc w:val="right"/>
              <w:rPr/>
            </w:pPr>
            <w:r>
              <w:rPr/>
              <w:t>ii</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vii</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tbl>
      <w:tblPr>
        <w:tblW w:w="3670" w:type="dxa"/>
        <w:jc w:val="left"/>
        <w:tblInd w:w="0" w:type="dxa"/>
        <w:tblLayout w:type="fixed"/>
        <w:tblCellMar>
          <w:top w:w="0" w:type="dxa"/>
          <w:left w:w="0" w:type="dxa"/>
          <w:bottom w:w="0" w:type="dxa"/>
          <w:right w:w="0" w:type="dxa"/>
        </w:tblCellMar>
      </w:tblPr>
      <w:tblGrid>
        <w:gridCol w:w="3260"/>
        <w:gridCol w:w="410"/>
      </w:tblGrid>
      <w:tr>
        <w:trPr/>
        <w:tc>
          <w:tcPr>
            <w:tcW w:w="3260" w:type="dxa"/>
            <w:tcBorders/>
            <w:shd w:fill="EEEEEE" w:val="clear"/>
            <w:vAlign w:val="center"/>
          </w:tcPr>
          <w:p>
            <w:pPr>
              <w:pStyle w:val="TableContents"/>
              <w:bidi w:val="0"/>
              <w:spacing w:before="0" w:after="283"/>
              <w:jc w:val="left"/>
              <w:rPr/>
            </w:pPr>
            <w:r>
              <w:rPr/>
              <w:t>Repair Period</w:t>
            </w:r>
          </w:p>
        </w:tc>
        <w:tc>
          <w:tcPr>
            <w:tcW w:w="410" w:type="dxa"/>
            <w:tcBorders/>
            <w:shd w:fill="EEEEEE" w:val="clear"/>
            <w:vAlign w:val="center"/>
          </w:tcPr>
          <w:p>
            <w:pPr>
              <w:pStyle w:val="TableContents"/>
              <w:bidi w:val="0"/>
              <w:spacing w:before="0" w:after="283"/>
              <w:jc w:val="right"/>
              <w:rPr/>
            </w:pPr>
            <w:r>
              <w:rPr/>
              <w:t>15</w:t>
            </w:r>
          </w:p>
        </w:tc>
      </w:tr>
      <w:tr>
        <w:trPr/>
        <w:tc>
          <w:tcPr>
            <w:tcW w:w="3260" w:type="dxa"/>
            <w:tcBorders/>
            <w:shd w:fill="FFFFFF" w:val="clear"/>
            <w:vAlign w:val="center"/>
          </w:tcPr>
          <w:p>
            <w:pPr>
              <w:pStyle w:val="TableContents"/>
              <w:bidi w:val="0"/>
              <w:spacing w:before="0" w:after="283"/>
              <w:jc w:val="left"/>
              <w:rPr/>
            </w:pPr>
            <w:r>
              <w:rPr/>
              <w:t>Security Deposit</w:t>
            </w:r>
          </w:p>
        </w:tc>
        <w:tc>
          <w:tcPr>
            <w:tcW w:w="410" w:type="dxa"/>
            <w:tcBorders/>
            <w:shd w:fill="FFFFFF" w:val="clear"/>
            <w:vAlign w:val="center"/>
          </w:tcPr>
          <w:p>
            <w:pPr>
              <w:pStyle w:val="TableContents"/>
              <w:bidi w:val="0"/>
              <w:spacing w:before="0" w:after="283"/>
              <w:jc w:val="right"/>
              <w:rPr/>
            </w:pPr>
            <w:r>
              <w:rPr/>
              <w:t>ii</w:t>
            </w:r>
          </w:p>
        </w:tc>
      </w:tr>
      <w:tr>
        <w:trPr/>
        <w:tc>
          <w:tcPr>
            <w:tcW w:w="3260" w:type="dxa"/>
            <w:tcBorders/>
            <w:shd w:fill="EEEEEE" w:val="clear"/>
            <w:vAlign w:val="center"/>
          </w:tcPr>
          <w:p>
            <w:pPr>
              <w:pStyle w:val="TableContents"/>
              <w:bidi w:val="0"/>
              <w:spacing w:before="0" w:after="283"/>
              <w:jc w:val="left"/>
              <w:rPr/>
            </w:pPr>
            <w:r>
              <w:rPr/>
              <w:t>Substantial Completion</w:t>
            </w:r>
          </w:p>
        </w:tc>
        <w:tc>
          <w:tcPr>
            <w:tcW w:w="410" w:type="dxa"/>
            <w:tcBorders/>
            <w:shd w:fill="EEEEEE" w:val="clear"/>
            <w:vAlign w:val="center"/>
          </w:tcPr>
          <w:p>
            <w:pPr>
              <w:pStyle w:val="TableContents"/>
              <w:bidi w:val="0"/>
              <w:spacing w:before="0" w:after="283"/>
              <w:jc w:val="right"/>
              <w:rPr/>
            </w:pPr>
            <w:r>
              <w:rPr/>
              <w:t>D-1</w:t>
            </w:r>
          </w:p>
        </w:tc>
      </w:tr>
      <w:tr>
        <w:trPr/>
        <w:tc>
          <w:tcPr>
            <w:tcW w:w="3260" w:type="dxa"/>
            <w:tcBorders/>
            <w:shd w:fill="FFFFFF" w:val="clear"/>
            <w:vAlign w:val="center"/>
          </w:tcPr>
          <w:p>
            <w:pPr>
              <w:pStyle w:val="TableContents"/>
              <w:bidi w:val="0"/>
              <w:spacing w:before="0" w:after="283"/>
              <w:jc w:val="left"/>
              <w:rPr/>
            </w:pPr>
            <w:r>
              <w:rPr/>
              <w:t>Substantially Completed</w:t>
            </w:r>
          </w:p>
        </w:tc>
        <w:tc>
          <w:tcPr>
            <w:tcW w:w="410" w:type="dxa"/>
            <w:tcBorders/>
            <w:shd w:fill="FFFFFF" w:val="clear"/>
            <w:vAlign w:val="center"/>
          </w:tcPr>
          <w:p>
            <w:pPr>
              <w:pStyle w:val="TableContents"/>
              <w:bidi w:val="0"/>
              <w:spacing w:before="0" w:after="283"/>
              <w:jc w:val="right"/>
              <w:rPr/>
            </w:pPr>
            <w:r>
              <w:rPr/>
              <w:t>D-1</w:t>
            </w:r>
          </w:p>
        </w:tc>
      </w:tr>
      <w:tr>
        <w:trPr/>
        <w:tc>
          <w:tcPr>
            <w:tcW w:w="3260" w:type="dxa"/>
            <w:tcBorders/>
            <w:shd w:fill="EEEEEE" w:val="clear"/>
            <w:vAlign w:val="center"/>
          </w:tcPr>
          <w:p>
            <w:pPr>
              <w:pStyle w:val="TableContents"/>
              <w:bidi w:val="0"/>
              <w:spacing w:before="0" w:after="283"/>
              <w:jc w:val="left"/>
              <w:rPr/>
            </w:pPr>
            <w:r>
              <w:rPr/>
              <w:t>Taking</w:t>
            </w:r>
          </w:p>
        </w:tc>
        <w:tc>
          <w:tcPr>
            <w:tcW w:w="410" w:type="dxa"/>
            <w:tcBorders/>
            <w:shd w:fill="EEEEEE" w:val="clear"/>
            <w:vAlign w:val="center"/>
          </w:tcPr>
          <w:p>
            <w:pPr>
              <w:pStyle w:val="TableContents"/>
              <w:bidi w:val="0"/>
              <w:spacing w:before="0" w:after="283"/>
              <w:jc w:val="right"/>
              <w:rPr/>
            </w:pPr>
            <w:r>
              <w:rPr/>
              <w:t>14</w:t>
            </w:r>
          </w:p>
        </w:tc>
      </w:tr>
      <w:tr>
        <w:trPr/>
        <w:tc>
          <w:tcPr>
            <w:tcW w:w="3260" w:type="dxa"/>
            <w:tcBorders/>
            <w:shd w:fill="FFFFFF" w:val="clear"/>
            <w:vAlign w:val="center"/>
          </w:tcPr>
          <w:p>
            <w:pPr>
              <w:pStyle w:val="TableContents"/>
              <w:bidi w:val="0"/>
              <w:spacing w:before="0" w:after="283"/>
              <w:jc w:val="left"/>
              <w:rPr/>
            </w:pPr>
            <w:r>
              <w:rPr/>
              <w:t>Tangible Net Worth</w:t>
            </w:r>
          </w:p>
        </w:tc>
        <w:tc>
          <w:tcPr>
            <w:tcW w:w="410" w:type="dxa"/>
            <w:tcBorders/>
            <w:shd w:fill="FFFFFF" w:val="clear"/>
            <w:vAlign w:val="center"/>
          </w:tcPr>
          <w:p>
            <w:pPr>
              <w:pStyle w:val="TableContents"/>
              <w:bidi w:val="0"/>
              <w:spacing w:before="0" w:after="283"/>
              <w:jc w:val="right"/>
              <w:rPr/>
            </w:pPr>
            <w:r>
              <w:rPr/>
              <w:t>11</w:t>
            </w:r>
          </w:p>
        </w:tc>
      </w:tr>
      <w:tr>
        <w:trPr/>
        <w:tc>
          <w:tcPr>
            <w:tcW w:w="3260" w:type="dxa"/>
            <w:tcBorders/>
            <w:shd w:fill="EEEEEE" w:val="clear"/>
            <w:vAlign w:val="center"/>
          </w:tcPr>
          <w:p>
            <w:pPr>
              <w:pStyle w:val="TableContents"/>
              <w:bidi w:val="0"/>
              <w:spacing w:before="0" w:after="283"/>
              <w:jc w:val="left"/>
              <w:rPr/>
            </w:pPr>
            <w:r>
              <w:rPr/>
              <w:t>Taxes</w:t>
            </w:r>
          </w:p>
        </w:tc>
        <w:tc>
          <w:tcPr>
            <w:tcW w:w="410" w:type="dxa"/>
            <w:tcBorders/>
            <w:shd w:fill="EEEEEE" w:val="clear"/>
            <w:vAlign w:val="center"/>
          </w:tcPr>
          <w:p>
            <w:pPr>
              <w:pStyle w:val="TableContents"/>
              <w:bidi w:val="0"/>
              <w:spacing w:before="0" w:after="283"/>
              <w:jc w:val="right"/>
              <w:rPr/>
            </w:pPr>
            <w:r>
              <w:rPr/>
              <w:t>4</w:t>
            </w:r>
          </w:p>
        </w:tc>
      </w:tr>
      <w:tr>
        <w:trPr/>
        <w:tc>
          <w:tcPr>
            <w:tcW w:w="3260" w:type="dxa"/>
            <w:tcBorders/>
            <w:shd w:fill="FFFFFF" w:val="clear"/>
            <w:vAlign w:val="center"/>
          </w:tcPr>
          <w:p>
            <w:pPr>
              <w:pStyle w:val="TableContents"/>
              <w:bidi w:val="0"/>
              <w:spacing w:before="0" w:after="283"/>
              <w:jc w:val="left"/>
              <w:rPr/>
            </w:pPr>
            <w:r>
              <w:rPr/>
              <w:t>Telecommunications Services</w:t>
            </w:r>
          </w:p>
        </w:tc>
        <w:tc>
          <w:tcPr>
            <w:tcW w:w="410" w:type="dxa"/>
            <w:tcBorders/>
            <w:shd w:fill="FFFFFF" w:val="clear"/>
            <w:vAlign w:val="center"/>
          </w:tcPr>
          <w:p>
            <w:pPr>
              <w:pStyle w:val="TableContents"/>
              <w:bidi w:val="0"/>
              <w:spacing w:before="0" w:after="283"/>
              <w:jc w:val="right"/>
              <w:rPr/>
            </w:pPr>
            <w:r>
              <w:rPr/>
              <w:t>23</w:t>
            </w:r>
          </w:p>
        </w:tc>
      </w:tr>
      <w:tr>
        <w:trPr/>
        <w:tc>
          <w:tcPr>
            <w:tcW w:w="3260" w:type="dxa"/>
            <w:tcBorders/>
            <w:shd w:fill="EEEEEE" w:val="clear"/>
            <w:vAlign w:val="center"/>
          </w:tcPr>
          <w:p>
            <w:pPr>
              <w:pStyle w:val="TableContents"/>
              <w:bidi w:val="0"/>
              <w:spacing w:before="0" w:after="283"/>
              <w:jc w:val="left"/>
              <w:rPr/>
            </w:pPr>
            <w:r>
              <w:rPr/>
              <w:t>Tenant</w:t>
            </w:r>
          </w:p>
        </w:tc>
        <w:tc>
          <w:tcPr>
            <w:tcW w:w="410" w:type="dxa"/>
            <w:tcBorders/>
            <w:shd w:fill="EEEEEE" w:val="clear"/>
            <w:vAlign w:val="center"/>
          </w:tcPr>
          <w:p>
            <w:pPr>
              <w:pStyle w:val="TableContents"/>
              <w:bidi w:val="0"/>
              <w:spacing w:before="0" w:after="283"/>
              <w:jc w:val="right"/>
              <w:rPr/>
            </w:pPr>
            <w:r>
              <w:rPr/>
              <w:t>1</w:t>
            </w:r>
          </w:p>
        </w:tc>
      </w:tr>
      <w:tr>
        <w:trPr/>
        <w:tc>
          <w:tcPr>
            <w:tcW w:w="3260" w:type="dxa"/>
            <w:tcBorders/>
            <w:shd w:fill="FFFFFF" w:val="clear"/>
            <w:vAlign w:val="center"/>
          </w:tcPr>
          <w:p>
            <w:pPr>
              <w:pStyle w:val="TableContents"/>
              <w:bidi w:val="0"/>
              <w:spacing w:before="0" w:after="283"/>
              <w:jc w:val="left"/>
              <w:rPr/>
            </w:pPr>
            <w:r>
              <w:rPr/>
              <w:t>Tenant Party</w:t>
            </w:r>
          </w:p>
        </w:tc>
        <w:tc>
          <w:tcPr>
            <w:tcW w:w="410" w:type="dxa"/>
            <w:tcBorders/>
            <w:shd w:fill="FFFFFF" w:val="clear"/>
            <w:vAlign w:val="center"/>
          </w:tcPr>
          <w:p>
            <w:pPr>
              <w:pStyle w:val="TableContents"/>
              <w:bidi w:val="0"/>
              <w:spacing w:before="0" w:after="283"/>
              <w:jc w:val="right"/>
              <w:rPr/>
            </w:pPr>
            <w:r>
              <w:rPr/>
              <w:t>1</w:t>
            </w:r>
          </w:p>
        </w:tc>
      </w:tr>
      <w:tr>
        <w:trPr/>
        <w:tc>
          <w:tcPr>
            <w:tcW w:w="3260" w:type="dxa"/>
            <w:tcBorders/>
            <w:shd w:fill="EEEEEE" w:val="clear"/>
            <w:vAlign w:val="center"/>
          </w:tcPr>
          <w:p>
            <w:pPr>
              <w:pStyle w:val="TableContents"/>
              <w:bidi w:val="0"/>
              <w:spacing w:before="0" w:after="283"/>
              <w:jc w:val="left"/>
              <w:rPr/>
            </w:pPr>
            <w:r>
              <w:rPr/>
              <w:t>Tenant’s Off-Premises Equipment</w:t>
            </w:r>
          </w:p>
        </w:tc>
        <w:tc>
          <w:tcPr>
            <w:tcW w:w="410" w:type="dxa"/>
            <w:tcBorders/>
            <w:shd w:fill="EEEEEE" w:val="clear"/>
            <w:vAlign w:val="center"/>
          </w:tcPr>
          <w:p>
            <w:pPr>
              <w:pStyle w:val="TableContents"/>
              <w:bidi w:val="0"/>
              <w:spacing w:before="0" w:after="283"/>
              <w:jc w:val="right"/>
              <w:rPr/>
            </w:pPr>
            <w:r>
              <w:rPr/>
              <w:t>1</w:t>
            </w:r>
          </w:p>
        </w:tc>
      </w:tr>
      <w:tr>
        <w:trPr/>
        <w:tc>
          <w:tcPr>
            <w:tcW w:w="3260" w:type="dxa"/>
            <w:tcBorders/>
            <w:shd w:fill="FFFFFF" w:val="clear"/>
            <w:vAlign w:val="center"/>
          </w:tcPr>
          <w:p>
            <w:pPr>
              <w:pStyle w:val="TableContents"/>
              <w:bidi w:val="0"/>
              <w:spacing w:before="0" w:after="283"/>
              <w:jc w:val="left"/>
              <w:rPr/>
            </w:pPr>
            <w:r>
              <w:rPr/>
              <w:t>Tenant’s Proportionate Share</w:t>
            </w:r>
          </w:p>
        </w:tc>
        <w:tc>
          <w:tcPr>
            <w:tcW w:w="410" w:type="dxa"/>
            <w:tcBorders/>
            <w:shd w:fill="FFFFFF" w:val="clear"/>
            <w:vAlign w:val="center"/>
          </w:tcPr>
          <w:p>
            <w:pPr>
              <w:pStyle w:val="TableContents"/>
              <w:bidi w:val="0"/>
              <w:spacing w:before="0" w:after="283"/>
              <w:jc w:val="right"/>
              <w:rPr/>
            </w:pPr>
            <w:r>
              <w:rPr/>
              <w:t>ii</w:t>
            </w:r>
          </w:p>
        </w:tc>
      </w:tr>
      <w:tr>
        <w:trPr/>
        <w:tc>
          <w:tcPr>
            <w:tcW w:w="3260" w:type="dxa"/>
            <w:tcBorders/>
            <w:shd w:fill="EEEEEE" w:val="clear"/>
            <w:vAlign w:val="center"/>
          </w:tcPr>
          <w:p>
            <w:pPr>
              <w:pStyle w:val="TableContents"/>
              <w:bidi w:val="0"/>
              <w:spacing w:before="0" w:after="283"/>
              <w:jc w:val="left"/>
              <w:rPr/>
            </w:pPr>
            <w:r>
              <w:rPr/>
              <w:t>Term</w:t>
            </w:r>
          </w:p>
        </w:tc>
        <w:tc>
          <w:tcPr>
            <w:tcW w:w="410" w:type="dxa"/>
            <w:tcBorders/>
            <w:shd w:fill="EEEEEE" w:val="clear"/>
            <w:vAlign w:val="center"/>
          </w:tcPr>
          <w:p>
            <w:pPr>
              <w:pStyle w:val="TableContents"/>
              <w:bidi w:val="0"/>
              <w:spacing w:before="0" w:after="283"/>
              <w:jc w:val="right"/>
              <w:rPr/>
            </w:pPr>
            <w:r>
              <w:rPr/>
              <w:t>i</w:t>
            </w:r>
          </w:p>
        </w:tc>
      </w:tr>
      <w:tr>
        <w:trPr/>
        <w:tc>
          <w:tcPr>
            <w:tcW w:w="3260" w:type="dxa"/>
            <w:tcBorders/>
            <w:shd w:fill="FFFFFF" w:val="clear"/>
            <w:vAlign w:val="center"/>
          </w:tcPr>
          <w:p>
            <w:pPr>
              <w:pStyle w:val="TableContents"/>
              <w:bidi w:val="0"/>
              <w:spacing w:before="0" w:after="283"/>
              <w:jc w:val="left"/>
              <w:rPr/>
            </w:pPr>
            <w:r>
              <w:rPr/>
              <w:t>Transfer</w:t>
            </w:r>
          </w:p>
        </w:tc>
        <w:tc>
          <w:tcPr>
            <w:tcW w:w="410" w:type="dxa"/>
            <w:tcBorders/>
            <w:shd w:fill="FFFFFF" w:val="clear"/>
            <w:vAlign w:val="center"/>
          </w:tcPr>
          <w:p>
            <w:pPr>
              <w:pStyle w:val="TableContents"/>
              <w:bidi w:val="0"/>
              <w:spacing w:before="0" w:after="283"/>
              <w:jc w:val="right"/>
              <w:rPr/>
            </w:pPr>
            <w:r>
              <w:rPr/>
              <w:t>9</w:t>
            </w:r>
          </w:p>
        </w:tc>
      </w:tr>
      <w:tr>
        <w:trPr/>
        <w:tc>
          <w:tcPr>
            <w:tcW w:w="3260" w:type="dxa"/>
            <w:tcBorders/>
            <w:shd w:fill="EEEEEE" w:val="clear"/>
            <w:vAlign w:val="center"/>
          </w:tcPr>
          <w:p>
            <w:pPr>
              <w:pStyle w:val="TableContents"/>
              <w:bidi w:val="0"/>
              <w:spacing w:before="0" w:after="283"/>
              <w:jc w:val="left"/>
              <w:rPr/>
            </w:pPr>
            <w:r>
              <w:rPr/>
              <w:t>UCC</w:t>
            </w:r>
          </w:p>
        </w:tc>
        <w:tc>
          <w:tcPr>
            <w:tcW w:w="410" w:type="dxa"/>
            <w:tcBorders/>
            <w:shd w:fill="EEEEEE" w:val="clear"/>
            <w:vAlign w:val="center"/>
          </w:tcPr>
          <w:p>
            <w:pPr>
              <w:pStyle w:val="TableContents"/>
              <w:bidi w:val="0"/>
              <w:spacing w:before="0" w:after="283"/>
              <w:jc w:val="right"/>
              <w:rPr/>
            </w:pPr>
            <w:r>
              <w:rPr/>
              <w:t>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viii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LEASE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Agreement (this “</w:t>
      </w:r>
      <w:r>
        <w:rPr>
          <w:rFonts w:ascii="Times New Roman;Times;Serif" w:hAnsi="Times New Roman;Times;Serif"/>
          <w:b/>
          <w:i w:val="false"/>
          <w:caps w:val="false"/>
          <w:smallCaps w:val="false"/>
          <w:sz w:val="20"/>
          <w:u w:val="single"/>
        </w:rPr>
        <w:t>Lease</w:t>
      </w:r>
      <w:r>
        <w:rPr>
          <w:rFonts w:ascii="Times New Roman;Times;Serif" w:hAnsi="Times New Roman;Times;Serif"/>
          <w:b w:val="false"/>
          <w:i w:val="false"/>
          <w:caps w:val="false"/>
          <w:smallCaps w:val="false"/>
          <w:sz w:val="20"/>
        </w:rPr>
        <w:t>”) is entered into as of August 31, 2026, between Hightower Phase II Owner, LLC, a Delaware limited liability company (“</w:t>
      </w:r>
      <w:r>
        <w:rPr>
          <w:rFonts w:ascii="Times New Roman;Times;Serif" w:hAnsi="Times New Roman;Times;Serif"/>
          <w:b/>
          <w:i w:val="false"/>
          <w:caps w:val="false"/>
          <w:smallCaps w:val="false"/>
          <w:sz w:val="20"/>
          <w:u w:val="single"/>
        </w:rPr>
        <w:t>Landlord</w:t>
      </w:r>
      <w:r>
        <w:rPr>
          <w:rFonts w:ascii="Times New Roman;Times;Serif" w:hAnsi="Times New Roman;Times;Serif"/>
          <w:b w:val="false"/>
          <w:i w:val="false"/>
          <w:caps w:val="false"/>
          <w:smallCaps w:val="false"/>
          <w:sz w:val="20"/>
        </w:rPr>
        <w:t>”), and Applied Optoelectronics, Inc., a Delaware corporation (“</w:t>
      </w:r>
      <w:r>
        <w:rPr>
          <w:rFonts w:ascii="Times New Roman;Times;Serif" w:hAnsi="Times New Roman;Times;Serif"/>
          <w:b/>
          <w:i w:val="false"/>
          <w:caps w:val="false"/>
          <w:smallCaps w:val="false"/>
          <w:sz w:val="20"/>
          <w:u w:val="single"/>
        </w:rPr>
        <w:t>Tenant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 and Basic Provisions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definitions and basic provisions set forth in the Basic Lease Information (the “</w:t>
      </w:r>
      <w:r>
        <w:rPr>
          <w:rFonts w:ascii="Times New Roman;Times;Serif" w:hAnsi="Times New Roman;Times;Serif"/>
          <w:b/>
          <w:i w:val="false"/>
          <w:caps w:val="false"/>
          <w:smallCaps w:val="false"/>
          <w:sz w:val="20"/>
          <w:u w:val="single"/>
        </w:rPr>
        <w:t>Basic Lease Information</w:t>
      </w:r>
      <w:r>
        <w:rPr>
          <w:rFonts w:ascii="Times New Roman;Times;Serif" w:hAnsi="Times New Roman;Times;Serif"/>
          <w:b w:val="false"/>
          <w:i w:val="false"/>
          <w:caps w:val="false"/>
          <w:smallCaps w:val="false"/>
          <w:sz w:val="20"/>
        </w:rPr>
        <w:t>”) set forth above are incorporated herein by reference for all purposes. Additionally, the following terms shall have the following meanings when used in this Lease: “</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means any person or entity which, directly or indirectly controls, is controlled by, or is under common control with the party in question; “</w:t>
      </w:r>
      <w:r>
        <w:rPr>
          <w:rFonts w:ascii="Times New Roman;Times;Serif" w:hAnsi="Times New Roman;Times;Serif"/>
          <w:b/>
          <w:i w:val="false"/>
          <w:caps w:val="false"/>
          <w:smallCaps w:val="false"/>
          <w:sz w:val="20"/>
          <w:u w:val="single"/>
        </w:rPr>
        <w:t>Building’s Structure</w:t>
      </w:r>
      <w:r>
        <w:rPr>
          <w:rFonts w:ascii="Times New Roman;Times;Serif" w:hAnsi="Times New Roman;Times;Serif"/>
          <w:b w:val="false"/>
          <w:i w:val="false"/>
          <w:caps w:val="false"/>
          <w:smallCaps w:val="false"/>
          <w:sz w:val="20"/>
        </w:rPr>
        <w:t>” means the Building’s exterior walls, roof, elevator shafts, footings, foundations, structural portions of load-bearing walls, structural floors and subfloors, and structural columns and beams; “</w:t>
      </w:r>
      <w:r>
        <w:rPr>
          <w:rFonts w:ascii="Times New Roman;Times;Serif" w:hAnsi="Times New Roman;Times;Serif"/>
          <w:b/>
          <w:i w:val="false"/>
          <w:caps w:val="false"/>
          <w:smallCaps w:val="false"/>
          <w:sz w:val="20"/>
          <w:u w:val="single"/>
        </w:rPr>
        <w:t>Building’s Systems</w:t>
      </w:r>
      <w:r>
        <w:rPr>
          <w:rFonts w:ascii="Times New Roman;Times;Serif" w:hAnsi="Times New Roman;Times;Serif"/>
          <w:b w:val="false"/>
          <w:i w:val="false"/>
          <w:caps w:val="false"/>
          <w:smallCaps w:val="false"/>
          <w:sz w:val="20"/>
        </w:rPr>
        <w:t>” means the Building’s HVAC, life-safety, plumbing, electrical, and mechanical systems; “</w:t>
      </w:r>
      <w:r>
        <w:rPr>
          <w:rFonts w:ascii="Times New Roman;Times;Serif" w:hAnsi="Times New Roman;Times;Serif"/>
          <w:b/>
          <w:i w:val="false"/>
          <w:caps w:val="false"/>
          <w:smallCaps w:val="false"/>
          <w:sz w:val="20"/>
          <w:u w:val="single"/>
        </w:rPr>
        <w:t>including</w:t>
      </w:r>
      <w:r>
        <w:rPr>
          <w:rFonts w:ascii="Times New Roman;Times;Serif" w:hAnsi="Times New Roman;Times;Serif"/>
          <w:b w:val="false"/>
          <w:i w:val="false"/>
          <w:caps w:val="false"/>
          <w:smallCaps w:val="false"/>
          <w:sz w:val="20"/>
        </w:rPr>
        <w:t>” means including, without limitation; “</w:t>
      </w:r>
      <w:r>
        <w:rPr>
          <w:rFonts w:ascii="Times New Roman;Times;Serif" w:hAnsi="Times New Roman;Times;Serif"/>
          <w:b/>
          <w:i w:val="false"/>
          <w:caps w:val="false"/>
          <w:smallCaps w:val="false"/>
          <w:sz w:val="20"/>
          <w:u w:val="single"/>
        </w:rPr>
        <w:t>Laws</w:t>
      </w:r>
      <w:r>
        <w:rPr>
          <w:rFonts w:ascii="Times New Roman;Times;Serif" w:hAnsi="Times New Roman;Times;Serif"/>
          <w:b w:val="false"/>
          <w:i w:val="false"/>
          <w:caps w:val="false"/>
          <w:smallCaps w:val="false"/>
          <w:sz w:val="20"/>
        </w:rPr>
        <w:t>” means all federal, state, and local laws, ordinances, rules and regulations, all court orders, governmental directives, and governmental orders, and all interpretations of the foregoing, and all restrictive covenants affecting this Lease or the Project, and “</w:t>
      </w:r>
      <w:r>
        <w:rPr>
          <w:rFonts w:ascii="Times New Roman;Times;Serif" w:hAnsi="Times New Roman;Times;Serif"/>
          <w:b/>
          <w:i w:val="false"/>
          <w:caps w:val="false"/>
          <w:smallCaps w:val="false"/>
          <w:sz w:val="20"/>
          <w:u w:val="single"/>
        </w:rPr>
        <w:t>Law</w:t>
      </w:r>
      <w:r>
        <w:rPr>
          <w:rFonts w:ascii="Times New Roman;Times;Serif" w:hAnsi="Times New Roman;Times;Serif"/>
          <w:b w:val="false"/>
          <w:i w:val="false"/>
          <w:caps w:val="false"/>
          <w:smallCaps w:val="false"/>
          <w:sz w:val="20"/>
        </w:rPr>
        <w:t>” means any of the foregoing; “</w:t>
      </w:r>
      <w:r>
        <w:rPr>
          <w:rFonts w:ascii="Times New Roman;Times;Serif" w:hAnsi="Times New Roman;Times;Serif"/>
          <w:b/>
          <w:i w:val="false"/>
          <w:caps w:val="false"/>
          <w:smallCaps w:val="false"/>
          <w:sz w:val="20"/>
          <w:u w:val="single"/>
        </w:rPr>
        <w:t>Tenant’s Off-Premises Equipment</w:t>
      </w:r>
      <w:r>
        <w:rPr>
          <w:rFonts w:ascii="Times New Roman;Times;Serif" w:hAnsi="Times New Roman;Times;Serif"/>
          <w:b w:val="false"/>
          <w:i w:val="false"/>
          <w:caps w:val="false"/>
          <w:smallCaps w:val="false"/>
          <w:sz w:val="20"/>
        </w:rPr>
        <w:t>” means any of Tenant’s equipment or other property that may be located on or about the Project (other than inside the Premises); and “</w:t>
      </w:r>
      <w:r>
        <w:rPr>
          <w:rFonts w:ascii="Times New Roman;Times;Serif" w:hAnsi="Times New Roman;Times;Serif"/>
          <w:b/>
          <w:i w:val="false"/>
          <w:caps w:val="false"/>
          <w:smallCaps w:val="false"/>
          <w:sz w:val="20"/>
          <w:u w:val="single"/>
        </w:rPr>
        <w:t>Tenant Party</w:t>
      </w:r>
      <w:r>
        <w:rPr>
          <w:rFonts w:ascii="Times New Roman;Times;Serif" w:hAnsi="Times New Roman;Times;Serif"/>
          <w:b w:val="false"/>
          <w:i w:val="false"/>
          <w:caps w:val="false"/>
          <w:smallCaps w:val="false"/>
          <w:sz w:val="20"/>
        </w:rPr>
        <w:t>” means any of the following persons: Tenant; any assignees claiming by, through, or under Tenant; any subtenants claiming by, through, or under Tenant; and any of their respective agents, contractors, employees, licensees, guests and invitees.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u w:val="single"/>
        </w:rPr>
        <w:t>Lease Grant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Subject to the terms of this Lease, Landlord leases to Tenant, and Tenant leases from Landlord, the Premises. Additionally, subject to the terms of this Lease and Landlord’s rules and regulations therefor, Tenant and its employees and invitees shall have a non-exclusive license to use any applicable driveways, loading dock areas, roadways, rail tracks and other similar improvements designated by Landlord from time to time as common areas for the common use and enjoyment of all tenants and occupants of the Complex. In addition, notwithstanding anything in this Lease to the contrary, Tenant shall have the exclusive right to use, on a “24 hour a day”, “365 days a year” basis and without any additional charge, the following: (a) the loading facilities and areas exclusively serving the Premises, (b) the trash removal area labeled and shown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as the “Tenant Trash Removal Area”, and (c) the parking areas (including trailer parking stalls) within the Project labeled and shown on Exhibit “A” attached hereto as the “Tenant Exclusive Parking Area” (so called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u w:val="single"/>
        </w:rPr>
        <w:t>Tender of Possession</w:t>
      </w:r>
      <w:r>
        <w:rPr>
          <w:rFonts w:ascii="Times New Roman;Times;Serif" w:hAnsi="Times New Roman;Times;Serif"/>
          <w:b/>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Landlord and Tenant anticipate the Work to be Substantially Complete on or about the date that is sixteen (16) months following the Lease Date (the “</w:t>
      </w:r>
      <w:r>
        <w:rPr>
          <w:rFonts w:ascii="Times New Roman;Times;Serif" w:hAnsi="Times New Roman;Times;Serif"/>
          <w:b/>
          <w:i w:val="false"/>
          <w:caps w:val="false"/>
          <w:smallCaps w:val="false"/>
          <w:sz w:val="20"/>
          <w:u w:val="single"/>
        </w:rPr>
        <w:t>Estimated Delivery Date</w:t>
      </w:r>
      <w:r>
        <w:rPr>
          <w:rFonts w:ascii="Times New Roman;Times;Serif" w:hAnsi="Times New Roman;Times;Serif"/>
          <w:b w:val="false"/>
          <w:i w:val="false"/>
          <w:caps w:val="false"/>
          <w:smallCaps w:val="false"/>
          <w:sz w:val="20"/>
        </w:rPr>
        <w:t>”). If the Work is not Substantially Complete by the Estimated Delivery Date, then (1) the validity of this Lease shall not be affected or impaired thereby, (2) Landlord shall not be in default hereunder or be liable for damages therefor, and (3) Tenant shall accept possession of the Premises when the Work is Substantially Complete. Notwithstanding the foregoing, if the Work is not Substantially Complete by the date that is eighteen (18) months following the Lease Date, as extended one day for each Tenant Delay Day or day of Force Majeure (the “</w:t>
      </w:r>
      <w:r>
        <w:rPr>
          <w:rFonts w:ascii="Times New Roman;Times;Serif" w:hAnsi="Times New Roman;Times;Serif"/>
          <w:b/>
          <w:i w:val="false"/>
          <w:caps w:val="false"/>
          <w:smallCaps w:val="false"/>
          <w:sz w:val="20"/>
          <w:u w:val="single"/>
        </w:rPr>
        <w:t>Outside Delivery Date</w:t>
      </w:r>
      <w:r>
        <w:rPr>
          <w:rFonts w:ascii="Times New Roman;Times;Serif" w:hAnsi="Times New Roman;Times;Serif"/>
          <w:b w:val="false"/>
          <w:i w:val="false"/>
          <w:caps w:val="false"/>
          <w:smallCaps w:val="false"/>
          <w:sz w:val="20"/>
        </w:rPr>
        <w:t>”), Basic Rent will be abated, commencing with Lease Month 1, one (1) day for each day after the Outside Delivery Date that occurs before the date the Work is Substantially Complete (the “</w:t>
      </w:r>
      <w:r>
        <w:rPr>
          <w:rFonts w:ascii="Times New Roman;Times;Serif" w:hAnsi="Times New Roman;Times;Serif"/>
          <w:b/>
          <w:i w:val="false"/>
          <w:caps w:val="false"/>
          <w:smallCaps w:val="false"/>
          <w:sz w:val="20"/>
          <w:u w:val="single"/>
        </w:rPr>
        <w:t>Actual Delivery Date</w:t>
      </w:r>
      <w:r>
        <w:rPr>
          <w:rFonts w:ascii="Times New Roman;Times;Serif" w:hAnsi="Times New Roman;Times;Serif"/>
          <w:b w:val="false"/>
          <w:i w:val="false"/>
          <w:caps w:val="false"/>
          <w:smallCaps w:val="false"/>
          <w:sz w:val="20"/>
        </w:rPr>
        <w:t xml:space="preserve">”), and if the Actual Delivery Date has not occurred by the date that is twenty-four (24) months following the Lease Date, then Tenant may terminate this Lease upon thirty (30) days’ advance written notice to Landlord but prior to the date on which Landlord Substantially Completes the Work; provided, however, that if the Actual Delivery Date occurs during such 30-day period, such termination shall be deemed rescinded and this Lease will continue in full force and effect. In the event of such termination, Landlord shall return to Tenant the Security Deposit and the Prepaid Rent within ten (10) days after the date of such termination, which obligation shall survive termination of this Lease. By occupying the Premises, Tenant shall be deemed to have accepted the Premises in their condition as of the date of such occupancy, subject to the performance of punch-list items that remain to be performed by Landlord, if any, and Landlord’s repair of latent defects of which Tenant provides Landlord written notice within one (1) year after the Actual Delivery Date. Prior to occupying the Premises, Tenant shall execute and deliver to Landlord a letter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confirming (1) the Commencement Date and the expiration date of the initial Term, (2) that Tenant has accepted the Premises, and (3) that Landlord has performed all of its obligations with respect to the Premises (except for punch-list items specified in such letter and Landlord’s repair of latent defects of which Tenant provides Landlord written notice within one (1) year after the Actual Delivery Date); however, the failure of the parties to execute such letter shall not defer the Commencement Date or otherwise invalidate this Lease. Occupancy of the Premises by Tenant prior to the Commencement Date shall be subject to all of the provisions of this Lease excepting only those requiring the payment of Basic Rent and Additional Rent.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Remeasurement</w:t>
      </w:r>
      <w:r>
        <w:rPr>
          <w:rFonts w:ascii="Times New Roman;Times;Serif" w:hAnsi="Times New Roman;Times;Serif"/>
          <w:b w:val="false"/>
          <w:i w:val="false"/>
          <w:caps w:val="false"/>
          <w:smallCaps w:val="false"/>
          <w:sz w:val="20"/>
        </w:rPr>
        <w:t>. Within thirty (30) days after Substantial Completion of the Work, Landlord shall cause (at Landlord’s sole cost) its architect to measure the area of the Building in accordance with BOMA International and the Society of Industrial and Office Realtors Industrial Buildings: Standard Methods of Measurement (ANSI Z65.2-2025), using Exterior Wall Methodology (Method A), and provide a written certification of such measurement to Landlord and Tenant. The area stipulated therein (absent manifest error of which a party notifies the other in writing within ten (10) days following receipt of the initial written certification) shall be fully applicable and binding on the parties until after such time, if ever, as any such measurement is effected, following which event the new measurements, if they differ from those herein set forth, shall be applicable to future obligations only. Upon such measurement(s), the square footage of the Premises and all other provisions in this Lease which are based on the square footage of the Premises and/or Building shall be adjusted accordingly. Landlord shall provide Tenant ten (10) days advance notice of the date of such measurement and Tenant shall be permitted to have one or more representatives present during such measurement.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u w:val="single"/>
        </w:rPr>
        <w:t>Rent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Tenant shall timely pay to Landlord Rent, without notice, demand, deduction or set off (except as otherwise expressly provided herein), by good and sufficient check drawn on a national banking association at Landlord’s address provided for in this Lease or as otherwise specified by Landlord and shall be accompanied by all applicable state and local sales or use taxes. The obligations of Tenant to pay Rent to Landlord and the obligations of Landlord under this Lease are independent obligations. Rent shall be payable monthly in advance. The first monthly installment of Basic Rent shall be payable contemporaneously with the execution of this Lease (the “</w:t>
      </w:r>
      <w:r>
        <w:rPr>
          <w:rFonts w:ascii="Times New Roman;Times;Serif" w:hAnsi="Times New Roman;Times;Serif"/>
          <w:b/>
          <w:i w:val="false"/>
          <w:caps w:val="false"/>
          <w:smallCaps w:val="false"/>
          <w:sz w:val="20"/>
          <w:u w:val="single"/>
        </w:rPr>
        <w:t>Prepaid Rent</w:t>
      </w:r>
      <w:r>
        <w:rPr>
          <w:rFonts w:ascii="Times New Roman;Times;Serif" w:hAnsi="Times New Roman;Times;Serif"/>
          <w:b w:val="false"/>
          <w:i w:val="false"/>
          <w:caps w:val="false"/>
          <w:smallCaps w:val="false"/>
          <w:sz w:val="20"/>
        </w:rPr>
        <w:t>”); thereafter, Basic Rent shall be payable on the first day of each month beginning on the first day of the second Lease Month. The monthly Rent for any partial month at the beginning of the Term shall equal the product of 1/365 of the annual Basic Rent (and Additional Rent) in effect during the partial month and the number of days in the partial month, and shall be due on the Commencement Date. Payments of Rent for any fractional calendar month at the end of the Term shall be similarly prorated.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Operating Costs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Tenant shall pay to Landlord Tenant’s Proportionate Share of the annual Operating Costs (defined below). Prior to each calendar year of the Term, Landlord shall make a good faith estimate of Tenant’s Proportionate Share of Operating Costs for the following calendar year or part thereof during the Term. During each calendar year or partial calendar year of the Term, Tenant shall pay to Landlord, in advance concurrently with each monthly installment of Basic Rent, an amount equal to the estimated Tenant’s Proportionate Share of Operating Costs for such calendar year or part thereof divided by the number of months therein. From time to time, but not more than once a calendar year, Landlord may re-estimate the amount of Tenant’s Proportionate Share of Operating Costs to be due by Tenant and deliver a copy of the re-estimate to Tenant. Thereafter, the monthly installments of Tenant’s Proportionate Share of Operating Costs shall be adjusted in accordance with the estimations so that, by the end of the calendar year in question, Tenant shall have paid all of Tenant’s Proportionate Share of Operating Costs as estimated by Landlord. Any amounts paid based on such an estimate shall be subject to adjustment as herein provided when actual Operating Costs are available for each calendar year.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term “</w:t>
      </w:r>
      <w:r>
        <w:rPr>
          <w:rFonts w:ascii="Times New Roman;Times;Serif" w:hAnsi="Times New Roman;Times;Serif"/>
          <w:b/>
          <w:i w:val="false"/>
          <w:caps w:val="false"/>
          <w:smallCaps w:val="false"/>
          <w:sz w:val="20"/>
          <w:u w:val="single"/>
        </w:rPr>
        <w:t>Operating Costs</w:t>
      </w:r>
      <w:r>
        <w:rPr>
          <w:rFonts w:ascii="Times New Roman;Times;Serif" w:hAnsi="Times New Roman;Times;Serif"/>
          <w:b w:val="false"/>
          <w:i w:val="false"/>
          <w:caps w:val="false"/>
          <w:smallCaps w:val="false"/>
          <w:sz w:val="20"/>
        </w:rPr>
        <w:t>” means all expenses and disbursements (subject to the limitations set forth below) that Landlord incurs in connection with the ownership, operation, and maintenance of the Project, determined in accordance with sound accounting principles consistently applied, including the following costs: (A) wages and salaries of all on-site employees at or below the grade of senior building manager, engaged in the operation, maintenance or security of the Project (together with Landlord’s reasonable allocation of expenses of off-site employees at or below the grade of senior building manager who perform a portion of their services in connection with the operation, maintenance or security of the Project), including taxes, insurance and benefits relating thereto; (B) all supplies and materials used in the operation, maintenance, repair, replacement, and security of the Project; (C) cost of all utilities (including fuel, gas, electricity, water, sewer, and other services) for the common areas and other non-tenant areas of the Project (e.g., mechanical, electrical and telecommunications rooms) as reasonably determined by Landlord; (D) repairs, replacements, and general maintenance of the Project including paving and parking areas, roads, roof repairs (Landlord is responsible for replacement of the roof as provided in Section 7), alleys and driveways, trash collection, sweeping and removal of trash for the common areas, mowing and snow removal, landscaping and exterior painting, the cost of maintaining utility lines, fire sprinklers and fire protection systems, exterior lighting, and mechanical and plumbing systems serving the Project and, to the extent the following items serve more than one tenant in the Project, dock doors, drains and sump pumps; (E) fair market rental and other costs with respect to the management office for the Project; (F) service, maintenance and management contracts with independent contractors for the operation, maintenance, management, repair, replacement, and security of the Project (including alarm service, window cleaning, and elevator maintenance); (G) reasonable costs of professional services rendered for the general benefit of the Project; (H) environmental insurance or environmental management fees; (I) the cost of any insurance deductibles for insurance required to be maintained by Landlord; and (J) costs for improvements made to the Project which, although capital in nature, are expected to reduce the normal operating costs (including all utility costs) of the Project, as amortized using a commercially reasonable interest rate over the time period reasonably estimated by Landlord to recover the costs thereof taking into consideration the anticipated cost savings, as determined by Landlord using its good faith, commercially reasonable judgment, as well as capital improvements made in order to comply with any Law hereafter promulgated by any governmental authority or any new interpretations of any Law hereafter rendered with respect to any existing Law, as amortized using a commercially reasonable interest rate over the useful economic life of such improvements as determined by Landlord in its reasonable discretion. The parties acknowledge the Project is part of an industrial park complex (the “</w:t>
      </w:r>
      <w:r>
        <w:rPr>
          <w:rFonts w:ascii="Times New Roman;Times;Serif" w:hAnsi="Times New Roman;Times;Serif"/>
          <w:b/>
          <w:i w:val="false"/>
          <w:caps w:val="false"/>
          <w:smallCaps w:val="false"/>
          <w:sz w:val="20"/>
          <w:u w:val="single"/>
        </w:rPr>
        <w:t>Complex</w:t>
      </w:r>
      <w:r>
        <w:rPr>
          <w:rFonts w:ascii="Times New Roman;Times;Serif" w:hAnsi="Times New Roman;Times;Serif"/>
          <w:b w:val="false"/>
          <w:i w:val="false"/>
          <w:caps w:val="false"/>
          <w:smallCaps w:val="false"/>
          <w:sz w:val="20"/>
        </w:rPr>
        <w:t>”), Operating Costs, Taxes (defined below) and Insurance Costs (defined below) for the Complex may be prorated among the Project and the other buildings of the Complex, as reasonably determined by Landlord.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shall not include costs for (i) capital improvements made to the Project or the Complex, other than capital improvements described in Section 4(b)(2)(J) and except for items which are generally considered maintenance and repair items, such as painting of common areas, replacement of carpet in elevator lobbies (if any), and the like; (ii) repair, replacements and general maintenance paid by proceeds of insurance or by Tenant or other third parties; (iii) interest, amortization or other payments on loans to Landlord; (iv) depreciation; (v) leasing commissions; (vi) legal expenses for services, other than those that benefit the Project tenants generally (e.g., tax disputes); (vii) Taxes; (viii) Insurance Costs; (ix) renovating or otherwise improving space for occupants of the Project or the Complex or vacant space in the Project or the Complex; (x) [intentionally omitted]; (xi) overhead and profit increment paid to Landlord or to subsidiaries or affiliates of Landlord for goods and/or services in or to the Complex to the extent the same exceeds the costs of such goods and/or services rendered by unaffiliated third parties on a competitive basis; (xii) costs of any impact or tap fees or any sewer or water connection fees for the benefit of any particular tenant in the Complex; (xiii) any costs incurred in the removal, containment encapsulation or disposal of or repair or cleaning or monitoring of areas affected by any Hazardous Materials unless same arise due to the acts or omissions of Tenant; (xiv) any costs incurred in connection with the original design, construction, and landscaping of the Complex; (xv) Landlord’s general corporate overhead and general administrative expenses; (xvi) wages, salaries, benefits, or other costs of employees above the grade of “building manager” or similar title; (xvii) any administrative or management fee(s) in excess of three percent (3%) of the gross revenue of the Complex; (xviii) reserves of any kind; or (xix) any costs necessitated by or resulting from the gross negligence or willful misconduct of Landlord, or its agents, contractors, or employees.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Tenant shall also pay Tenant’s Proportionate Share of the Taxes for each year and partial year falling within the Term. Tenant shall pay Tenant’s Proportionate Share of Taxes in the same manner as provided above for Tenant’s Proportionate Share of Operating Costs.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 means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for common charges under a restrictive covenant or other private agreement that are not treated as part of Operating Costs) now or hereafter attributable to the Project or its operation (including the franchise tax set forth in V.T.C.A. Tax Code section 171.0001 et seq., as the same may be amended or recorded from time to time), excluding, however, penalties and interest thereon and federal and state taxes on income (if the present method of taxation changes so that in lieu of or in addition to the whole or any part of any Taxes, there is levied on Landlord a capital tax, sales tax, or use tax directly on the rents received therefrom or a franchise tax, assessment, or charge based, in whole or in part, upon such rents for the Project, then all such taxes, assessments, or charges, or the part thereof so based, shall be deemed to be included within the term “Taxes” for purposes hereof). Taxes shall include the reasonable costs of consultants retained in an effort to lower taxes and all costs incurred in disputing any taxes or in seeking to lower the tax valuation of the Project. Notwithstanding the foregoing, (i) Taxes will exclude income, margin, franchise inheritance, transfer, gift and “roll-back” or similar taxes, penalties or interest other than those attributable to Tenant’s failure to comply timely with its obligations under this Lease, (ii) in the event that any Taxes may be paid in installments, Tenant shall have the option to pay such Taxes in installments; and in such event, Tenant shall be liable only for those installments that are allocable to periods during the Term and become due and payable during the Term, and (iii) the Fort Bend County Municipal Utility District No. 168 (the “</w:t>
      </w:r>
      <w:r>
        <w:rPr>
          <w:rFonts w:ascii="Times New Roman;Times;Serif" w:hAnsi="Times New Roman;Times;Serif"/>
          <w:b/>
          <w:i w:val="false"/>
          <w:caps w:val="false"/>
          <w:smallCaps w:val="false"/>
          <w:sz w:val="20"/>
          <w:u w:val="single"/>
        </w:rPr>
        <w:t>MUD</w:t>
      </w:r>
      <w:r>
        <w:rPr>
          <w:rFonts w:ascii="Times New Roman;Times;Serif" w:hAnsi="Times New Roman;Times;Serif"/>
          <w:b w:val="false"/>
          <w:i w:val="false"/>
          <w:caps w:val="false"/>
          <w:smallCaps w:val="false"/>
          <w:sz w:val="20"/>
        </w:rPr>
        <w:t>”) tax rate for the Real Property shall not exceed $1.00 per $100.00 of taxable value.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For property tax purposes, Tenant waives all rights to protest or appeal the appraised value of the Premises, as well as the Project, and all rights to receive notices of reappraisement, as set forth in Sections 41.413 and 42.015 of the Texas Tax Code. Landlord agrees to consult with a real estate tax consultant or advisor engaged by it from time to time and in the exercise of reasonable and prudent ownership judgment contest any unreasonable tax assessment to the extent such tax counsel advises Landlord that a reasonable basis exists therefor. Upon at least 10 days’ written request from Tenant, Landlord will confirm to Tenant by April 30 of any calendar year during the Term, whether it will protest or appeal the appraised value of the Project. If Landlord fails to respond to such inquiry by April 30 of any calendar year or responds to Tenant that it will not protest or appeal the appraised value of the Project, then notwithstanding the terms of this Section 4(b)(4), Tenant may protest or appeal the appraised value of the Project.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By April 1 of each calendar year, or as soon thereafter as practicable, Landlord shall furnish to Tenant a statement of Operating Costs and Taxes for the previous year (the “</w:t>
      </w:r>
      <w:r>
        <w:rPr>
          <w:rFonts w:ascii="Times New Roman;Times;Serif" w:hAnsi="Times New Roman;Times;Serif"/>
          <w:b/>
          <w:i w:val="false"/>
          <w:caps w:val="false"/>
          <w:smallCaps w:val="false"/>
          <w:sz w:val="20"/>
          <w:u w:val="single"/>
        </w:rPr>
        <w:t>Operating Costs and Tax Statement</w:t>
      </w:r>
      <w:r>
        <w:rPr>
          <w:rFonts w:ascii="Times New Roman;Times;Serif" w:hAnsi="Times New Roman;Times;Serif"/>
          <w:b w:val="false"/>
          <w:i w:val="false"/>
          <w:caps w:val="false"/>
          <w:smallCaps w:val="false"/>
          <w:sz w:val="20"/>
        </w:rPr>
        <w:t>”). If Tenant’s estimated payments of Operating Costs or Taxes under this Section 4(b) for the year covered by the Operating Costs and Tax Statement exceed Tenant’s Proportionate Share of such items as indicated in the Operating Costs and Tax Statement, then Landlord shall promptly credit or reimburse Tenant for such excess; likewise, if Tenant’s estimated payments of Operating Costs or Taxes under this Section 4(b) for such year are less than Tenant’s Proportionate Share of such items as indicated in the Operating Costs and Tax Statement, then Tenant shall promptly pay Landlord such deficiency.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Notwithstanding the foregoing, commencing with the first full calendar year after the first anniversary of the Commencement Date, the amount of Controllable Expenses (defined below) for purposes of calculating Tenant’s Proportionate Share of Operating Costs under Section 4(b) shall not increase by more than seven percent (7%) over Tenant’s Proportionate Share of Controllable Expenses in the previous calendar year, cumulative and compounded. The term “Controllable Expenses” means all Operating Costs but excludes all expenses relating to the cost of utilities, security expenses, insurance, real estate taxes and assessments, and other expenses that are deemed by industry standards to be uncontrollable to the extent same constitute Operating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Audit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Provided that no Event of Default is then outstanding, Tenant shall have the right to inspect, at reasonable times and in a reasonable manner, during the sixty (60) day period following the delivery of the Operating Costs and Tax Statement (the “</w:t>
      </w:r>
      <w:r>
        <w:rPr>
          <w:rFonts w:ascii="Times New Roman;Times;Serif" w:hAnsi="Times New Roman;Times;Serif"/>
          <w:b/>
          <w:i w:val="false"/>
          <w:caps w:val="false"/>
          <w:smallCaps w:val="false"/>
          <w:sz w:val="20"/>
          <w:u w:val="single"/>
        </w:rPr>
        <w:t>Inspection Period</w:t>
      </w:r>
      <w:r>
        <w:rPr>
          <w:rFonts w:ascii="Times New Roman;Times;Serif" w:hAnsi="Times New Roman;Times;Serif"/>
          <w:b w:val="false"/>
          <w:i w:val="false"/>
          <w:caps w:val="false"/>
          <w:smallCaps w:val="false"/>
          <w:sz w:val="20"/>
        </w:rPr>
        <w:t>”), such of Landlord’s books of account and records as pertain to and contain information concerning the Operating Costs and Taxes for the prior calendar year in order to verify the amounts thereof. Such inspection shall take place at Landlord’s office upon at least fifteen (15) days prior written notice from Tenant to Landlord. Tenant shall also agree to follow Landlord’s reasonable procedures for auditing such books and records. Landlord and Tenant shall act reasonably in assessing the other party’s calculation of the Operating Costs and Taxes. Tenant shall provide Landlord with a copy of its findings within thirty (30) days after completion of the audit. Tenant’s failure to exercise its rights hereunder within the Inspection Period shall be deemed a waiver of its right to inspect or contest the method, accuracy or amount of such Operating Costs and Taxes.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Landlord’s calculation of the Operating Costs and Taxes or Tenant’s Proportionate Share thereof for the inspected calendar year was incorrect, the parties shall enter into a written agreement confirming such undisputed error and then Landlord shall make a correcting payment in full to Tenant within thirty (30) days after the determination of the amount of such error or credit such amount against future Additional Rent if Tenant overpaid such amount, and Tenant shall pay Landlord within thirty (30) days after the determination of such error if Tenant underpaid such amount. In the event of any errors on the part of Landlord that cost Tenant in excess of $5,000, Landlord will also reimburse Tenant for the costs of an audit reasonably incurred by Tenant (not to exceed $5,000) within the above thirty (30) day period. If Tenant provides Landlord with written notice disputing the correctness of Landlord’s statement, and if such dispute shall have not been settled by agreement within thirty (30) days after Tenant provides Landlord with such written notice, Tenant may submit the dispute to a reputable firm of independent certified public accountants selected by Tenant and reasonably approved by Landlord, and the decision of such accountants shall be conclusive and binding upon the parties. If such accountant decides that there was an error, Landlord will make correcting payment if Tenant overpaid such amount, and Tenant shall pay Landlord if Tenant underpaid such amount. The fees and expenses involved in such decision shall be borne by the party required to pay for the audit.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Tenant shall maintain the results of each such audit or inspection confidential and shall not be permitted to use any third party to perform such audit or inspection, other than an independent firm of certified public accountants (1) reasonably acceptable to Landlord, (2) which is not compensated on a contingency fee basis or in any other manner which is dependent upon the results of such audit or inspection (and Tenant shall deliver the fee agreement or other similar evidence of such fee arrangement to Landlord upon request), and (3) which agrees with Landlord in writing to maintain the results of such audit or inspection confidential. Nothing in this Section 4(c) shall be construed to limit, suspend or abate Tenant’s obligation to pay Rent when due, including Additional Rent.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u w:val="single"/>
        </w:rPr>
        <w:t>Delinquent Payment; Handling Charges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payments required of Tenant hereunder not received within three (3) business days of the date due shall bear interest from the date due until paid at the lesser of eighteen percent per annum or the maximum lawful rate of interest (such lesser amount is referred to herein as the “</w:t>
      </w:r>
      <w:r>
        <w:rPr>
          <w:rFonts w:ascii="Times New Roman;Times;Serif" w:hAnsi="Times New Roman;Times;Serif"/>
          <w:b/>
          <w:i w:val="false"/>
          <w:caps w:val="false"/>
          <w:smallCaps w:val="false"/>
          <w:sz w:val="20"/>
          <w:u w:val="single"/>
        </w:rPr>
        <w:t>Default Rate</w:t>
      </w:r>
      <w:r>
        <w:rPr>
          <w:rFonts w:ascii="Times New Roman;Times;Serif" w:hAnsi="Times New Roman;Times;Serif"/>
          <w:b w:val="false"/>
          <w:i w:val="false"/>
          <w:caps w:val="false"/>
          <w:smallCaps w:val="false"/>
          <w:sz w:val="20"/>
        </w:rPr>
        <w:t>”); additionally, Landlord, in addition to all other rights and remedies available to it, may charge Tenant a fee equal to the greater of (a) $50.00 or (b) five percent of the delinquent payment to reimburse Landlord for its cost and inconvenience incurred as a consequence of Tenant’s delinquency. In no event, however, shall the charges permitted under this Section 5 or elsewhere in this Lease, to the extent they are considered to be interest under applicable Law, exceed the maximum lawful rate of interest. Notwithstanding the foregoing, the interest and late fee referenced above shall not be charged with respect to the first occurrence (but not any subsequent occurrence) during any 12-month period that Tenant fails to make payment within three (3) business days of the date due, until five days after Landlord delivers written notice of such delinquency to Tenant.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val="false"/>
          <w:i w:val="false"/>
          <w:caps w:val="false"/>
          <w:smallCaps w:val="false"/>
          <w:sz w:val="20"/>
          <w:u w:val="single"/>
        </w:rPr>
        <w:t>Security Deposit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Contemporaneously with the execution of this Lease, Tenant shall pay to Landlord a portion of the Security Deposit equal to $300,000, and within ten (10) days following the Commencement Date, Tenant shall pay to Landlord a portion of the Security Deposit equal to $3,500,000, all of which shall be held by Landlord to secure Tenant’s performance of its obligations under this Lease. The Security Deposit is not an advance payment of Rent or a measure or limit of Landlord’s damages upon an Event of Default (as defined herein). Landlord may, from time to time following an Event of Default and without prejudice to any other remedy, use all or a part of the Security Deposit to perform any obligation Tenant fails to perform hereunder. Following any such application of the Security Deposit, Tenant shall pay to Landlord on demand the amount so applied in order to restore the Security Deposit to its original amount. Subject to the requirements of, and conditions imposed by, Laws applicable to security deposits under commercial leases, Landlord shall, within the time required by applicable Law, return to Tenant the portion of the Security Deposit remaining after deducting all damages, charges and other amounts permitted by Law. Landlord and Tenant agree that such deductions shall include, without limitation, all damages and losses that Landlord has suffered or that Landlord reasonably estimates that it will suffer as a result of any breach of this Lease by Tenant. The Security Deposit may be commingled with other funds, and no interest shall be paid thereon. If Landlord transfers its interest in the Premises, Landlord will assign the Security Deposit to the transferee and, upon such transfer and the delivery to Tenant of an acknowledgement of the transferee’s responsibility for the Security Deposit as provided by Law, Landlord thereafter shall have no further liability for the return of the Security Deposit. Notwithstanding anything to the contrary set forth herein, (i) if no Event of Default occurs during the first twelve (12) Lease Months, then upon written request of Tenant, Landlord will reduce the Security Deposit by $1,000,000; (ii) if no Event of Default occurs during Lease Months thirteen (13) through twenty-four (24), then upon written request of Tenant, Landlord will further reduce the Security Deposit by an additional $1,000,000; and (iii) if no Event of Default occurs during Lease Months twenty-five (25) through thirty-six (36), then upon written request of Tenant, Landlord will further reduce the Security Deposit by an additional $1,500,000, leaving a Security Deposit balance of $300,000. Each reduction in the Security Deposit will be applied by Landlord to Tenant’s next accruing installments of Basic Rent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val="false"/>
          <w:i w:val="false"/>
          <w:caps w:val="false"/>
          <w:smallCaps w:val="false"/>
          <w:sz w:val="20"/>
          <w:u w:val="single"/>
        </w:rPr>
        <w:t>Landlord’s Maintenance Obligations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Lease is intended to be a net lease; accordingly, Landlord’s maintenance obligations are limited to the replacement of the Building’s Structure; Landlord shall not be responsible for any such work until Tenant notifies Landlord of the need therefor in writing. The Building’s Structure does not include skylights, windows, glass or plate glass, doors or overhead doors, special fronts, or office entries, dock bumpers, dock plates or levelers, loading areas and docks, and loading dock equipment, all of which shall be maintained by Tenant. Landlord’s liability for any defects, repairs, replacement or maintenance for which Landlord is specifically responsible for under this Lease shall be limited to the cost of performing the work. Additionally, Landlord shall maintain the parking areas, and other common areas of the Building, including driveways, alleys, landscape and grounds surrounding the Premises and utility lines in a good condition, consistent with the operation of a bulk warehouse/industrial or service center facility, including maintenance, repair, and replacement of any rail tracks serving the Premises, the exterior of the Building (including painting), landscaping sprinkler systems, and any items normally associated with the foregoing. All costs in performing the work described in the foregoing sentence shall be included in Operating Costs. Tenant shall promptly notify Landlord in writing of any work required to be performed under this Section 7, and Landlord shall not be responsible for performing such work until Tenant delivers to Landlord such notice. Notwithstanding anything to the contrary contained herein, Landlord shall, in its commercially reasonable discretion, determine the appropriate remedial action required of it to satisfy its maintenance obligations hereunder (e.g., Landlord shall, in its commercially reasonable discretion, determine whether, and to the extent, repairs or replacements are the appropriate remedial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val="false"/>
          <w:i w:val="false"/>
          <w:caps w:val="false"/>
          <w:smallCaps w:val="false"/>
          <w:sz w:val="20"/>
          <w:u w:val="single"/>
        </w:rPr>
        <w:t>Improvements; Alterations; Tenant’s Maintenance and Repair Obligations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Improvements; Alterations</w:t>
      </w:r>
      <w:r>
        <w:rPr>
          <w:rFonts w:ascii="Times New Roman;Times;Serif" w:hAnsi="Times New Roman;Times;Serif"/>
          <w:b w:val="false"/>
          <w:i w:val="false"/>
          <w:caps w:val="false"/>
          <w:smallCaps w:val="false"/>
          <w:sz w:val="20"/>
        </w:rPr>
        <w:t xml:space="preserve">. Except for the Work to be performed pursuant to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all alterations and improvements to the Premises shall be installed at Tenant’s expense only in accordance with plans and specifications which have been previously approved in writing by Landlord, which approval shall be governed by the provisions set forth in this Section 8(a). No alterations or additions in or to the Premises may be made without Landlord’s prior written consent, which shall not be unreasonably withheld or delayed; however, Landlord may withhold its consent to any alteration or addition that would adversely affect (in the reasonable discretion of Landlord) (1) the Building’s Structure or the Building’s Systems (including the Building’s restrooms or mechanical rooms), (2) the exterior appearance of the Building, (3) the appearance of the Building’s common areas, or (4) the provision of services to other Building occupants. Tenant shall not paint or install lighting or decorations, signs, window or door lettering, or advertising media of any type visible from the exterior of the Premises without the prior written consent of Landlord, which consent may be withheld in Landlord’s sole and absolute discretion. All alterations, additions, and improvements shall be constructed, maintained, and used by Tenant, at its risk and expense, in accordance with all Laws; Landlord’s consent to or approval of any alterations, additions or improvements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 Notwithstanding the foregoing, Tenant may, without Landlord’s consent, make non-structural alterations to the interior of the Premises (collectively, “</w:t>
      </w:r>
      <w:r>
        <w:rPr>
          <w:rFonts w:ascii="Times New Roman;Times;Serif" w:hAnsi="Times New Roman;Times;Serif"/>
          <w:b/>
          <w:i w:val="false"/>
          <w:caps w:val="false"/>
          <w:smallCaps w:val="false"/>
          <w:sz w:val="20"/>
          <w:u w:val="single"/>
        </w:rPr>
        <w:t>Non-Structural Alterations</w:t>
      </w:r>
      <w:r>
        <w:rPr>
          <w:rFonts w:ascii="Times New Roman;Times;Serif" w:hAnsi="Times New Roman;Times;Serif"/>
          <w:b w:val="false"/>
          <w:i w:val="false"/>
          <w:caps w:val="false"/>
          <w:smallCaps w:val="false"/>
          <w:sz w:val="20"/>
        </w:rPr>
        <w:t>”) provided that (i) the cost does not exceed two hundred thousand dollars ($200,000) for any one project, (ii) such alterations do not affect the Building’s Structure or the Building’s Systems and do not require issuance of a building permit, (iii) Tenant provides Landlord with prior written notice of its intention to make such alterations stating in reasonable detail the nature, extent and estimated cost of such alterations, together with, if applicable, the plans and specifications for the same (collectively, a “</w:t>
      </w:r>
      <w:r>
        <w:rPr>
          <w:rFonts w:ascii="Times New Roman;Times;Serif" w:hAnsi="Times New Roman;Times;Serif"/>
          <w:b/>
          <w:i w:val="false"/>
          <w:caps w:val="false"/>
          <w:smallCaps w:val="false"/>
          <w:sz w:val="20"/>
          <w:u w:val="single"/>
        </w:rPr>
        <w:t>Non-Structural Alterations Notice</w:t>
      </w:r>
      <w:r>
        <w:rPr>
          <w:rFonts w:ascii="Times New Roman;Times;Serif" w:hAnsi="Times New Roman;Times;Serif"/>
          <w:b w:val="false"/>
          <w:i w:val="false"/>
          <w:caps w:val="false"/>
          <w:smallCaps w:val="false"/>
          <w:sz w:val="20"/>
        </w:rPr>
        <w:t>”), and (iv) Tenant’s construction of such alterations otherwise complies with the terms of this Section 8.</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Repairs; Maintenance</w:t>
      </w:r>
      <w:r>
        <w:rPr>
          <w:rFonts w:ascii="Times New Roman;Times;Serif" w:hAnsi="Times New Roman;Times;Serif"/>
          <w:b w:val="false"/>
          <w:i w:val="false"/>
          <w:caps w:val="false"/>
          <w:smallCaps w:val="false"/>
          <w:sz w:val="20"/>
        </w:rPr>
        <w:t>. Tenant shall maintain the Premises, including the loading areas and dock, and loading dock equipment in connection with the Premises, in a clean, safe, and operable condition, and shall not permit or allow to remain damage to any portion of the Premises. Additionally, Tenant, at its sole expense, shall repair, replace and maintain in good condition and in accordance with all Laws and the equipment manufacturer’s suggested service programs, all portions of the Premises, Tenant’s Off-Premises Equipment and all areas, improvements and systems exclusively serving the Premises including loading docks, sump pumps, dock wells, dock equipment and loading areas, dock doors, dock seals, overhead doors, “levellors” and similar leveling equipment, plumbing, water, fire sprinkler system, and sewer lines up to points of common connection, entries, doors, ceilings, windows, interior walls, and the interior side of demising walls, and heating, ventilation and air conditioning systems (including any evaporative units), and other building and mechanical systems serving the Premises. Such repair and replacements include capital expenditures and repairs whose benefit may extend beyond the Term. Upon written request of Tenant, Landlord will enforce for the benefit of Tenant, any warranties received by Landlord which are applicable to the portions of the Premises to be maintained by Tenant hereunder. If Tenant fails to perform any of its maintenance obligations hereunder and such failure continues for five (5) business days after written notice from Landlord (or such longer period as may be reasonably required provided Tenant commences to perform such required maintenance within such five (5) business-day period and proceeds diligently to completion), then Landlord may make the same at Tenant’s cost. Tenant shall repair or replace, subject to Landlord’s direction and supervision, any damage to the Building caused by a Tenant Party. If Tenant fails to make such repairs or replacements within 15 days after the occurrence of such damage (or such longer period as may be reasonably required provided Tenant commences to make such repairs or replacements within such 15-day period and proceeds diligently to completion), then Landlord may make the same at Tenant’s cost. If any such damage occurs outside of the Premises, then Landlord may elect to repair such damage at Tenant’s expense, rather than having Tenant repair such damage. The reasonable costs of all maintenance, repair or replacement work performed by Landlord under this Section 8 shall be paid by Tenant to Landlord within 30 days after Landlord has invoiced Tenant therefor.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Performance of Work</w:t>
      </w:r>
      <w:r>
        <w:rPr>
          <w:rFonts w:ascii="Times New Roman;Times;Serif" w:hAnsi="Times New Roman;Times;Serif"/>
          <w:b w:val="false"/>
          <w:i w:val="false"/>
          <w:caps w:val="false"/>
          <w:smallCaps w:val="false"/>
          <w:sz w:val="20"/>
        </w:rPr>
        <w:t xml:space="preserve">. All work described in this Section 8 shall be performed only by Landlord or by contractors and subcontractors approved in writing by Landlord, which approval will not be unreasonably withheld for contractors and subcontractors that maintain the insurance coverages in compliance with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attached hereto. Tenant shall cause all contractors and subcontractors to procure and maintain insurance coverage naming Landlord, Landlord’s property management company and Landlord’s asset management company as additional insureds against such risks, in such amounts, with such companies, and coverage in compliance with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attached hereto. Tenant shall provide Landlord with the identities, mailing addresses and telephone numbers of all persons performing work or supplying materials prior to beginning such construction and Landlord may post on and about the Premises notices of non-responsibility pursuant to applicable Laws. All work shall be performed in accordance with all Laws and in a good and workmanlike manner so as not to damage the Building (including the Premises, the Building’s Structure and the Building’s Systems). All such work which may affect the Building’s Structure or the Building’s Systems must be approved by the Building’s engineer of record, at Tenant’s expense and, at Landlord’s election, must be performed by Landlord’s usual contractor for such work. All work affecting the Building roof must be performed by Landlord’s roofing contractor, and will not be permitted if it would void or reduce the warranty on the roof.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Liens</w:t>
      </w:r>
      <w:r>
        <w:rPr>
          <w:rFonts w:ascii="Times New Roman;Times;Serif" w:hAnsi="Times New Roman;Times;Serif"/>
          <w:b w:val="false"/>
          <w:i w:val="false"/>
          <w:caps w:val="false"/>
          <w:smallCaps w:val="false"/>
          <w:sz w:val="20"/>
        </w:rPr>
        <w:t>. All work performed, materials furnished, or obligations incurred by or at the request of a Tenant Party shall be deemed authorized and ordered by Tenant only, and Tenant shall not permit any mechanic’s liens to be filed against the Premises or the Project in connection therewith. Promptly following completion of any such work, Tenant shall deliver to Landlord final lien waivers from all contractors, subcontractors and materialmen who performed such work costing in excess of $5,000. If a lien is filed, then Tenant shall, within twenty days after Landlord has delivered notice of the filing thereof to Tenant (or earlier, as necessary to prevent the forfeiture of the Premises, the Project or any interest of Landlord therein or the imposition of any fine with respect thereto), either (1) pay the amount of the lien and cause the lien to be released of record, or (2) diligently contest such lien and deliver to Landlord a bond or other security reasonably satisfactory to Landlord. If Tenant fails to timely take either such action, then Landlord may pay the lien claim, and any amounts so paid, including expenses and interest, shall be paid by Tenant to Landlord within ten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during the Term, are hereby charged with notice that they look exclusively to Tenant to obtain payment for same. Nothing herein shall be deemed a consent by Landlord to any liens being placed upon the Premises, the Project or Landlord’s interest therein due to any work performed by or for Tenant or deemed to give any contractor or subcontractor or materialman any right or interest in any funds held by Landlord to reimburse Tenant for any portion of the cost of such work. Tenant shall defend, indemnify and hold harmless Landlord and its agents and representatives from and against all claims, demands, causes of action, suits, judgments, damages and expenses (including attorneys’ fees) in any way arising from or relating to the failure by any Tenant Party to pay for any work performed, materials furnished, or obligations incurred by or at the request of a Tenant Party. This indemnity provision shall survive termination or expiration of this Lease.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Janitorial Services</w:t>
      </w:r>
      <w:r>
        <w:rPr>
          <w:rFonts w:ascii="Times New Roman;Times;Serif" w:hAnsi="Times New Roman;Times;Serif"/>
          <w:b w:val="false"/>
          <w:i w:val="false"/>
          <w:caps w:val="false"/>
          <w:smallCaps w:val="false"/>
          <w:sz w:val="20"/>
        </w:rPr>
        <w:t>. Tenant, at its sole expense, shall provide janitorial services to the Premises and shall maintain the Premises in a clean and safe condition. Tenant shall store all trash and garbage within the Tenant Trash Removal Area and shall, at its sole expense, arrange for the regular pickup of such trash and garbage pursuant to reasonable regulations established by Landlord from time to time. If Tenant fails to provide janitorial services to the Premises or trash removal services in compliance with the foregoing and such failure continues for more than five (5) days after written notice to Tenant (or more than twice in any 12-month period), Landlord, in addition to any other rights and remedies available to it, may provide such services, and Tenant shall pay to Landlord the cost thereof, plus an administrative fee equal to 15% of such cost, within ten days after Landlord delivers to Tenant an invoice therefor.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val="false"/>
          <w:i w:val="false"/>
          <w:caps w:val="false"/>
          <w:smallCaps w:val="false"/>
          <w:sz w:val="20"/>
          <w:u w:val="single"/>
        </w:rPr>
        <w:t>Utilities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pay for all water, gas, electricity, heat, telephone, sewer, sprinkler charges and other utilities and services used at the Premises, together with any taxes, penalties, surcharges, connection charges, maintenance charges, and the like pertaining to Tenant’s use of the Premises. Landlord shall, at Landlord’s expense, submeter water for the Premises and bill Tenant directly for its use of such utility service. To the extent any utility service for the Premises is submetered, the meter shall be read by Landlord or Landlord’s designee, and Tenant shall pay to Landlord, within 30 days after receipt of an invoice therefor, the cost of such service based on rates charged for such service by the utility company furnishing such service, including all fuel adjustment charges, demand charges and taxes. To the extent that any particular utility is not separately metered or submetered as provided above (e.g., water or sewer charges), Landlord shall, using its good-faith, reasonable judgment, allocate the expenses for such utility among the existing tenants of the Project based upon density, usage, and other factors in Landlord’s reasonable judgment. Tenant, at its expense, shall obtain all utility services for the Premises (other than utilities submetered or otherwise provided to the Premises by Landlord). Landlord shall not be liable for any interruption or failure of utility service to the Premises, and such interruption or failure of utility service shall not be a constructive eviction of Tenant, constitute a breach of any implied warranty, or, except as provided in the next sentence, entitle Tenant to any abatement of Tenant’s obligations hereunder. If, however, Tenant is prevented from using the Premises for more than five (5) consecutive business days because of the unavailability of any such service and such unavailability was caused by Landlord, its agents, employees or contractors, and restoration of such service is within the reasonable control of Landlord (a “</w:t>
      </w:r>
      <w:r>
        <w:rPr>
          <w:rFonts w:ascii="Times New Roman;Times;Serif" w:hAnsi="Times New Roman;Times;Serif"/>
          <w:b/>
          <w:i w:val="false"/>
          <w:caps w:val="false"/>
          <w:smallCaps w:val="false"/>
          <w:sz w:val="20"/>
          <w:u w:val="single"/>
        </w:rPr>
        <w:t>Service Interruption</w:t>
      </w:r>
      <w:r>
        <w:rPr>
          <w:rFonts w:ascii="Times New Roman;Times;Serif" w:hAnsi="Times New Roman;Times;Serif"/>
          <w:b w:val="false"/>
          <w:i w:val="false"/>
          <w:caps w:val="false"/>
          <w:smallCaps w:val="false"/>
          <w:sz w:val="20"/>
        </w:rPr>
        <w:t>”), then Tenant, as its exclusive remedy is entitled to a reasonable abatement of Rent for each consecutive day (after such 5 business-day period) that Tenant is so prevented from using the Premises. Notwithstanding anything herein to the contrary, Landlord shall use commercially reasonable efforts to restore the availability of any such service following an interruption, and Landlord shall use commercially reasonable efforts to coordinate any planned interruptions outside of normal business hours. Rent shall not abate by reason of the interruption, insufficiency, unavailability or discontinuance of such service if such unavailability or discontinuance was not caused by Landlord, its agents, employees or contractors and restoration of such service is not within the reasonable control of Landlord.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val="false"/>
          <w:i w:val="false"/>
          <w:caps w:val="false"/>
          <w:smallCaps w:val="false"/>
          <w:sz w:val="20"/>
          <w:u w:val="single"/>
        </w:rPr>
        <w:t>Use and Compliance with Law</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Use</w:t>
      </w:r>
      <w:r>
        <w:rPr>
          <w:rFonts w:ascii="Times New Roman;Times;Serif" w:hAnsi="Times New Roman;Times;Serif"/>
          <w:b w:val="false"/>
          <w:i w:val="false"/>
          <w:caps w:val="false"/>
          <w:smallCaps w:val="false"/>
          <w:sz w:val="20"/>
        </w:rPr>
        <w:t>. Tenant shall use the Premises only for the Permitted Use and shall comply with all Laws relating to this Lease and/or the use and occupancy of the Premises and will not commit waste, overload the Building’s Structure or the Building’s Systems. The Premises shall not be used for any use which is disreputable, or creates extraordinary fire hazards, or for the storage of any Hazardous Materials (except as provided in Section 27 hereto). Outside storage, including storage of trucks or other vehicles, is prohibited without Landlord’s prior written consent. If, because of a Tenant Party’s acts or because Tenant vacates the Premises, the rate of insurance on the Building or its contents increases, then Tenant shall pay to Landlord the amount of such increase on demand and acceptance of such payment shall not waive any of Landlord’s other rights. Tenant shall conduct its business and control each other Tenant Party so as not to create any nuisance or unreasonably interfere with other tenants or Landlord in its management of the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Existing Governmental Regulations</w:t>
      </w:r>
      <w:r>
        <w:rPr>
          <w:rFonts w:ascii="Times New Roman;Times;Serif" w:hAnsi="Times New Roman;Times;Serif"/>
          <w:b w:val="false"/>
          <w:i w:val="false"/>
          <w:caps w:val="false"/>
          <w:smallCaps w:val="false"/>
          <w:sz w:val="20"/>
        </w:rPr>
        <w:t>. If any federal, state or local laws, ordinances, orders, rules, regulations or requirements (collectively, “</w:t>
      </w:r>
      <w:r>
        <w:rPr>
          <w:rFonts w:ascii="Times New Roman;Times;Serif" w:hAnsi="Times New Roman;Times;Serif"/>
          <w:b/>
          <w:i w:val="false"/>
          <w:caps w:val="false"/>
          <w:smallCaps w:val="false"/>
          <w:sz w:val="20"/>
          <w:u w:val="single"/>
        </w:rPr>
        <w:t>Governmental Requirements</w:t>
      </w:r>
      <w:r>
        <w:rPr>
          <w:rFonts w:ascii="Times New Roman;Times;Serif" w:hAnsi="Times New Roman;Times;Serif"/>
          <w:b w:val="false"/>
          <w:i w:val="false"/>
          <w:caps w:val="false"/>
          <w:smallCaps w:val="false"/>
          <w:sz w:val="20"/>
        </w:rPr>
        <w:t>”) in existence as of the date of the Lease require an alteration or modification of the Premises (a “</w:t>
      </w:r>
      <w:r>
        <w:rPr>
          <w:rFonts w:ascii="Times New Roman;Times;Serif" w:hAnsi="Times New Roman;Times;Serif"/>
          <w:b/>
          <w:i w:val="false"/>
          <w:caps w:val="false"/>
          <w:smallCaps w:val="false"/>
          <w:sz w:val="20"/>
          <w:u w:val="single"/>
        </w:rPr>
        <w:t>Code Modification</w:t>
      </w:r>
      <w:r>
        <w:rPr>
          <w:rFonts w:ascii="Times New Roman;Times;Serif" w:hAnsi="Times New Roman;Times;Serif"/>
          <w:b w:val="false"/>
          <w:i w:val="false"/>
          <w:caps w:val="false"/>
          <w:smallCaps w:val="false"/>
          <w:sz w:val="20"/>
        </w:rPr>
        <w:t>”) and such Code Modification (i) is not made necessary as a result of the specific use being made by Tenant of the Premises (as distinguished from an alteration or improvement which would be required to be made by the owner of any building comparable to the Building irrespective of the use thereof by any particular occupant), and (ii) is not made necessary as a result of any alteration of the Premises by Tenant, such Code Modification shall be performed by Landlord, at Landlord’s sole cost and expense.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Governmental Regulations – Landlord Responsibility</w:t>
      </w:r>
      <w:r>
        <w:rPr>
          <w:rFonts w:ascii="Times New Roman;Times;Serif" w:hAnsi="Times New Roman;Times;Serif"/>
          <w:b w:val="false"/>
          <w:i w:val="false"/>
          <w:caps w:val="false"/>
          <w:smallCaps w:val="false"/>
          <w:sz w:val="20"/>
        </w:rPr>
        <w:t>. If, as a result of one or more Governmental Requirements that are not in existence as of the date of this Lease, it is necessary from time to time during the Lease Term, to perform a Code Modification to the Building or the Project that (i) is not made necessary as a result of the specific use being made by Tenant of the Premises (as distinguished from an alteration or improvement which would be required to be made by the owner of any building comparable to the Building irrespective of the use thereof by any particular occupant), and (ii) is not made necessary as a result of any alteration of the Premises by Tenant, such Code Modification shall be performed by Landlord and cost thereof shall be included in Operating Costs.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Governmental Regulations – Tenant Responsibility</w:t>
      </w:r>
      <w:r>
        <w:rPr>
          <w:rFonts w:ascii="Times New Roman;Times;Serif" w:hAnsi="Times New Roman;Times;Serif"/>
          <w:b w:val="false"/>
          <w:i w:val="false"/>
          <w:caps w:val="false"/>
          <w:smallCaps w:val="false"/>
          <w:sz w:val="20"/>
        </w:rPr>
        <w:t>. If, as a result of one or more Governmental Requirements, it is necessary from time to time during the Lease Term to perform a Code Modification to the Building or the Project that is made necessary as a result of the specific use being made by Tenant of the Premises or as a result of any alteration of the Premises by Tenant, such Code Modification shall be the sole and exclusive responsibility of Tenant in all respects; provided, however, that Tenant shall have the right to retract its request to perform a proposed alteration in the event that the performance of such alteration would trigger the requirement for a Code Modification.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val="false"/>
          <w:i w:val="false"/>
          <w:caps w:val="false"/>
          <w:smallCaps w:val="false"/>
          <w:sz w:val="20"/>
          <w:u w:val="single"/>
        </w:rPr>
        <w:t>Assignment and Subletting</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Except as provided in Section 11(h), Tenant shall not, without the prior written consent of Landlord, (1) assign, transfer, or encumber this Lease or any estate or interest herein, whether directly or by operation of law, (2) permit any other entity to become Tenant hereunder by merger, consolidation, or other reorganization, (3) if Tenant is an entity other than a corporation whose stock is publicly traded, permit the transfer of an ownership interest in Tenant so as to result in a change in the current control of Tenant, (4) sublet any portion of the Premises, (5) grant any license, concession, or other right of occupancy of any portion of the Premises, or (6) permit the use of the Premises by any parties other than Tenant (any of the events listed in Section 11(a)(1) through 11(a)(6) being a “</w:t>
      </w:r>
      <w:r>
        <w:rPr>
          <w:rFonts w:ascii="Times New Roman;Times;Serif" w:hAnsi="Times New Roman;Times;Serif"/>
          <w:b/>
          <w:i w:val="false"/>
          <w:caps w:val="false"/>
          <w:smallCaps w:val="false"/>
          <w:sz w:val="20"/>
          <w:u w:val="single"/>
        </w:rPr>
        <w:t>Transfer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Consent Standards</w:t>
      </w:r>
      <w:r>
        <w:rPr>
          <w:rFonts w:ascii="Times New Roman;Times;Serif" w:hAnsi="Times New Roman;Times;Serif"/>
          <w:b w:val="false"/>
          <w:i w:val="false"/>
          <w:caps w:val="false"/>
          <w:smallCaps w:val="false"/>
          <w:sz w:val="20"/>
        </w:rPr>
        <w:t>. Landlord shall not unreasonably withhold its consent to any assignment or subletting of the Premises, provided that the proposed transferee (1) is creditworthy, (2) has a good reputation in the business community, (3) will use the Premises for the Permitted Use (thus, excluding, without limitation, uses for credit processing and telemarketing), (4) will not use the Premises, Building or Project in a manner that would materially increase the pedestrian or vehicular traffic to the Premises, Building or Project, (5) is not a governmental entity, or subdivision or agency thereof, (6) is not another occupant of the Building or Complex, (7) is in compliance with the regulations of the Office of Foreign Asset Control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of the Department of the Treasury (including those named on OFAC’s Specially Designated Nationals and Blocked Persons List) and any statute, executive order (including the September 24, 2001, Executive Order Blocking Property and Prohibiting Transactions with Persons Who Commit, Threaten to Commit or Support Terrorism), or other governmental action relating thereto; and (8) is not a person or entity with whom Landlord is then, or has been within the six-month period prior to the time Tenant seeks to enter into such assignment or subletting, negotiating to lease space in the Building or Complex, or any Affiliate of any such person or entity; otherwise, Landlord may withhold its consent in its sole discretion. Additionally, Landlord may withhold its consent to any proposed Transfer if any Event of Default by Tenant then exists.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Request for Consent</w:t>
      </w:r>
      <w:r>
        <w:rPr>
          <w:rFonts w:ascii="Times New Roman;Times;Serif" w:hAnsi="Times New Roman;Times;Serif"/>
          <w:b w:val="false"/>
          <w:i w:val="false"/>
          <w:caps w:val="false"/>
          <w:smallCaps w:val="false"/>
          <w:sz w:val="20"/>
        </w:rPr>
        <w:t>. At least 15 business days prior to the effective date of the proposed Transfer, Tenant shall provide Landlord with a written description of all terms and conditions of the proposed Transfer, copies of the proposed documentation, and the following information about the proposed transferee: name and address of the proposed transferee and any entities and persons who own, control or direct the proposed transferee; reasonably satisfactory information about its business and business history; its proposed use of the Premises; banking, financial, and other credit information; and general references sufficient to enable Landlord to determine the proposed transferee’s creditworthiness and character. Within 30 days after written notice from Landlord, Tenant will reimburse Landlord for its reasonable attorneys’ fees incurred in connection with considering any request for consent to a Transfer, not to exceed $2,500.00 per request for consent.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Conditions to Consent</w:t>
      </w:r>
      <w:r>
        <w:rPr>
          <w:rFonts w:ascii="Times New Roman;Times;Serif" w:hAnsi="Times New Roman;Times;Serif"/>
          <w:b w:val="false"/>
          <w:i w:val="false"/>
          <w:caps w:val="false"/>
          <w:smallCaps w:val="false"/>
          <w:sz w:val="20"/>
        </w:rPr>
        <w:t>. If Landlord consents to a proposed Transfer, the proposed transferee shall deliver to Landlord a written agreement expressly assuming Tenant’s obligations hereunder; however, any transferee of less than all of the Premises shall be liable only for obligations under this Lease properly allocable to the space subject to the Transfer, for the period of the Transfer. No Transfer shall release Tenant from its obligations under this Lease; Tenant and its transferee shall be jointly and severally liable therefor. Landlord’s consent to any Transfer shall not waive Landlord’s rights as to any subsequent Transfers. If an Event of Default occurs while any part of the Premises or any part thereof are subject to a Transfer, then Landlord, in addition to its other remedies, may collect directly from such transferee all rents becoming due to Tenant, and apply such rents against Rent. Tenant instructs its transferees to make payments of rent directly to Landlord upon receipt of notice from Landlord to do so following the occurrence of an Event of Default. Tenant shall pay for the cost of any demising walls or other improvements necessitated by a proposed subletting or assignment.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Attornment by Subtenants</w:t>
      </w:r>
      <w:r>
        <w:rPr>
          <w:rFonts w:ascii="Times New Roman;Times;Serif" w:hAnsi="Times New Roman;Times;Serif"/>
          <w:b w:val="false"/>
          <w:i w:val="false"/>
          <w:caps w:val="false"/>
          <w:smallCaps w:val="false"/>
          <w:sz w:val="20"/>
        </w:rPr>
        <w:t>. Each sublease hereunder shall be subject and subordinate to this Lease and to the matters to which this Lease is or shall be subordinate, and each subtenant is deemed to have agreed that in the event of termination, re-entry or dispossession by Landlord under this Lease, Landlord may, at its option, take over the right, title and interest of Tenant, as sublandlord, under such sublease, and such subtenant shall, at Landlord’s option, attorn to Landlord pursuant to the then executory provisions of such sublease, except that Landlord shall not be (1) liable for any previous act or omission of Tenant under such sublease, (2) subject to any counterclaim, offset or defense of such subtenant against Tenant, (3) bound by any previous modification of such sublease not approved by Landlord in writing or by any rent or additional rent or advance rent which such subtenant has paid for more than the current month to Tenant, and all such rent shall remain due and owing, notwithstanding such advance payment, (4) bound by any security or advance rental deposit made by such subtenant which is not delivered to Landlord and with respect to which such subtenant shall look solely to Tenant for refund or reimbursement, or (5)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as a condition of its occupying or using any part of the Premises, to have agreed to be bound by the terms of this Section 11(e).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Landlord may, within 30 days after receipt of Tenant’s written request for Landlord’s consent to an assignment of the entire Premises for all or substantially of the remaining Term, cancel this Lease as to the portion of the Premises proposed to be assigned as of the date the proposed Transfer is to be effective. If Landlord cancels this Lease as to any portion of the Premises, then this Lease shall cease for such portion of the Premises and Tenant shall pay to Landlord all Rent accrued through the cancellation date, relating to such portion of the Premises. Thereafter, Landlord may lease such portion of the Premises to the prospective transferee (or to any other person) without liability to Tenant. Notwithstanding the foregoing, if Landlord provides written notification to Tenant of its election to cancel this Lease as to any portion of the Premises as provided above, Tenant may rescind its proposed assignment of all or any portion of the Premises by notifying Landlord in writing within ten business days following Landlord’s written cancellation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Additional Compensation</w:t>
      </w:r>
      <w:r>
        <w:rPr>
          <w:rFonts w:ascii="Times New Roman;Times;Serif" w:hAnsi="Times New Roman;Times;Serif"/>
          <w:b w:val="false"/>
          <w:i w:val="false"/>
          <w:caps w:val="false"/>
          <w:smallCaps w:val="false"/>
          <w:sz w:val="20"/>
        </w:rPr>
        <w:t>. Tenant shall pay to Landlord, immediately upon receipt thereof, the excess of (1) all rental compensation received by Tenant for a Transfer, less the actual out-of-pocket costs reasonably incurred by Tenant with unaffiliated third parties (i.e., brokerage commissions and tenant finish work) in connection with such Transfer (such costs shall be amortized on a straight-line basis over the term of the Transfer in question) over (2) the Rent allocable to the portion of the Premises covered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 Notwithstanding Section 11(a), Tenant may Transfer all or part of its interest in this Lease or all or part of the Premises (a “</w:t>
      </w:r>
      <w:r>
        <w:rPr>
          <w:rFonts w:ascii="Times New Roman;Times;Serif" w:hAnsi="Times New Roman;Times;Serif"/>
          <w:b/>
          <w:i w:val="false"/>
          <w:caps w:val="false"/>
          <w:smallCaps w:val="false"/>
          <w:sz w:val="20"/>
          <w:u w:val="single"/>
        </w:rPr>
        <w:t>Permitted Transfer</w:t>
      </w:r>
      <w:r>
        <w:rPr>
          <w:rFonts w:ascii="Times New Roman;Times;Serif" w:hAnsi="Times New Roman;Times;Serif"/>
          <w:b w:val="false"/>
          <w:i w:val="false"/>
          <w:caps w:val="false"/>
          <w:smallCaps w:val="false"/>
          <w:sz w:val="20"/>
        </w:rPr>
        <w:t>”) to the following types of entities (a “</w:t>
      </w:r>
      <w:r>
        <w:rPr>
          <w:rFonts w:ascii="Times New Roman;Times;Serif" w:hAnsi="Times New Roman;Times;Serif"/>
          <w:b/>
          <w:i w:val="false"/>
          <w:caps w:val="false"/>
          <w:smallCaps w:val="false"/>
          <w:sz w:val="20"/>
          <w:u w:val="single"/>
        </w:rPr>
        <w:t>Permitted Transferee</w:t>
      </w:r>
      <w:r>
        <w:rPr>
          <w:rFonts w:ascii="Times New Roman;Times;Serif" w:hAnsi="Times New Roman;Times;Serif"/>
          <w:b w:val="false"/>
          <w:i w:val="false"/>
          <w:caps w:val="false"/>
          <w:smallCaps w:val="false"/>
          <w:sz w:val="20"/>
        </w:rPr>
        <w:t>”) without the written consent of Landlord: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 Affiliate of Tenant;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corporation, limited partnership, limited liability partnership, limited liability company or other business entity in which or with which Tenant, or its corporate successors or assigns, is merged or consolidated, in accordance with applicable statutory provisions governing merger and consolidation of business entities, so long as (A) Tenant’s obligations hereunder are assumed by the entity surviving such merger or created by such consolidation; and (B) the Tangible Net Worth of the surviving or created entity is not less than the Tangible Net Worth of Tenant as of the date hereof; 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corporation, limited partnership, limited liability partnership, limited liability company or other business entity acquiring all or substantially all of Tenant’s assets if such entity’s Tangible Net Worth after such acquisition is not less than the Tangible Net Worth of Tenant as of the date 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promptly notify Landlord of any such Permitted Transfer. Tenant shall remain liable for the performance of all of the obligations of Tenant hereunder, or if Tenant no longer exists because of a merger, consolidation, or acquisition, the surviving or acquiring entity shall expressly assume in writing the obligations of Tenant hereunder. Additionally, the Permitted Transferee shall comply with all of the terms and conditions of this Lease. No later than 30 days after the effective date of any Permitted Transfer, Tenant shall furnish Landlord with (A) copies of the instrument effecting such Permitted Transfer, (B) documentation establishing Tenant’s satisfaction of the requirements set forth above applicable to such Transfer, (C) evidence of insurance as required under this Lease with respect to the Permitted Transferee, and (D) evidence of compliance with the regulations of OFAC and any statute, executive order (including the September 24, 2001, Executive Order Blocking Property and Prohibiting Transactions with Persons Who Commit, Threaten to Commit, or Support Terrorism), or other governmental action relating thereto, including the name and address of the Permitted Transferee and any entities and persons who own, control or direct the Permitted Transferee. The occurrence of a Permitted Transfer shall not waive Landlord’s rights as to any subsequent Transfers. “</w:t>
      </w:r>
      <w:r>
        <w:rPr>
          <w:rFonts w:ascii="Times New Roman;Times;Serif" w:hAnsi="Times New Roman;Times;Serif"/>
          <w:b/>
          <w:i w:val="false"/>
          <w:caps w:val="false"/>
          <w:smallCaps w:val="false"/>
          <w:sz w:val="20"/>
          <w:u w:val="single"/>
        </w:rPr>
        <w:t>Tangible Net Worth</w:t>
      </w:r>
      <w:r>
        <w:rPr>
          <w:rFonts w:ascii="Times New Roman;Times;Serif" w:hAnsi="Times New Roman;Times;Serif"/>
          <w:b w:val="false"/>
          <w:i w:val="false"/>
          <w:caps w:val="false"/>
          <w:smallCaps w:val="false"/>
          <w:sz w:val="20"/>
        </w:rPr>
        <w:t>” means the excess of total assets over total liabilities, in each case as determined in accordance with generally accepted accounting principles consistently applied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excluding, however, from the determination of total assets all assets which would be classified as intangible assets under GAAP including goodwill, licenses, patents, trademarks, trade names, copyrights, and franchises. Any subsequent Transfer by a Permitted Transferee shall be subject to the terms of this Section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val="false"/>
          <w:i w:val="false"/>
          <w:caps w:val="false"/>
          <w:smallCaps w:val="false"/>
          <w:sz w:val="20"/>
          <w:u w:val="single"/>
        </w:rPr>
        <w:t>Insurance; Waivers; Subrogation; Indemnity</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Tenant’s Insurance</w:t>
      </w:r>
      <w:r>
        <w:rPr>
          <w:rFonts w:ascii="Times New Roman;Times;Serif" w:hAnsi="Times New Roman;Times;Serif"/>
          <w:b w:val="false"/>
          <w:i w:val="false"/>
          <w:caps w:val="false"/>
          <w:smallCaps w:val="false"/>
          <w:sz w:val="20"/>
        </w:rPr>
        <w:t>. Effective as of the earlier of (1) the date Tenant enters or occupies the Premises, or (2) the Commencement Date, and continuing throughout the Term, Tenant shall maintain the following insurance policies: (A) commercial general liability insurance in amounts of not less than $1,000,000 per occurrence, $1,000,000 general aggregate, $2,000,000 products/completed operations aggregate, $1,000,000 personal and advertising injury liability, and $100,000 fire legal liability or, following the expiration of the initial Term, such other amounts as Landlord from time to time reasonably requires (and, if the use and occupancy of the Premises include any activity or matter that is or may be excluded from coverage under a commercial general liability policy [e.g., the sale, service or consumption of alcoholic beverages], Tenant shall obtain such endorsements to the commercial general liability policy or otherwise obtain insurance to insure all liability arising from such activity or matter [including liquor liability, if applicable] in such amounts as Landlord may reasonably require), insuring Tenant, Landlord, Landlord’s property management company, Landlord’s asset management company and, if requested in writing by Landlord, Landlord’s Mortgagee against all liability for injury to or death of a person or persons or damage to property arising from the use and occupancy of the Premises on a primary and non-contributory basis and (without implying any consent by Landlord to the installation thereof) the installation, operation, maintenance, repair or removal of Tenant’s Off-Premises Equipment, (B) insurance covering the full value of all alterations and improvements and betterments in the Premises, naming Landlord and Landlord’s Mortgagee as additional loss payees as their interests may appear, (C) insurance covering the full value of all furniture, trade fixtures and personal property (including property of Tenant or others) in the Premises or otherwise placed in the Project by or on behalf of a Tenant Party (including Tenant’s Off-Premises Equipment), (D) contractual liability insurance sufficient to cover Tenant’s indemnity obligations hereunder (but only if such contractual liability insurance is not already included in Tenant’s commercial general liability insurance policy), (E) worker’s compensation insurance in accordance with the laws of the state in which the Premises are located, with Employer’s Liability insurance with limits of $1,000,000 Bodily Injury each Accident, $1,000,000 Disease each Employee, and $1,000,000 Disease– Policy Limit, (F) business interruption insurance in an amount not less than one hundred percent (100%) of all charges payable by Tenant under this lease for a period of twelve (12) months, (G) Automobile Liability insurance covering owned, hired and non-owned vehicles with limits of $1,000,000 combined single limit, (H) Umbrella/Excess Liability insurance, with a limit of $10,000,000 per occurrence and $10,000,000 annual aggregate on a following form basis in excess of the required Commercial General Liability, Automobile Liability, and Employer’s Liability coverages, and (I) Pollution liability insurance, with a limit of $1,000,000 limit is required if Tenant uses or stores any flammable or toxic chemicals or if otherwise requested by Landlord. Tenant shall furnish to Landlord certificates of such insurance least ten (10) days prior to the earlier of the Commencement Date or the date Tenant enters or occupies the Premises, and at least fifteen (15) days prior to each renewal of said insurance, and Tenant shall notify Landlord at least thirty (30) days before cancellation of any such insurance policies. All such insurance policies shall be in form reasonably satisfactory to Landlord and issued by companies with a Best’s rating of A+:VII or better. Tenant’s insurance requirements may be covered under a blanket insurance policy or policies covering other premises or insureds in addition to the Premises. If Tenant fails to comply with the foregoing insurance requirements or to deliver to Landlord the certificates or evidence of coverage required herein, and such failure continues for more than two (2) business days after written notice from Landlord, Landlord, in addition to any other remedy available pursuant to this Lease or otherwise, may, but shall not be obligated to, obtain such insurance and Tenant shall pay to Landlord within thirty (30) days after written notice from Landlord, the premium costs thereof, plus an administrative fee of 15% of such cost.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Landlord’s Insurance</w:t>
      </w:r>
      <w:r>
        <w:rPr>
          <w:rFonts w:ascii="Times New Roman;Times;Serif" w:hAnsi="Times New Roman;Times;Serif"/>
          <w:b w:val="false"/>
          <w:i w:val="false"/>
          <w:caps w:val="false"/>
          <w:smallCaps w:val="false"/>
          <w:sz w:val="20"/>
        </w:rPr>
        <w:t>. Throughout the Term of this Lease, Landlord shall maintain, as a minimum, the following insurance policies: (1) property insurance for the Building’s replacement value (excluding property required to be insured by Tenant), less a commercially-reasonable deductible if Landlord so chooses, and (2) commercial general liability insurance in an amount of not less than $3,000,000. Landlord may, but is not obligated to, maintain such other insurance and additional coverages as it may deem necessary. The cost of all insurance carried by Landlord with respect to the Project shall be included in Insurance Costs (defined below). The foregoing insurance policies and any other insurance carried by Landlord shall be for the sole benefit of Landlord and under Landlord’s sole control, and Tenant shall have no right or claim to any proceeds thereof or any other rights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Subrogation; Waiver of Property Claims</w:t>
      </w:r>
      <w:r>
        <w:rPr>
          <w:rFonts w:ascii="Times New Roman;Times;Serif" w:hAnsi="Times New Roman;Times;Serif"/>
          <w:b w:val="false"/>
          <w:i w:val="false"/>
          <w:caps w:val="false"/>
          <w:smallCaps w:val="false"/>
          <w:sz w:val="20"/>
        </w:rPr>
        <w:t xml:space="preserve">. Landlord and Tenant each waives any claim it might have against the other for any damage to or theft, destruction, loss, or loss of use of any property, to the extent the same is insured against under any property insurance policy of the types described in this Section 12 that covers the Project, the Premises, Landlord’s or Tenant’s fixtures, personal property, inventory, leasehold improvements, or business, or is required to be insured against under the terms hereof, </w:t>
      </w:r>
      <w:r>
        <w:rPr>
          <w:rFonts w:ascii="Times New Roman;Times;Serif" w:hAnsi="Times New Roman;Times;Serif"/>
          <w:b/>
          <w:i w:val="false"/>
          <w:caps w:val="false"/>
          <w:smallCaps w:val="false"/>
          <w:sz w:val="20"/>
        </w:rPr>
        <w:t>regardless of whether the negligence of the other party caused such Loss</w:t>
      </w:r>
      <w:r>
        <w:rPr>
          <w:rFonts w:ascii="Times New Roman;Times;Serif" w:hAnsi="Times New Roman;Times;Serif"/>
          <w:b w:val="false"/>
          <w:i w:val="false"/>
          <w:caps w:val="false"/>
          <w:smallCaps w:val="false"/>
          <w:sz w:val="20"/>
        </w:rPr>
        <w:t xml:space="preserve"> (defined below). Additionally, Tenant waives any claim it may have against Landlord for any Loss to the extent such Loss is caused by a terrorist act. Each party shall cause its insurance carrier to endorse all applicable policies waiving the carrier’s rights of recovery under subrogation or otherwise against the other party. Notwithstanding any provision in this Lease to the contrary, Landlord, its agents, employees and contractors shall not be liable to Tenant or to any party claiming by, through or under Tenant for (and Tenant hereby releases Landlord and its servants, agents, contractors, employees and invitees from any claim or responsibility for) any damage to or destruction, loss, or loss of use, or theft of any property of any Tenant Party located in or about the Project, caused by casualty, theft, fire, third parties or any other matter or cause, </w:t>
      </w:r>
      <w:r>
        <w:rPr>
          <w:rFonts w:ascii="Times New Roman;Times;Serif" w:hAnsi="Times New Roman;Times;Serif"/>
          <w:b/>
          <w:i w:val="false"/>
          <w:caps w:val="false"/>
          <w:smallCaps w:val="false"/>
          <w:sz w:val="20"/>
        </w:rPr>
        <w:t>regardless of whether the negligence of any party caused such loss in whole or in part</w:t>
      </w:r>
      <w:r>
        <w:rPr>
          <w:rFonts w:ascii="Times New Roman;Times;Serif" w:hAnsi="Times New Roman;Times;Serif"/>
          <w:b w:val="false"/>
          <w:i w:val="false"/>
          <w:caps w:val="false"/>
          <w:smallCaps w:val="false"/>
          <w:sz w:val="20"/>
        </w:rPr>
        <w:t>. Tenant acknowledges that Landlord shall not carry insurance on, and shall not be responsible for damage to, any property of any Tenant Party located in or about the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Subject to Section 12(c), Tenant shall defend, indemnify, and hold harmless Landlord and its representatives and agents from and against all claims, demands, liabilities, causes of action, suits, judgments, damages, and expenses (including reasonable attorneys’ fees) arising from any injury to or death of any person or the damage to or theft, destruction, loss or loss of use of, any property or inconvenience (a “</w:t>
      </w:r>
      <w:r>
        <w:rPr>
          <w:rFonts w:ascii="Times New Roman;Times;Serif" w:hAnsi="Times New Roman;Times;Serif"/>
          <w:b/>
          <w:i w:val="false"/>
          <w:caps w:val="false"/>
          <w:smallCaps w:val="false"/>
          <w:sz w:val="20"/>
          <w:u w:val="single"/>
        </w:rPr>
        <w:t>Loss</w:t>
      </w:r>
      <w:r>
        <w:rPr>
          <w:rFonts w:ascii="Times New Roman;Times;Serif" w:hAnsi="Times New Roman;Times;Serif"/>
          <w:b w:val="false"/>
          <w:i w:val="false"/>
          <w:caps w:val="false"/>
          <w:smallCaps w:val="false"/>
          <w:sz w:val="20"/>
        </w:rPr>
        <w:t xml:space="preserve">”) occurring in or on the Project. This indemnity is intended to indemnify Landlord and its agents against the consequences of their own negligence or fault, </w:t>
      </w:r>
      <w:r>
        <w:rPr>
          <w:rFonts w:ascii="Times New Roman;Times;Serif" w:hAnsi="Times New Roman;Times;Serif"/>
          <w:b/>
          <w:i w:val="false"/>
          <w:caps w:val="false"/>
          <w:smallCaps w:val="false"/>
          <w:sz w:val="20"/>
        </w:rPr>
        <w:t>even when Landlord or its agents are jointly, comparatively, contributively, or concurrently negligent with Tenant, and even though any such claim, cause of action or suit is based upon or alleged to be based upon the strict liability of Landlord or its agents; however, such indemnity shall not apply to the sole or gross negligence or willful misconduct of Landlord and its agents.</w:t>
      </w:r>
      <w:r>
        <w:rPr>
          <w:rFonts w:ascii="Times New Roman;Times;Serif" w:hAnsi="Times New Roman;Times;Serif"/>
          <w:b w:val="false"/>
          <w:i w:val="false"/>
          <w:caps w:val="false"/>
          <w:smallCaps w:val="false"/>
          <w:sz w:val="20"/>
        </w:rPr>
        <w:t xml:space="preserve"> The indemnities set forth in this Lease shall survive termination or expiration of this Lease and shall not terminate or be waived, diminished or affected in any manner by any abatement or apportionment of Rent under any provision of this Lease. If any proceeding is filed for which indemnity is required hereunder, the indemnifying party agrees, upon request therefor, to defend the indemnified party in such proceeding at its sole cost utilizing counsel satisfactory to the indemnified party. Tenant acknowledges that the decision as to whether to include dock locks, dock restraints or other safety-related equipment, fixtures or improvements in the Premises or elsewhere in the Building shall solely be the responsibility of Tenant, and Tenant shall indemnify, defend and hold harmless the Landlord Indemnitees from and against any and all claims, damages, causes of action, demands, penalties, costs, liabilities, losses, and expenses (including reasonable attorneys’ fees and expenses at the trial and appellate levels) resulting from actual or threatened claims by third parties occasioned by injuries to any person and damage to, or theft or loss of, property occurring in or about the Premises or the Building to the extent caused or alleged to be caused by the failure of any such safety-related equipment, fixtures or improvements to be installed or maintained at the Building. This indemnity provision shall survive termination or expiration of this Lease. The furnishing of insurance required hereunder shall not be deemed to limit Tenant’s indemnification obligations.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Cost of Landlord’s Insurance</w:t>
      </w:r>
      <w:r>
        <w:rPr>
          <w:rFonts w:ascii="Times New Roman;Times;Serif" w:hAnsi="Times New Roman;Times;Serif"/>
          <w:b w:val="false"/>
          <w:i w:val="false"/>
          <w:caps w:val="false"/>
          <w:smallCaps w:val="false"/>
          <w:sz w:val="20"/>
        </w:rPr>
        <w:t>. Tenant shall pay Tenant’s Proportionate Share of the cost of the insurance carried by Landlord from time to time with respect to the Project (including other improvements and Landlord’s personal property used in connection therewith), which may include fire and extended coverage insurance (including extended and broad form coverage risks, mudslide, land subsidence, volcanic eruption, flood, earthquake and rent loss insurance) and comprehensive general public liability insurance and excess liability insurance, in such amounts and containing such terms as Landlord reasonably deems necessary or desirable (collectively, “</w:t>
      </w:r>
      <w:r>
        <w:rPr>
          <w:rFonts w:ascii="Times New Roman;Times;Serif" w:hAnsi="Times New Roman;Times;Serif"/>
          <w:b/>
          <w:i w:val="false"/>
          <w:caps w:val="false"/>
          <w:smallCaps w:val="false"/>
          <w:sz w:val="20"/>
          <w:u w:val="single"/>
        </w:rPr>
        <w:t>Insurance Costs</w:t>
      </w:r>
      <w:r>
        <w:rPr>
          <w:rFonts w:ascii="Times New Roman;Times;Serif" w:hAnsi="Times New Roman;Times;Serif"/>
          <w:b w:val="false"/>
          <w:i w:val="false"/>
          <w:caps w:val="false"/>
          <w:smallCaps w:val="false"/>
          <w:sz w:val="20"/>
        </w:rPr>
        <w:t>”). During each month of the Term, Tenant shall make a monthly payment to Landlord equal to 1/12th of Tenant’s Proportionate Share of Insurance Costs that will be due and payable for that particular year. Each payment of Insurance Costs shall be due and payable at the same time as, and in the same manner as, provided above for Tenant’s Proportionate Share of Operating Costs. The initial monthly payment of Insurance Costs is based upon Landlord’s good faith estimate of Tenant’s Proportionate Share of the estimated Insurance Costs for the remainder of the first calendar year. The monthly payment of Insurance Costs is subject to increase or decrease as determined by Landlord to reflect accurately Tenant’s Proportionate Share of estimated Insurance Costs. If, following Landlord’s receipt of the bill for the insurance premiums for a calendar year, Landlord determines that Tenant’s total payments of Insurance Costs are less than Tenant’s Proportionate Share of actual Insurance Costs, Tenant shall pay to Landlord the difference within thirty (30) days after written notice from Landlord; if Tenant’s total payments of Insurance Costs are more than Tenant’s Proportionate Share of actual Insurance Costs, Landlord shall retain such excess and credit it to Tenant’s future payments of Insurance Costs (unless such adjustment is at the end of the Term, in which event Landlord shall refund such excess to Tenant within thirty (30) days after expiration).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val="false"/>
          <w:i w:val="false"/>
          <w:caps w:val="false"/>
          <w:smallCaps w:val="false"/>
          <w:sz w:val="20"/>
          <w:u w:val="single"/>
        </w:rPr>
        <w:t>Subordination; Attornment; Notice to Landlord’s Mortgagee</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This Lease shall be subordinate to any deed of trust, mortgage, or other security instrument (each, a “</w:t>
      </w:r>
      <w:r>
        <w:rPr>
          <w:rFonts w:ascii="Times New Roman;Times;Serif" w:hAnsi="Times New Roman;Times;Serif"/>
          <w:b/>
          <w:i w:val="false"/>
          <w:caps w:val="false"/>
          <w:smallCaps w:val="false"/>
          <w:sz w:val="20"/>
          <w:u w:val="single"/>
        </w:rPr>
        <w:t>Mortgage</w:t>
      </w:r>
      <w:r>
        <w:rPr>
          <w:rFonts w:ascii="Times New Roman;Times;Serif" w:hAnsi="Times New Roman;Times;Serif"/>
          <w:b w:val="false"/>
          <w:i w:val="false"/>
          <w:caps w:val="false"/>
          <w:smallCaps w:val="false"/>
          <w:sz w:val="20"/>
        </w:rPr>
        <w:t>”), or any ground lease, master lease, or primary lease (each, a “</w:t>
      </w:r>
      <w:r>
        <w:rPr>
          <w:rFonts w:ascii="Times New Roman;Times;Serif" w:hAnsi="Times New Roman;Times;Serif"/>
          <w:b/>
          <w:i w:val="false"/>
          <w:caps w:val="false"/>
          <w:smallCaps w:val="false"/>
          <w:sz w:val="20"/>
          <w:u w:val="single"/>
        </w:rPr>
        <w:t>Primary Lease</w:t>
      </w:r>
      <w:r>
        <w:rPr>
          <w:rFonts w:ascii="Times New Roman;Times;Serif" w:hAnsi="Times New Roman;Times;Serif"/>
          <w:b w:val="false"/>
          <w:i w:val="false"/>
          <w:caps w:val="false"/>
          <w:smallCaps w:val="false"/>
          <w:sz w:val="20"/>
        </w:rPr>
        <w:t>”), that now or hereafter covers all or any part of the Premises (the mortgagee under any such Mortgage, beneficiary under any such deed of trust, or the lessor under any such Primary Lease is referred to herein as a “</w:t>
      </w:r>
      <w:r>
        <w:rPr>
          <w:rFonts w:ascii="Times New Roman;Times;Serif" w:hAnsi="Times New Roman;Times;Serif"/>
          <w:b/>
          <w:i w:val="false"/>
          <w:caps w:val="false"/>
          <w:smallCaps w:val="false"/>
          <w:sz w:val="20"/>
          <w:u w:val="single"/>
        </w:rPr>
        <w:t>Landlord’s Mortgagee</w:t>
      </w:r>
      <w:r>
        <w:rPr>
          <w:rFonts w:ascii="Times New Roman;Times;Serif" w:hAnsi="Times New Roman;Times;Serif"/>
          <w:b w:val="false"/>
          <w:i w:val="false"/>
          <w:caps w:val="false"/>
          <w:smallCaps w:val="false"/>
          <w:sz w:val="20"/>
        </w:rPr>
        <w:t>”).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days after written request therefor such documentation, in recordable form if required, as a Landlord’s Mortgagee may reasonably request to evidence the subordination of this Lease to such Landlord’s Mortgagee’s Mortgage or Primary Lease (including a subordination, non-disturbance and attornment agreement) or, if the Landlord’s Mortgagee so elects, the subordination of such Landlord’s Mortgagee’s Mortgage or Primary Lease to this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Attornment</w:t>
      </w:r>
      <w:r>
        <w:rPr>
          <w:rFonts w:ascii="Times New Roman;Times;Serif" w:hAnsi="Times New Roman;Times;Serif"/>
          <w:b w:val="false"/>
          <w:i w:val="false"/>
          <w:caps w:val="false"/>
          <w:smallCaps w:val="false"/>
          <w:sz w:val="20"/>
        </w:rPr>
        <w:t>. Tenant shall attorn to any party succeeding to Landlord’s interest in the Premises, whether by purchase, foreclosure, deed in lieu of foreclosure, power of sale, or otherwise, upon such party’s request, and shall execute such agreements confirming such attornment as such party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 to Landlord’s Mortgagee</w:t>
      </w:r>
      <w:r>
        <w:rPr>
          <w:rFonts w:ascii="Times New Roman;Times;Serif" w:hAnsi="Times New Roman;Times;Serif"/>
          <w:b w:val="false"/>
          <w:i w:val="false"/>
          <w:caps w:val="false"/>
          <w:smallCaps w:val="false"/>
          <w:sz w:val="20"/>
        </w:rPr>
        <w:t>. Tenant shall not seek to enforce any remedy it may have for any default on the part of Landlord without first giving written notice by certified mail, return receipt requested, specifying the default in reasonable detail, to any Landlord’s Mortgagee whose address has been given to Tenant, and affording such Landlord’s Mortgagee a reasonable opportunity to perform Landlord’s obligations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Landlord’s Mortgagee’s Protection Provisions</w:t>
      </w:r>
      <w:r>
        <w:rPr>
          <w:rFonts w:ascii="Times New Roman;Times;Serif" w:hAnsi="Times New Roman;Times;Serif"/>
          <w:b w:val="false"/>
          <w:i w:val="false"/>
          <w:caps w:val="false"/>
          <w:smallCaps w:val="false"/>
          <w:sz w:val="20"/>
        </w:rPr>
        <w:t>. If Landlord’s Mortgagee shall succeed to the interest of Landlord under this Lease, Landlord’s Mortgagee shall not be: (1) liable for any act or omission of any prior lessor (including Landlord); (2) bound by any Rent which Tenant has paid for more than the current month to any prior lessor (including Landlord), and all such rent shall remain due and owing; (3) bound by any security or advance rental deposit made by Tenant which is not delivered or paid over to Landlord’s Mortgagee and with respect to which Tenant shall look solely to Landlord for refund or reimbursement; (4) bound by any termination, amendment or modification of this Lease made without Landlord’s Mortgagee’s consent and written approval, except for those terminations, amendments and modifications permitted to be made by Landlord without Landlord’s Mortgagee’s consent pursuant to the terms of the loan documents between Landlord and Landlord’s Mortgagee; (5) subject to the defenses which Tenant might have against any prior lessor (including Landlord); and (6) subject to the offsets which Tenant might have against any prior lessor (including Landlord) except for those offset rights which (A) are expressly provided in this Lease, (B) relate to periods of time following the acquisition of the Building by Landlord’s Mortgagee, and (C) Tenant has provided written notice to Landlord’s Mortgagee and provided Landlord’s Mortgagee a reasonable opportunity to cure the event giving rise to such offset event. Landlord’s Mortgagee shall have no liability or responsibility under or pursuant to the terms of this Lease or otherwise after it ceases to own an interest in the Project. Nothing in this Lease shall be construed to require Landlord’s Mortgagee to see to the application of the proceeds of any loan, and Tenant’s agreements set forth herein shall not be impaired on account of any modification of the documents evidencing and securing any loan.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Non-Disturbance and Recognition</w:t>
      </w:r>
      <w:r>
        <w:rPr>
          <w:rFonts w:ascii="Times New Roman;Times;Serif" w:hAnsi="Times New Roman;Times;Serif"/>
          <w:b w:val="false"/>
          <w:i w:val="false"/>
          <w:caps w:val="false"/>
          <w:smallCaps w:val="false"/>
          <w:sz w:val="20"/>
        </w:rPr>
        <w:t>. Landlord represents and warrants to Tenant that the Premises are not encumbered by a Primary Lease or Mortgage as of the Lease Date. Notwithstanding Section 13(a) above, any subordination of Tenant’s interest in the Lease to any future Primary Lease or Mortgage is subject to Tenant’s execution of a commercially reasonable Recognition, Non-Disturbance and Attornment Agreement (“</w:t>
      </w:r>
      <w:r>
        <w:rPr>
          <w:rFonts w:ascii="Times New Roman;Times;Serif" w:hAnsi="Times New Roman;Times;Serif"/>
          <w:b/>
          <w:i w:val="false"/>
          <w:caps w:val="false"/>
          <w:smallCaps w:val="false"/>
          <w:sz w:val="20"/>
          <w:u w:val="single"/>
        </w:rPr>
        <w:t>RNDA</w:t>
      </w:r>
      <w:r>
        <w:rPr>
          <w:rFonts w:ascii="Times New Roman;Times;Serif" w:hAnsi="Times New Roman;Times;Serif"/>
          <w:b w:val="false"/>
          <w:i w:val="false"/>
          <w:caps w:val="false"/>
          <w:smallCaps w:val="false"/>
          <w:sz w:val="20"/>
        </w:rPr>
        <w:t>”) and/or a Subordination, Non-Disturbance and Attornment Agreement (“</w:t>
      </w:r>
      <w:r>
        <w:rPr>
          <w:rFonts w:ascii="Times New Roman;Times;Serif" w:hAnsi="Times New Roman;Times;Serif"/>
          <w:b/>
          <w:i w:val="false"/>
          <w:caps w:val="false"/>
          <w:smallCaps w:val="false"/>
          <w:sz w:val="20"/>
          <w:u w:val="single"/>
        </w:rPr>
        <w:t>SNDA</w:t>
      </w:r>
      <w:r>
        <w:rPr>
          <w:rFonts w:ascii="Times New Roman;Times;Serif" w:hAnsi="Times New Roman;Times;Serif"/>
          <w:b w:val="false"/>
          <w:i w:val="false"/>
          <w:caps w:val="false"/>
          <w:smallCaps w:val="false"/>
          <w:sz w:val="20"/>
        </w:rPr>
        <w:t>”) by Tenant, Landlord and the other party(ies) to such Primary Lease or Mortgage, as applicable. Landlord also agrees to provide an RNDA and SNDA from any such parties who later come into existence after the Lease Date during the Term.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comply with the rules and regulations of the Project which are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Landlord may, from time to time, change such rules and regulations for the safety, care, or cleanliness of the Project and related facilities, provided that such changes are applicable to all tenants of the Complex, will not unreasonably interfere with Tenant’s use of the Premises and are enforced by Landlord in a non-discriminatory manner. Tenant shall be responsible for the compliance with such rules and regulations by each Tenant Party. To the extent of a conflict between the terms of this Lease and such rules and regulations, the terms of this Lease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val="false"/>
          <w:i w:val="false"/>
          <w:caps w:val="false"/>
          <w:smallCaps w:val="false"/>
          <w:sz w:val="20"/>
          <w:u w:val="single"/>
        </w:rPr>
        <w:t>Condemnation</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Total Taking</w:t>
      </w:r>
      <w:r>
        <w:rPr>
          <w:rFonts w:ascii="Times New Roman;Times;Serif" w:hAnsi="Times New Roman;Times;Serif"/>
          <w:b w:val="false"/>
          <w:i w:val="false"/>
          <w:caps w:val="false"/>
          <w:smallCaps w:val="false"/>
          <w:sz w:val="20"/>
        </w:rPr>
        <w:t>. If the entire Building or Premises are taken by right of eminent domain or conveyed in lieu thereof (a “</w:t>
      </w:r>
      <w:r>
        <w:rPr>
          <w:rFonts w:ascii="Times New Roman;Times;Serif" w:hAnsi="Times New Roman;Times;Serif"/>
          <w:b/>
          <w:i w:val="false"/>
          <w:caps w:val="false"/>
          <w:smallCaps w:val="false"/>
          <w:sz w:val="20"/>
          <w:u w:val="single"/>
        </w:rPr>
        <w:t>Taking</w:t>
      </w:r>
      <w:r>
        <w:rPr>
          <w:rFonts w:ascii="Times New Roman;Times;Serif" w:hAnsi="Times New Roman;Times;Serif"/>
          <w:b w:val="false"/>
          <w:i w:val="false"/>
          <w:caps w:val="false"/>
          <w:smallCaps w:val="false"/>
          <w:sz w:val="20"/>
        </w:rPr>
        <w:t>”), this Lease shall terminate as of the date of the Taking. In the event of a termination under Section 15(a) of either or both of the other two lease agreements between Landlord and Tenant for the leasing of space in the Complex (the “</w:t>
      </w:r>
      <w:r>
        <w:rPr>
          <w:rFonts w:ascii="Times New Roman;Times;Serif" w:hAnsi="Times New Roman;Times;Serif"/>
          <w:b/>
          <w:i w:val="false"/>
          <w:caps w:val="false"/>
          <w:smallCaps w:val="false"/>
          <w:sz w:val="20"/>
          <w:u w:val="single"/>
        </w:rPr>
        <w:t>Other Leases</w:t>
      </w:r>
      <w:r>
        <w:rPr>
          <w:rFonts w:ascii="Times New Roman;Times;Serif" w:hAnsi="Times New Roman;Times;Serif"/>
          <w:b w:val="false"/>
          <w:i w:val="false"/>
          <w:caps w:val="false"/>
          <w:smallCaps w:val="false"/>
          <w:sz w:val="20"/>
        </w:rPr>
        <w:t>”), Tenant shall have the option to terminate this Lease by providing Landlord written notice to that effect within sixty (60) days after the date of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Partial Taking - Tenant’s Rights</w:t>
      </w:r>
      <w:r>
        <w:rPr>
          <w:rFonts w:ascii="Times New Roman;Times;Serif" w:hAnsi="Times New Roman;Times;Serif"/>
          <w:b w:val="false"/>
          <w:i w:val="false"/>
          <w:caps w:val="false"/>
          <w:smallCaps w:val="false"/>
          <w:sz w:val="20"/>
        </w:rPr>
        <w:t>. If any part of the Building becomes subject to a Taking and such Taking will prevent Tenant from conducting on a permanent basis its business in the Premises in a manner reasonably comparable to that conducted immediately before such Taking, or if Landlord does not commit to repairing within 180 days after the date of the Taking any damage caused by the Taking and adversely affecting Tenant’s conducting business in the Premises, then Tenant may terminate this Lease as of the date of such Taking by giving written notice to Landlord within 30 days after the Taking, and Basic Rent and Additional Rent shall be apportioned as of the date of such Taking. If Tenant does not terminate this Lease, then Rent shall be abated on a reasonable basis as to that portion of the Premises rendered untenantable by the Taking.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Partial Taking - Landlord’s Rights</w:t>
      </w:r>
      <w:r>
        <w:rPr>
          <w:rFonts w:ascii="Times New Roman;Times;Serif" w:hAnsi="Times New Roman;Times;Serif"/>
          <w:b w:val="false"/>
          <w:i w:val="false"/>
          <w:caps w:val="false"/>
          <w:smallCaps w:val="false"/>
          <w:sz w:val="20"/>
        </w:rPr>
        <w:t>. If any material portion, but less than all, of the Building becomes subject to a Taking, or if Landlord is required to pay any of the proceeds arising from a Taking to a Landlord’s Mortgagee, then Landlord may terminate this Lease by delivering written notice thereof to Tenant within 30 days after such Taking, and Basic Rent and Additional Rent shall be apportioned as of the date of such Taking. If Landlord does not so terminate this Lease, then this Lease will continue, but if any portion of the Premises has been taken, Rent shall abate as provided in the last sentence of Section 15(b). In the event Landlord exercises its termination right under Section 15(c) of either or both of the Other Leases, Tenant shall have the option to terminate this Lease by providing Landlord written notice to that effect within sixty (60) days after the date of such Landlord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Temporary Taking</w:t>
      </w:r>
      <w:r>
        <w:rPr>
          <w:rFonts w:ascii="Times New Roman;Times;Serif" w:hAnsi="Times New Roman;Times;Serif"/>
          <w:b w:val="false"/>
          <w:i w:val="false"/>
          <w:caps w:val="false"/>
          <w:smallCaps w:val="false"/>
          <w:sz w:val="20"/>
        </w:rPr>
        <w:t>. If all or any portion of the Premises becomes subject to a Taking for a limited period of time, this Lease shall remain in full force and effect and Tenant shall continue to perform all of the terms, conditions and covenants of this Lease, including the payment of Basic Rent and all other amounts required hereunder. If any such temporary Taking terminates prior to the expiration of the Term, Tenant shall restore the Premises as nearly as possible to the condition prior to such temporary Taking, at Tenant’s sole cost and expense. Landlord shall be entitled to receive the entire award for any such temporary Taking, except that Tenant shall be entitled to receive the portion of such award which (1) compensates Tenant for its loss of use of the Premises within the Term and (2) reimburses Tenant for the reasonable out-of-pocket costs actually incurred by Tenant to restore the Premises as required by this Section.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If any Taking occurs, then Landlord shall receive the entire award or other compensation for the Land, the Building, and other improvements taken; however, Tenant may separately pursue a claim (to the extent it will not reduce Landlord’s award) against the condemnor for the value of Tenant’s personal property which Tenant is entitled to remove under this Lease, moving costs, loss of business, and other claims it may have.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val="false"/>
          <w:i w:val="false"/>
          <w:caps w:val="false"/>
          <w:smallCaps w:val="false"/>
          <w:sz w:val="20"/>
          <w:u w:val="single"/>
        </w:rPr>
        <w:t>Fire or Other Casualty</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Repair Estimate</w:t>
      </w:r>
      <w:r>
        <w:rPr>
          <w:rFonts w:ascii="Times New Roman;Times;Serif" w:hAnsi="Times New Roman;Times;Serif"/>
          <w:b w:val="false"/>
          <w:i w:val="false"/>
          <w:caps w:val="false"/>
          <w:smallCaps w:val="false"/>
          <w:sz w:val="20"/>
        </w:rPr>
        <w:t>. If the Premises or the Building are damaged by fire or other casualty (a “</w:t>
      </w:r>
      <w:r>
        <w:rPr>
          <w:rFonts w:ascii="Times New Roman;Times;Serif" w:hAnsi="Times New Roman;Times;Serif"/>
          <w:b/>
          <w:i w:val="false"/>
          <w:caps w:val="false"/>
          <w:smallCaps w:val="false"/>
          <w:sz w:val="20"/>
          <w:u w:val="single"/>
        </w:rPr>
        <w:t>Casualty</w:t>
      </w:r>
      <w:r>
        <w:rPr>
          <w:rFonts w:ascii="Times New Roman;Times;Serif" w:hAnsi="Times New Roman;Times;Serif"/>
          <w:b w:val="false"/>
          <w:i w:val="false"/>
          <w:caps w:val="false"/>
          <w:smallCaps w:val="false"/>
          <w:sz w:val="20"/>
        </w:rPr>
        <w:t>”), Landlord shall, within 90 days after such Casualty, deliver to Tenant a good faith estimate (the “</w:t>
      </w:r>
      <w:r>
        <w:rPr>
          <w:rFonts w:ascii="Times New Roman;Times;Serif" w:hAnsi="Times New Roman;Times;Serif"/>
          <w:b/>
          <w:i w:val="false"/>
          <w:caps w:val="false"/>
          <w:smallCaps w:val="false"/>
          <w:sz w:val="20"/>
          <w:u w:val="single"/>
        </w:rPr>
        <w:t>Damage Notice</w:t>
      </w:r>
      <w:r>
        <w:rPr>
          <w:rFonts w:ascii="Times New Roman;Times;Serif" w:hAnsi="Times New Roman;Times;Serif"/>
          <w:b w:val="false"/>
          <w:i w:val="false"/>
          <w:caps w:val="false"/>
          <w:smallCaps w:val="false"/>
          <w:sz w:val="20"/>
        </w:rPr>
        <w:t>”) of the cost and time needed to repair the damage caused by such Casualty.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Tenant’s Rights</w:t>
      </w:r>
      <w:r>
        <w:rPr>
          <w:rFonts w:ascii="Times New Roman;Times;Serif" w:hAnsi="Times New Roman;Times;Serif"/>
          <w:b w:val="false"/>
          <w:i w:val="false"/>
          <w:caps w:val="false"/>
          <w:smallCaps w:val="false"/>
          <w:sz w:val="20"/>
        </w:rPr>
        <w:t>. If a material portion of the Premises is damaged by Casualty such that Tenant is prevented from conducting its business in the Premises in a manner reasonably comparable to that conducted immediately before such Casualty and Landlord estimates that the damage caused thereby cannot be repaired within 270 days after the commencement of repairs (the “</w:t>
      </w:r>
      <w:r>
        <w:rPr>
          <w:rFonts w:ascii="Times New Roman;Times;Serif" w:hAnsi="Times New Roman;Times;Serif"/>
          <w:b/>
          <w:i w:val="false"/>
          <w:caps w:val="false"/>
          <w:smallCaps w:val="false"/>
          <w:sz w:val="20"/>
          <w:u w:val="single"/>
        </w:rPr>
        <w:t>Repair Period</w:t>
      </w:r>
      <w:r>
        <w:rPr>
          <w:rFonts w:ascii="Times New Roman;Times;Serif" w:hAnsi="Times New Roman;Times;Serif"/>
          <w:b w:val="false"/>
          <w:i w:val="false"/>
          <w:caps w:val="false"/>
          <w:smallCaps w:val="false"/>
          <w:sz w:val="20"/>
        </w:rPr>
        <w:t>”), then Tenant may terminate this Lease by delivering written notice to Landlord of its election to terminate within 30 days after the Damage Notice has been delivered to Tenant.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Landlord’s Rights</w:t>
      </w:r>
      <w:r>
        <w:rPr>
          <w:rFonts w:ascii="Times New Roman;Times;Serif" w:hAnsi="Times New Roman;Times;Serif"/>
          <w:b w:val="false"/>
          <w:i w:val="false"/>
          <w:caps w:val="false"/>
          <w:smallCaps w:val="false"/>
          <w:sz w:val="20"/>
        </w:rPr>
        <w:t>. If (i) a Casualty damages the Premises or a material portion of the Building, (ii) Tenant does not agree in writing within ten (10) business days after receipt of the Damage Notice to pay for the cost of repair of such damage and restoration of the Premises pursuant to this Section 16, and (iii) either (1) Landlord estimates that the damage to the Premises cannot be repaired within the Repair Period, (2) the damage to the Premises exceeds 50% of the replacement cost thereof (excluding foundations and footings), as estimated by Landlord, and such damage occurs during the last two years of the Term, (3) regardless of the extent of damage to the Premises, the damage is not fully covered by Landlord’s insurance policies plus applicable deductibles (provided Landlord carries the insurance required hereunder) or Landlord makes a good faith determination that restoring the Building would be uneconomical, or (4) Landlord is required to pay any insurance proceeds arising out of the Casualty to a Landlord’s Mortgagee such that remaining insurance proceeds are insufficient to cover the costs of rebuilding, then Landlord may terminate this Lease by giving written notice of its election to terminate within 30 days after the Damage Notice has been delivered to Tenant. In the event Landlord exercises its termination right under Section 16(c) of either or both of the Other Leases, Tenant shall have the option to terminate this Lease by providing Landlord written notice to that effect within sixty (60) days after the date of such Landlord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Repair Obligation</w:t>
      </w:r>
      <w:r>
        <w:rPr>
          <w:rFonts w:ascii="Times New Roman;Times;Serif" w:hAnsi="Times New Roman;Times;Serif"/>
          <w:b w:val="false"/>
          <w:i w:val="false"/>
          <w:caps w:val="false"/>
          <w:smallCaps w:val="false"/>
          <w:sz w:val="20"/>
        </w:rPr>
        <w:t>. If neither party elects to terminate this Lease following a Casualty, then Landlord shall, within a reasonable time after such Casualty, begin to repair the Premises and shall proceed with reasonable diligence to restore the Premises to substantially the same condition as they existed immediately before such Casualty; however, Landlord shall not be required to repair or replace any alterations or betterments within the Premises (which shall be promptly and with due diligence repaired and restored by Tenant at Tenant’s sole cost and expense) or any furniture, equipment, trade fixtures or personal property of Tenant or others in the Premises or the Building, and Landlord’s obligation to repair or restore the Premises shall be limited to the extent of the insurance proceeds actually received by Landlord for the Casualty in question (plus applicable deductible amounts). If this Lease is terminated under the provisions of this Section 16, Landlord shall be entitled to the full proceeds of the insurance policies providing coverage for all alterations, improvements and betterments in the Premises (and, if Tenant has failed to maintain insurance on such items as required by this Lease, Tenant shall pay Landlord an amount equal to the proceeds Landlord would have received had Tenant maintained insurance on such items as required by this Lease). If Landlord does not complete the restoration of the Premises within 120 days after the time period estimated by Landlord to repair the damage caused by such Casualty as specified in the Damage Notice, as the same may be extended by force majeure or delays caused by a Tenant Party, Tenant may terminate this Lease by delivering written notice to Landlord and Landlord’s Mortgagee following the expiration of such 120-day period (as the same may be extended as set forth above) and prior to the date upon which Landlord substantially completes such restoration. Such termination shall be effective as of the date specified in Tenant’s termination notice (but not earlier than 30 days nor later than 90 days after the date of such notice) as if such date were the date fixed for the expiration of the Term. If Tenant fails to timely give such termination notice, Tenant shall be deemed to have waived its right to terminate this Lease, time being of the essence with respect thereto. Notwithstanding the foregoing, if upon the receipt of Tenant’s written election to terminate this Lease as provided in this Section 16(d), Landlord reasonably believes it can complete the restoration of the Premises within 30 days following the receipt of such notice, Landlord may, in its sole discretion, elect to proceed with such restoration and, provided Landlord substantially completes such restoration within such 30-day period, Tenant’s election to terminate shall be null and void.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Abatement of Rent</w:t>
      </w:r>
      <w:r>
        <w:rPr>
          <w:rFonts w:ascii="Times New Roman;Times;Serif" w:hAnsi="Times New Roman;Times;Serif"/>
          <w:b w:val="false"/>
          <w:i w:val="false"/>
          <w:caps w:val="false"/>
          <w:smallCaps w:val="false"/>
          <w:sz w:val="20"/>
        </w:rPr>
        <w:t>. If the Premises are damaged by Casualty, Rent for the portion of the Premises rendered untenantable by the damage shall be abated on a reasonable basis from the date of damage until the completion of Landlord’s repairs (or until the date of termination of this Lease by Landlord or Tenant as provided above, as the case may be), unless the gross negligence or willful misconduct of a Tenant Party caused such damage, in which case, Tenant shall continue to pay Rent without abatement.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val="false"/>
          <w:i w:val="false"/>
          <w:caps w:val="false"/>
          <w:smallCaps w:val="false"/>
          <w:sz w:val="20"/>
          <w:u w:val="single"/>
        </w:rPr>
        <w:t>Personal Property Taxes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be liable for all taxes levied or assessed against personal property, furniture, or fixtures placed by Tenant in the Premises or in or on the Building or Project. 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30 days following written request therefor, the part of such taxes for which Tenant is primarily liable hereunder; however, Landlord shall not pay such amount if Tenant notifies Landlord that it will contest the validity or amount of such taxes before Landlord makes such payment, and thereafter diligently proceeds with such contest in accordance with Law and if the non-payment thereof does not pose a threat of loss or seizure of the Project or interest of Landlord therein or impose any fee or penalty against Landlord.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the following occurrences shall be an “</w:t>
      </w:r>
      <w:r>
        <w:rPr>
          <w:rFonts w:ascii="Times New Roman;Times;Serif" w:hAnsi="Times New Roman;Times;Serif"/>
          <w:b/>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 Default</w:t>
      </w:r>
      <w:r>
        <w:rPr>
          <w:rFonts w:ascii="Times New Roman;Times;Serif" w:hAnsi="Times New Roman;Times;Serif"/>
          <w:b w:val="false"/>
          <w:i w:val="false"/>
          <w:caps w:val="false"/>
          <w:smallCaps w:val="false"/>
          <w:sz w:val="20"/>
        </w:rPr>
        <w:t>. Tenant’s failure to pay Rent within three (3) business days of the date due, which failure continues for five (5) days after Landlord has delivered written notice to Tenant that the same is due; however, an Event of Default shall occur hereunder without any obligation of Landlord to give any notice if Tenant fails to pay any regularly scheduled Rent payment within three (3) business days of the date due and, during the 12 month interval preceding such failure, Landlord has given Tenant written notice of failure to pay any regularly scheduled Rent payment on one or more occasions;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Abandonment</w:t>
      </w:r>
      <w:r>
        <w:rPr>
          <w:rFonts w:ascii="Times New Roman;Times;Serif" w:hAnsi="Times New Roman;Times;Serif"/>
          <w:b w:val="false"/>
          <w:i w:val="false"/>
          <w:caps w:val="false"/>
          <w:smallCaps w:val="false"/>
          <w:sz w:val="20"/>
        </w:rPr>
        <w:t>. Tenant abandons the Premises or any substantial portion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Estoppel</w:t>
      </w:r>
      <w:r>
        <w:rPr>
          <w:rFonts w:ascii="Times New Roman;Times;Serif" w:hAnsi="Times New Roman;Times;Serif"/>
          <w:b w:val="false"/>
          <w:i w:val="false"/>
          <w:caps w:val="false"/>
          <w:smallCaps w:val="false"/>
          <w:sz w:val="20"/>
        </w:rPr>
        <w:t>. Tenant fails to provide any estoppel certificate after Landlord’s written request therefor pursuant to Section 26(e) and such failure shall continue for three business days after Landlord’s second written notice thereof to Tenant;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Tenant fails to procure, maintain and deliver to Landlord evidence of the insurance policies and coverages as required under Section 12(a), and with respect to delivery of evidence of such insurance only, such failure shall continue for five business days after Landlord’s written notice thereof to Tenant;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Mechanic’s Liens</w:t>
      </w:r>
      <w:r>
        <w:rPr>
          <w:rFonts w:ascii="Times New Roman;Times;Serif" w:hAnsi="Times New Roman;Times;Serif"/>
          <w:b w:val="false"/>
          <w:i w:val="false"/>
          <w:caps w:val="false"/>
          <w:smallCaps w:val="false"/>
          <w:sz w:val="20"/>
        </w:rPr>
        <w:t>. Tenant fails to pay and release of record, or diligently contest and bond around, any mechanic’s lien filed against the Premises or the Project for any work performed, materials furnished, or obligation incurred by or at the request of Tenant, within the time and in the manner required by Section 8(d) and such failure shall continue for five business days after Landlord’s written notice thereof to Tenant;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Other Defaults</w:t>
      </w:r>
      <w:r>
        <w:rPr>
          <w:rFonts w:ascii="Times New Roman;Times;Serif" w:hAnsi="Times New Roman;Times;Serif"/>
          <w:b w:val="false"/>
          <w:i w:val="false"/>
          <w:caps w:val="false"/>
          <w:smallCaps w:val="false"/>
          <w:sz w:val="20"/>
        </w:rPr>
        <w:t>. Tenant’s failure to perform, comply with, or observe any other agreement or obligation of Tenant under this Lease and the continuance of such failure for a period of more than 30 days after Landlord has delivered to Tenant written notice thereof; however, if such failure cannot be cured within such 30-day period (thus excluding, for example, Tenant’s obligation to provide Landlord evidence of Tenant’s insurance coverage) and Tenant commences to cure such failure within such 30-day period and thereafter diligently pursues such cure to completion, then such failure shall not be an Event of Default unless it is not fully cured within an additional 60 days after the expiration of the 30-day period; 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Insolvency</w:t>
      </w:r>
      <w:r>
        <w:rPr>
          <w:rFonts w:ascii="Times New Roman;Times;Serif" w:hAnsi="Times New Roman;Times;Serif"/>
          <w:b w:val="false"/>
          <w:i w:val="false"/>
          <w:caps w:val="false"/>
          <w:smallCaps w:val="false"/>
          <w:sz w:val="20"/>
        </w:rPr>
        <w:t>. The filing of a petition by or against Tenant (the term “</w:t>
      </w:r>
      <w:r>
        <w:rPr>
          <w:rFonts w:ascii="Times New Roman;Times;Serif" w:hAnsi="Times New Roman;Times;Serif"/>
          <w:b/>
          <w:i w:val="false"/>
          <w:caps w:val="false"/>
          <w:smallCaps w:val="false"/>
          <w:sz w:val="20"/>
          <w:u w:val="single"/>
        </w:rPr>
        <w:t>Tenant</w:t>
      </w:r>
      <w:r>
        <w:rPr>
          <w:rFonts w:ascii="Times New Roman;Times;Serif" w:hAnsi="Times New Roman;Times;Serif"/>
          <w:b w:val="false"/>
          <w:i w:val="false"/>
          <w:caps w:val="false"/>
          <w:smallCaps w:val="false"/>
          <w:sz w:val="20"/>
        </w:rPr>
        <w:t>” shall include, for the purpose of this Section 18(g), any guarantor of Tenant’s obligations hereunder) (1) in any bankruptcy or other insolvency proceeding; (2) seeking any relief under any state or federal debtor relief law; (3) for the appointment of a liquidator or receiver for all or substantially all of Tenant’s property or for Tenant’s interest in this Lease; (4) for the reorganization or modification of Tenant’s capital structure; or (5) in any assignment for the benefit of creditors proceeding; however, if such a petition is filed against Tenant, then such filing shall not be an Event of Default unless Tenant fails to have the proceedings initiated by such petition dismissed within 90 days after the filing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Landlord’s sole remedy for the Event of Default set forth in Subsection 18(b) above (Abandonment) is termination of this Lease. During the existence of any other Event of Default, Landlord may, in addition to all other rights and remedies afforded Landlord hereunder or by law or equity, take any one or more of the following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Termination of Lease</w:t>
      </w:r>
      <w:r>
        <w:rPr>
          <w:rFonts w:ascii="Times New Roman;Times;Serif" w:hAnsi="Times New Roman;Times;Serif"/>
          <w:b w:val="false"/>
          <w:i w:val="false"/>
          <w:caps w:val="false"/>
          <w:smallCaps w:val="false"/>
          <w:sz w:val="20"/>
        </w:rPr>
        <w:t>. Terminate this Lease by giving Tenant written notice thereof, in which event Tenant shall pay to Landlord the sum of (1) all Rent accrued hereunder through the date of termination, (2) all amounts due under Section 20(a), and (3) an amount equal to (A) the total Rent that Tenant would have been required to pay for the remainder of the Term discounted to present value at a per annum rate equal to the “Prime Rate” as published on the date this Lease is terminated by The Wall Street Journal, Southwest Edition, in its listing of “Money Rates” minus one percent, minus (B) the then present fair rental value of the Premises for such period, similarly discounted;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 of Possession</w:t>
      </w:r>
      <w:r>
        <w:rPr>
          <w:rFonts w:ascii="Times New Roman;Times;Serif" w:hAnsi="Times New Roman;Times;Serif"/>
          <w:b w:val="false"/>
          <w:i w:val="false"/>
          <w:caps w:val="false"/>
          <w:smallCaps w:val="false"/>
          <w:sz w:val="20"/>
        </w:rPr>
        <w:t>. Terminate Tenant’s right to possess the Premises without terminating this Lease by giving written notice thereof to Tenant, in which event Tenant shall pay to Landlord (1) all Rent and other amounts accrued hereunder to the date of termination of possession, (2) all amounts due from time to time under Section 20(a), and (3) all Rent and other net sums required hereunder to be paid by Tenant during the remainder of the Term, diminished by any net sums thereafter received by Landlord through reletting the Premises during such period, after deducting all reasonable costs incurred by Landlord in reletting the Premises. If Landlord elects to proceed under this Section 19(b), Landlord may remove all of Tenant’s property from the Premises and store the same in a public warehouse or elsewhere at the cost of, and for the account of, Tenant, without becoming liable for any loss or damage which may be occasioned thereby. Landlord shall use reasonable efforts to relet the Premises on such terms as Landlord in its sole reasonable discretion may determine (including a term different from the Term, rental concessions, and alterations to, and improvement of, the Premises); however, Landlord shall not be obligated to relet the Premises before leasing other portions of the Building or Complex and Landlord shall not be obligated to accept any prospective tenant unless such proposed tenant meets all of Landlord’s leasing criteria. Landlord shall not be liable for, nor shall Tenant’s obligations hereunder be diminished because of, Landlord’s failure to relet the Premises or to collect rent due for such reletting. Tenant shall not be entitled to the excess of any consideration obtained by reletting over the Rent due hereunder. Reentry by Landlord in the Premises shall not affect Tenant’s obligations hereunder for the unexpired Term; rather, Landlord may, from time to time, bring an action against Tenant to collect amounts due by Tenant, without the necessity of Landlord’s waiting until the expiration of the Term. Unless Landlord delivers written notice to Tenant expressly stating that it has elected to terminate this Lease, all actions taken by Landlord to dispossess or exclude Tenant from the Premises shall be deemed to be taken under this Section 19(b). If Landlord elects to proceed under this Section 19(b), it may at any time elect to terminate this Lease under Section 19(a);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Perform Acts on Behalf of Tenant</w:t>
      </w:r>
      <w:r>
        <w:rPr>
          <w:rFonts w:ascii="Times New Roman;Times;Serif" w:hAnsi="Times New Roman;Times;Serif"/>
          <w:b w:val="false"/>
          <w:i w:val="false"/>
          <w:caps w:val="false"/>
          <w:smallCaps w:val="false"/>
          <w:sz w:val="20"/>
        </w:rPr>
        <w:t>. Perform any act Tenant is obligated to perform under the terms of this Lease (and enter upon the Premises in connection therewith if necessary) in Tenant’s name and on Tenant’s behalf, without being liable for any claim for damages therefor, except to the extent due to Landlord’s gross negligence or willful misconduct in performing such obligation, and Tenant shall reimburse Landlord on demand for any reasonable expenses which Landlord may incur in thus effecting compliance with Tenant’s obligations under this Lease (including, but not limited to, collection costs and legal expenses), plus interest thereon at the Default 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Suspension of Services</w:t>
      </w:r>
      <w:r>
        <w:rPr>
          <w:rFonts w:ascii="Times New Roman;Times;Serif" w:hAnsi="Times New Roman;Times;Serif"/>
          <w:b w:val="false"/>
          <w:i w:val="false"/>
          <w:caps w:val="false"/>
          <w:smallCaps w:val="false"/>
          <w:sz w:val="20"/>
        </w:rPr>
        <w:t>. Suspend any services required to be provided by Landlord hereunder without being liable for any claim for damages therefor; 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Alteration of Locks</w:t>
      </w:r>
      <w:r>
        <w:rPr>
          <w:rFonts w:ascii="Times New Roman;Times;Serif" w:hAnsi="Times New Roman;Times;Serif"/>
          <w:b w:val="false"/>
          <w:i w:val="false"/>
          <w:caps w:val="false"/>
          <w:smallCaps w:val="false"/>
          <w:sz w:val="20"/>
        </w:rPr>
        <w:t>. Additionally, with or without notice, and to the extent permitted by Law, Landlord may alter locks or other security devices at the Premises to deprive Tenant of access thereto, and Landlord shall not be required to provide a new key or right of access to Tenant.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20.            </w:t>
      </w:r>
      <w:r>
        <w:rPr>
          <w:rFonts w:ascii="Times New Roman;Times;Serif" w:hAnsi="Times New Roman;Times;Serif"/>
          <w:b w:val="false"/>
          <w:i w:val="false"/>
          <w:caps w:val="false"/>
          <w:smallCaps w:val="false"/>
          <w:sz w:val="20"/>
          <w:u w:val="single"/>
        </w:rPr>
        <w:t>Payment by Tenant; Non-Waiver; Cumulative Remedies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 by Tenant</w:t>
      </w:r>
      <w:r>
        <w:rPr>
          <w:rFonts w:ascii="Times New Roman;Times;Serif" w:hAnsi="Times New Roman;Times;Serif"/>
          <w:b w:val="false"/>
          <w:i w:val="false"/>
          <w:caps w:val="false"/>
          <w:smallCaps w:val="false"/>
          <w:sz w:val="20"/>
        </w:rPr>
        <w:t>. Upon any Event of Default, Tenant shall pay to Landlord all costs incurred by Landlord (including court costs and reasonable attorneys’ fees and expenses) in (1) obtaining possession of the Premises, (2) removing and storing Tenant’s or any other occupant’s property, (3) repairing, restoring, or otherwise putting the Premises into the condition required at expiration of the Term, (4) if Tenant is dispossessed of the Premises and this Lease is not terminated, reletting all or any part of the Premises (including reasonable brokerage commissions), (5) performing Tenant’s obligations which Tenant failed to perform, and (6) enforcing, or advising Landlord of, its rights, remedies, and recourses arising out of the default. To the full extent permitted by law, Landlord and Tenant agree the federal and state courts of the state in which the Premises are located shall have exclusive jurisdiction over any matter relating to or arising from this Lease and the parties’ rights and obligations under this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Any and all remedies set forth in this Lease: (1) shall be in addition to any and all other remedies Landlord may have at law or in equity, (2) shall be cumulative, and (3) may be pursued successively or concurrently as Landlord may elect. The exercise of any remedy by Landlord shall not be deemed an election of remedies or preclude Landlord from exercising any other remedies in the future.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val="false"/>
          <w:i w:val="false"/>
          <w:caps w:val="false"/>
          <w:smallCaps w:val="false"/>
          <w:sz w:val="20"/>
          <w:u w:val="single"/>
        </w:rPr>
        <w:t>Landlord’s Lien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Tenant’s property, racking, shelves, wall display systems, bins, machinery, fixtures, security devices (including security gates and security cameras), generators, furnishings, equipment, accounts receivable, inventory, and other personal property (collectively, “</w:t>
      </w:r>
      <w:r>
        <w:rPr>
          <w:rFonts w:ascii="Times New Roman;Times;Serif" w:hAnsi="Times New Roman;Times;Serif"/>
          <w:b/>
          <w:i w:val="false"/>
          <w:caps w:val="false"/>
          <w:smallCaps w:val="false"/>
          <w:sz w:val="20"/>
          <w:u w:val="single"/>
        </w:rPr>
        <w:t>Tenant’s Property</w:t>
      </w:r>
      <w:r>
        <w:rPr>
          <w:rFonts w:ascii="Times New Roman;Times;Serif" w:hAnsi="Times New Roman;Times;Serif"/>
          <w:b w:val="false"/>
          <w:i w:val="false"/>
          <w:caps w:val="false"/>
          <w:smallCaps w:val="false"/>
          <w:sz w:val="20"/>
        </w:rPr>
        <w:t>”), however installed or located on or about the Premises, will be and remain the property of Tenant or its lender, service providers, contractors, or vendors (and their respective lenders or contractors) (collectively, “</w:t>
      </w:r>
      <w:r>
        <w:rPr>
          <w:rFonts w:ascii="Times New Roman;Times;Serif" w:hAnsi="Times New Roman;Times;Serif"/>
          <w:b/>
          <w:i w:val="false"/>
          <w:caps w:val="false"/>
          <w:smallCaps w:val="false"/>
          <w:sz w:val="20"/>
          <w:u w:val="single"/>
        </w:rPr>
        <w:t>Vendors</w:t>
      </w:r>
      <w:r>
        <w:rPr>
          <w:rFonts w:ascii="Times New Roman;Times;Serif" w:hAnsi="Times New Roman;Times;Serif"/>
          <w:b w:val="false"/>
          <w:i w:val="false"/>
          <w:caps w:val="false"/>
          <w:smallCaps w:val="false"/>
          <w:sz w:val="20"/>
        </w:rPr>
        <w:t>”) and may be installed, modified, and removed at any time and from time to time during the Term without Landlord’s consent. In no event (including an Event of Default) will Landlord have any lien or other security interest in any of Tenant’s Property located in the Premises or elsewhere, and Landlord hereby expressly waives and releases any lien or other security interest however created or arising to secure the obligations of Tenant under this Lease until such time as Landlord may obtain an enforceable judgment against Tenant from a court with jurisdiction of Tenant or Tenant’s Property, at which time Landlord shall have such lien rights at law and in equity to enforce and collect such judgment and Tenant’s obligations under this Lease. At Tenant’s request and cost, Landlord will execute a lien waiver and access agreement requested by Vendors, in a form reasonably acceptable to Landlord and such Vendors or other institutional lenders, so long as the applicable Vendor agrees (a) to provide Landlord with at least five (5) business days’ notice before exercising any remedy to remove Tenant’s Property; (b) to allow a representative of Landlord to be present during the exercise of any such remedy; (c) to repair and restore any damage caused by the removal of Tenant’s Property; (d) to carry at least the same level of insurance as required of Tenant during any time that such third party is on the Premises; and (e) to indemnify, defend, and hold harmless Landlord from any claims arising out of or relating to such party’s exercise of its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w:t>
      </w:r>
      <w:r>
        <w:rPr>
          <w:rFonts w:ascii="Times New Roman;Times;Serif" w:hAnsi="Times New Roman;Times;Serif"/>
          <w:b w:val="false"/>
          <w:i w:val="false"/>
          <w:caps w:val="false"/>
          <w:smallCaps w:val="false"/>
          <w:sz w:val="20"/>
          <w:u w:val="single"/>
        </w:rPr>
        <w:t>Surrender of Premises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Surrender</w:t>
      </w:r>
      <w:r>
        <w:rPr>
          <w:rFonts w:ascii="Times New Roman;Times;Serif" w:hAnsi="Times New Roman;Times;Serif"/>
          <w:b w:val="false"/>
          <w:i w:val="false"/>
          <w:caps w:val="false"/>
          <w:smallCaps w:val="false"/>
          <w:sz w:val="20"/>
        </w:rPr>
        <w:t>. No act by Landlord shall be deemed an acceptance of a surrender of the Premises, and no agreement to accept a surrender of the Premises shall be valid unless it is in writing and signed by Landlord. At the expiration or termination of this Lease, Tenant shall deliver to Landlord the Premises with all improvements located therein in good repair and condition, free of Hazardous Materials placed on the Premises during the Term, broom-clean, reasonable wear and tear (and condemnation and Casualty damage not caused by Tenant, as to which Sections 15 and 16 shall control) excepted, and shall deliver to Landlord all keys to the Premises. Tenant may remove all unattached trade fixtures, furniture, and personal property placed in the Premises or elsewhere in the Building by Tenant (but Tenant may not remove any such item which was paid for, in whole or in part, by Landlord or any wiring or cabling unless Landlord requires such removal). All alterations, additions or improvements made in or upon the Premises shall, at Landlord’s option, (to be exercised pursuant to following sentences), either be removed by Tenant prior to the end of the Term (and Tenant shall repair all damage caused thereby), or shall remain in the Premises at the end of the Term without compensation to Tenant. If (1) Tenant either (a) submits plans and specifications to Landlord for proposed alterations, additions or improvements to the Premises that require Landlord’s review under this Lease, or (b) provides Landlord a Non-Structural Alterations Notice pursuant to Section 8(a) above, and (2) Tenant delivers a Removal Notice (defined below) to Landlord contemporaneously with such submission by Tenant, then Landlord will notify Tenant whether Tenant will be required to remove such alterations, additions or improvements to the Premises at the expiration of the Term. A “</w:t>
      </w:r>
      <w:r>
        <w:rPr>
          <w:rFonts w:ascii="Times New Roman;Times;Serif" w:hAnsi="Times New Roman;Times;Serif"/>
          <w:b/>
          <w:i w:val="false"/>
          <w:caps w:val="false"/>
          <w:smallCaps w:val="false"/>
          <w:sz w:val="20"/>
          <w:u w:val="single"/>
        </w:rPr>
        <w:t>Removal Notice</w:t>
      </w:r>
      <w:r>
        <w:rPr>
          <w:rFonts w:ascii="Times New Roman;Times;Serif" w:hAnsi="Times New Roman;Times;Serif"/>
          <w:b w:val="false"/>
          <w:i w:val="false"/>
          <w:caps w:val="false"/>
          <w:smallCaps w:val="false"/>
          <w:sz w:val="20"/>
        </w:rPr>
        <w:t>” means a written notice from Tenant to Landlord that conspicuously states in bold, uppercase typeface that Tenant will not be required to remove the alterations, additions or improvements in question at the end of the Term unless Landlord notifies Tenant in writing that Landlord will require Tenant to remove such alterations prior to the expiration of the Term. If Tenant does not deliver a Removal Notice to Landlord with respect to any alterations, additions or improvements to the Premises (whether such approval is required hereunder or otherwise), Tenant shall, at Landlord’s written request, remove all such alterations, additions, improvements, trade fixtures, personal property, equipment, wiring, conduits, cabling, and furniture (including Tenant’s Off-Premises Equipment) as Landlord may request. Tenant shall repair all damage caused by such removal. All items not so removed shall, at Landlord’s option, be deemed to have been abandoned by Tenant and may be appropriated, sold, stored, destroyed, or otherwise disposed of by Landlord without notice to Tenant and without any obligation to account for such items; any such disposition shall not be considered a strict foreclosure or other exercise of Landlord’s rights in respect of the security interest granted under Section 21. The provisions of this Section 22 shall survive the end of the Term.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Non-Standard Improvements</w:t>
      </w:r>
      <w:r>
        <w:rPr>
          <w:rFonts w:ascii="Times New Roman;Times;Serif" w:hAnsi="Times New Roman;Times;Serif"/>
          <w:b w:val="false"/>
          <w:i w:val="false"/>
          <w:caps w:val="false"/>
          <w:smallCaps w:val="false"/>
          <w:sz w:val="20"/>
        </w:rPr>
        <w:t>. Notwithstanding Section 22(a) above, Tenant shall remove such Non-Standard Improvements (defined below) as Landlord requests; however, Tenant shall not be required to remove any Non-Standard Improvements to the Premises or the Project if Landlord has specifically agreed in writing that the improvement or addition in question need not be removed. As used herein, “</w:t>
      </w:r>
      <w:r>
        <w:rPr>
          <w:rFonts w:ascii="Times New Roman;Times;Serif" w:hAnsi="Times New Roman;Times;Serif"/>
          <w:b/>
          <w:i w:val="false"/>
          <w:caps w:val="false"/>
          <w:smallCaps w:val="false"/>
          <w:sz w:val="20"/>
          <w:u w:val="single"/>
        </w:rPr>
        <w:t>Non-Standard Improvements</w:t>
      </w:r>
      <w:r>
        <w:rPr>
          <w:rFonts w:ascii="Times New Roman;Times;Serif" w:hAnsi="Times New Roman;Times;Serif"/>
          <w:b w:val="false"/>
          <w:i w:val="false"/>
          <w:caps w:val="false"/>
          <w:smallCaps w:val="false"/>
          <w:sz w:val="20"/>
        </w:rPr>
        <w:t>” means, collectively, any cleanroom space installed by Tenant within the Premises, any roof penetrations, alterations, additions, improvements, trade fixtures, personal property, equipment, wiring, conduits, cabling, and furniture related to such cleanroom or that are not typical warehouse improvements (in Landlord’s commercially reasonable judgment). Tenant shall repair all damage caused by removal of Non-Standard Improvements by Tenant pursuant to this Section 22(b), and upon removal of the Non-Standard Improvements, Tenant shall restore the applicable portions of the Premises to substantially the same condition as of the date of this Lease, including the roof. All such restoration work which may affect the Building’s Structure or the Building’s Systems must be approved by the Building’s engineer of record, at Tenant’s expense and, at Landlord’s election, must be performed by Landlord’s usual contractor for such work. All restoration work affecting the Building roof must be performed by Landlord’s roofing contractor, and will not be permitted if it would void or reduce the warranty on the roof.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23.            </w:t>
      </w:r>
      <w:r>
        <w:rPr>
          <w:rFonts w:ascii="Times New Roman;Times;Serif" w:hAnsi="Times New Roman;Times;Serif"/>
          <w:b w:val="false"/>
          <w:i w:val="false"/>
          <w:caps w:val="false"/>
          <w:smallCaps w:val="false"/>
          <w:sz w:val="20"/>
          <w:u w:val="single"/>
        </w:rPr>
        <w:t>Holding Over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Tenant fails to vacate the Premises at the end of the Term, then Tenant shall be a tenant at sufferance and, (a) Tenant shall pay, in addition to the other Rent, Basic Rent equal to 150% of the Rent payable during the last month of the Term, and (b) Tenant shall otherwise continue to be subject to all of Tenant’s obligations under this Lease. The provisions of this Section 23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 Notwithstanding the preceding sentence, Tenant shall not be liable for lost profits or other consequential, punitive or special damages in connection with a holdover after the end of the Term unless Landlord has notified Tenant in writing (“</w:t>
      </w:r>
      <w:r>
        <w:rPr>
          <w:rFonts w:ascii="Times New Roman;Times;Serif" w:hAnsi="Times New Roman;Times;Serif"/>
          <w:b/>
          <w:i w:val="false"/>
          <w:caps w:val="false"/>
          <w:smallCaps w:val="false"/>
          <w:sz w:val="20"/>
          <w:u w:val="single"/>
        </w:rPr>
        <w:t>Notice to Vacate</w:t>
      </w:r>
      <w:r>
        <w:rPr>
          <w:rFonts w:ascii="Times New Roman;Times;Serif" w:hAnsi="Times New Roman;Times;Serif"/>
          <w:b w:val="false"/>
          <w:i w:val="false"/>
          <w:caps w:val="false"/>
          <w:smallCaps w:val="false"/>
          <w:sz w:val="20"/>
        </w:rPr>
        <w:t>”) that Landlord has executed a bona fide letter of intent with another tenant for any portion of the Premises and Tenant fails to vacate the Premises by the later of (i) the date that is thirty (30) days after delivery of the Notice to Vacate, or (ii) the end of the Term.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24.            </w:t>
      </w:r>
      <w:r>
        <w:rPr>
          <w:rFonts w:ascii="Times New Roman;Times;Serif" w:hAnsi="Times New Roman;Times;Serif"/>
          <w:b w:val="false"/>
          <w:i w:val="false"/>
          <w:caps w:val="false"/>
          <w:smallCaps w:val="false"/>
          <w:sz w:val="20"/>
          <w:u w:val="single"/>
        </w:rPr>
        <w:t>Certain Rights Reserved by Landlord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Provided that the exercise of such rights does not unreasonably interfere with Tenant’s occupancy of the Premises, Landlord shall have the following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Building Operations</w:t>
      </w:r>
      <w:r>
        <w:rPr>
          <w:rFonts w:ascii="Times New Roman;Times;Serif" w:hAnsi="Times New Roman;Times;Serif"/>
          <w:b w:val="false"/>
          <w:i w:val="false"/>
          <w:caps w:val="false"/>
          <w:smallCaps w:val="false"/>
          <w:sz w:val="20"/>
        </w:rPr>
        <w:t>. To make inspections, repairs, and replacements, whether structural or otherwise, in and about the Project, or any part thereof; to enter upon the Premises (after giving Tenant reasonable notice thereof, which may be oral notice, except in cases of real or apparent emergency, in which case no notice shall be required) and, during the continuance of any such work, to temporarily close doors, entryways, public space, and corridors in the Building; to interrupt or temporarily suspend Building services and facilities; and to change the name of the Building;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To take such reasonable measures as Landlord deems advisable for the security of the Building and its occupants; evacuating the Building for cause, suspected cause, or for drill purposes; and temporarily denying access to the Building;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Prospective Purchasers and Lenders</w:t>
      </w:r>
      <w:r>
        <w:rPr>
          <w:rFonts w:ascii="Times New Roman;Times;Serif" w:hAnsi="Times New Roman;Times;Serif"/>
          <w:b w:val="false"/>
          <w:i w:val="false"/>
          <w:caps w:val="false"/>
          <w:smallCaps w:val="false"/>
          <w:sz w:val="20"/>
        </w:rPr>
        <w:t>. To enter the Premises at all reasonable hours, upon reasonable prior notice, to show the Premises to prospective purchasers or lenders;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Prospective Tenants</w:t>
      </w:r>
      <w:r>
        <w:rPr>
          <w:rFonts w:ascii="Times New Roman;Times;Serif" w:hAnsi="Times New Roman;Times;Serif"/>
          <w:b w:val="false"/>
          <w:i w:val="false"/>
          <w:caps w:val="false"/>
          <w:smallCaps w:val="false"/>
          <w:sz w:val="20"/>
        </w:rPr>
        <w:t>. At any time during the last 12 months of the Term (or earlier if Tenant has notified Landlord in writing that it does not desire to renew the Term) or at any time following the occurrence of an Event of Default which remains uncured, to enter the Premises at all reasonable hours, upon reasonable prior notice, to show the Premises to prospective tenants.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exercising Landlord’s rights pursuant to this Section 24, (i) Landlord shall use reasonable efforts to not materially and adversely interfere with the operations of Tenant’s business, and (ii) Tenant shall have the right to accompany Landlord during such access to the Premises, and to prevent Landlord from entering into secure areas that are identified to Landlord prior to such entry (except in cases of real or apparent emergency). Prior to permitting a prospective purchaser, prospective tenant or any other party not acting on Landlord’s behalf from entering the Premises, Landlord shall use commercially reasonable efforts to obtain non-disclosure agreements from such prospective purchasers or prospective tenants on Tenant’s then form NDA, subject to reasonable comments from such prospective purchaser or prospective tenant.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Landlord Transfer</w:t>
      </w:r>
      <w:r>
        <w:rPr>
          <w:rFonts w:ascii="Times New Roman;Times;Serif" w:hAnsi="Times New Roman;Times;Serif"/>
          <w:b w:val="false"/>
          <w:i w:val="false"/>
          <w:caps w:val="false"/>
          <w:smallCaps w:val="false"/>
          <w:sz w:val="20"/>
        </w:rPr>
        <w:t>. Landlord may transfer any portion of the Project and any of its rights under this Lease. If Landlord assigns its rights under this Lease, then Landlord shall thereby be released from any further obligations hereunder arising after the date of transfer, provided that the assignee assumes in writing Landlord’s obligations hereunder arising from and after the transfer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Landlord’s Liability</w:t>
      </w:r>
      <w:r>
        <w:rPr>
          <w:rFonts w:ascii="Times New Roman;Times;Serif" w:hAnsi="Times New Roman;Times;Serif"/>
          <w:b w:val="false"/>
          <w:i w:val="false"/>
          <w:caps w:val="false"/>
          <w:smallCaps w:val="false"/>
          <w:sz w:val="20"/>
        </w:rPr>
        <w:t>. The liability of Landlord (and its partners, shareholders or members) to Tenant (or any person or entity claiming by, through or under Tenant) for any default by Landlord under the terms of this Lease or any matter relating to or arising out of the occupancy or use of the Premises and/or other areas of the Building shall be limited to Tenant’s actual direct, but not consequential, damages therefor and shall be recoverable only from the interest of Landlord in the Building, and Landlord (and its partners, shareholders or members) shall not be personally liable for any deficiency. The provisions of this Section shall survive any expiration or termination of this Lease. Additionally, Tenant hereby waives its statutory lien under Section 91.004 of the Texas Property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Other than for Tenant’s obligations under this Lease that can be performed by the payment of 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terrorist acts or activities, governmental laws, regulations, or restrictions, or any other causes of any kind whatsoever which are beyond the control of such party (collectively, “</w:t>
      </w:r>
      <w:r>
        <w:rPr>
          <w:rFonts w:ascii="Times New Roman;Times;Serif" w:hAnsi="Times New Roman;Times;Serif"/>
          <w:b/>
          <w:i w:val="false"/>
          <w:caps w:val="false"/>
          <w:smallCaps w:val="false"/>
          <w:sz w:val="20"/>
          <w:u w:val="single"/>
        </w:rPr>
        <w:t>Force Majeure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Brokerage</w:t>
      </w:r>
      <w:r>
        <w:rPr>
          <w:rFonts w:ascii="Times New Roman;Times;Serif" w:hAnsi="Times New Roman;Times;Serif"/>
          <w:b w:val="false"/>
          <w:i w:val="false"/>
          <w:caps w:val="false"/>
          <w:smallCaps w:val="false"/>
          <w:sz w:val="20"/>
        </w:rPr>
        <w:t>. Neither Landlord nor Tenant has dealt with any broker or agent in connection with the negotiation or execution of this Lease, other than CBRE, Inc., whose commission shall be paid by Landlord pursuant to a separate written agreement. Tenant and Landlord shall each indemnify the other against all costs, expenses, attorneys’ fees, liens and other liability for commissions or other compensation claimed by any broker or agent claiming the same by, through, or under the indemnifying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Estoppel Certificates</w:t>
      </w:r>
      <w:r>
        <w:rPr>
          <w:rFonts w:ascii="Times New Roman;Times;Serif" w:hAnsi="Times New Roman;Times;Serif"/>
          <w:b w:val="false"/>
          <w:i w:val="false"/>
          <w:caps w:val="false"/>
          <w:smallCaps w:val="false"/>
          <w:sz w:val="20"/>
        </w:rPr>
        <w:t xml:space="preserve">. From time to time, Tenant shall furnish to any party designated by Landlord, within ten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Project, the initial form of estoppel certificate to be signed by Tenant is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If Tenant does not deliver to Landlord the certificate signed by Tenant within such required time period, Landlord, Landlord’s Mortgagee and any prospective purchaser or mortgagee, may conclusively presume and rely upon the following facts: (1) this Lease is in full force and effect; (2) the terms and provisions of this Lease have not been changed except as otherwise represented by Landlord; (3) not more than one monthly installment of Basic Rent and other charges have been paid in advance; (4) there are no claims against Landlord nor any defenses or rights of offset against collection of Rent or other charges; and (5) Landlord is not in default under this Lease. In such event, Tenant shall be estopped from denying the truth of the presumed facts.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required or permitted hereunder shall be in writing and shall be served on the parties at the addresses set forth in the Basic Lease Information. Any such notices shall, unless otherwise provided herein, be given or served (i) by depositing the same in the United States mail, postage paid, certified and addressed to the party to be notified, with return receipt requested, (ii) by overnight delivery using a nationally recognized overnight courier, (iii) by personal delivery, or (iv) by electronic mail addressed to the electronic mail address set forth in the Basic Lease Information for the party to be notified with a confirmation copy delivered by another method permitted under this Section 26(f) (i), (ii) or (iii). Notice given in accordance herewith for all permitted forms of notice other than by electronic mail, shall be effective upon the earlier to occur of actual delivery to the address of the addressee or refusal of receipt by the addressee (even if such addressee refuses delivery thereof). Notice given by electronic mail in accordance herewith shall be effective upon the entrance of such electronic mail into the information processing system designated by the recipient’s electronic mail address. Except for electronic mail notices as described above, no notice hereunder shall be effective if sent or delivered by electronic means. In no event shall this Lease be entered into, executed, terminated, altered, amended or modified by electronic mail or electronic record, except for the delivery or transmission of signatures as expressly provided in Section 26(z). A party’s address may be changed by written notice to the other party; provided, however, that no notice of a change of address shall be effective until actual receipt of such notice. Copies of notices are for informational purposes only, and a failure to give or receive copies of any notice shall not be deemed a failure to give notice. Notices given by counsel to the Tenant shall be deemed given by Tenant and notices given by counsel to the Landlord shall be deemed given by Landlord. If Landlord sends a default notice or an invoice to Tenant for payment of any rent due hereunder, an email of such default notice and/or invoice shall be sent to Fred Chang, David Kuo, and Ray Du regardless of any other method of notice sent to the other Tenant notice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Separability</w:t>
      </w:r>
      <w:r>
        <w:rPr>
          <w:rFonts w:ascii="Times New Roman;Times;Serif" w:hAnsi="Times New Roman;Times;Serif"/>
          <w:b w:val="false"/>
          <w:i w:val="false"/>
          <w:caps w:val="false"/>
          <w:smallCaps w:val="false"/>
          <w:sz w:val="20"/>
        </w:rPr>
        <w:t>. If any clause or provision of this Lease is illegal, invalid, or unenforceable under present or future laws, then the remainder of this Lease shall not be affected thereby and in lieu of such clause or provision, there shall be added as a part of this Lease a clause or provision as similar in terms to such illegal, invalid, or unenforceable clause or provision as may be possible and be legal, valid, and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Amendments; Binding Effect; No Electronic Records</w:t>
      </w:r>
      <w:r>
        <w:rPr>
          <w:rFonts w:ascii="Times New Roman;Times;Serif" w:hAnsi="Times New Roman;Times;Serif"/>
          <w:b w:val="false"/>
          <w:i w:val="false"/>
          <w:caps w:val="false"/>
          <w:smallCaps w:val="false"/>
          <w:sz w:val="20"/>
        </w:rPr>
        <w:t>. This Lease may not be amended except by instrument in writing signed by Landlord and Tenant. No provision of this Lease shall be deemed to have been waived by Landlord unless such waiver is in writing signed by Landlord, and no custom or practice which may evolve between the parties in the administration of the terms hereof shall waive or diminish the right of Landlord to insist upon the performance by Tenant in strict accordance with the terms hereof. Landlord and Tenant hereby agree not to conduct the transactions or communications contemplated by this Lease by electronic means, except (i) by electronic mail as specifically set forth in Section 26(f) and (ii) for the delivery or transmission of signatures as expressly provided in Section 26(z); nor shall the use of the phrase “in writing” or the word “written” be construed to include electronic communications except by electronic mail as specifically set forth in Section 26(f).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Quiet Enjoyment</w:t>
      </w:r>
      <w:r>
        <w:rPr>
          <w:rFonts w:ascii="Times New Roman;Times;Serif" w:hAnsi="Times New Roman;Times;Serif"/>
          <w:b w:val="false"/>
          <w:i w:val="false"/>
          <w:caps w:val="false"/>
          <w:smallCaps w:val="false"/>
          <w:sz w:val="20"/>
        </w:rPr>
        <w:t>. Provided no Event of Default exists, Tenant shall peaceably and quietly hold and enjoy the Premises for the Term, without hindrance from Landlord or any party claiming by, through, or under Landlord, but not otherwise, subject to the terms and conditions of this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Lease constitutes the entire agreement between Landlord and Tenant regarding the subject 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The normal rule of construction that any ambiguities be resolved against the drafting party shall not apply to the interpretation of this Lease or any exhibits or amendments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TO THE MAXIMUM EXTENT PERMITTED BY LAW, LANDLORD AND TENANT EACH WAIVE ANY RIGHT TO TRIAL BY JURY IN ANY LITIGATION OR TO HAVE A JURY PARTICIPATE IN RESOLVING ANY DISPUTE ARISING OUT OF OR WITH RESPECT TO THIS LEASE OR ANY OTHER INSTRUMENT, DOCUMENT OR AGREEMENT EXECUTED OR DELIVERED IN CONNECTION HEREWITH OR THE TRANSACTIONS RELATED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Lease shall be governed by and construed in accordance with the laws of the state in which the Premises are located.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Recording</w:t>
      </w:r>
      <w:r>
        <w:rPr>
          <w:rFonts w:ascii="Times New Roman;Times;Serif" w:hAnsi="Times New Roman;Times;Serif"/>
          <w:b w:val="false"/>
          <w:i w:val="false"/>
          <w:caps w:val="false"/>
          <w:smallCaps w:val="false"/>
          <w:sz w:val="20"/>
        </w:rPr>
        <w:t xml:space="preserve">. Landlord and Tenant shall, contemporaneously with their execution and delivery of this Lease, each execute and acknowledge a memorandum of lease respecting this Lease, substantially in the form of </w:t>
      </w:r>
      <w:r>
        <w:rPr>
          <w:rFonts w:ascii="Times New Roman;Times;Serif" w:hAnsi="Times New Roman;Times;Serif"/>
          <w:b/>
          <w:i w:val="false"/>
          <w:caps w:val="false"/>
          <w:smallCaps w:val="false"/>
          <w:sz w:val="20"/>
          <w:u w:val="single"/>
        </w:rPr>
        <w:t>Exhibit J</w:t>
      </w:r>
      <w:r>
        <w:rPr>
          <w:rFonts w:ascii="Times New Roman;Times;Serif" w:hAnsi="Times New Roman;Times;Serif"/>
          <w:b w:val="false"/>
          <w:i w:val="false"/>
          <w:caps w:val="false"/>
          <w:smallCaps w:val="false"/>
          <w:sz w:val="20"/>
        </w:rPr>
        <w:t xml:space="preserve"> attached hereto, which Tenant shall be permitted to record in the applicable public land records for Fort Bend County, Texas. Within ten (10) days after the end of the Term or if this Lease is earlier terminated, Landlord and Tenant shall enter into such documentation as is reasonably required by Landlord or Tenant to remove the memorandum of record.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Water or Mold Notification</w:t>
      </w:r>
      <w:r>
        <w:rPr>
          <w:rFonts w:ascii="Times New Roman;Times;Serif" w:hAnsi="Times New Roman;Times;Serif"/>
          <w:b w:val="false"/>
          <w:i w:val="false"/>
          <w:caps w:val="false"/>
          <w:smallCaps w:val="false"/>
          <w:sz w:val="20"/>
        </w:rPr>
        <w:t>. To the extent Tenant or its agents or employees discover any water leakage, water damage or mold in or about the Premises or Project, Tenant shall promptly notify Landlord thereof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Joint and Several Liability</w:t>
      </w:r>
      <w:r>
        <w:rPr>
          <w:rFonts w:ascii="Times New Roman;Times;Serif" w:hAnsi="Times New Roman;Times;Serif"/>
          <w:b w:val="false"/>
          <w:i w:val="false"/>
          <w:caps w:val="false"/>
          <w:smallCaps w:val="false"/>
          <w:sz w:val="20"/>
        </w:rPr>
        <w:t>. If Tenant is comprised of more than one party, each such party shall be jointly and 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Financial Reports</w:t>
      </w:r>
      <w:r>
        <w:rPr>
          <w:rFonts w:ascii="Times New Roman;Times;Serif" w:hAnsi="Times New Roman;Times;Serif"/>
          <w:b w:val="false"/>
          <w:i w:val="false"/>
          <w:caps w:val="false"/>
          <w:smallCaps w:val="false"/>
          <w:sz w:val="20"/>
        </w:rPr>
        <w:t>. Within 15 days after Landlord’s request, Tenant will furnish Tenant’s most recent 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If Tenant is a publicly traded corporation, Tenant may satisfy its obligations hereunder by providing to Landlord Tenant’s most recent annual and quarterly reports. Landlord will not disclose any aspect of Tenant’s financial statements that Tenant designates to Landlord as confidential except (1) to Landlord’s Mortgagee or prospective mortgagees or purchasers of the Building, (2) in litigation between Landlord and Tenant, and/or (3) if required by court order. Tenant shall not be required to deliver the financial statements required under this Section 26(p) more than once in any 12-month period unless requested by Landlord’s Mortgagee or a prospective buyer or lender of the Building or an Event of Default occurs. Notwithstanding anything to the contrary contained herein, so long as Tenant remains a publicly traded company (or a consolidated subsidiary of a publicly traded company) on a nationally recognized stock exchange and with financial statements that are publicly available, Tenant shall not be required to provide or deliver financial statements or any other information required under this subsection.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Landlord’s Fees</w:t>
      </w:r>
      <w:r>
        <w:rPr>
          <w:rFonts w:ascii="Times New Roman;Times;Serif" w:hAnsi="Times New Roman;Times;Serif"/>
          <w:b w:val="false"/>
          <w:i w:val="false"/>
          <w:caps w:val="false"/>
          <w:smallCaps w:val="false"/>
          <w:sz w:val="20"/>
        </w:rPr>
        <w:t>. Whenever Tenant requests Landlord to take any action not required of it hereunder or give any consent required or permitted under this Lease, Tenant will reimburse Landlord for Landlord’s reasonable, out-of-pocket costs payable to third parties and incurred by Landlord in reviewing the proposed action or consent, including reasonable attorneys’, engineers’ or architects’ fees, within 30 days after Landlord’s delivery to Tenant of a statement of such costs. Tenant will be obligated to make such reimbursement without regard to whether Landlord consents to any such proposed action. Notwithstanding the foregoing, Tenant’s obligations under this subsection shall never exceed $2,500.00 for any single requested action unless Landlord advises Tenant in advance of the estimate of such costs and allows Tenant to first withdraw such request so as to avoid any such reimbursement obligation.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Telecommunications</w:t>
      </w:r>
      <w:r>
        <w:rPr>
          <w:rFonts w:ascii="Times New Roman;Times;Serif" w:hAnsi="Times New Roman;Times;Serif"/>
          <w:b w:val="false"/>
          <w:i w:val="false"/>
          <w:caps w:val="false"/>
          <w:smallCaps w:val="false"/>
          <w:sz w:val="20"/>
        </w:rPr>
        <w:t>. Tenant and its telecommunications companies, including local exchange telecommunications companies and alternative access vendor services companies, shall have no right of access to and within the Building, for the installation and operation of telecommunications systems, including voice, video, data, Internet, and any other services provided over wire, fiber optic, microwave, wireless, and any other transmission systems (“</w:t>
      </w:r>
      <w:r>
        <w:rPr>
          <w:rFonts w:ascii="Times New Roman;Times;Serif" w:hAnsi="Times New Roman;Times;Serif"/>
          <w:b/>
          <w:i w:val="false"/>
          <w:caps w:val="false"/>
          <w:smallCaps w:val="false"/>
          <w:sz w:val="20"/>
          <w:u w:val="single"/>
        </w:rPr>
        <w:t>Telecommunications Services</w:t>
      </w:r>
      <w:r>
        <w:rPr>
          <w:rFonts w:ascii="Times New Roman;Times;Serif" w:hAnsi="Times New Roman;Times;Serif"/>
          <w:b w:val="false"/>
          <w:i w:val="false"/>
          <w:caps w:val="false"/>
          <w:smallCaps w:val="false"/>
          <w:sz w:val="20"/>
        </w:rPr>
        <w:t>”), for part or all of Tenant’s telecommunications within the Building and from the Building to any other location without Landlord’s prior written consent, not to be unreasonably withheld. All providers of Telecommunications Services shall be required to comply with the rules and regulations of the Building, applicable Laws and Landlord’s policies and practices for the Building. Tenant acknowledges that Landlord shall not be required to provide or arrange for any Telecommunications Services and that Landlord shall have no liability to any Tenant Party in connection with the installation, operation or maintenance of Telecommunications Services or any equipment or facilities relating thereto. Tenant, at its cost and for its own account, shall be solely responsible for obtaining all Telecommunications Services.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Tenant acknowledges that the terms and conditions of this Lease are to remain confidential for Landlord’s benefit, and may not be disclosed by Tenant to anyone, by any manner or means, directly or indirectly, without Landlord’s prior written consent; however, Tenant may disclose the terms and conditions of this Lease if required by Law (including without limitation those of the United States Securities and Exchange Commission), or in response to a court order or decision or court order or request of a stock exchange, regulatory agency or other authority, to its attorneys, accountants, employees and existing or prospective financial partners provided same are advised by Tenant of the confidential nature of such terms and conditions. Tenant shall be liable for any disclosures made in violation of this Section by Tenant or by any entity or individual to whom the terms of and conditions of this Lease were disclosed or made available by Tenant. The consent by Landlord to any disclosures shall not be deemed to be a waiver on the part of Landlord of any prohibition against any future disclosure. Notwithstanding anything to the contrary in this Lease, Landlord acknowledges and agrees that Tenant may file this Lease with the U.S. Securities and Exchange Commission (SEC) as an exhibit to a Current Report on Form 8-K or other periodic report pursuant to the Securities Exchange Act of 1934, as amended, and such disclosure shall not constitute a breach of the confidentiality provisions herein; provided, however, that prior to any such filing, Tenant shall provide Landlord with advance written notice and a reasonable opportunity to review the proposed filing and request redactions. Tenant agrees to incorporate Landlord’s requested redactions to the extent permitted by applicable SEC rules and regulations (without a formal confidential treatment request under applicable SEC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Tenant (if a corporation, partnership or other business entity) hereby represents and warrants to Landlord that Tenant is a duly formed and existing entity qualified to do business in the state in which the Premises are located, that Tenant has full right and authority to execute and deliver this Lease, and that each person signing on behalf of Tenant is authorized to do so. Landlord hereby represents and warrants to Tenant that Landlord is a duly formed and existing entity qualified to do business in the state in which the Premises are located, that Landlord has full right and authority to execute and deliver this Lease, and that each person signing on behalf of Landlord is authorized to do so.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Security Service</w:t>
      </w:r>
      <w:r>
        <w:rPr>
          <w:rFonts w:ascii="Times New Roman;Times;Serif" w:hAnsi="Times New Roman;Times;Serif"/>
          <w:b w:val="false"/>
          <w:i w:val="false"/>
          <w:caps w:val="false"/>
          <w:smallCaps w:val="false"/>
          <w:sz w:val="20"/>
        </w:rPr>
        <w:t>. Tenant acknowledges and agrees that, while Landlord may (but shall not be obligated to) patrol the Building or Project, Landlord is not providing any security services with respect to the Premises or Tenant’s Off-Premises Equipment and that Landlord shall not be liable to Tenant for, and Tenant waives any claim against Landlord with respect to, any loss by theft or any other damage suffered or incurred by Tenant in connection with any unauthorized entry into the Premises or any area where Tenant’s Off-Premises Equipment is located or any other breach of security with respect to the Premises or Tenant’s Off-Premises Equipment.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List of Exhibits</w:t>
      </w:r>
      <w:r>
        <w:rPr>
          <w:rFonts w:ascii="Times New Roman;Times;Serif" w:hAnsi="Times New Roman;Times;Serif"/>
          <w:b w:val="false"/>
          <w:i w:val="false"/>
          <w:caps w:val="false"/>
          <w:smallCaps w:val="false"/>
          <w:sz w:val="20"/>
        </w:rPr>
        <w:t>. All exhibits and attachments attached hereto are incorporated herein by this reference.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67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Outline of Premises</w:t>
        <w:br/>
        <w:t>Exhibit B – Description of the Land</w:t>
        <w:br/>
        <w:t>Exhibit C – Building Rules and Regulations</w:t>
        <w:br/>
        <w:t>Exhibit D – Work Letter</w:t>
        <w:br/>
        <w:t>Exhibit E – Form of Confirmation of Commencement Date Letter</w:t>
        <w:br/>
        <w:t>Exhibit F – Form of Tenant Estoppel Certificate</w:t>
        <w:br/>
        <w:t>Exhibit G – Intentionally Omitted</w:t>
        <w:br/>
        <w:t>Exhibit H – Purchase Option</w:t>
        <w:br/>
        <w:t>Exhibit I – Insurance for Construction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Prohibited Persons and Transactions</w:t>
      </w:r>
      <w:r>
        <w:rPr>
          <w:rFonts w:ascii="Times New Roman;Times;Serif" w:hAnsi="Times New Roman;Times;Serif"/>
          <w:b w:val="false"/>
          <w:i w:val="false"/>
          <w:caps w:val="false"/>
          <w:smallCaps w:val="false"/>
          <w:sz w:val="20"/>
        </w:rPr>
        <w:t>. Tenant represents and warrants to Landlord that Tenant is currently in compliance with and shall at all times during the Term (including any extension thereof) remain in compliance with the regulations of the OFAC of the Department of the Treasury (including those named on OFAC’s Specially Designated Nationals and Blocked Persons List) and any statute, executive order (including the September 24, 2001, Executive Order Blocking Property and Prohibiting Transactions with Persons Who Commit, Threaten to Commit or Support Terrorism), or other governmental action relating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Determination of Charges</w:t>
      </w:r>
      <w:r>
        <w:rPr>
          <w:rFonts w:ascii="Times New Roman;Times;Serif" w:hAnsi="Times New Roman;Times;Serif"/>
          <w:b w:val="false"/>
          <w:i w:val="false"/>
          <w:caps w:val="false"/>
          <w:smallCaps w:val="false"/>
          <w:sz w:val="20"/>
        </w:rPr>
        <w:t>. Landlord and Tenant agree that each provision of this Lease for determining charges and amounts payable by Tenant (including provisions regarding Additional Rent and Tenant’s Proportionate Share of Taxes and Insurance Costs) is commercially reasonable and, as to each such charge or amount, constitutes a statement of the amount of the charge or a method by which the charge is to be computed for purposes of Section 93.012 of the Texas Property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No Invasive Testing</w:t>
      </w:r>
      <w:r>
        <w:rPr>
          <w:rFonts w:ascii="Times New Roman;Times;Serif" w:hAnsi="Times New Roman;Times;Serif"/>
          <w:b w:val="false"/>
          <w:i w:val="false"/>
          <w:caps w:val="false"/>
          <w:smallCaps w:val="false"/>
          <w:sz w:val="20"/>
        </w:rPr>
        <w:t>. Tenant shall not undertake, nor shall Tenant permit any Tenant Party to undertake, any invasive investigation, drilling or sampling of the soil or groundwater at the Project without the prior written consent of Landlord, which consent shall be in Landlord’s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Lease may be executed in any number of counterparts, each of which shall be deemed to be an original, and all of such counterparts shall constitute one Lease. To facilitate execution of this Lease, the parties may execute and exchange signature pages by facsimile or via electronic mail (*.pdf or similar file types). The parties further agree that counterparts of this Lease may be signed electronically via Adobe Sign, DocuSign protocol or other electronic platform. All such signatures may be used in the place of original “wet ink” signatures to this Lease and shall have the same legal effect as the physical delivery of an original signature.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27.            </w:t>
      </w:r>
      <w:r>
        <w:rPr>
          <w:rFonts w:ascii="Times New Roman;Times;Serif" w:hAnsi="Times New Roman;Times;Serif"/>
          <w:b w:val="false"/>
          <w:i w:val="false"/>
          <w:caps w:val="false"/>
          <w:smallCaps w:val="false"/>
          <w:sz w:val="20"/>
          <w:u w:val="single"/>
        </w:rPr>
        <w:t>Environmental Requirements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Prohibition against Hazardous Materials</w:t>
      </w:r>
      <w:r>
        <w:rPr>
          <w:rFonts w:ascii="Times New Roman;Times;Serif" w:hAnsi="Times New Roman;Times;Serif"/>
          <w:b w:val="false"/>
          <w:i w:val="false"/>
          <w:caps w:val="false"/>
          <w:smallCaps w:val="false"/>
          <w:sz w:val="20"/>
        </w:rPr>
        <w:t>. Except for Hazardous Materials contained in products used by Tenant in de minimis quantities for ordinary cleaning and office purposes, Tenant shall not permit or cause any party to bring any Hazardous Materials upon the Premises or in the Project or transport, store, use, generate, manufacture, dispose, or release any Hazardous Materials on or from the Premises or the Project without Landlord’s prior written consent. Tenant, at its sole cost and expense, shall operate its business in the Premises in strict compliance with all Environmental Requirements and all requirements of this Lease. Tenant shall complete and certify to disclosure statements as requested by Landlord from time to time relating to Tenant’s transportation, storage, use, generation, manufacture, or release of Hazardous Materials on the Premises or in the Project, and Tenant shall promptly deliver to Landlord a copy of any notice of violation relating to the Premises or the Project of any Environmental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Environmental Requirements</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u w:val="single"/>
        </w:rPr>
        <w:t>Environmental Requirements</w:t>
      </w:r>
      <w:r>
        <w:rPr>
          <w:rFonts w:ascii="Times New Roman;Times;Serif" w:hAnsi="Times New Roman;Times;Serif"/>
          <w:b w:val="false"/>
          <w:i w:val="false"/>
          <w:caps w:val="false"/>
          <w:smallCaps w:val="false"/>
          <w:sz w:val="20"/>
        </w:rPr>
        <w:t xml:space="preserve">” means all Laws regulating or relating to health, safety, or environmental conditions on, under, or about the Premises or the Project or the environment including the following: the Comprehensive Environmental Response, Compensation and Liability Act; the Resource Conservation and Recovery Act; the Clean Air Act; the Clean Water Act; the Toxic Substances Control Act and all state and local counterparts thereto, and any common or civil law obligations including nuisance or trespass, and any other requirements of Section 14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of this Lease. The term “</w:t>
      </w:r>
      <w:r>
        <w:rPr>
          <w:rFonts w:ascii="Times New Roman;Times;Serif" w:hAnsi="Times New Roman;Times;Serif"/>
          <w:b/>
          <w:i w:val="false"/>
          <w:caps w:val="false"/>
          <w:smallCaps w:val="false"/>
          <w:sz w:val="20"/>
          <w:u w:val="single"/>
        </w:rPr>
        <w:t>Hazardous Materials</w:t>
      </w:r>
      <w:r>
        <w:rPr>
          <w:rFonts w:ascii="Times New Roman;Times;Serif" w:hAnsi="Times New Roman;Times;Serif"/>
          <w:b w:val="false"/>
          <w:i w:val="false"/>
          <w:caps w:val="false"/>
          <w:smallCaps w:val="false"/>
          <w:sz w:val="20"/>
        </w:rPr>
        <w:t>” means and includes any substance, material, waste, pollutant, or contaminant that is or could be regulated under any Environmental Requirement or that may adversely affect human health or the environment, including any solid or hazardous waste, hazardous substance, asbestos, petroleum (including crude oil or any fraction thereof, natural gas, synthetic gas, polychlorinated biphenyls (PCBs), and radioactive material). For purposes of Environmental Requirements, to the extent authorized by law, Tenant is and shall be deemed to be the responsible party, including the “owner” and “operator” of Tenant’s “facility” and the “owner” of all Hazardous Materials brought on the Premises or the Project by a Tenant Party and the wastes, by-products, or residues generated, resulting, or produced therefrom.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Removal of Hazardous Materials</w:t>
      </w:r>
      <w:r>
        <w:rPr>
          <w:rFonts w:ascii="Times New Roman;Times;Serif" w:hAnsi="Times New Roman;Times;Serif"/>
          <w:b w:val="false"/>
          <w:i w:val="false"/>
          <w:caps w:val="false"/>
          <w:smallCaps w:val="false"/>
          <w:sz w:val="20"/>
        </w:rPr>
        <w:t>. Tenant, at its sole cost and expense, shall remove all Hazardous Materials stored, disposed of or otherwise released by a Tenant Party onto or from the Premises or the Project, in a manner and to a level satisfactory to Landlord in its reasonable discretion, but in no event to a level and in a manner less than that which complies with all Environmental Requirements and does not limit any future uses of the Premises or the Project or require the recording of any deed restriction or notice regarding the Premises or the Project. Tenant shall perform such work at any time during the period of this Lease upon written request by Landlord or, in the absence of a specific request by Landlord, before Tenant’s right to possession of the Premises terminates or expires. If Tenant fails to perform such work within the time period specified by Landlord or before Tenant’s right to possession terminates or expires (whichever is earlier), Landlord may at its discretion, and without waiving any other remedy available under this Lease or at law or equity (including an action to compel Tenant to perform such work), perform such work at Tenant’s cost. Tenant shall pay all costs incurred by Landlord in performing such work within thirty (30) days after Landlord’s request therefor. Such work performed by Landlord is on behalf of Tenant and Tenant remains the owner, generator, operator, transporter, and/or arranger of the Hazardous Materials stored, disposed of or otherwise released by a Tenant Party onto or from the Premises or the Project for purposes of Environmental Requirements. Tenant agrees not to enter into any agreement with any person, including any governmental authority, regarding the removal of Hazardous Materials that have been disposed of or otherwise released onto or from the Premises or the Project without the written approval of the Landlord.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Tenant’s Indemnity</w:t>
      </w:r>
      <w:r>
        <w:rPr>
          <w:rFonts w:ascii="Times New Roman;Times;Serif" w:hAnsi="Times New Roman;Times;Serif"/>
          <w:b w:val="false"/>
          <w:i w:val="false"/>
          <w:caps w:val="false"/>
          <w:smallCaps w:val="false"/>
          <w:sz w:val="20"/>
        </w:rPr>
        <w:t>. Tenant shall indemnify, defend, and hold Landlord harmless from and against any and all losses (including diminution in value of the Premises or the Project and loss of rental income from the Project), liabilities (INCLUDING ANY STRICT LIABILITY), claims, demands, actions, suits, damages (including punitive damages), expenses (including remediation, removal, repair, corrective action, or cleanup expenses), and costs (including actual attorneys’ fees, consultant fees or expert fees and including removal or management of any asbestos brought into the Premises or the Project or disturbed in breach of the requirements of this Section 27, regardless of whether such removal or management is required by Law) which are brought or recoverable against, or suffered or incurred by Landlord as a result of any release of Hazardous Materials or any breach of the requirements under this Section 27 by a Tenant Party regardless of whether Tenant had knowledge of such noncompliance. The obligations of Tenant under this Section 27 shall survive any expiration or termination of this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Inspections and Tests</w:t>
      </w:r>
      <w:r>
        <w:rPr>
          <w:rFonts w:ascii="Times New Roman;Times;Serif" w:hAnsi="Times New Roman;Times;Serif"/>
          <w:b w:val="false"/>
          <w:i w:val="false"/>
          <w:caps w:val="false"/>
          <w:smallCaps w:val="false"/>
          <w:sz w:val="20"/>
        </w:rPr>
        <w:t>. Landlord shall have access to, and a right to perform inspections and tests of, the Premises to determine Tenant’s compliance with Environmental Requirements, its obligations under this Section 27, or the environmental condition of the Premises. Access shall be granted to Landlord upon Landlord’s prior notice to Tenant and at such times so as to minimize, so far as may be reasonable under the circumstances, any disturbance to Tenant’s operations. Such inspections and tests shall be conducted at Landlord’s expense, unless such inspections or tests reveal that Tenant has not complied with any Environmental Requirement, in which case Tenant shall reimburse Landlord for the reasonable cost of such inspection and tests. Landlord’s receipt of or satisfaction with any environmental assessment in no way waives any rights that Landlord holds against Tenant. Tenant shall promptly notify Landlord of any communication or report that Tenant makes to any governmental authority regarding any possible violation of Environmental Requirements or release or threat of release of any Hazardous Materials onto or from the Premises or the Project. Tenant shall, within five days of receipt thereof, provide Landlord with a copy of any documents or correspondence received from any governmental agency or other party relating to a possible violation of Environmental Requirements or claim or liability associated with the release or threat of release of any Hazardous Materials onto or from the Premises or the Project. Tenant shall not undertake, nor shall Tenant permit any Tenant Party to undertake, any invasive investigation, drilling or sampling of the soil or groundwater at the Premises or the Project without the prior written consent of Landlord, which consent shall in Landlord’s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28.            </w:t>
      </w:r>
      <w:r>
        <w:rPr>
          <w:rFonts w:ascii="Times New Roman;Times;Serif" w:hAnsi="Times New Roman;Times;Serif"/>
          <w:b w:val="false"/>
          <w:i w:val="false"/>
          <w:caps w:val="false"/>
          <w:smallCaps w:val="false"/>
          <w:sz w:val="20"/>
          <w:u w:val="single"/>
        </w:rPr>
        <w:t>Parking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have the exclusive right to use all of the parking spaces associated with the Building. Landlord reserves the right to initiate steps to control the parking utilization through gates, access cards, hang-tags or other means as appropriate. Parking spaces will be available to Tenant without charge during the initial Term. Landlord shall not be responsible for enforcing Tenant’s parking rights against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29.            </w:t>
      </w:r>
      <w:r>
        <w:rPr>
          <w:rFonts w:ascii="Times New Roman;Times;Serif" w:hAnsi="Times New Roman;Times;Serif"/>
          <w:b w:val="false"/>
          <w:i w:val="false"/>
          <w:caps w:val="false"/>
          <w:smallCaps w:val="false"/>
          <w:sz w:val="20"/>
          <w:u w:val="single"/>
        </w:rPr>
        <w:t>Governmental Applications</w:t>
      </w:r>
      <w:r>
        <w:rPr>
          <w:rFonts w:ascii="Times New Roman;Times;Serif" w:hAnsi="Times New Roman;Times;Serif"/>
          <w:b w:val="false"/>
          <w:i w:val="false"/>
          <w:caps w:val="false"/>
          <w:smallCaps w:val="false"/>
          <w:sz w:val="20"/>
        </w:rPr>
        <w:t>. Landlord shall reasonably cooperate with Tenant and execute all applications and forms required under Law for Tenant’s building permit, reasonably assist Tenant with all application filings with the entities having jurisdiction over the facility especially related to application signatures, and reasonably cooperate with Tenant in obtaining any economic incentives, provided the foregoing is at no out-of-pocket cost to Landlord.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30.            </w:t>
      </w:r>
      <w:r>
        <w:rPr>
          <w:rFonts w:ascii="Times New Roman;Times;Serif" w:hAnsi="Times New Roman;Times;Serif"/>
          <w:b w:val="false"/>
          <w:i w:val="false"/>
          <w:caps w:val="false"/>
          <w:smallCaps w:val="false"/>
          <w:sz w:val="20"/>
          <w:u w:val="single"/>
        </w:rPr>
        <w:t>Landlord Termination Option</w:t>
      </w:r>
      <w:r>
        <w:rPr>
          <w:rFonts w:ascii="Times New Roman;Times;Serif" w:hAnsi="Times New Roman;Times;Serif"/>
          <w:b w:val="false"/>
          <w:i w:val="false"/>
          <w:caps w:val="false"/>
          <w:smallCaps w:val="false"/>
          <w:sz w:val="20"/>
        </w:rPr>
        <w:t>. Landlord’s Affiliate, Hightower Phase I Owner, LLC, a Delaware limited liability company, and Tenant are parties to the Lease Agreement dated May 8, 2026, with respect to Building 1 of the Complex; the Lease Agreement dated May 8, 2026, with respect to Building 2 of the Complex; and the Lease Agreement dated May 8, 2026, with respect to Building 3 of the Complex (collectively, the “</w:t>
      </w:r>
      <w:r>
        <w:rPr>
          <w:rFonts w:ascii="Times New Roman;Times;Serif" w:hAnsi="Times New Roman;Times;Serif"/>
          <w:b/>
          <w:i w:val="false"/>
          <w:caps w:val="false"/>
          <w:smallCaps w:val="false"/>
          <w:sz w:val="20"/>
          <w:u w:val="single"/>
        </w:rPr>
        <w:t>Phase I Leases</w:t>
      </w:r>
      <w:r>
        <w:rPr>
          <w:rFonts w:ascii="Times New Roman;Times;Serif" w:hAnsi="Times New Roman;Times;Serif"/>
          <w:b w:val="false"/>
          <w:i w:val="false"/>
          <w:caps w:val="false"/>
          <w:smallCaps w:val="false"/>
          <w:sz w:val="20"/>
        </w:rPr>
        <w:t>”). Under the terms of each of the Phase I Leases, Tenant has the right to purchase Buildings 1, 2, and 3 (collectively, the “</w:t>
      </w:r>
      <w:r>
        <w:rPr>
          <w:rFonts w:ascii="Times New Roman;Times;Serif" w:hAnsi="Times New Roman;Times;Serif"/>
          <w:b/>
          <w:i w:val="false"/>
          <w:caps w:val="false"/>
          <w:smallCaps w:val="false"/>
          <w:sz w:val="20"/>
          <w:u w:val="single"/>
        </w:rPr>
        <w:t>Phase I Buildings</w:t>
      </w:r>
      <w:r>
        <w:rPr>
          <w:rFonts w:ascii="Times New Roman;Times;Serif" w:hAnsi="Times New Roman;Times;Serif"/>
          <w:b w:val="false"/>
          <w:i w:val="false"/>
          <w:caps w:val="false"/>
          <w:smallCaps w:val="false"/>
          <w:sz w:val="20"/>
        </w:rPr>
        <w:t>”) pursuant to the terms of the Phase I Leases. If Tenant fails to timely notify Landlord of Tenant’s election to purchase the Phase I Buildings under the terms of the Phase I Leases, or elects to purchase the Phase I Buildings under the terms of the Phase I Leases and fails to close on the purchase of all of the Phase I Buildings for any reason other than under Section 10.2 of the purchase and sale agreement for the Phase I Buildings due to a default by Landlord, as the seller, then Landlord shall have the option to terminate this Lease by delivering written notice thereof to Tenant within thirty (30) days after such failure occurs. Landlord’s termination option under this Section 30 shall become null and void automatically upon the closing of the sale of the Phase I Buildings to Tenant. In the event of such termination, Landlord shall return to Tenant the Security Deposit and the Prepaid Rent, each to the extent not previously applied to Tenant’s obligations under this Lease, within ten (10) days after the date of such termination, which obligation shall survive termination of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w:t>
      </w:r>
      <w:r>
        <w:rPr>
          <w:rFonts w:ascii="Times New Roman;Times;Serif" w:hAnsi="Times New Roman;Times;Serif"/>
          <w:b w:val="false"/>
          <w:i w:val="false"/>
          <w:caps w:val="false"/>
          <w:smallCaps w:val="false"/>
          <w:sz w:val="20"/>
          <w:u w:val="single"/>
        </w:rPr>
        <w:t>Tenant Termination Option</w:t>
      </w:r>
      <w:r>
        <w:rPr>
          <w:rFonts w:ascii="Times New Roman;Times;Serif" w:hAnsi="Times New Roman;Times;Serif"/>
          <w:b w:val="false"/>
          <w:i w:val="false"/>
          <w:caps w:val="false"/>
          <w:smallCaps w:val="false"/>
          <w:sz w:val="20"/>
        </w:rPr>
        <w:t>. If Tenant elects to terminate one or more Phase I Leases pursuant to Section 7 of Exhibit H of such Phase I Lease, then Tenant shall have the option to terminate this Lease by delivering written notice thereof to Landlord within thirty (30) days after the date Tenant elects to terminate such Phase I Lease. In the event of such termination, Landlord shall return to Tenant the Security Deposit and the Prepaid Rent, each to the extent not previously applied to Tenant’s obligations under this Lease, within ten (10) days after the date of such termination, which obligation shall survive termination of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w:t>
      </w:r>
      <w:r>
        <w:rPr>
          <w:rFonts w:ascii="Times New Roman;Times;Serif" w:hAnsi="Times New Roman;Times;Serif"/>
          <w:b w:val="false"/>
          <w:i w:val="false"/>
          <w:caps w:val="false"/>
          <w:smallCaps w:val="false"/>
          <w:sz w:val="20"/>
          <w:u w:val="single"/>
        </w:rPr>
        <w:t>Solar Panels</w:t>
      </w:r>
      <w:r>
        <w:rPr>
          <w:rFonts w:ascii="Times New Roman;Times;Serif" w:hAnsi="Times New Roman;Times;Serif"/>
          <w:b w:val="false"/>
          <w:i w:val="false"/>
          <w:caps w:val="false"/>
          <w:smallCaps w:val="false"/>
          <w:sz w:val="20"/>
        </w:rPr>
        <w:t>. Tenant may, at Tenant’s sole risk and expense, install, maintain and replace solar panels (including but not limited to, penetrations, ballast, inverters, converters, and cabling; collectively, “</w:t>
      </w:r>
      <w:r>
        <w:rPr>
          <w:rFonts w:ascii="Times New Roman;Times;Serif" w:hAnsi="Times New Roman;Times;Serif"/>
          <w:b/>
          <w:i w:val="false"/>
          <w:caps w:val="false"/>
          <w:smallCaps w:val="false"/>
          <w:sz w:val="20"/>
          <w:u w:val="single"/>
        </w:rPr>
        <w:t>Solar Panels</w:t>
      </w:r>
      <w:r>
        <w:rPr>
          <w:rFonts w:ascii="Times New Roman;Times;Serif" w:hAnsi="Times New Roman;Times;Serif"/>
          <w:b w:val="false"/>
          <w:i w:val="false"/>
          <w:caps w:val="false"/>
          <w:smallCaps w:val="false"/>
          <w:sz w:val="20"/>
        </w:rPr>
        <w:t>”) on the roof of the Building above the Premises, provided that (i) Tenant complies with the terms of this Section 32; (ii) the Solar Panels do not affect the warranty for the Building’s roof; (iii) the Solar Panels do not adversely affect the Building’s Systems or Building’s Structure; and (iv) the plans for the Solar Panels are approved in advance by Landlord, such approval not to be unreasonably withheld, conditioned or delayed, subject to compliance with commercially reasonable recommendations of Landlord’s structural engineer and/or roofing contractor. Before installing any Solar Panels, Tenant shall submit to Landlord for its approval (which shall not be unreasonably withheld, conditioned or delayed provided that such plans and specifications conform with the recommendations of Landlord’s roofing contractor and/or structural engineer, as applicable, and the terms of this Section 32) plans and specifications for Solar Panels which (1) specify in detail the design, location and size of the Solar Panels and (2) are sufficiently detailed to allow for the installation of the Solar Panels in a good and workmanlike manner and in accordance with all Laws. If Landlord approves of such plans, Tenant shall install (in a good and workmanlike manner), maintain and use the Solar Panels in accordance with all Laws and shall obtain all permits required for the installation and operation thereof; copies of all such permits must be submitted to Landlord before Tenant begins to install the Solar Panels. Tenant shall not allow any third party, other than a Permitted Transferee, to use (as opposed to maintain, install and/or service) the Solar Panels, provided that Tenant shall have the right to sell any excess electricity produced from the Solar Panels to third parties (however, in such event, Landlord shall have no liability to such third party in connection with the Solar Panels). Upon request of Landlord, Tenant shall, at its risk and expense, remove all Solar Panels within thirty (30) days after the occurrence of any of the following events: (A) the termination of Tenant’s right to possess the Premises; (B) the termination of this Lease; (C) the expiration of the Term; or (D) if Tenant enters into any sublease for the entire Premises for a material portion of the Term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at least sixty (60) full calendar months) or assigns this Lease in its entirety, except to a Permitted Transferee. If Tenant fails to do so, Landlord may remove the Solar Panels and store or dispose of them in any manner Landlord deems appropriate without liability to Tenant (except for any damages caused by the gross negligence or willful misconduct of Landlord, its employees, agents or contractors); Tenant shall reimburse Landlord for all reasonable costs incurred by Landlord in connection therewith within thirty (30) days after Landlord’s written request therefor. Tenant shall repair any damage to the Building caused by or relating to the Solar Panels, including that which is caused by its installation, maintenance, use, or removal. All work relating to the installation, maintenance and removal of Solar Panels shall, at Tenant’s expense, be coordinated with Landlord’s roofing contractor so as not to affect any warranty for the Building’s roof. For all purposes under this Lease, the Solar Panels shall be deemed to be included within the definition of Tenant’s Off-Premises Equipment. Subject to Landlord’s right to access the roof to perform Landlord’s obligations (or exercise Landlord’s rights) under this Lease, Tenant shall have the exclusive right to use the portions of the roof where the Solar Panels are located. In the event Landlord shall deem it necessary to complete any maintenance, repairs, inspection or replacement of the roof of the Building (including without limitation the roof membrane) (collectively, the “</w:t>
      </w:r>
      <w:r>
        <w:rPr>
          <w:rFonts w:ascii="Times New Roman;Times;Serif" w:hAnsi="Times New Roman;Times;Serif"/>
          <w:b/>
          <w:i w:val="false"/>
          <w:caps w:val="false"/>
          <w:smallCaps w:val="false"/>
          <w:sz w:val="20"/>
          <w:u w:val="single"/>
        </w:rPr>
        <w:t>Landlord Roof Repairs</w:t>
      </w:r>
      <w:r>
        <w:rPr>
          <w:rFonts w:ascii="Times New Roman;Times;Serif" w:hAnsi="Times New Roman;Times;Serif"/>
          <w:b w:val="false"/>
          <w:i w:val="false"/>
          <w:caps w:val="false"/>
          <w:smallCaps w:val="false"/>
          <w:sz w:val="20"/>
        </w:rPr>
        <w:t>”), Landlord shall provide reasonable advance notice to Tenant (but in no case shall such notice be provided less than ten (10) business days prior to the scheduled work of Landlord, except in the event of an emergency) of the Landlord Roof Repairs to be completed and identify the portions of the Solar Panels that will be required to be offline, powered down, removed and/or relocated to complete such Landlord Roof Repairs (each, a “</w:t>
      </w:r>
      <w:r>
        <w:rPr>
          <w:rFonts w:ascii="Times New Roman;Times;Serif" w:hAnsi="Times New Roman;Times;Serif"/>
          <w:b/>
          <w:i w:val="false"/>
          <w:caps w:val="false"/>
          <w:smallCaps w:val="false"/>
          <w:sz w:val="20"/>
          <w:u w:val="single"/>
        </w:rPr>
        <w:t>Roof Maintenance Notice</w:t>
      </w:r>
      <w:r>
        <w:rPr>
          <w:rFonts w:ascii="Times New Roman;Times;Serif" w:hAnsi="Times New Roman;Times;Serif"/>
          <w:b w:val="false"/>
          <w:i w:val="false"/>
          <w:caps w:val="false"/>
          <w:smallCaps w:val="false"/>
          <w:sz w:val="20"/>
        </w:rPr>
        <w:t>”). Upon receipt of a Roof Maintenance Notice, Landlord and Tenant shall promptly work in good faith to create a mutually agreeable plan to address the Solar Panels in connection with such Landlord Roof Repairs, and Tenant shall address the Solar Panels in accordance with such plan.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 NOTHING IN THIS PARAGRAPH SHALL BE CONSTRUED TO DIMINISH THE OBLIGATIONS OF LANDLORD THAT ARE EXPRESSLY SET FORTH ELSEWHERE IN THIS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is executed on the respective dates set forth below, but for reference purposes, this Lease shall be dated as of the date first above written. If the execution date is left blank, this Lease shall be deemed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6144" w:type="dxa"/>
        <w:jc w:val="left"/>
        <w:tblInd w:w="0" w:type="dxa"/>
        <w:tblLayout w:type="fixed"/>
        <w:tblCellMar>
          <w:top w:w="0" w:type="dxa"/>
          <w:left w:w="0" w:type="dxa"/>
          <w:bottom w:w="0" w:type="dxa"/>
          <w:right w:w="0" w:type="dxa"/>
        </w:tblCellMar>
      </w:tblPr>
      <w:tblGrid>
        <w:gridCol w:w="1460"/>
        <w:gridCol w:w="370"/>
        <w:gridCol w:w="370"/>
        <w:gridCol w:w="370"/>
        <w:gridCol w:w="718"/>
        <w:gridCol w:w="2856"/>
      </w:tblGrid>
      <w:tr>
        <w:trPr/>
        <w:tc>
          <w:tcPr>
            <w:tcW w:w="1460" w:type="dxa"/>
            <w:tcBorders/>
            <w:vAlign w:val="center"/>
          </w:tcPr>
          <w:p>
            <w:pPr>
              <w:pStyle w:val="TableContents"/>
              <w:bidi w:val="0"/>
              <w:spacing w:before="0" w:after="283"/>
              <w:jc w:val="left"/>
              <w:rPr/>
            </w:pPr>
            <w:r>
              <w:rPr/>
              <w:t>LANDLORD:</w:t>
            </w:r>
          </w:p>
        </w:tc>
        <w:tc>
          <w:tcPr>
            <w:tcW w:w="37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2856" w:type="dxa"/>
            <w:tcBorders/>
            <w:vAlign w:val="center"/>
          </w:tcPr>
          <w:p>
            <w:pPr>
              <w:pStyle w:val="TableContents"/>
              <w:bidi w:val="0"/>
              <w:spacing w:before="0" w:after="283"/>
              <w:ind w:left="0" w:right="0" w:hanging="0"/>
              <w:jc w:val="left"/>
              <w:rPr/>
            </w:pPr>
            <w:r>
              <w:rPr/>
              <w:t> </w:t>
            </w:r>
          </w:p>
        </w:tc>
      </w:tr>
      <w:tr>
        <w:trPr/>
        <w:tc>
          <w:tcPr>
            <w:tcW w:w="1460" w:type="dxa"/>
            <w:tcBorders/>
            <w:vAlign w:val="center"/>
          </w:tcPr>
          <w:p>
            <w:pPr>
              <w:pStyle w:val="TableContents"/>
              <w:bidi w:val="0"/>
              <w:spacing w:before="0" w:after="283"/>
              <w:ind w:left="0" w:right="0" w:hanging="0"/>
              <w:jc w:val="left"/>
              <w:rPr/>
            </w:pPr>
            <w:r>
              <w:rPr/>
              <w:t> </w:t>
            </w:r>
          </w:p>
        </w:tc>
        <w:tc>
          <w:tcPr>
            <w:tcW w:w="4684" w:type="dxa"/>
            <w:gridSpan w:val="5"/>
            <w:tcBorders/>
            <w:vAlign w:val="center"/>
          </w:tcPr>
          <w:p>
            <w:pPr>
              <w:pStyle w:val="TableContents"/>
              <w:bidi w:val="0"/>
              <w:spacing w:before="0" w:after="283"/>
              <w:ind w:left="0" w:right="0" w:hanging="0"/>
              <w:jc w:val="left"/>
              <w:rPr/>
            </w:pPr>
            <w:r>
              <w:rPr>
                <w:b/>
                <w:caps/>
              </w:rPr>
              <w:t>Hightower Phase II Owner, LLC</w:t>
            </w:r>
            <w:r>
              <w:rPr/>
              <w:t>,</w:t>
            </w:r>
          </w:p>
        </w:tc>
      </w:tr>
      <w:tr>
        <w:trPr/>
        <w:tc>
          <w:tcPr>
            <w:tcW w:w="1460" w:type="dxa"/>
            <w:tcBorders/>
            <w:vAlign w:val="center"/>
          </w:tcPr>
          <w:p>
            <w:pPr>
              <w:pStyle w:val="TableContents"/>
              <w:bidi w:val="0"/>
              <w:spacing w:before="0" w:after="283"/>
              <w:ind w:left="0" w:right="0" w:hanging="0"/>
              <w:jc w:val="left"/>
              <w:rPr>
                <w:sz w:val="4"/>
                <w:szCs w:val="4"/>
              </w:rPr>
            </w:pPr>
            <w:r>
              <w:rPr>
                <w:sz w:val="4"/>
                <w:szCs w:val="4"/>
              </w:rPr>
            </w:r>
          </w:p>
        </w:tc>
        <w:tc>
          <w:tcPr>
            <w:tcW w:w="4684" w:type="dxa"/>
            <w:gridSpan w:val="5"/>
            <w:tcBorders/>
            <w:vAlign w:val="center"/>
          </w:tcPr>
          <w:p>
            <w:pPr>
              <w:pStyle w:val="TableContents"/>
              <w:bidi w:val="0"/>
              <w:spacing w:before="0" w:after="283"/>
              <w:ind w:left="0" w:right="0" w:hanging="0"/>
              <w:jc w:val="left"/>
              <w:rPr/>
            </w:pPr>
            <w:r>
              <w:rPr/>
              <w:t>a Delaware limited liability company</w:t>
            </w:r>
          </w:p>
        </w:tc>
      </w:tr>
      <w:tr>
        <w:trPr/>
        <w:tc>
          <w:tcPr>
            <w:tcW w:w="1460" w:type="dxa"/>
            <w:tcBorders/>
            <w:vAlign w:val="center"/>
          </w:tcPr>
          <w:p>
            <w:pPr>
              <w:pStyle w:val="TableContents"/>
              <w:bidi w:val="0"/>
              <w:spacing w:before="0" w:after="283"/>
              <w:ind w:left="0" w:right="0" w:hanging="0"/>
              <w:jc w:val="left"/>
              <w:rPr/>
            </w:pPr>
            <w:r>
              <w:rPr/>
              <w:t> </w:t>
            </w:r>
          </w:p>
        </w:tc>
        <w:tc>
          <w:tcPr>
            <w:tcW w:w="4684" w:type="dxa"/>
            <w:gridSpan w:val="5"/>
            <w:tcBorders/>
            <w:vAlign w:val="center"/>
          </w:tcPr>
          <w:p>
            <w:pPr>
              <w:pStyle w:val="TableContents"/>
              <w:bidi w:val="0"/>
              <w:spacing w:before="0" w:after="283"/>
              <w:ind w:left="0" w:right="0" w:hanging="0"/>
              <w:jc w:val="left"/>
              <w:rPr/>
            </w:pPr>
            <w:r>
              <w:rPr/>
              <w:t> </w:t>
            </w:r>
          </w:p>
        </w:tc>
      </w:tr>
      <w:tr>
        <w:trPr/>
        <w:tc>
          <w:tcPr>
            <w:tcW w:w="1460" w:type="dxa"/>
            <w:tcBorders/>
            <w:vAlign w:val="center"/>
          </w:tcPr>
          <w:p>
            <w:pPr>
              <w:pStyle w:val="TableContents"/>
              <w:bidi w:val="0"/>
              <w:spacing w:before="0" w:after="283"/>
              <w:ind w:left="0" w:right="0" w:hanging="0"/>
              <w:jc w:val="left"/>
              <w:rPr>
                <w:sz w:val="4"/>
                <w:szCs w:val="4"/>
              </w:rPr>
            </w:pPr>
            <w:r>
              <w:rPr>
                <w:sz w:val="4"/>
                <w:szCs w:val="4"/>
              </w:rPr>
            </w:r>
          </w:p>
        </w:tc>
        <w:tc>
          <w:tcPr>
            <w:tcW w:w="370" w:type="dxa"/>
            <w:tcBorders/>
            <w:vAlign w:val="center"/>
          </w:tcPr>
          <w:p>
            <w:pPr>
              <w:pStyle w:val="TableContents"/>
              <w:bidi w:val="0"/>
              <w:spacing w:before="0" w:after="283"/>
              <w:ind w:left="0" w:right="0" w:hanging="0"/>
              <w:jc w:val="left"/>
              <w:rPr/>
            </w:pPr>
            <w:r>
              <w:rPr/>
              <w:t>By:</w:t>
            </w:r>
          </w:p>
        </w:tc>
        <w:tc>
          <w:tcPr>
            <w:tcW w:w="4314" w:type="dxa"/>
            <w:gridSpan w:val="4"/>
            <w:tcBorders/>
            <w:vAlign w:val="center"/>
          </w:tcPr>
          <w:p>
            <w:pPr>
              <w:pStyle w:val="TableContents"/>
              <w:bidi w:val="0"/>
              <w:spacing w:before="0" w:after="283"/>
              <w:ind w:left="0" w:right="0" w:hanging="0"/>
              <w:jc w:val="left"/>
              <w:rPr/>
            </w:pPr>
            <w:r>
              <w:rPr/>
              <w:t>Hightower Investor Holdings, LLC,</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4314" w:type="dxa"/>
            <w:gridSpan w:val="4"/>
            <w:tcBorders/>
            <w:vAlign w:val="center"/>
          </w:tcPr>
          <w:p>
            <w:pPr>
              <w:pStyle w:val="TableContents"/>
              <w:bidi w:val="0"/>
              <w:spacing w:before="0" w:after="283"/>
              <w:ind w:left="0" w:right="0" w:hanging="0"/>
              <w:jc w:val="left"/>
              <w:rPr/>
            </w:pPr>
            <w:r>
              <w:rPr/>
              <w:t>a Delaware limited liability company.</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4314" w:type="dxa"/>
            <w:gridSpan w:val="4"/>
            <w:tcBorders/>
            <w:vAlign w:val="center"/>
          </w:tcPr>
          <w:p>
            <w:pPr>
              <w:pStyle w:val="TableContents"/>
              <w:bidi w:val="0"/>
              <w:spacing w:before="0" w:after="283"/>
              <w:ind w:left="0" w:right="0" w:hanging="0"/>
              <w:jc w:val="left"/>
              <w:rPr/>
            </w:pPr>
            <w:r>
              <w:rPr/>
              <w:t>its sole member</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4314" w:type="dxa"/>
            <w:gridSpan w:val="4"/>
            <w:tcBorders/>
            <w:vAlign w:val="center"/>
          </w:tcPr>
          <w:p>
            <w:pPr>
              <w:pStyle w:val="TableContents"/>
              <w:bidi w:val="0"/>
              <w:spacing w:before="0" w:after="283"/>
              <w:ind w:left="0" w:right="0" w:hanging="0"/>
              <w:jc w:val="left"/>
              <w:rPr/>
            </w:pPr>
            <w:r>
              <w:rPr/>
              <w:t> </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70" w:type="dxa"/>
            <w:tcBorders/>
            <w:vAlign w:val="center"/>
          </w:tcPr>
          <w:p>
            <w:pPr>
              <w:pStyle w:val="TableContents"/>
              <w:bidi w:val="0"/>
              <w:spacing w:before="0" w:after="283"/>
              <w:ind w:left="0" w:right="0" w:hanging="0"/>
              <w:jc w:val="left"/>
              <w:rPr/>
            </w:pPr>
            <w:r>
              <w:rPr/>
              <w:t>By:</w:t>
            </w:r>
          </w:p>
        </w:tc>
        <w:tc>
          <w:tcPr>
            <w:tcW w:w="3944" w:type="dxa"/>
            <w:gridSpan w:val="3"/>
            <w:tcBorders/>
            <w:vAlign w:val="center"/>
          </w:tcPr>
          <w:p>
            <w:pPr>
              <w:pStyle w:val="TableContents"/>
              <w:bidi w:val="0"/>
              <w:spacing w:before="0" w:after="283"/>
              <w:ind w:left="0" w:right="0" w:hanging="0"/>
              <w:jc w:val="left"/>
              <w:rPr/>
            </w:pPr>
            <w:r>
              <w:rPr/>
              <w:t>CHI Gulf Coast 106 Hightower, L.P.,</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944" w:type="dxa"/>
            <w:gridSpan w:val="3"/>
            <w:tcBorders/>
            <w:vAlign w:val="center"/>
          </w:tcPr>
          <w:p>
            <w:pPr>
              <w:pStyle w:val="TableContents"/>
              <w:bidi w:val="0"/>
              <w:spacing w:before="0" w:after="283"/>
              <w:ind w:left="0" w:right="0" w:hanging="0"/>
              <w:jc w:val="left"/>
              <w:rPr/>
            </w:pPr>
            <w:r>
              <w:rPr/>
              <w:t>a Delaware limited partnership,</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944" w:type="dxa"/>
            <w:gridSpan w:val="3"/>
            <w:tcBorders/>
            <w:vAlign w:val="center"/>
          </w:tcPr>
          <w:p>
            <w:pPr>
              <w:pStyle w:val="TableContents"/>
              <w:bidi w:val="0"/>
              <w:spacing w:before="0" w:after="283"/>
              <w:ind w:left="0" w:right="0" w:hanging="0"/>
              <w:jc w:val="left"/>
              <w:rPr/>
            </w:pPr>
            <w:r>
              <w:rPr/>
              <w:t>its administrative member</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944" w:type="dxa"/>
            <w:gridSpan w:val="3"/>
            <w:tcBorders/>
            <w:vAlign w:val="center"/>
          </w:tcPr>
          <w:p>
            <w:pPr>
              <w:pStyle w:val="TableContents"/>
              <w:bidi w:val="0"/>
              <w:spacing w:before="0" w:after="283"/>
              <w:ind w:left="0" w:right="0" w:hanging="0"/>
              <w:jc w:val="left"/>
              <w:rPr/>
            </w:pPr>
            <w:r>
              <w:rPr/>
              <w:t> </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70" w:type="dxa"/>
            <w:tcBorders/>
            <w:vAlign w:val="center"/>
          </w:tcPr>
          <w:p>
            <w:pPr>
              <w:pStyle w:val="TableContents"/>
              <w:bidi w:val="0"/>
              <w:spacing w:before="0" w:after="283"/>
              <w:ind w:left="0" w:right="0" w:hanging="0"/>
              <w:jc w:val="left"/>
              <w:rPr/>
            </w:pPr>
            <w:r>
              <w:rPr/>
              <w:t>By:</w:t>
            </w:r>
          </w:p>
        </w:tc>
        <w:tc>
          <w:tcPr>
            <w:tcW w:w="3574" w:type="dxa"/>
            <w:gridSpan w:val="2"/>
            <w:tcBorders/>
            <w:vAlign w:val="center"/>
          </w:tcPr>
          <w:p>
            <w:pPr>
              <w:pStyle w:val="TableContents"/>
              <w:bidi w:val="0"/>
              <w:spacing w:before="0" w:after="283"/>
              <w:ind w:left="0" w:right="0" w:hanging="0"/>
              <w:jc w:val="left"/>
              <w:rPr/>
            </w:pPr>
            <w:r>
              <w:rPr/>
              <w:t>CHI LTH GP, L.L.C.,</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574" w:type="dxa"/>
            <w:gridSpan w:val="2"/>
            <w:tcBorders/>
            <w:vAlign w:val="center"/>
          </w:tcPr>
          <w:p>
            <w:pPr>
              <w:pStyle w:val="TableContents"/>
              <w:bidi w:val="0"/>
              <w:spacing w:before="0" w:after="283"/>
              <w:ind w:left="0" w:right="0" w:hanging="0"/>
              <w:jc w:val="left"/>
              <w:rPr/>
            </w:pPr>
            <w:r>
              <w:rPr/>
              <w:t>a Delaware limited liability company,</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574" w:type="dxa"/>
            <w:gridSpan w:val="2"/>
            <w:tcBorders/>
            <w:vAlign w:val="center"/>
          </w:tcPr>
          <w:p>
            <w:pPr>
              <w:pStyle w:val="TableContents"/>
              <w:bidi w:val="0"/>
              <w:spacing w:before="0" w:after="283"/>
              <w:ind w:left="0" w:right="0" w:hanging="0"/>
              <w:jc w:val="left"/>
              <w:rPr/>
            </w:pPr>
            <w:r>
              <w:rPr/>
              <w:t>its general partner</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718" w:type="dxa"/>
            <w:tcBorders/>
            <w:vAlign w:val="center"/>
          </w:tcPr>
          <w:p>
            <w:pPr>
              <w:pStyle w:val="TableContents"/>
              <w:bidi w:val="0"/>
              <w:spacing w:before="0" w:after="283"/>
              <w:ind w:left="0" w:right="0" w:hanging="0"/>
              <w:jc w:val="left"/>
              <w:rPr/>
            </w:pPr>
            <w:r>
              <w:rPr/>
              <w:t> </w:t>
            </w:r>
          </w:p>
        </w:tc>
        <w:tc>
          <w:tcPr>
            <w:tcW w:w="2856" w:type="dxa"/>
            <w:tcBorders/>
            <w:vAlign w:val="center"/>
          </w:tcPr>
          <w:p>
            <w:pPr>
              <w:pStyle w:val="TableContents"/>
              <w:bidi w:val="0"/>
              <w:spacing w:before="0" w:after="283"/>
              <w:ind w:left="0" w:right="0" w:hanging="0"/>
              <w:jc w:val="left"/>
              <w:rPr/>
            </w:pPr>
            <w:r>
              <w:rPr/>
              <w:t> </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718" w:type="dxa"/>
            <w:tcBorders/>
            <w:vAlign w:val="center"/>
          </w:tcPr>
          <w:p>
            <w:pPr>
              <w:pStyle w:val="TableContents"/>
              <w:bidi w:val="0"/>
              <w:spacing w:before="0" w:after="283"/>
              <w:ind w:left="0" w:right="0" w:hanging="0"/>
              <w:jc w:val="left"/>
              <w:rPr/>
            </w:pPr>
            <w:r>
              <w:rPr/>
              <w:t>By:</w:t>
            </w:r>
          </w:p>
        </w:tc>
        <w:tc>
          <w:tcPr>
            <w:tcW w:w="2856" w:type="dxa"/>
            <w:tcBorders/>
            <w:vAlign w:val="center"/>
          </w:tcPr>
          <w:p>
            <w:pPr>
              <w:pStyle w:val="TableContents"/>
              <w:bidi w:val="0"/>
              <w:spacing w:before="0" w:after="283"/>
              <w:ind w:left="0" w:right="0" w:hanging="0"/>
              <w:jc w:val="left"/>
              <w:rPr>
                <w:b/>
              </w:rPr>
            </w:pPr>
            <w:r>
              <w:rPr>
                <w:b/>
              </w:rPr>
              <w:t>s/ Cory Driskill</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718" w:type="dxa"/>
            <w:tcBorders/>
            <w:vAlign w:val="center"/>
          </w:tcPr>
          <w:p>
            <w:pPr>
              <w:pStyle w:val="TableContents"/>
              <w:bidi w:val="0"/>
              <w:spacing w:before="0" w:after="283"/>
              <w:ind w:left="0" w:right="0" w:hanging="0"/>
              <w:jc w:val="left"/>
              <w:rPr/>
            </w:pPr>
            <w:r>
              <w:rPr/>
              <w:t>Name:</w:t>
            </w:r>
          </w:p>
        </w:tc>
        <w:tc>
          <w:tcPr>
            <w:tcW w:w="2856" w:type="dxa"/>
            <w:tcBorders/>
            <w:vAlign w:val="center"/>
          </w:tcPr>
          <w:p>
            <w:pPr>
              <w:pStyle w:val="TableContents"/>
              <w:bidi w:val="0"/>
              <w:spacing w:before="0" w:after="283"/>
              <w:ind w:left="0" w:right="0" w:hanging="0"/>
              <w:jc w:val="left"/>
              <w:rPr/>
            </w:pPr>
            <w:r>
              <w:rPr/>
              <w:t>Cory Driskill</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718" w:type="dxa"/>
            <w:tcBorders/>
            <w:vAlign w:val="center"/>
          </w:tcPr>
          <w:p>
            <w:pPr>
              <w:pStyle w:val="TableContents"/>
              <w:bidi w:val="0"/>
              <w:spacing w:before="0" w:after="283"/>
              <w:ind w:left="0" w:right="0" w:hanging="0"/>
              <w:jc w:val="left"/>
              <w:rPr/>
            </w:pPr>
            <w:r>
              <w:rPr/>
              <w:t>Title:</w:t>
            </w:r>
          </w:p>
        </w:tc>
        <w:tc>
          <w:tcPr>
            <w:tcW w:w="2856" w:type="dxa"/>
            <w:tcBorders/>
            <w:vAlign w:val="center"/>
          </w:tcPr>
          <w:p>
            <w:pPr>
              <w:pStyle w:val="TableContents"/>
              <w:bidi w:val="0"/>
              <w:spacing w:before="0" w:after="283"/>
              <w:ind w:left="0" w:right="0" w:hanging="0"/>
              <w:jc w:val="left"/>
              <w:rPr/>
            </w:pPr>
            <w:r>
              <w:rPr/>
              <w:t>Vice President</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718" w:type="dxa"/>
            <w:tcBorders/>
            <w:vAlign w:val="center"/>
          </w:tcPr>
          <w:p>
            <w:pPr>
              <w:pStyle w:val="TableContents"/>
              <w:bidi w:val="0"/>
              <w:spacing w:before="0" w:after="283"/>
              <w:ind w:left="0" w:right="0" w:hanging="0"/>
              <w:jc w:val="left"/>
              <w:rPr/>
            </w:pPr>
            <w:r>
              <w:rPr/>
              <w:t> </w:t>
            </w:r>
          </w:p>
        </w:tc>
        <w:tc>
          <w:tcPr>
            <w:tcW w:w="2856" w:type="dxa"/>
            <w:tcBorders/>
            <w:vAlign w:val="center"/>
          </w:tcPr>
          <w:p>
            <w:pPr>
              <w:pStyle w:val="TableContents"/>
              <w:bidi w:val="0"/>
              <w:spacing w:before="0" w:after="283"/>
              <w:jc w:val="left"/>
              <w:rPr/>
            </w:pPr>
            <w:r>
              <w:rPr/>
              <w:t>Execution Date: 8/31/2026</w:t>
            </w:r>
          </w:p>
        </w:tc>
      </w:tr>
    </w:tbl>
    <w:p>
      <w:pPr>
        <w:pStyle w:val="TextBody"/>
        <w:bidi w:val="0"/>
        <w:spacing w:before="0" w:after="283"/>
        <w:jc w:val="left"/>
        <w:rPr/>
      </w:pPr>
      <w:r>
        <w:rPr/>
        <w:t> </w:t>
      </w:r>
    </w:p>
    <w:p>
      <w:pPr>
        <w:pStyle w:val="TextBody"/>
        <w:bidi w:val="0"/>
        <w:spacing w:before="0" w:after="283"/>
        <w:jc w:val="left"/>
        <w:rPr/>
      </w:pPr>
      <w:r>
        <w:rPr/>
        <w:t> </w:t>
      </w:r>
    </w:p>
    <w:tbl>
      <w:tblPr>
        <w:tblW w:w="5409" w:type="dxa"/>
        <w:jc w:val="left"/>
        <w:tblInd w:w="0" w:type="dxa"/>
        <w:tblLayout w:type="fixed"/>
        <w:tblCellMar>
          <w:top w:w="0" w:type="dxa"/>
          <w:left w:w="0" w:type="dxa"/>
          <w:bottom w:w="0" w:type="dxa"/>
          <w:right w:w="0" w:type="dxa"/>
        </w:tblCellMar>
      </w:tblPr>
      <w:tblGrid>
        <w:gridCol w:w="1085"/>
        <w:gridCol w:w="1880"/>
        <w:gridCol w:w="2444"/>
      </w:tblGrid>
      <w:tr>
        <w:trPr/>
        <w:tc>
          <w:tcPr>
            <w:tcW w:w="1085" w:type="dxa"/>
            <w:tcBorders/>
            <w:vAlign w:val="center"/>
          </w:tcPr>
          <w:p>
            <w:pPr>
              <w:pStyle w:val="TableContents"/>
              <w:bidi w:val="0"/>
              <w:spacing w:before="0" w:after="283"/>
              <w:jc w:val="left"/>
              <w:rPr/>
            </w:pPr>
            <w:r>
              <w:rPr/>
              <w:t>TENANT:</w:t>
            </w:r>
          </w:p>
        </w:tc>
        <w:tc>
          <w:tcPr>
            <w:tcW w:w="4324" w:type="dxa"/>
            <w:gridSpan w:val="2"/>
            <w:tcBorders/>
            <w:vAlign w:val="center"/>
          </w:tcPr>
          <w:p>
            <w:pPr>
              <w:pStyle w:val="TableContents"/>
              <w:bidi w:val="0"/>
              <w:spacing w:before="0" w:after="283"/>
              <w:jc w:val="left"/>
              <w:rPr/>
            </w:pPr>
            <w:r>
              <w:rPr>
                <w:b/>
              </w:rPr>
              <w:t>APPLIED OPTOELECTRONICS, INC.</w:t>
            </w:r>
            <w:r>
              <w:rPr/>
              <w:t>,</w:t>
            </w:r>
          </w:p>
        </w:tc>
      </w:tr>
      <w:tr>
        <w:trPr/>
        <w:tc>
          <w:tcPr>
            <w:tcW w:w="108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pPr>
            <w:r>
              <w:rPr/>
              <w:t>a Delaware corporation</w:t>
            </w:r>
          </w:p>
        </w:tc>
      </w:tr>
      <w:tr>
        <w:trPr/>
        <w:tc>
          <w:tcPr>
            <w:tcW w:w="10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2444"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By:</w:t>
            </w:r>
          </w:p>
        </w:tc>
        <w:tc>
          <w:tcPr>
            <w:tcW w:w="2444" w:type="dxa"/>
            <w:tcBorders/>
            <w:vAlign w:val="center"/>
          </w:tcPr>
          <w:p>
            <w:pPr>
              <w:pStyle w:val="TableContents"/>
              <w:bidi w:val="0"/>
              <w:spacing w:before="0" w:after="283"/>
              <w:jc w:val="left"/>
              <w:rPr>
                <w:b/>
              </w:rPr>
            </w:pPr>
            <w:r>
              <w:rPr>
                <w:b/>
              </w:rPr>
              <w:t>s/ Fred Chang</w:t>
            </w:r>
          </w:p>
        </w:tc>
      </w:tr>
      <w:tr>
        <w:trPr/>
        <w:tc>
          <w:tcPr>
            <w:tcW w:w="10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Name:</w:t>
            </w:r>
          </w:p>
        </w:tc>
        <w:tc>
          <w:tcPr>
            <w:tcW w:w="2444" w:type="dxa"/>
            <w:tcBorders/>
            <w:vAlign w:val="center"/>
          </w:tcPr>
          <w:p>
            <w:pPr>
              <w:pStyle w:val="TableContents"/>
              <w:bidi w:val="0"/>
              <w:spacing w:before="0" w:after="283"/>
              <w:jc w:val="left"/>
              <w:rPr/>
            </w:pPr>
            <w:r>
              <w:rPr/>
              <w:t>Fred Chang</w:t>
            </w:r>
          </w:p>
        </w:tc>
      </w:tr>
      <w:tr>
        <w:trPr/>
        <w:tc>
          <w:tcPr>
            <w:tcW w:w="10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Title:</w:t>
            </w:r>
          </w:p>
        </w:tc>
        <w:tc>
          <w:tcPr>
            <w:tcW w:w="2444" w:type="dxa"/>
            <w:tcBorders/>
            <w:vAlign w:val="center"/>
          </w:tcPr>
          <w:p>
            <w:pPr>
              <w:pStyle w:val="TableContents"/>
              <w:bidi w:val="0"/>
              <w:spacing w:before="0" w:after="283"/>
              <w:jc w:val="left"/>
              <w:rPr/>
            </w:pPr>
            <w:r>
              <w:rPr/>
              <w:t>SVP</w:t>
            </w:r>
          </w:p>
        </w:tc>
      </w:tr>
      <w:tr>
        <w:trPr/>
        <w:tc>
          <w:tcPr>
            <w:tcW w:w="108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pPr>
            <w:r>
              <w:rPr/>
              <w:t>Execution Date: 8/31/2026</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jc w:val="right"/>
        <w:rPr>
          <w:b/>
        </w:rPr>
      </w:pPr>
      <w:bookmarkStart w:id="24" w:name="aaoi_ex1002.htm"/>
      <w:bookmarkStart w:id="25" w:name="ksaaoi_ex1002"/>
      <w:bookmarkEnd w:id="24"/>
      <w:bookmarkEnd w:id="25"/>
      <w:r>
        <w:rPr>
          <w:b/>
        </w:rPr>
        <w:t>Exhibit 10.2</w:t>
      </w:r>
      <w:r>
        <w:br w:type="page"/>
      </w:r>
    </w:p>
    <w:p>
      <w:pPr>
        <w:pStyle w:val="TextBody"/>
        <w:bidi w:val="0"/>
        <w:spacing w:before="0" w:after="283"/>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LEASE AGREEMENT BETWEEN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hightower phase II owner, LLC,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 LANDLORD, AND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applied optoelectronics,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 TENANT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DATED August 31,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houston, TEXAS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BASIC LEASE INFORMATION</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1394"/>
        <w:gridCol w:w="3162"/>
        <w:gridCol w:w="840"/>
        <w:gridCol w:w="161"/>
        <w:gridCol w:w="4648"/>
      </w:tblGrid>
      <w:tr>
        <w:trPr/>
        <w:tc>
          <w:tcPr>
            <w:tcW w:w="1394" w:type="dxa"/>
            <w:tcBorders/>
            <w:vAlign w:val="center"/>
          </w:tcPr>
          <w:p>
            <w:pPr>
              <w:pStyle w:val="TableContents"/>
              <w:bidi w:val="0"/>
              <w:spacing w:before="0" w:after="283"/>
              <w:jc w:val="left"/>
              <w:rPr/>
            </w:pPr>
            <w:r>
              <w:rPr/>
              <w:t>Lease Date:</w:t>
            </w:r>
          </w:p>
        </w:tc>
        <w:tc>
          <w:tcPr>
            <w:tcW w:w="8811" w:type="dxa"/>
            <w:gridSpan w:val="4"/>
            <w:tcBorders/>
            <w:vAlign w:val="center"/>
          </w:tcPr>
          <w:p>
            <w:pPr>
              <w:pStyle w:val="TableContents"/>
              <w:bidi w:val="0"/>
              <w:spacing w:before="0" w:after="283"/>
              <w:jc w:val="left"/>
              <w:rPr/>
            </w:pPr>
            <w:r>
              <w:rPr/>
              <w:t>August 31, 2026</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pPr>
            <w:r>
              <w:rPr/>
              <w:t>Landlord:</w:t>
            </w:r>
          </w:p>
        </w:tc>
        <w:tc>
          <w:tcPr>
            <w:tcW w:w="8811" w:type="dxa"/>
            <w:gridSpan w:val="4"/>
            <w:tcBorders/>
            <w:vAlign w:val="center"/>
          </w:tcPr>
          <w:p>
            <w:pPr>
              <w:pStyle w:val="TableContents"/>
              <w:bidi w:val="0"/>
              <w:spacing w:before="0" w:after="283"/>
              <w:jc w:val="left"/>
              <w:rPr/>
            </w:pPr>
            <w:r>
              <w:rPr/>
              <w:t>HIGHTOWER PHASE II OWNER, LLC, a Delaware limited liability company</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pPr>
            <w:r>
              <w:rPr/>
              <w:t>Tenant:</w:t>
            </w:r>
          </w:p>
        </w:tc>
        <w:tc>
          <w:tcPr>
            <w:tcW w:w="8811" w:type="dxa"/>
            <w:gridSpan w:val="4"/>
            <w:tcBorders/>
            <w:vAlign w:val="center"/>
          </w:tcPr>
          <w:p>
            <w:pPr>
              <w:pStyle w:val="TableContents"/>
              <w:bidi w:val="0"/>
              <w:spacing w:before="0" w:after="283"/>
              <w:jc w:val="left"/>
              <w:rPr/>
            </w:pPr>
            <w:r>
              <w:rPr/>
              <w:t>APPLIED OPTOELECTRONICS, INC., a Delaware corporation</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pPr>
            <w:r>
              <w:rPr/>
              <w:t>Premises:</w:t>
            </w:r>
          </w:p>
        </w:tc>
        <w:tc>
          <w:tcPr>
            <w:tcW w:w="8811" w:type="dxa"/>
            <w:gridSpan w:val="4"/>
            <w:tcBorders/>
            <w:vAlign w:val="center"/>
          </w:tcPr>
          <w:p>
            <w:pPr>
              <w:pStyle w:val="TableContents"/>
              <w:bidi w:val="0"/>
              <w:spacing w:before="0" w:after="283"/>
              <w:jc w:val="both"/>
              <w:rPr/>
            </w:pPr>
            <w:r>
              <w:rPr/>
              <w:t xml:space="preserve">That certain building to be constructed on the Land (defined below) pursuant to </w:t>
            </w:r>
            <w:r>
              <w:rPr>
                <w:u w:val="single"/>
              </w:rPr>
              <w:t>Exhibit D</w:t>
            </w:r>
            <w:r>
              <w:rPr/>
              <w:t>, containing approximately 737,621 rentable square feet, and commonly known as Hightower Business Park - Phase II – Building 5 (the “</w:t>
            </w:r>
            <w:r>
              <w:rPr>
                <w:b/>
                <w:u w:val="single"/>
              </w:rPr>
              <w:t>Building</w:t>
            </w:r>
            <w:r>
              <w:rPr/>
              <w:t xml:space="preserve">”), and whose street address is 17433 Chimney Rock Road, Houston, Texas 77053. The Premises are outlined on the plan attached to the Lease as </w:t>
            </w:r>
            <w:r>
              <w:rPr>
                <w:u w:val="single"/>
              </w:rPr>
              <w:t>Exhibit A</w:t>
            </w:r>
            <w:r>
              <w:rPr/>
              <w:t>. The land on which the Building is located (the “</w:t>
            </w:r>
            <w:r>
              <w:rPr>
                <w:b/>
                <w:u w:val="single"/>
              </w:rPr>
              <w:t>Land</w:t>
            </w:r>
            <w:r>
              <w:rPr/>
              <w:t>”</w:t>
            </w:r>
            <w:r>
              <w:rPr>
                <w:b/>
              </w:rPr>
              <w:t>)</w:t>
            </w:r>
            <w:r>
              <w:rPr/>
              <w:t xml:space="preserve"> is described on </w:t>
            </w:r>
            <w:r>
              <w:rPr>
                <w:u w:val="single"/>
              </w:rPr>
              <w:t>Exhibit B</w:t>
            </w:r>
            <w:r>
              <w:rPr/>
              <w:t>. The term “</w:t>
            </w:r>
            <w:r>
              <w:rPr>
                <w:b/>
                <w:u w:val="single"/>
              </w:rPr>
              <w:t>Project</w:t>
            </w:r>
            <w:r>
              <w:rPr/>
              <w:t xml:space="preserve"> shall collectively refer to the Building, the Land and the driveways, parking facilities, loading dock areas, roadways, any rail tracks associated with the Building and similar improvements and easements associated with the foregoing or the operation thereof. </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both"/>
              <w:rPr/>
            </w:pPr>
            <w:r>
              <w:rPr/>
              <w:t> </w:t>
            </w:r>
          </w:p>
        </w:tc>
      </w:tr>
      <w:tr>
        <w:trPr/>
        <w:tc>
          <w:tcPr>
            <w:tcW w:w="1394" w:type="dxa"/>
            <w:tcBorders/>
            <w:vAlign w:val="center"/>
          </w:tcPr>
          <w:p>
            <w:pPr>
              <w:pStyle w:val="TableContents"/>
              <w:bidi w:val="0"/>
              <w:spacing w:before="0" w:after="283"/>
              <w:jc w:val="left"/>
              <w:rPr/>
            </w:pPr>
            <w:r>
              <w:rPr/>
              <w:t>Term:</w:t>
            </w:r>
          </w:p>
        </w:tc>
        <w:tc>
          <w:tcPr>
            <w:tcW w:w="8811" w:type="dxa"/>
            <w:gridSpan w:val="4"/>
            <w:tcBorders/>
            <w:vAlign w:val="center"/>
          </w:tcPr>
          <w:p>
            <w:pPr>
              <w:pStyle w:val="TableContents"/>
              <w:bidi w:val="0"/>
              <w:spacing w:before="0" w:after="283"/>
              <w:jc w:val="both"/>
              <w:rPr/>
            </w:pPr>
            <w:r>
              <w:rPr/>
              <w:t>120 full calendar months, plus any partial month from the Commencement Date to the end of the month in which the Commencement Date falls, starting on the Commencement Date and ending at 5:00 p.m. local time on the last day of the 120th full calendar month following the Commencement Date, subject to adjustment and earlier termination as provided in the Lease.</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both"/>
              <w:rPr/>
            </w:pPr>
            <w:r>
              <w:rPr/>
              <w:t> </w:t>
            </w:r>
          </w:p>
        </w:tc>
      </w:tr>
      <w:tr>
        <w:trPr/>
        <w:tc>
          <w:tcPr>
            <w:tcW w:w="139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Date:</w:t>
            </w:r>
          </w:p>
          <w:p>
            <w:pPr>
              <w:pStyle w:val="TableContents"/>
              <w:bidi w:val="0"/>
              <w:spacing w:before="0" w:after="0"/>
              <w:ind w:left="0" w:right="0" w:hanging="0"/>
              <w:jc w:val="left"/>
              <w:rPr>
                <w:caps w:val="false"/>
                <w:smallCaps w:val="false"/>
              </w:rPr>
            </w:pPr>
            <w:r>
              <w:rPr>
                <w:caps w:val="false"/>
                <w:smallCaps w:val="false"/>
              </w:rPr>
              <w:t> </w:t>
            </w:r>
          </w:p>
        </w:tc>
        <w:tc>
          <w:tcPr>
            <w:tcW w:w="8811" w:type="dxa"/>
            <w:gridSpan w:val="4"/>
            <w:tcBorders/>
            <w:vAlign w:val="center"/>
          </w:tcPr>
          <w:p>
            <w:pPr>
              <w:pStyle w:val="TableContents"/>
              <w:bidi w:val="0"/>
              <w:spacing w:before="0" w:after="283"/>
              <w:jc w:val="both"/>
              <w:rPr/>
            </w:pPr>
            <w:r>
              <w:rPr/>
              <w:t xml:space="preserve">The earliest of (a) the date on which Tenant occupies any portion of the Premises and begins conducting business therein, (b) the date on which the Work (as defined in </w:t>
            </w:r>
            <w:r>
              <w:rPr>
                <w:rFonts w:ascii="Times New Roman;Times;Serif" w:hAnsi="Times New Roman;Times;Serif"/>
                <w:u w:val="single"/>
              </w:rPr>
              <w:t>Exhibit D</w:t>
            </w:r>
            <w:r>
              <w:rPr/>
              <w:t xml:space="preserve"> hereto) is Substantially Completed (as defined in </w:t>
            </w:r>
            <w:r>
              <w:rPr>
                <w:rFonts w:ascii="Times New Roman;Times;Serif" w:hAnsi="Times New Roman;Times;Serif"/>
                <w:u w:val="single"/>
              </w:rPr>
              <w:t>Exhibit D</w:t>
            </w:r>
            <w:r>
              <w:rPr/>
              <w:t xml:space="preserve"> hereto), or (c) the date on which the Work would have been Substantially Completed but for the occurrence of any Tenant Delay Days (as defined in </w:t>
            </w:r>
            <w:r>
              <w:rPr>
                <w:rFonts w:ascii="Times New Roman;Times;Serif" w:hAnsi="Times New Roman;Times;Serif"/>
                <w:u w:val="single"/>
              </w:rPr>
              <w:t>Exhibit D</w:t>
            </w:r>
            <w:r>
              <w:rPr/>
              <w:t xml:space="preserve"> hereto).</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both"/>
              <w:rPr/>
            </w:pPr>
            <w:r>
              <w:rPr/>
              <w:t> </w:t>
            </w:r>
          </w:p>
        </w:tc>
      </w:tr>
      <w:tr>
        <w:trPr/>
        <w:tc>
          <w:tcPr>
            <w:tcW w:w="1394" w:type="dxa"/>
            <w:tcBorders/>
            <w:vAlign w:val="center"/>
          </w:tcPr>
          <w:p>
            <w:pPr>
              <w:pStyle w:val="TableContents"/>
              <w:bidi w:val="0"/>
              <w:spacing w:before="0" w:after="283"/>
              <w:jc w:val="left"/>
              <w:rPr/>
            </w:pPr>
            <w:r>
              <w:rPr/>
              <w:t>Basic Rent:</w:t>
            </w:r>
          </w:p>
        </w:tc>
        <w:tc>
          <w:tcPr>
            <w:tcW w:w="8811" w:type="dxa"/>
            <w:gridSpan w:val="4"/>
            <w:tcBorders>
              <w:bottom w:val="single" w:sz="8" w:space="0" w:color="000000"/>
            </w:tcBorders>
            <w:tcMar>
              <w:bottom w:w="28" w:type="dxa"/>
            </w:tcMar>
            <w:vAlign w:val="center"/>
          </w:tcPr>
          <w:p>
            <w:pPr>
              <w:pStyle w:val="TableContents"/>
              <w:bidi w:val="0"/>
              <w:spacing w:before="0" w:after="283"/>
              <w:jc w:val="both"/>
              <w:rPr/>
            </w:pPr>
            <w:r>
              <w:rPr/>
              <w:t>Basic Rent applicable to the Building shall be the following amounts for the following periods of time:</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both"/>
              <w:rPr/>
            </w:pPr>
            <w:r>
              <w:rPr/>
              <w:t> </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top w:val="single" w:sz="8" w:space="0" w:color="000000"/>
              <w:bottom w:val="single" w:sz="8" w:space="0" w:color="000000"/>
              <w:right w:val="single" w:sz="8" w:space="0" w:color="000000"/>
            </w:tcBorders>
            <w:shd w:fill="D9D9D9" w:val="clear"/>
            <w:tcMar>
              <w:top w:w="28" w:type="dxa"/>
              <w:bottom w:w="28" w:type="dxa"/>
              <w:right w:w="28" w:type="dxa"/>
            </w:tcMar>
            <w:vAlign w:val="center"/>
          </w:tcPr>
          <w:p>
            <w:pPr>
              <w:pStyle w:val="TableContents"/>
              <w:bidi w:val="0"/>
              <w:spacing w:before="0" w:after="283"/>
              <w:jc w:val="center"/>
              <w:rPr/>
            </w:pPr>
            <w:r>
              <w:rPr/>
              <w:t>Lease Month</w:t>
            </w:r>
          </w:p>
        </w:tc>
        <w:tc>
          <w:tcPr>
            <w:tcW w:w="1001" w:type="dxa"/>
            <w:gridSpan w:val="2"/>
            <w:tcBorders>
              <w:top w:val="single" w:sz="8" w:space="0" w:color="000000"/>
              <w:bottom w:val="single" w:sz="8" w:space="0" w:color="000000"/>
              <w:right w:val="single" w:sz="8" w:space="0" w:color="000000"/>
            </w:tcBorders>
            <w:shd w:fill="D9D9D9" w:val="clear"/>
            <w:tcMar>
              <w:top w:w="28" w:type="dxa"/>
              <w:bottom w:w="28" w:type="dxa"/>
              <w:right w:w="28" w:type="dxa"/>
            </w:tcMar>
            <w:vAlign w:val="center"/>
          </w:tcPr>
          <w:p>
            <w:pPr>
              <w:pStyle w:val="TableContents"/>
              <w:bidi w:val="0"/>
              <w:spacing w:before="0" w:after="283"/>
              <w:jc w:val="center"/>
              <w:rPr/>
            </w:pPr>
            <w:r>
              <w:rPr/>
              <w:t>Monthly Basic Rent</w:t>
              <w:br/>
              <w:t>Per Rentable Square Foot</w:t>
            </w:r>
          </w:p>
        </w:tc>
        <w:tc>
          <w:tcPr>
            <w:tcW w:w="4648" w:type="dxa"/>
            <w:tcBorders>
              <w:top w:val="single" w:sz="8" w:space="0" w:color="000000"/>
              <w:bottom w:val="single" w:sz="8" w:space="0" w:color="000000"/>
              <w:right w:val="single" w:sz="8" w:space="0" w:color="000000"/>
            </w:tcBorders>
            <w:shd w:fill="D9D9D9" w:val="clear"/>
            <w:tcMar>
              <w:top w:w="28" w:type="dxa"/>
              <w:bottom w:w="28" w:type="dxa"/>
              <w:right w:w="28" w:type="dxa"/>
            </w:tcMar>
            <w:vAlign w:val="center"/>
          </w:tcPr>
          <w:p>
            <w:pPr>
              <w:pStyle w:val="TableContents"/>
              <w:bidi w:val="0"/>
              <w:spacing w:before="0" w:after="283"/>
              <w:jc w:val="center"/>
              <w:rPr/>
            </w:pPr>
            <w:r>
              <w:rPr/>
              <w:t>Monthly Basic Rent</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 – 12</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$0.62</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$457,325.02</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13 – 24</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$0.64</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 xml:space="preserve">$474,474.71 </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25 – 36</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$0.67</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 xml:space="preserve">$492,267.51 </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37 – 48</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$0.69</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 xml:space="preserve">$510,727.54 </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49 – 60</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$0.72</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 xml:space="preserve">$529,879.82 </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61 – 72</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$0.75</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 xml:space="preserve">$549,750.32 </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73 – 84</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$0.77</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 xml:space="preserve">$570,365.95 </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85 – 96</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$0.80</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 xml:space="preserve">$591,754.68 </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97 – 108</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$0.83</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 xml:space="preserve">$613,945.48 </w:t>
            </w:r>
          </w:p>
        </w:tc>
      </w:tr>
      <w:tr>
        <w:trPr/>
        <w:tc>
          <w:tcPr>
            <w:tcW w:w="1394" w:type="dxa"/>
            <w:tcBorders>
              <w:right w:val="single" w:sz="8" w:space="0" w:color="000000"/>
            </w:tcBorders>
            <w:tcMar>
              <w:right w:w="28" w:type="dxa"/>
            </w:tcMar>
            <w:vAlign w:val="center"/>
          </w:tcPr>
          <w:p>
            <w:pPr>
              <w:pStyle w:val="TableContents"/>
              <w:bidi w:val="0"/>
              <w:spacing w:before="0" w:after="283"/>
              <w:jc w:val="left"/>
              <w:rPr/>
            </w:pPr>
            <w:r>
              <w:rPr/>
              <w:t> </w:t>
            </w:r>
          </w:p>
        </w:tc>
        <w:tc>
          <w:tcPr>
            <w:tcW w:w="3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109 – 120</w:t>
            </w:r>
          </w:p>
        </w:tc>
        <w:tc>
          <w:tcPr>
            <w:tcW w:w="1001"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$0.86</w:t>
            </w:r>
          </w:p>
        </w:tc>
        <w:tc>
          <w:tcPr>
            <w:tcW w:w="464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t xml:space="preserve">$636,968.43 </w:t>
            </w:r>
          </w:p>
        </w:tc>
      </w:tr>
      <w:tr>
        <w:trPr/>
        <w:tc>
          <w:tcPr>
            <w:tcW w:w="1394" w:type="dxa"/>
            <w:tcBorders/>
            <w:vAlign w:val="center"/>
          </w:tcPr>
          <w:p>
            <w:pPr>
              <w:pStyle w:val="TableContents"/>
              <w:bidi w:val="0"/>
              <w:spacing w:before="0" w:after="283"/>
              <w:jc w:val="left"/>
              <w:rPr/>
            </w:pPr>
            <w:r>
              <w:rPr/>
              <w:t> </w:t>
            </w:r>
          </w:p>
        </w:tc>
        <w:tc>
          <w:tcPr>
            <w:tcW w:w="3162"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648" w:type="dxa"/>
            <w:tcBorders/>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pPr>
            <w:r>
              <w:rPr/>
              <w:t> </w:t>
            </w:r>
          </w:p>
        </w:tc>
        <w:tc>
          <w:tcPr>
            <w:tcW w:w="8811" w:type="dxa"/>
            <w:gridSpan w:val="4"/>
            <w:tcBorders/>
            <w:vAlign w:val="center"/>
          </w:tcPr>
          <w:p>
            <w:pPr>
              <w:pStyle w:val="TableContents"/>
              <w:bidi w:val="0"/>
              <w:spacing w:before="0" w:after="283"/>
              <w:jc w:val="both"/>
              <w:rPr/>
            </w:pPr>
            <w:r>
              <w:rPr/>
              <w:t>As used herein, the term “</w:t>
            </w:r>
            <w:r>
              <w:rPr>
                <w:b/>
                <w:u w:val="single"/>
              </w:rPr>
              <w:t>Lease Month</w:t>
            </w:r>
            <w:r>
              <w:rPr/>
              <w:t>” means each calendar month during the Term (and if the Commencement Date does not occur on the first day of a calendar month, the period from the Commencement Date to the first day of the next calendar month shall be included in the first Lease Month for which Basic Rent is payable for purposes of determining the duration of the Term and the monthly Basic Rent rate applicable for such partial month).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8"/>
        <w:gridCol w:w="2346"/>
        <w:gridCol w:w="1828"/>
        <w:gridCol w:w="1828"/>
        <w:gridCol w:w="2295"/>
      </w:tblGrid>
      <w:tr>
        <w:trPr/>
        <w:tc>
          <w:tcPr>
            <w:tcW w:w="1908" w:type="dxa"/>
            <w:tcBorders/>
            <w:vAlign w:val="center"/>
          </w:tcPr>
          <w:p>
            <w:pPr>
              <w:pStyle w:val="TableContents"/>
              <w:bidi w:val="0"/>
              <w:spacing w:before="0" w:after="283"/>
              <w:jc w:val="left"/>
              <w:rPr/>
            </w:pPr>
            <w:r>
              <w:rPr/>
              <w:t>Additional Rent:</w:t>
            </w:r>
          </w:p>
        </w:tc>
        <w:tc>
          <w:tcPr>
            <w:tcW w:w="8297" w:type="dxa"/>
            <w:gridSpan w:val="4"/>
            <w:tcBorders/>
            <w:vAlign w:val="center"/>
          </w:tcPr>
          <w:p>
            <w:pPr>
              <w:pStyle w:val="TableContents"/>
              <w:bidi w:val="0"/>
              <w:spacing w:before="0" w:after="283"/>
              <w:jc w:val="both"/>
              <w:rPr/>
            </w:pPr>
            <w:r>
              <w:rPr/>
              <w:t>Tenant’s Proportionate Share of Operating Costs, Taxes and Insurance Costs.</w:t>
            </w:r>
          </w:p>
        </w:tc>
      </w:tr>
      <w:tr>
        <w:trPr/>
        <w:tc>
          <w:tcPr>
            <w:tcW w:w="1908" w:type="dxa"/>
            <w:tcBorders/>
            <w:vAlign w:val="center"/>
          </w:tcPr>
          <w:p>
            <w:pPr>
              <w:pStyle w:val="TableContents"/>
              <w:bidi w:val="0"/>
              <w:spacing w:before="0" w:after="283"/>
              <w:jc w:val="left"/>
              <w:rPr/>
            </w:pPr>
            <w:r>
              <w:rPr/>
              <w:t> </w:t>
            </w:r>
          </w:p>
        </w:tc>
        <w:tc>
          <w:tcPr>
            <w:tcW w:w="8297" w:type="dxa"/>
            <w:gridSpan w:val="4"/>
            <w:tcBorders/>
            <w:vAlign w:val="center"/>
          </w:tcPr>
          <w:p>
            <w:pPr>
              <w:pStyle w:val="TableContents"/>
              <w:bidi w:val="0"/>
              <w:spacing w:before="0" w:after="283"/>
              <w:jc w:val="both"/>
              <w:rPr/>
            </w:pPr>
            <w:r>
              <w:rPr/>
              <w:t> </w:t>
            </w:r>
          </w:p>
        </w:tc>
      </w:tr>
      <w:tr>
        <w:trPr/>
        <w:tc>
          <w:tcPr>
            <w:tcW w:w="1908" w:type="dxa"/>
            <w:tcBorders/>
            <w:vAlign w:val="center"/>
          </w:tcPr>
          <w:p>
            <w:pPr>
              <w:pStyle w:val="TableContents"/>
              <w:bidi w:val="0"/>
              <w:spacing w:before="0" w:after="283"/>
              <w:jc w:val="left"/>
              <w:rPr/>
            </w:pPr>
            <w:r>
              <w:rPr/>
              <w:t>Security Deposit:</w:t>
            </w:r>
          </w:p>
        </w:tc>
        <w:tc>
          <w:tcPr>
            <w:tcW w:w="8297" w:type="dxa"/>
            <w:gridSpan w:val="4"/>
            <w:tcBorders/>
            <w:vAlign w:val="center"/>
          </w:tcPr>
          <w:p>
            <w:pPr>
              <w:pStyle w:val="TableContents"/>
              <w:bidi w:val="0"/>
              <w:spacing w:before="0" w:after="283"/>
              <w:jc w:val="left"/>
              <w:rPr/>
            </w:pPr>
            <w:r>
              <w:rPr/>
              <w:t>$7,500,000.00.</w:t>
            </w:r>
          </w:p>
        </w:tc>
      </w:tr>
      <w:tr>
        <w:trPr/>
        <w:tc>
          <w:tcPr>
            <w:tcW w:w="1908" w:type="dxa"/>
            <w:tcBorders/>
            <w:vAlign w:val="center"/>
          </w:tcPr>
          <w:p>
            <w:pPr>
              <w:pStyle w:val="TableContents"/>
              <w:bidi w:val="0"/>
              <w:spacing w:before="0" w:after="283"/>
              <w:jc w:val="left"/>
              <w:rPr/>
            </w:pPr>
            <w:r>
              <w:rPr/>
              <w:t> </w:t>
            </w:r>
          </w:p>
        </w:tc>
        <w:tc>
          <w:tcPr>
            <w:tcW w:w="8297" w:type="dxa"/>
            <w:gridSpan w:val="4"/>
            <w:tcBorders/>
            <w:vAlign w:val="center"/>
          </w:tcPr>
          <w:p>
            <w:pPr>
              <w:pStyle w:val="TableContents"/>
              <w:bidi w:val="0"/>
              <w:spacing w:before="0" w:after="283"/>
              <w:jc w:val="left"/>
              <w:rPr/>
            </w:pPr>
            <w:r>
              <w:rPr/>
              <w:t> </w:t>
            </w:r>
          </w:p>
        </w:tc>
      </w:tr>
      <w:tr>
        <w:trPr/>
        <w:tc>
          <w:tcPr>
            <w:tcW w:w="1908" w:type="dxa"/>
            <w:tcBorders/>
            <w:vAlign w:val="center"/>
          </w:tcPr>
          <w:p>
            <w:pPr>
              <w:pStyle w:val="TableContents"/>
              <w:bidi w:val="0"/>
              <w:spacing w:before="0" w:after="283"/>
              <w:jc w:val="left"/>
              <w:rPr/>
            </w:pPr>
            <w:r>
              <w:rPr/>
              <w:t>Rent:</w:t>
            </w:r>
          </w:p>
        </w:tc>
        <w:tc>
          <w:tcPr>
            <w:tcW w:w="8297" w:type="dxa"/>
            <w:gridSpan w:val="4"/>
            <w:tcBorders/>
            <w:vAlign w:val="center"/>
          </w:tcPr>
          <w:p>
            <w:pPr>
              <w:pStyle w:val="TableContents"/>
              <w:bidi w:val="0"/>
              <w:spacing w:before="0" w:after="283"/>
              <w:jc w:val="both"/>
              <w:rPr/>
            </w:pPr>
            <w:r>
              <w:rPr/>
              <w:t>Basic Rent, Additional Rent, and all other sums that Tenant may owe to Landlord or otherwise be required to pay under the Lease.</w:t>
            </w:r>
          </w:p>
        </w:tc>
      </w:tr>
      <w:tr>
        <w:trPr/>
        <w:tc>
          <w:tcPr>
            <w:tcW w:w="1908" w:type="dxa"/>
            <w:tcBorders/>
            <w:vAlign w:val="center"/>
          </w:tcPr>
          <w:p>
            <w:pPr>
              <w:pStyle w:val="TableContents"/>
              <w:bidi w:val="0"/>
              <w:spacing w:before="0" w:after="283"/>
              <w:jc w:val="left"/>
              <w:rPr/>
            </w:pPr>
            <w:r>
              <w:rPr/>
              <w:t> </w:t>
            </w:r>
          </w:p>
        </w:tc>
        <w:tc>
          <w:tcPr>
            <w:tcW w:w="8297" w:type="dxa"/>
            <w:gridSpan w:val="4"/>
            <w:tcBorders/>
            <w:vAlign w:val="center"/>
          </w:tcPr>
          <w:p>
            <w:pPr>
              <w:pStyle w:val="TableContents"/>
              <w:bidi w:val="0"/>
              <w:spacing w:before="0" w:after="283"/>
              <w:jc w:val="both"/>
              <w:rPr/>
            </w:pPr>
            <w:r>
              <w:rPr/>
              <w:t> </w:t>
            </w:r>
          </w:p>
        </w:tc>
      </w:tr>
      <w:tr>
        <w:trPr/>
        <w:tc>
          <w:tcPr>
            <w:tcW w:w="1908" w:type="dxa"/>
            <w:tcBorders/>
            <w:vAlign w:val="center"/>
          </w:tcPr>
          <w:p>
            <w:pPr>
              <w:pStyle w:val="TableContents"/>
              <w:bidi w:val="0"/>
              <w:spacing w:before="0" w:after="283"/>
              <w:jc w:val="left"/>
              <w:rPr/>
            </w:pPr>
            <w:r>
              <w:rPr/>
              <w:t>Permitted Use:</w:t>
            </w:r>
          </w:p>
        </w:tc>
        <w:tc>
          <w:tcPr>
            <w:tcW w:w="8297" w:type="dxa"/>
            <w:gridSpan w:val="4"/>
            <w:tcBorders/>
            <w:vAlign w:val="center"/>
          </w:tcPr>
          <w:p>
            <w:pPr>
              <w:pStyle w:val="TableContents"/>
              <w:bidi w:val="0"/>
              <w:spacing w:before="0" w:after="283"/>
              <w:jc w:val="both"/>
              <w:rPr/>
            </w:pPr>
            <w:r>
              <w:rPr/>
              <w:t>General industrial/warehouse use for the purpose of light manufacturing, receiving, storing, shipping and selling (but limited to wholesale sales) products, materials and merchandise made and/or distributed by Tenant, and related ancillary uses.</w:t>
            </w:r>
          </w:p>
        </w:tc>
      </w:tr>
      <w:tr>
        <w:trPr/>
        <w:tc>
          <w:tcPr>
            <w:tcW w:w="1908" w:type="dxa"/>
            <w:tcBorders/>
            <w:vAlign w:val="center"/>
          </w:tcPr>
          <w:p>
            <w:pPr>
              <w:pStyle w:val="TableContents"/>
              <w:bidi w:val="0"/>
              <w:spacing w:before="0" w:after="283"/>
              <w:jc w:val="left"/>
              <w:rPr/>
            </w:pPr>
            <w:r>
              <w:rPr/>
              <w:t> </w:t>
            </w:r>
          </w:p>
        </w:tc>
        <w:tc>
          <w:tcPr>
            <w:tcW w:w="8297" w:type="dxa"/>
            <w:gridSpan w:val="4"/>
            <w:tcBorders/>
            <w:vAlign w:val="center"/>
          </w:tcPr>
          <w:p>
            <w:pPr>
              <w:pStyle w:val="TableContents"/>
              <w:bidi w:val="0"/>
              <w:spacing w:before="0" w:after="283"/>
              <w:jc w:val="both"/>
              <w:rPr/>
            </w:pPr>
            <w:r>
              <w:rPr/>
              <w:t> </w:t>
            </w:r>
          </w:p>
        </w:tc>
      </w:tr>
      <w:tr>
        <w:trPr/>
        <w:tc>
          <w:tcPr>
            <w:tcW w:w="1908" w:type="dxa"/>
            <w:tcBorders/>
            <w:vAlign w:val="center"/>
          </w:tcPr>
          <w:p>
            <w:pPr>
              <w:pStyle w:val="TableContents"/>
              <w:bidi w:val="0"/>
              <w:spacing w:before="0" w:after="283"/>
              <w:jc w:val="left"/>
              <w:rPr/>
            </w:pPr>
            <w:r>
              <w:rPr/>
              <w:t>Tenant’s Proportionate Share:</w:t>
            </w:r>
          </w:p>
        </w:tc>
        <w:tc>
          <w:tcPr>
            <w:tcW w:w="8297" w:type="dxa"/>
            <w:gridSpan w:val="4"/>
            <w:tcBorders/>
            <w:vAlign w:val="center"/>
          </w:tcPr>
          <w:p>
            <w:pPr>
              <w:pStyle w:val="TableContents"/>
              <w:bidi w:val="0"/>
              <w:spacing w:before="0" w:after="283"/>
              <w:jc w:val="both"/>
              <w:rPr/>
            </w:pPr>
            <w:r>
              <w:rPr/>
              <w:t>100%.</w:t>
            </w:r>
          </w:p>
        </w:tc>
      </w:tr>
      <w:tr>
        <w:trPr/>
        <w:tc>
          <w:tcPr>
            <w:tcW w:w="1908" w:type="dxa"/>
            <w:tcBorders/>
            <w:vAlign w:val="center"/>
          </w:tcPr>
          <w:p>
            <w:pPr>
              <w:pStyle w:val="TableContents"/>
              <w:bidi w:val="0"/>
              <w:spacing w:before="0" w:after="283"/>
              <w:jc w:val="left"/>
              <w:rPr/>
            </w:pPr>
            <w:r>
              <w:rPr/>
              <w:t> </w:t>
            </w:r>
          </w:p>
        </w:tc>
        <w:tc>
          <w:tcPr>
            <w:tcW w:w="8297" w:type="dxa"/>
            <w:gridSpan w:val="4"/>
            <w:tcBorders/>
            <w:vAlign w:val="center"/>
          </w:tcPr>
          <w:p>
            <w:pPr>
              <w:pStyle w:val="TableContents"/>
              <w:bidi w:val="0"/>
              <w:spacing w:before="0" w:after="283"/>
              <w:jc w:val="both"/>
              <w:rPr/>
            </w:pPr>
            <w:r>
              <w:rPr/>
              <w:t> </w:t>
            </w:r>
          </w:p>
        </w:tc>
      </w:tr>
      <w:tr>
        <w:trPr/>
        <w:tc>
          <w:tcPr>
            <w:tcW w:w="1908" w:type="dxa"/>
            <w:tcBorders/>
            <w:vAlign w:val="center"/>
          </w:tcPr>
          <w:p>
            <w:pPr>
              <w:pStyle w:val="TableContents"/>
              <w:bidi w:val="0"/>
              <w:spacing w:before="0" w:after="283"/>
              <w:jc w:val="left"/>
              <w:rPr/>
            </w:pPr>
            <w:r>
              <w:rPr/>
              <w:t>Initial Liability Insurance Amount:</w:t>
            </w:r>
          </w:p>
        </w:tc>
        <w:tc>
          <w:tcPr>
            <w:tcW w:w="8297" w:type="dxa"/>
            <w:gridSpan w:val="4"/>
            <w:tcBorders/>
            <w:vAlign w:val="center"/>
          </w:tcPr>
          <w:p>
            <w:pPr>
              <w:pStyle w:val="TableContents"/>
              <w:bidi w:val="0"/>
              <w:spacing w:before="0" w:after="283"/>
              <w:jc w:val="left"/>
              <w:rPr/>
            </w:pPr>
            <w:r>
              <w:rPr/>
              <w:t>$3,000,000.</w:t>
            </w:r>
          </w:p>
        </w:tc>
      </w:tr>
      <w:tr>
        <w:trPr/>
        <w:tc>
          <w:tcPr>
            <w:tcW w:w="1908" w:type="dxa"/>
            <w:tcBorders/>
            <w:vAlign w:val="center"/>
          </w:tcPr>
          <w:p>
            <w:pPr>
              <w:pStyle w:val="TableContents"/>
              <w:bidi w:val="0"/>
              <w:spacing w:before="0" w:after="283"/>
              <w:jc w:val="left"/>
              <w:rPr/>
            </w:pPr>
            <w:r>
              <w:rPr/>
              <w:t> </w:t>
            </w:r>
          </w:p>
        </w:tc>
        <w:tc>
          <w:tcPr>
            <w:tcW w:w="8297" w:type="dxa"/>
            <w:gridSpan w:val="4"/>
            <w:tcBorders/>
            <w:vAlign w:val="center"/>
          </w:tcPr>
          <w:p>
            <w:pPr>
              <w:pStyle w:val="TableContents"/>
              <w:bidi w:val="0"/>
              <w:spacing w:before="0" w:after="283"/>
              <w:jc w:val="left"/>
              <w:rPr/>
            </w:pPr>
            <w:r>
              <w:rPr/>
              <w:t> </w:t>
            </w:r>
          </w:p>
        </w:tc>
      </w:tr>
      <w:tr>
        <w:trPr/>
        <w:tc>
          <w:tcPr>
            <w:tcW w:w="1908" w:type="dxa"/>
            <w:tcBorders/>
            <w:vAlign w:val="center"/>
          </w:tcPr>
          <w:p>
            <w:pPr>
              <w:pStyle w:val="TableContents"/>
              <w:bidi w:val="0"/>
              <w:spacing w:before="0" w:after="283"/>
              <w:jc w:val="left"/>
              <w:rPr/>
            </w:pPr>
            <w:r>
              <w:rPr/>
              <w:t>Tenant’s Address:</w:t>
            </w:r>
          </w:p>
        </w:tc>
        <w:tc>
          <w:tcPr>
            <w:tcW w:w="417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13139 Jess Pirtle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TX 77478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Ray Du</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4123" w:type="dxa"/>
            <w:gridSpan w:val="2"/>
            <w:tcBorders/>
            <w:vAlign w:val="center"/>
          </w:tcPr>
          <w:p>
            <w:pPr>
              <w:pStyle w:val="TableContents"/>
              <w:bidi w:val="0"/>
              <w:spacing w:before="0" w:after="283"/>
              <w:jc w:val="left"/>
              <w:rPr/>
            </w:pPr>
            <w:r>
              <w:rPr/>
              <w:t> </w:t>
            </w:r>
          </w:p>
        </w:tc>
      </w:tr>
      <w:tr>
        <w:trPr/>
        <w:tc>
          <w:tcPr>
            <w:tcW w:w="1908"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 </w:t>
            </w:r>
          </w:p>
        </w:tc>
        <w:tc>
          <w:tcPr>
            <w:tcW w:w="4123" w:type="dxa"/>
            <w:gridSpan w:val="2"/>
            <w:tcBorders/>
            <w:vAlign w:val="center"/>
          </w:tcPr>
          <w:p>
            <w:pPr>
              <w:pStyle w:val="TableContents"/>
              <w:bidi w:val="0"/>
              <w:spacing w:before="0" w:after="283"/>
              <w:jc w:val="left"/>
              <w:rPr/>
            </w:pPr>
            <w:r>
              <w:rPr/>
              <w:t> </w:t>
            </w:r>
          </w:p>
        </w:tc>
      </w:tr>
      <w:tr>
        <w:trPr/>
        <w:tc>
          <w:tcPr>
            <w:tcW w:w="1908" w:type="dxa"/>
            <w:tcBorders/>
            <w:vAlign w:val="center"/>
          </w:tcPr>
          <w:p>
            <w:pPr>
              <w:pStyle w:val="TableContents"/>
              <w:bidi w:val="0"/>
              <w:spacing w:before="0" w:after="283"/>
              <w:jc w:val="left"/>
              <w:rPr/>
            </w:pPr>
            <w:r>
              <w:rPr/>
              <w:t>Landlord’s Address:</w:t>
            </w:r>
          </w:p>
        </w:tc>
        <w:tc>
          <w:tcPr>
            <w:tcW w:w="4174" w:type="dxa"/>
            <w:gridSpan w:val="2"/>
            <w:tcBorders/>
            <w:vAlign w:val="center"/>
          </w:tcPr>
          <w:p>
            <w:pPr>
              <w:pStyle w:val="TableContents"/>
              <w:bidi w:val="0"/>
              <w:spacing w:before="0" w:after="283"/>
              <w:jc w:val="left"/>
              <w:rPr/>
            </w:pPr>
            <w:r>
              <w:rPr/>
              <w:t>Hightower Phase II Owner, LLC</w:t>
              <w:br/>
              <w:t>750 Town &amp; Country Blvd, Ste 520</w:t>
              <w:br/>
              <w:t>Houston, TX  77024</w:t>
              <w:br/>
              <w:t>Attention: Asset Manager - Hightower</w:t>
              <w:br/>
              <w:t xml:space="preserve">Telephone: </w:t>
              <w:br/>
              <w:t>Email:  </w:t>
            </w:r>
          </w:p>
        </w:tc>
        <w:tc>
          <w:tcPr>
            <w:tcW w:w="4123" w:type="dxa"/>
            <w:gridSpan w:val="2"/>
            <w:tcBorders/>
            <w:vAlign w:val="center"/>
          </w:tcPr>
          <w:p>
            <w:pPr>
              <w:pStyle w:val="TableContents"/>
              <w:bidi w:val="0"/>
              <w:spacing w:before="0" w:after="283"/>
              <w:jc w:val="left"/>
              <w:rPr/>
            </w:pPr>
            <w:r>
              <w:rPr/>
              <w:t> </w:t>
            </w:r>
          </w:p>
        </w:tc>
      </w:tr>
      <w:tr>
        <w:trPr/>
        <w:tc>
          <w:tcPr>
            <w:tcW w:w="1908" w:type="dxa"/>
            <w:tcBorders/>
            <w:vAlign w:val="center"/>
          </w:tcPr>
          <w:p>
            <w:pPr>
              <w:pStyle w:val="TableContents"/>
              <w:bidi w:val="0"/>
              <w:spacing w:before="0" w:after="283"/>
              <w:jc w:val="left"/>
              <w:rPr/>
            </w:pPr>
            <w:r>
              <w:rPr/>
              <w:t> </w:t>
            </w:r>
          </w:p>
        </w:tc>
        <w:tc>
          <w:tcPr>
            <w:tcW w:w="2346" w:type="dxa"/>
            <w:tcBorders/>
            <w:vAlign w:val="center"/>
          </w:tcPr>
          <w:p>
            <w:pPr>
              <w:pStyle w:val="TableContents"/>
              <w:bidi w:val="0"/>
              <w:spacing w:before="0" w:after="283"/>
              <w:jc w:val="left"/>
              <w:rPr/>
            </w:pPr>
            <w:r>
              <w:rPr/>
              <w:t> </w:t>
            </w:r>
          </w:p>
        </w:tc>
        <w:tc>
          <w:tcPr>
            <w:tcW w:w="1828" w:type="dxa"/>
            <w:tcBorders/>
            <w:vAlign w:val="center"/>
          </w:tcPr>
          <w:p>
            <w:pPr>
              <w:pStyle w:val="TableContents"/>
              <w:bidi w:val="0"/>
              <w:spacing w:before="0" w:after="283"/>
              <w:jc w:val="left"/>
              <w:rPr/>
            </w:pPr>
            <w:r>
              <w:rPr/>
              <w:t> </w:t>
            </w:r>
          </w:p>
        </w:tc>
        <w:tc>
          <w:tcPr>
            <w:tcW w:w="1828" w:type="dxa"/>
            <w:tcBorders/>
            <w:vAlign w:val="center"/>
          </w:tcPr>
          <w:p>
            <w:pPr>
              <w:pStyle w:val="TableContents"/>
              <w:bidi w:val="0"/>
              <w:spacing w:before="0" w:after="283"/>
              <w:jc w:val="left"/>
              <w:rPr/>
            </w:pPr>
            <w:r>
              <w:rPr/>
              <w:t> </w:t>
            </w:r>
          </w:p>
        </w:tc>
        <w:tc>
          <w:tcPr>
            <w:tcW w:w="22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Basic Lease Information is incorporated into and made a part of the Lease identified above. If any conflict exists between any Basic Lease Information and the Lease, then the Lease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jc w:val="left"/>
        <w:rPr>
          <w:caps w:val="false"/>
          <w:smallCaps w:val="false"/>
        </w:rPr>
      </w:pPr>
      <w:r>
        <w:rPr>
          <w:caps w:val="false"/>
          <w:smallCaps w:val="false"/>
        </w:rPr>
        <w:t> </w:t>
      </w:r>
    </w:p>
    <w:tbl>
      <w:tblPr>
        <w:tblW w:w="8279" w:type="dxa"/>
        <w:jc w:val="left"/>
        <w:tblInd w:w="0" w:type="dxa"/>
        <w:tblLayout w:type="fixed"/>
        <w:tblCellMar>
          <w:top w:w="0" w:type="dxa"/>
          <w:left w:w="0" w:type="dxa"/>
          <w:bottom w:w="0" w:type="dxa"/>
          <w:right w:w="0" w:type="dxa"/>
        </w:tblCellMar>
      </w:tblPr>
      <w:tblGrid>
        <w:gridCol w:w="335"/>
        <w:gridCol w:w="452"/>
        <w:gridCol w:w="6542"/>
        <w:gridCol w:w="950"/>
      </w:tblGrid>
      <w:tr>
        <w:trPr/>
        <w:tc>
          <w:tcPr>
            <w:tcW w:w="335" w:type="dxa"/>
            <w:tcBorders/>
            <w:vAlign w:val="center"/>
          </w:tcPr>
          <w:p>
            <w:pPr>
              <w:pStyle w:val="TableContents"/>
              <w:bidi w:val="0"/>
              <w:spacing w:before="0" w:after="283"/>
              <w:jc w:val="left"/>
              <w:rPr/>
            </w:pPr>
            <w:r>
              <w:rPr/>
              <w:t> </w:t>
            </w:r>
          </w:p>
        </w:tc>
        <w:tc>
          <w:tcPr>
            <w:tcW w:w="6994" w:type="dxa"/>
            <w:gridSpan w:val="2"/>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b/>
              </w:rPr>
            </w:pPr>
            <w:r>
              <w:rPr>
                <w:b/>
              </w:rPr>
              <w:t>Page No.</w:t>
            </w:r>
          </w:p>
        </w:tc>
      </w:tr>
      <w:tr>
        <w:trPr/>
        <w:tc>
          <w:tcPr>
            <w:tcW w:w="335" w:type="dxa"/>
            <w:tcBorders/>
            <w:vAlign w:val="center"/>
          </w:tcPr>
          <w:p>
            <w:pPr>
              <w:pStyle w:val="TableContents"/>
              <w:bidi w:val="0"/>
              <w:spacing w:before="0" w:after="283"/>
              <w:jc w:val="left"/>
              <w:rPr/>
            </w:pPr>
            <w:r>
              <w:rPr/>
              <w:t> </w:t>
            </w:r>
          </w:p>
        </w:tc>
        <w:tc>
          <w:tcPr>
            <w:tcW w:w="6994" w:type="dxa"/>
            <w:gridSpan w:val="2"/>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1.</w:t>
            </w:r>
          </w:p>
        </w:tc>
        <w:tc>
          <w:tcPr>
            <w:tcW w:w="6994" w:type="dxa"/>
            <w:gridSpan w:val="2"/>
            <w:tcBorders/>
            <w:shd w:fill="EEEEEE" w:val="clear"/>
            <w:vAlign w:val="center"/>
          </w:tcPr>
          <w:p>
            <w:pPr>
              <w:pStyle w:val="TableContents"/>
              <w:bidi w:val="0"/>
              <w:spacing w:before="0" w:after="283"/>
              <w:jc w:val="left"/>
              <w:rPr/>
            </w:pPr>
            <w:r>
              <w:rPr/>
              <w:t>Definitions and Basic Provisions</w:t>
            </w:r>
          </w:p>
        </w:tc>
        <w:tc>
          <w:tcPr>
            <w:tcW w:w="950" w:type="dxa"/>
            <w:tcBorders/>
            <w:shd w:fill="EEEEEE" w:val="clear"/>
            <w:vAlign w:val="center"/>
          </w:tcPr>
          <w:p>
            <w:pPr>
              <w:pStyle w:val="TableContents"/>
              <w:bidi w:val="0"/>
              <w:spacing w:before="0" w:after="283"/>
              <w:jc w:val="right"/>
              <w:rPr/>
            </w:pPr>
            <w:r>
              <w:rPr/>
              <w:t>1</w:t>
            </w:r>
          </w:p>
        </w:tc>
      </w:tr>
      <w:tr>
        <w:trPr/>
        <w:tc>
          <w:tcPr>
            <w:tcW w:w="335" w:type="dxa"/>
            <w:tcBorders/>
            <w:shd w:fill="FFFFFF" w:val="clear"/>
            <w:vAlign w:val="center"/>
          </w:tcPr>
          <w:p>
            <w:pPr>
              <w:pStyle w:val="TableContents"/>
              <w:bidi w:val="0"/>
              <w:spacing w:before="0" w:after="283"/>
              <w:jc w:val="left"/>
              <w:rPr/>
            </w:pPr>
            <w:r>
              <w:rPr/>
              <w:t> </w:t>
            </w:r>
          </w:p>
        </w:tc>
        <w:tc>
          <w:tcPr>
            <w:tcW w:w="6994" w:type="dxa"/>
            <w:gridSpan w:val="2"/>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w:t>
            </w:r>
          </w:p>
        </w:tc>
        <w:tc>
          <w:tcPr>
            <w:tcW w:w="6994" w:type="dxa"/>
            <w:gridSpan w:val="2"/>
            <w:tcBorders/>
            <w:shd w:fill="EEEEEE" w:val="clear"/>
            <w:vAlign w:val="center"/>
          </w:tcPr>
          <w:p>
            <w:pPr>
              <w:pStyle w:val="TableContents"/>
              <w:bidi w:val="0"/>
              <w:spacing w:before="0" w:after="283"/>
              <w:jc w:val="left"/>
              <w:rPr/>
            </w:pPr>
            <w:r>
              <w:rPr/>
              <w:t>Lease Grant</w:t>
            </w:r>
          </w:p>
        </w:tc>
        <w:tc>
          <w:tcPr>
            <w:tcW w:w="950" w:type="dxa"/>
            <w:tcBorders/>
            <w:shd w:fill="EEEEEE" w:val="clear"/>
            <w:vAlign w:val="center"/>
          </w:tcPr>
          <w:p>
            <w:pPr>
              <w:pStyle w:val="TableContents"/>
              <w:bidi w:val="0"/>
              <w:spacing w:before="0" w:after="283"/>
              <w:jc w:val="right"/>
              <w:rPr/>
            </w:pPr>
            <w:r>
              <w:rPr/>
              <w:t>1</w:t>
            </w:r>
          </w:p>
        </w:tc>
      </w:tr>
      <w:tr>
        <w:trPr/>
        <w:tc>
          <w:tcPr>
            <w:tcW w:w="335" w:type="dxa"/>
            <w:tcBorders/>
            <w:shd w:fill="FFFFFF" w:val="clear"/>
            <w:vAlign w:val="center"/>
          </w:tcPr>
          <w:p>
            <w:pPr>
              <w:pStyle w:val="TableContents"/>
              <w:bidi w:val="0"/>
              <w:spacing w:before="0" w:after="283"/>
              <w:jc w:val="left"/>
              <w:rPr/>
            </w:pPr>
            <w:r>
              <w:rPr/>
              <w:t> </w:t>
            </w:r>
          </w:p>
        </w:tc>
        <w:tc>
          <w:tcPr>
            <w:tcW w:w="6994" w:type="dxa"/>
            <w:gridSpan w:val="2"/>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3.</w:t>
            </w:r>
          </w:p>
        </w:tc>
        <w:tc>
          <w:tcPr>
            <w:tcW w:w="6994" w:type="dxa"/>
            <w:gridSpan w:val="2"/>
            <w:tcBorders/>
            <w:shd w:fill="EEEEEE" w:val="clear"/>
            <w:vAlign w:val="center"/>
          </w:tcPr>
          <w:p>
            <w:pPr>
              <w:pStyle w:val="TableContents"/>
              <w:bidi w:val="0"/>
              <w:spacing w:before="0" w:after="283"/>
              <w:jc w:val="left"/>
              <w:rPr/>
            </w:pPr>
            <w:r>
              <w:rPr/>
              <w:t>Tender of Possession</w:t>
            </w:r>
          </w:p>
        </w:tc>
        <w:tc>
          <w:tcPr>
            <w:tcW w:w="950" w:type="dxa"/>
            <w:tcBorders/>
            <w:shd w:fill="EEEEEE" w:val="clear"/>
            <w:vAlign w:val="center"/>
          </w:tcPr>
          <w:p>
            <w:pPr>
              <w:pStyle w:val="TableContents"/>
              <w:bidi w:val="0"/>
              <w:spacing w:before="0" w:after="283"/>
              <w:jc w:val="right"/>
              <w:rPr/>
            </w:pPr>
            <w:r>
              <w:rPr/>
              <w:t>1</w:t>
            </w:r>
          </w:p>
        </w:tc>
      </w:tr>
      <w:tr>
        <w:trPr/>
        <w:tc>
          <w:tcPr>
            <w:tcW w:w="335" w:type="dxa"/>
            <w:tcBorders/>
            <w:shd w:fill="FFFFFF" w:val="clear"/>
            <w:vAlign w:val="center"/>
          </w:tcPr>
          <w:p>
            <w:pPr>
              <w:pStyle w:val="TableContents"/>
              <w:bidi w:val="0"/>
              <w:spacing w:before="0" w:after="283"/>
              <w:jc w:val="left"/>
              <w:rPr/>
            </w:pPr>
            <w:r>
              <w:rPr/>
              <w:t> </w:t>
            </w:r>
          </w:p>
        </w:tc>
        <w:tc>
          <w:tcPr>
            <w:tcW w:w="6994" w:type="dxa"/>
            <w:gridSpan w:val="2"/>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4.</w:t>
            </w:r>
          </w:p>
        </w:tc>
        <w:tc>
          <w:tcPr>
            <w:tcW w:w="6994" w:type="dxa"/>
            <w:gridSpan w:val="2"/>
            <w:tcBorders/>
            <w:shd w:fill="EEEEEE" w:val="clear"/>
            <w:vAlign w:val="center"/>
          </w:tcPr>
          <w:p>
            <w:pPr>
              <w:pStyle w:val="TableContents"/>
              <w:bidi w:val="0"/>
              <w:spacing w:before="0" w:after="283"/>
              <w:jc w:val="left"/>
              <w:rPr/>
            </w:pPr>
            <w:r>
              <w:rPr/>
              <w:t>Rent</w:t>
            </w:r>
          </w:p>
        </w:tc>
        <w:tc>
          <w:tcPr>
            <w:tcW w:w="950" w:type="dxa"/>
            <w:tcBorders/>
            <w:shd w:fill="EEEEEE" w:val="clear"/>
            <w:vAlign w:val="center"/>
          </w:tcPr>
          <w:p>
            <w:pPr>
              <w:pStyle w:val="TableContents"/>
              <w:bidi w:val="0"/>
              <w:spacing w:before="0" w:after="283"/>
              <w:jc w:val="right"/>
              <w:rPr/>
            </w:pPr>
            <w:r>
              <w:rPr/>
              <w:t>2</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(a)</w:t>
            </w:r>
          </w:p>
        </w:tc>
        <w:tc>
          <w:tcPr>
            <w:tcW w:w="6542" w:type="dxa"/>
            <w:tcBorders/>
            <w:shd w:fill="FFFFFF" w:val="clear"/>
            <w:vAlign w:val="center"/>
          </w:tcPr>
          <w:p>
            <w:pPr>
              <w:pStyle w:val="TableContents"/>
              <w:bidi w:val="0"/>
              <w:spacing w:before="0" w:after="283"/>
              <w:jc w:val="left"/>
              <w:rPr/>
            </w:pPr>
            <w:r>
              <w:rPr/>
              <w:t>Payment</w:t>
            </w:r>
          </w:p>
        </w:tc>
        <w:tc>
          <w:tcPr>
            <w:tcW w:w="950" w:type="dxa"/>
            <w:tcBorders/>
            <w:shd w:fill="FFFFFF" w:val="clear"/>
            <w:vAlign w:val="center"/>
          </w:tcPr>
          <w:p>
            <w:pPr>
              <w:pStyle w:val="TableContents"/>
              <w:bidi w:val="0"/>
              <w:spacing w:before="0" w:after="283"/>
              <w:jc w:val="right"/>
              <w:rPr/>
            </w:pPr>
            <w:r>
              <w:rPr/>
              <w:t>2</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(b)</w:t>
            </w:r>
          </w:p>
        </w:tc>
        <w:tc>
          <w:tcPr>
            <w:tcW w:w="6542" w:type="dxa"/>
            <w:tcBorders/>
            <w:shd w:fill="EEEEEE" w:val="clear"/>
            <w:vAlign w:val="center"/>
          </w:tcPr>
          <w:p>
            <w:pPr>
              <w:pStyle w:val="TableContents"/>
              <w:bidi w:val="0"/>
              <w:spacing w:before="0" w:after="283"/>
              <w:jc w:val="left"/>
              <w:rPr/>
            </w:pPr>
            <w:r>
              <w:rPr/>
              <w:t>Operating Costs</w:t>
            </w:r>
          </w:p>
        </w:tc>
        <w:tc>
          <w:tcPr>
            <w:tcW w:w="950" w:type="dxa"/>
            <w:tcBorders/>
            <w:shd w:fill="EEEEEE" w:val="clear"/>
            <w:vAlign w:val="center"/>
          </w:tcPr>
          <w:p>
            <w:pPr>
              <w:pStyle w:val="TableContents"/>
              <w:bidi w:val="0"/>
              <w:spacing w:before="0" w:after="283"/>
              <w:jc w:val="right"/>
              <w:rPr/>
            </w:pPr>
            <w:r>
              <w:rPr/>
              <w:t>2</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6542"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5.</w:t>
            </w:r>
          </w:p>
        </w:tc>
        <w:tc>
          <w:tcPr>
            <w:tcW w:w="6994" w:type="dxa"/>
            <w:gridSpan w:val="2"/>
            <w:tcBorders/>
            <w:shd w:fill="EEEEEE" w:val="clear"/>
            <w:vAlign w:val="center"/>
          </w:tcPr>
          <w:p>
            <w:pPr>
              <w:pStyle w:val="TableContents"/>
              <w:bidi w:val="0"/>
              <w:spacing w:before="0" w:after="283"/>
              <w:jc w:val="left"/>
              <w:rPr/>
            </w:pPr>
            <w:r>
              <w:rPr/>
              <w:t>Delinquent Payment; Handling Charges</w:t>
            </w:r>
          </w:p>
        </w:tc>
        <w:tc>
          <w:tcPr>
            <w:tcW w:w="950" w:type="dxa"/>
            <w:tcBorders/>
            <w:shd w:fill="EEEEEE" w:val="clear"/>
            <w:vAlign w:val="center"/>
          </w:tcPr>
          <w:p>
            <w:pPr>
              <w:pStyle w:val="TableContents"/>
              <w:bidi w:val="0"/>
              <w:spacing w:before="0" w:after="283"/>
              <w:jc w:val="right"/>
              <w:rPr/>
            </w:pPr>
            <w:r>
              <w:rPr/>
              <w:t>5</w:t>
            </w:r>
          </w:p>
        </w:tc>
      </w:tr>
      <w:tr>
        <w:trPr/>
        <w:tc>
          <w:tcPr>
            <w:tcW w:w="335" w:type="dxa"/>
            <w:tcBorders/>
            <w:shd w:fill="FFFFFF" w:val="clear"/>
            <w:vAlign w:val="center"/>
          </w:tcPr>
          <w:p>
            <w:pPr>
              <w:pStyle w:val="TableContents"/>
              <w:bidi w:val="0"/>
              <w:spacing w:before="0" w:after="283"/>
              <w:jc w:val="left"/>
              <w:rPr/>
            </w:pPr>
            <w:r>
              <w:rPr/>
              <w:t> </w:t>
            </w:r>
          </w:p>
        </w:tc>
        <w:tc>
          <w:tcPr>
            <w:tcW w:w="6994" w:type="dxa"/>
            <w:gridSpan w:val="2"/>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6.</w:t>
            </w:r>
          </w:p>
        </w:tc>
        <w:tc>
          <w:tcPr>
            <w:tcW w:w="6994" w:type="dxa"/>
            <w:gridSpan w:val="2"/>
            <w:tcBorders/>
            <w:shd w:fill="EEEEEE" w:val="clear"/>
            <w:vAlign w:val="center"/>
          </w:tcPr>
          <w:p>
            <w:pPr>
              <w:pStyle w:val="TableContents"/>
              <w:bidi w:val="0"/>
              <w:spacing w:before="0" w:after="283"/>
              <w:jc w:val="left"/>
              <w:rPr/>
            </w:pPr>
            <w:r>
              <w:rPr/>
              <w:t>Security Deposit</w:t>
            </w:r>
          </w:p>
        </w:tc>
        <w:tc>
          <w:tcPr>
            <w:tcW w:w="950" w:type="dxa"/>
            <w:tcBorders/>
            <w:shd w:fill="EEEEEE" w:val="clear"/>
            <w:vAlign w:val="center"/>
          </w:tcPr>
          <w:p>
            <w:pPr>
              <w:pStyle w:val="TableContents"/>
              <w:bidi w:val="0"/>
              <w:spacing w:before="0" w:after="283"/>
              <w:jc w:val="right"/>
              <w:rPr/>
            </w:pPr>
            <w:r>
              <w:rPr/>
              <w:t>6</w:t>
            </w:r>
          </w:p>
        </w:tc>
      </w:tr>
      <w:tr>
        <w:trPr/>
        <w:tc>
          <w:tcPr>
            <w:tcW w:w="335" w:type="dxa"/>
            <w:tcBorders/>
            <w:shd w:fill="FFFFFF" w:val="clear"/>
            <w:vAlign w:val="center"/>
          </w:tcPr>
          <w:p>
            <w:pPr>
              <w:pStyle w:val="TableContents"/>
              <w:bidi w:val="0"/>
              <w:spacing w:before="0" w:after="283"/>
              <w:jc w:val="left"/>
              <w:rPr/>
            </w:pPr>
            <w:r>
              <w:rPr/>
              <w:t> </w:t>
            </w:r>
          </w:p>
        </w:tc>
        <w:tc>
          <w:tcPr>
            <w:tcW w:w="6994" w:type="dxa"/>
            <w:gridSpan w:val="2"/>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7.</w:t>
            </w:r>
          </w:p>
        </w:tc>
        <w:tc>
          <w:tcPr>
            <w:tcW w:w="6994" w:type="dxa"/>
            <w:gridSpan w:val="2"/>
            <w:tcBorders/>
            <w:shd w:fill="EEEEEE" w:val="clear"/>
            <w:vAlign w:val="center"/>
          </w:tcPr>
          <w:p>
            <w:pPr>
              <w:pStyle w:val="TableContents"/>
              <w:bidi w:val="0"/>
              <w:spacing w:before="0" w:after="283"/>
              <w:jc w:val="left"/>
              <w:rPr/>
            </w:pPr>
            <w:r>
              <w:rPr/>
              <w:t>Landlord’s Maintenance Obligations</w:t>
            </w:r>
          </w:p>
        </w:tc>
        <w:tc>
          <w:tcPr>
            <w:tcW w:w="950" w:type="dxa"/>
            <w:tcBorders/>
            <w:shd w:fill="EEEEEE" w:val="clear"/>
            <w:vAlign w:val="center"/>
          </w:tcPr>
          <w:p>
            <w:pPr>
              <w:pStyle w:val="TableContents"/>
              <w:bidi w:val="0"/>
              <w:spacing w:before="0" w:after="283"/>
              <w:jc w:val="right"/>
              <w:rPr/>
            </w:pPr>
            <w:r>
              <w:rPr/>
              <w:t>6</w:t>
            </w:r>
          </w:p>
        </w:tc>
      </w:tr>
      <w:tr>
        <w:trPr/>
        <w:tc>
          <w:tcPr>
            <w:tcW w:w="335" w:type="dxa"/>
            <w:tcBorders/>
            <w:shd w:fill="FFFFFF" w:val="clear"/>
            <w:vAlign w:val="center"/>
          </w:tcPr>
          <w:p>
            <w:pPr>
              <w:pStyle w:val="TableContents"/>
              <w:bidi w:val="0"/>
              <w:spacing w:before="0" w:after="283"/>
              <w:jc w:val="left"/>
              <w:rPr/>
            </w:pPr>
            <w:r>
              <w:rPr/>
              <w:t> </w:t>
            </w:r>
          </w:p>
        </w:tc>
        <w:tc>
          <w:tcPr>
            <w:tcW w:w="6994" w:type="dxa"/>
            <w:gridSpan w:val="2"/>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8.</w:t>
            </w:r>
          </w:p>
        </w:tc>
        <w:tc>
          <w:tcPr>
            <w:tcW w:w="6994" w:type="dxa"/>
            <w:gridSpan w:val="2"/>
            <w:tcBorders/>
            <w:shd w:fill="EEEEEE" w:val="clear"/>
            <w:vAlign w:val="center"/>
          </w:tcPr>
          <w:p>
            <w:pPr>
              <w:pStyle w:val="TableContents"/>
              <w:bidi w:val="0"/>
              <w:spacing w:before="0" w:after="283"/>
              <w:jc w:val="left"/>
              <w:rPr/>
            </w:pPr>
            <w:r>
              <w:rPr/>
              <w:t>Improvements; Alterations; Tenant’s Maintenance and Repair Obligations</w:t>
            </w:r>
          </w:p>
        </w:tc>
        <w:tc>
          <w:tcPr>
            <w:tcW w:w="950" w:type="dxa"/>
            <w:tcBorders/>
            <w:shd w:fill="EEEEEE" w:val="clear"/>
            <w:vAlign w:val="center"/>
          </w:tcPr>
          <w:p>
            <w:pPr>
              <w:pStyle w:val="TableContents"/>
              <w:bidi w:val="0"/>
              <w:spacing w:before="0" w:after="283"/>
              <w:jc w:val="right"/>
              <w:rPr/>
            </w:pPr>
            <w:r>
              <w:rPr/>
              <w:t>6</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(a)</w:t>
            </w:r>
          </w:p>
        </w:tc>
        <w:tc>
          <w:tcPr>
            <w:tcW w:w="6542" w:type="dxa"/>
            <w:tcBorders/>
            <w:shd w:fill="FFFFFF" w:val="clear"/>
            <w:vAlign w:val="center"/>
          </w:tcPr>
          <w:p>
            <w:pPr>
              <w:pStyle w:val="TableContents"/>
              <w:bidi w:val="0"/>
              <w:spacing w:before="0" w:after="283"/>
              <w:jc w:val="left"/>
              <w:rPr/>
            </w:pPr>
            <w:r>
              <w:rPr/>
              <w:t>Improvements; Alterations</w:t>
            </w:r>
          </w:p>
        </w:tc>
        <w:tc>
          <w:tcPr>
            <w:tcW w:w="950" w:type="dxa"/>
            <w:tcBorders/>
            <w:shd w:fill="FFFFFF" w:val="clear"/>
            <w:vAlign w:val="center"/>
          </w:tcPr>
          <w:p>
            <w:pPr>
              <w:pStyle w:val="TableContents"/>
              <w:bidi w:val="0"/>
              <w:spacing w:before="0" w:after="283"/>
              <w:jc w:val="right"/>
              <w:rPr/>
            </w:pPr>
            <w:r>
              <w:rPr/>
              <w:t>6</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(b)</w:t>
            </w:r>
          </w:p>
        </w:tc>
        <w:tc>
          <w:tcPr>
            <w:tcW w:w="6542" w:type="dxa"/>
            <w:tcBorders/>
            <w:shd w:fill="EEEEEE" w:val="clear"/>
            <w:vAlign w:val="center"/>
          </w:tcPr>
          <w:p>
            <w:pPr>
              <w:pStyle w:val="TableContents"/>
              <w:bidi w:val="0"/>
              <w:spacing w:before="0" w:after="283"/>
              <w:jc w:val="left"/>
              <w:rPr/>
            </w:pPr>
            <w:r>
              <w:rPr/>
              <w:t>Repairs; Maintenance</w:t>
            </w:r>
          </w:p>
        </w:tc>
        <w:tc>
          <w:tcPr>
            <w:tcW w:w="950" w:type="dxa"/>
            <w:tcBorders/>
            <w:shd w:fill="EEEEEE" w:val="clear"/>
            <w:vAlign w:val="center"/>
          </w:tcPr>
          <w:p>
            <w:pPr>
              <w:pStyle w:val="TableContents"/>
              <w:bidi w:val="0"/>
              <w:spacing w:before="0" w:after="283"/>
              <w:jc w:val="right"/>
              <w:rPr/>
            </w:pPr>
            <w:r>
              <w:rPr/>
              <w:t>7</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(c)</w:t>
            </w:r>
          </w:p>
        </w:tc>
        <w:tc>
          <w:tcPr>
            <w:tcW w:w="6542" w:type="dxa"/>
            <w:tcBorders/>
            <w:shd w:fill="FFFFFF" w:val="clear"/>
            <w:vAlign w:val="center"/>
          </w:tcPr>
          <w:p>
            <w:pPr>
              <w:pStyle w:val="TableContents"/>
              <w:bidi w:val="0"/>
              <w:spacing w:before="0" w:after="283"/>
              <w:jc w:val="left"/>
              <w:rPr/>
            </w:pPr>
            <w:r>
              <w:rPr/>
              <w:t>Performance of Work</w:t>
            </w:r>
          </w:p>
        </w:tc>
        <w:tc>
          <w:tcPr>
            <w:tcW w:w="950" w:type="dxa"/>
            <w:tcBorders/>
            <w:shd w:fill="FFFFFF" w:val="clear"/>
            <w:vAlign w:val="center"/>
          </w:tcPr>
          <w:p>
            <w:pPr>
              <w:pStyle w:val="TableContents"/>
              <w:bidi w:val="0"/>
              <w:spacing w:before="0" w:after="283"/>
              <w:jc w:val="right"/>
              <w:rPr/>
            </w:pPr>
            <w:r>
              <w:rPr/>
              <w:t>7</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(d)</w:t>
            </w:r>
          </w:p>
        </w:tc>
        <w:tc>
          <w:tcPr>
            <w:tcW w:w="6542" w:type="dxa"/>
            <w:tcBorders/>
            <w:shd w:fill="EEEEEE" w:val="clear"/>
            <w:vAlign w:val="center"/>
          </w:tcPr>
          <w:p>
            <w:pPr>
              <w:pStyle w:val="TableContents"/>
              <w:bidi w:val="0"/>
              <w:spacing w:before="0" w:after="283"/>
              <w:jc w:val="left"/>
              <w:rPr/>
            </w:pPr>
            <w:r>
              <w:rPr/>
              <w:t>Mechanic’s Liens</w:t>
            </w:r>
          </w:p>
        </w:tc>
        <w:tc>
          <w:tcPr>
            <w:tcW w:w="950" w:type="dxa"/>
            <w:tcBorders/>
            <w:shd w:fill="EEEEEE" w:val="clear"/>
            <w:vAlign w:val="center"/>
          </w:tcPr>
          <w:p>
            <w:pPr>
              <w:pStyle w:val="TableContents"/>
              <w:bidi w:val="0"/>
              <w:spacing w:before="0" w:after="283"/>
              <w:jc w:val="right"/>
              <w:rPr/>
            </w:pPr>
            <w:r>
              <w:rPr/>
              <w:t>7</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(e)</w:t>
            </w:r>
          </w:p>
        </w:tc>
        <w:tc>
          <w:tcPr>
            <w:tcW w:w="6542" w:type="dxa"/>
            <w:tcBorders/>
            <w:shd w:fill="FFFFFF" w:val="clear"/>
            <w:vAlign w:val="center"/>
          </w:tcPr>
          <w:p>
            <w:pPr>
              <w:pStyle w:val="TableContents"/>
              <w:bidi w:val="0"/>
              <w:spacing w:before="0" w:after="283"/>
              <w:jc w:val="left"/>
              <w:rPr/>
            </w:pPr>
            <w:r>
              <w:rPr/>
              <w:t>Janitorial Services</w:t>
            </w:r>
          </w:p>
        </w:tc>
        <w:tc>
          <w:tcPr>
            <w:tcW w:w="950" w:type="dxa"/>
            <w:tcBorders/>
            <w:shd w:fill="FFFFFF" w:val="clear"/>
            <w:vAlign w:val="center"/>
          </w:tcPr>
          <w:p>
            <w:pPr>
              <w:pStyle w:val="TableContents"/>
              <w:bidi w:val="0"/>
              <w:spacing w:before="0" w:after="283"/>
              <w:jc w:val="right"/>
              <w:rPr/>
            </w:pPr>
            <w:r>
              <w:rPr/>
              <w:t>8</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 </w:t>
            </w:r>
          </w:p>
        </w:tc>
        <w:tc>
          <w:tcPr>
            <w:tcW w:w="6542"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9.</w:t>
            </w:r>
          </w:p>
        </w:tc>
        <w:tc>
          <w:tcPr>
            <w:tcW w:w="6994" w:type="dxa"/>
            <w:gridSpan w:val="2"/>
            <w:tcBorders/>
            <w:shd w:fill="FFFFFF" w:val="clear"/>
            <w:vAlign w:val="center"/>
          </w:tcPr>
          <w:p>
            <w:pPr>
              <w:pStyle w:val="TableContents"/>
              <w:bidi w:val="0"/>
              <w:spacing w:before="0" w:after="283"/>
              <w:jc w:val="left"/>
              <w:rPr/>
            </w:pPr>
            <w:r>
              <w:rPr/>
              <w:t>Utilities</w:t>
            </w:r>
          </w:p>
        </w:tc>
        <w:tc>
          <w:tcPr>
            <w:tcW w:w="950" w:type="dxa"/>
            <w:tcBorders/>
            <w:shd w:fill="FFFFFF" w:val="clear"/>
            <w:vAlign w:val="center"/>
          </w:tcPr>
          <w:p>
            <w:pPr>
              <w:pStyle w:val="TableContents"/>
              <w:bidi w:val="0"/>
              <w:spacing w:before="0" w:after="283"/>
              <w:jc w:val="right"/>
              <w:rPr/>
            </w:pPr>
            <w:r>
              <w:rPr/>
              <w:t>8</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 </w:t>
            </w:r>
          </w:p>
        </w:tc>
        <w:tc>
          <w:tcPr>
            <w:tcW w:w="6542"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10.</w:t>
            </w:r>
          </w:p>
        </w:tc>
        <w:tc>
          <w:tcPr>
            <w:tcW w:w="6994" w:type="dxa"/>
            <w:gridSpan w:val="2"/>
            <w:tcBorders/>
            <w:shd w:fill="FFFFFF" w:val="clear"/>
            <w:vAlign w:val="center"/>
          </w:tcPr>
          <w:p>
            <w:pPr>
              <w:pStyle w:val="TableContents"/>
              <w:bidi w:val="0"/>
              <w:spacing w:before="0" w:after="283"/>
              <w:jc w:val="left"/>
              <w:rPr/>
            </w:pPr>
            <w:r>
              <w:rPr/>
              <w:t>Use and Compliance with Law</w:t>
            </w:r>
          </w:p>
        </w:tc>
        <w:tc>
          <w:tcPr>
            <w:tcW w:w="950" w:type="dxa"/>
            <w:tcBorders/>
            <w:shd w:fill="FFFFFF" w:val="clear"/>
            <w:vAlign w:val="center"/>
          </w:tcPr>
          <w:p>
            <w:pPr>
              <w:pStyle w:val="TableContents"/>
              <w:bidi w:val="0"/>
              <w:spacing w:before="0" w:after="283"/>
              <w:jc w:val="right"/>
              <w:rPr/>
            </w:pPr>
            <w:r>
              <w:rPr/>
              <w:t>8</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(a)</w:t>
            </w:r>
          </w:p>
        </w:tc>
        <w:tc>
          <w:tcPr>
            <w:tcW w:w="6542" w:type="dxa"/>
            <w:tcBorders/>
            <w:shd w:fill="EEEEEE" w:val="clear"/>
            <w:vAlign w:val="center"/>
          </w:tcPr>
          <w:p>
            <w:pPr>
              <w:pStyle w:val="TableContents"/>
              <w:bidi w:val="0"/>
              <w:spacing w:before="0" w:after="283"/>
              <w:jc w:val="left"/>
              <w:rPr/>
            </w:pPr>
            <w:r>
              <w:rPr/>
              <w:t>Use</w:t>
            </w:r>
          </w:p>
        </w:tc>
        <w:tc>
          <w:tcPr>
            <w:tcW w:w="950" w:type="dxa"/>
            <w:tcBorders/>
            <w:shd w:fill="EEEEEE" w:val="clear"/>
            <w:vAlign w:val="center"/>
          </w:tcPr>
          <w:p>
            <w:pPr>
              <w:pStyle w:val="TableContents"/>
              <w:bidi w:val="0"/>
              <w:spacing w:before="0" w:after="283"/>
              <w:jc w:val="right"/>
              <w:rPr/>
            </w:pPr>
            <w:r>
              <w:rPr/>
              <w:t>8</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(b)</w:t>
            </w:r>
          </w:p>
        </w:tc>
        <w:tc>
          <w:tcPr>
            <w:tcW w:w="6542" w:type="dxa"/>
            <w:tcBorders/>
            <w:shd w:fill="FFFFFF" w:val="clear"/>
            <w:vAlign w:val="center"/>
          </w:tcPr>
          <w:p>
            <w:pPr>
              <w:pStyle w:val="TableContents"/>
              <w:bidi w:val="0"/>
              <w:spacing w:before="0" w:after="283"/>
              <w:jc w:val="left"/>
              <w:rPr/>
            </w:pPr>
            <w:r>
              <w:rPr/>
              <w:t>Compliance with Law</w:t>
            </w:r>
          </w:p>
        </w:tc>
        <w:tc>
          <w:tcPr>
            <w:tcW w:w="950" w:type="dxa"/>
            <w:tcBorders/>
            <w:shd w:fill="FFFFFF" w:val="clear"/>
            <w:vAlign w:val="center"/>
          </w:tcPr>
          <w:p>
            <w:pPr>
              <w:pStyle w:val="TableContents"/>
              <w:bidi w:val="0"/>
              <w:spacing w:before="0" w:after="283"/>
              <w:jc w:val="right"/>
              <w:rPr/>
            </w:pPr>
            <w:r>
              <w:rPr/>
              <w:t>8</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 </w:t>
            </w:r>
          </w:p>
        </w:tc>
        <w:tc>
          <w:tcPr>
            <w:tcW w:w="6542"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11.</w:t>
            </w:r>
          </w:p>
        </w:tc>
        <w:tc>
          <w:tcPr>
            <w:tcW w:w="6994" w:type="dxa"/>
            <w:gridSpan w:val="2"/>
            <w:tcBorders/>
            <w:shd w:fill="FFFFFF" w:val="clear"/>
            <w:vAlign w:val="center"/>
          </w:tcPr>
          <w:p>
            <w:pPr>
              <w:pStyle w:val="TableContents"/>
              <w:bidi w:val="0"/>
              <w:spacing w:before="0" w:after="283"/>
              <w:jc w:val="left"/>
              <w:rPr/>
            </w:pPr>
            <w:r>
              <w:rPr/>
              <w:t>Assignment and Subletting</w:t>
            </w:r>
          </w:p>
        </w:tc>
        <w:tc>
          <w:tcPr>
            <w:tcW w:w="950" w:type="dxa"/>
            <w:tcBorders/>
            <w:shd w:fill="FFFFFF" w:val="clear"/>
            <w:vAlign w:val="center"/>
          </w:tcPr>
          <w:p>
            <w:pPr>
              <w:pStyle w:val="TableContents"/>
              <w:bidi w:val="0"/>
              <w:spacing w:before="0" w:after="283"/>
              <w:jc w:val="right"/>
              <w:rPr/>
            </w:pPr>
            <w:r>
              <w:rPr/>
              <w:t>9</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(a)</w:t>
            </w:r>
          </w:p>
        </w:tc>
        <w:tc>
          <w:tcPr>
            <w:tcW w:w="6542" w:type="dxa"/>
            <w:tcBorders/>
            <w:shd w:fill="EEEEEE" w:val="clear"/>
            <w:vAlign w:val="center"/>
          </w:tcPr>
          <w:p>
            <w:pPr>
              <w:pStyle w:val="TableContents"/>
              <w:bidi w:val="0"/>
              <w:spacing w:before="0" w:after="283"/>
              <w:jc w:val="left"/>
              <w:rPr/>
            </w:pPr>
            <w:r>
              <w:rPr/>
              <w:t>Transfers</w:t>
            </w:r>
          </w:p>
        </w:tc>
        <w:tc>
          <w:tcPr>
            <w:tcW w:w="950" w:type="dxa"/>
            <w:tcBorders/>
            <w:shd w:fill="EEEEEE" w:val="clear"/>
            <w:vAlign w:val="center"/>
          </w:tcPr>
          <w:p>
            <w:pPr>
              <w:pStyle w:val="TableContents"/>
              <w:bidi w:val="0"/>
              <w:spacing w:before="0" w:after="283"/>
              <w:jc w:val="right"/>
              <w:rPr/>
            </w:pPr>
            <w:r>
              <w:rPr/>
              <w:t>9</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(b)</w:t>
            </w:r>
          </w:p>
        </w:tc>
        <w:tc>
          <w:tcPr>
            <w:tcW w:w="6542" w:type="dxa"/>
            <w:tcBorders/>
            <w:shd w:fill="FFFFFF" w:val="clear"/>
            <w:vAlign w:val="center"/>
          </w:tcPr>
          <w:p>
            <w:pPr>
              <w:pStyle w:val="TableContents"/>
              <w:bidi w:val="0"/>
              <w:spacing w:before="0" w:after="283"/>
              <w:jc w:val="left"/>
              <w:rPr/>
            </w:pPr>
            <w:r>
              <w:rPr/>
              <w:t>Consent Standards</w:t>
            </w:r>
          </w:p>
        </w:tc>
        <w:tc>
          <w:tcPr>
            <w:tcW w:w="950" w:type="dxa"/>
            <w:tcBorders/>
            <w:shd w:fill="FFFFFF" w:val="clear"/>
            <w:vAlign w:val="center"/>
          </w:tcPr>
          <w:p>
            <w:pPr>
              <w:pStyle w:val="TableContents"/>
              <w:bidi w:val="0"/>
              <w:spacing w:before="0" w:after="283"/>
              <w:jc w:val="right"/>
              <w:rPr/>
            </w:pPr>
            <w:r>
              <w:rPr/>
              <w:t>9</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(c)</w:t>
            </w:r>
          </w:p>
        </w:tc>
        <w:tc>
          <w:tcPr>
            <w:tcW w:w="6542" w:type="dxa"/>
            <w:tcBorders/>
            <w:shd w:fill="EEEEEE" w:val="clear"/>
            <w:vAlign w:val="center"/>
          </w:tcPr>
          <w:p>
            <w:pPr>
              <w:pStyle w:val="TableContents"/>
              <w:bidi w:val="0"/>
              <w:spacing w:before="0" w:after="283"/>
              <w:jc w:val="left"/>
              <w:rPr/>
            </w:pPr>
            <w:r>
              <w:rPr/>
              <w:t>Request for Consent</w:t>
            </w:r>
          </w:p>
        </w:tc>
        <w:tc>
          <w:tcPr>
            <w:tcW w:w="950" w:type="dxa"/>
            <w:tcBorders/>
            <w:shd w:fill="EEEEEE" w:val="clear"/>
            <w:vAlign w:val="center"/>
          </w:tcPr>
          <w:p>
            <w:pPr>
              <w:pStyle w:val="TableContents"/>
              <w:bidi w:val="0"/>
              <w:spacing w:before="0" w:after="283"/>
              <w:jc w:val="right"/>
              <w:rPr/>
            </w:pPr>
            <w:r>
              <w:rPr/>
              <w:t>9</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(d)</w:t>
            </w:r>
          </w:p>
        </w:tc>
        <w:tc>
          <w:tcPr>
            <w:tcW w:w="6542" w:type="dxa"/>
            <w:tcBorders/>
            <w:shd w:fill="FFFFFF" w:val="clear"/>
            <w:vAlign w:val="center"/>
          </w:tcPr>
          <w:p>
            <w:pPr>
              <w:pStyle w:val="TableContents"/>
              <w:bidi w:val="0"/>
              <w:spacing w:before="0" w:after="283"/>
              <w:jc w:val="left"/>
              <w:rPr/>
            </w:pPr>
            <w:r>
              <w:rPr/>
              <w:t>Conditions to Consent</w:t>
            </w:r>
          </w:p>
        </w:tc>
        <w:tc>
          <w:tcPr>
            <w:tcW w:w="950" w:type="dxa"/>
            <w:tcBorders/>
            <w:shd w:fill="FFFFFF" w:val="clear"/>
            <w:vAlign w:val="center"/>
          </w:tcPr>
          <w:p>
            <w:pPr>
              <w:pStyle w:val="TableContents"/>
              <w:bidi w:val="0"/>
              <w:spacing w:before="0" w:after="283"/>
              <w:jc w:val="right"/>
              <w:rPr/>
            </w:pPr>
            <w:r>
              <w:rPr/>
              <w:t>10</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(e)</w:t>
            </w:r>
          </w:p>
        </w:tc>
        <w:tc>
          <w:tcPr>
            <w:tcW w:w="6542" w:type="dxa"/>
            <w:tcBorders/>
            <w:shd w:fill="EEEEEE" w:val="clear"/>
            <w:vAlign w:val="center"/>
          </w:tcPr>
          <w:p>
            <w:pPr>
              <w:pStyle w:val="TableContents"/>
              <w:bidi w:val="0"/>
              <w:spacing w:before="0" w:after="283"/>
              <w:jc w:val="left"/>
              <w:rPr/>
            </w:pPr>
            <w:r>
              <w:rPr/>
              <w:t>Attornment by Subtenants</w:t>
            </w:r>
          </w:p>
        </w:tc>
        <w:tc>
          <w:tcPr>
            <w:tcW w:w="950" w:type="dxa"/>
            <w:tcBorders/>
            <w:shd w:fill="EEEEEE" w:val="clear"/>
            <w:vAlign w:val="center"/>
          </w:tcPr>
          <w:p>
            <w:pPr>
              <w:pStyle w:val="TableContents"/>
              <w:bidi w:val="0"/>
              <w:spacing w:before="0" w:after="283"/>
              <w:jc w:val="right"/>
              <w:rPr/>
            </w:pPr>
            <w:r>
              <w:rPr/>
              <w:t>10</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(f)</w:t>
            </w:r>
          </w:p>
        </w:tc>
        <w:tc>
          <w:tcPr>
            <w:tcW w:w="6542" w:type="dxa"/>
            <w:tcBorders/>
            <w:shd w:fill="FFFFFF" w:val="clear"/>
            <w:vAlign w:val="center"/>
          </w:tcPr>
          <w:p>
            <w:pPr>
              <w:pStyle w:val="TableContents"/>
              <w:bidi w:val="0"/>
              <w:spacing w:before="0" w:after="283"/>
              <w:jc w:val="left"/>
              <w:rPr/>
            </w:pPr>
            <w:r>
              <w:rPr/>
              <w:t>Cancellation</w:t>
            </w:r>
          </w:p>
        </w:tc>
        <w:tc>
          <w:tcPr>
            <w:tcW w:w="950" w:type="dxa"/>
            <w:tcBorders/>
            <w:shd w:fill="FFFFFF" w:val="clear"/>
            <w:vAlign w:val="center"/>
          </w:tcPr>
          <w:p>
            <w:pPr>
              <w:pStyle w:val="TableContents"/>
              <w:bidi w:val="0"/>
              <w:spacing w:before="0" w:after="283"/>
              <w:jc w:val="right"/>
              <w:rPr/>
            </w:pPr>
            <w:r>
              <w:rPr/>
              <w:t>10</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(g)</w:t>
            </w:r>
          </w:p>
        </w:tc>
        <w:tc>
          <w:tcPr>
            <w:tcW w:w="6542" w:type="dxa"/>
            <w:tcBorders/>
            <w:shd w:fill="EEEEEE" w:val="clear"/>
            <w:vAlign w:val="center"/>
          </w:tcPr>
          <w:p>
            <w:pPr>
              <w:pStyle w:val="TableContents"/>
              <w:bidi w:val="0"/>
              <w:spacing w:before="0" w:after="283"/>
              <w:jc w:val="left"/>
              <w:rPr/>
            </w:pPr>
            <w:r>
              <w:rPr/>
              <w:t>Additional Compensation</w:t>
            </w:r>
          </w:p>
        </w:tc>
        <w:tc>
          <w:tcPr>
            <w:tcW w:w="950" w:type="dxa"/>
            <w:tcBorders/>
            <w:shd w:fill="EEEEEE" w:val="clear"/>
            <w:vAlign w:val="center"/>
          </w:tcPr>
          <w:p>
            <w:pPr>
              <w:pStyle w:val="TableContents"/>
              <w:bidi w:val="0"/>
              <w:spacing w:before="0" w:after="283"/>
              <w:jc w:val="right"/>
              <w:rPr/>
            </w:pPr>
            <w:r>
              <w:rPr/>
              <w:t>10</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(h)</w:t>
            </w:r>
          </w:p>
        </w:tc>
        <w:tc>
          <w:tcPr>
            <w:tcW w:w="6542" w:type="dxa"/>
            <w:tcBorders/>
            <w:shd w:fill="FFFFFF" w:val="clear"/>
            <w:vAlign w:val="center"/>
          </w:tcPr>
          <w:p>
            <w:pPr>
              <w:pStyle w:val="TableContents"/>
              <w:bidi w:val="0"/>
              <w:spacing w:before="0" w:after="283"/>
              <w:jc w:val="left"/>
              <w:rPr/>
            </w:pPr>
            <w:r>
              <w:rPr/>
              <w:t>Permitted Transfers</w:t>
            </w:r>
          </w:p>
        </w:tc>
        <w:tc>
          <w:tcPr>
            <w:tcW w:w="950" w:type="dxa"/>
            <w:tcBorders/>
            <w:shd w:fill="FFFFFF" w:val="clear"/>
            <w:vAlign w:val="center"/>
          </w:tcPr>
          <w:p>
            <w:pPr>
              <w:pStyle w:val="TableContents"/>
              <w:bidi w:val="0"/>
              <w:spacing w:before="0" w:after="283"/>
              <w:jc w:val="right"/>
              <w:rPr/>
            </w:pPr>
            <w:r>
              <w:rPr/>
              <w:t>10</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 </w:t>
            </w:r>
          </w:p>
        </w:tc>
        <w:tc>
          <w:tcPr>
            <w:tcW w:w="6542"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12.</w:t>
            </w:r>
          </w:p>
        </w:tc>
        <w:tc>
          <w:tcPr>
            <w:tcW w:w="6994" w:type="dxa"/>
            <w:gridSpan w:val="2"/>
            <w:tcBorders/>
            <w:shd w:fill="FFFFFF" w:val="clear"/>
            <w:vAlign w:val="center"/>
          </w:tcPr>
          <w:p>
            <w:pPr>
              <w:pStyle w:val="TableContents"/>
              <w:bidi w:val="0"/>
              <w:spacing w:before="0" w:after="283"/>
              <w:jc w:val="left"/>
              <w:rPr/>
            </w:pPr>
            <w:r>
              <w:rPr/>
              <w:t>Insurance; Waivers; Subrogation; Indemnity</w:t>
            </w:r>
          </w:p>
        </w:tc>
        <w:tc>
          <w:tcPr>
            <w:tcW w:w="950" w:type="dxa"/>
            <w:tcBorders/>
            <w:shd w:fill="FFFFFF" w:val="clear"/>
            <w:vAlign w:val="center"/>
          </w:tcPr>
          <w:p>
            <w:pPr>
              <w:pStyle w:val="TableContents"/>
              <w:bidi w:val="0"/>
              <w:spacing w:before="0" w:after="283"/>
              <w:jc w:val="right"/>
              <w:rPr/>
            </w:pPr>
            <w:r>
              <w:rPr/>
              <w:t>11</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(a)</w:t>
            </w:r>
          </w:p>
        </w:tc>
        <w:tc>
          <w:tcPr>
            <w:tcW w:w="6542" w:type="dxa"/>
            <w:tcBorders/>
            <w:shd w:fill="EEEEEE" w:val="clear"/>
            <w:vAlign w:val="center"/>
          </w:tcPr>
          <w:p>
            <w:pPr>
              <w:pStyle w:val="TableContents"/>
              <w:bidi w:val="0"/>
              <w:spacing w:before="0" w:after="283"/>
              <w:jc w:val="left"/>
              <w:rPr/>
            </w:pPr>
            <w:r>
              <w:rPr/>
              <w:t>Tenant’s Insurance</w:t>
            </w:r>
          </w:p>
        </w:tc>
        <w:tc>
          <w:tcPr>
            <w:tcW w:w="950" w:type="dxa"/>
            <w:tcBorders/>
            <w:shd w:fill="EEEEEE" w:val="clear"/>
            <w:vAlign w:val="center"/>
          </w:tcPr>
          <w:p>
            <w:pPr>
              <w:pStyle w:val="TableContents"/>
              <w:bidi w:val="0"/>
              <w:spacing w:before="0" w:after="283"/>
              <w:jc w:val="right"/>
              <w:rPr/>
            </w:pPr>
            <w:r>
              <w:rPr/>
              <w:t>11</w:t>
            </w:r>
          </w:p>
        </w:tc>
      </w:tr>
      <w:tr>
        <w:trPr/>
        <w:tc>
          <w:tcPr>
            <w:tcW w:w="335"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(b)</w:t>
            </w:r>
          </w:p>
        </w:tc>
        <w:tc>
          <w:tcPr>
            <w:tcW w:w="6542" w:type="dxa"/>
            <w:tcBorders/>
            <w:shd w:fill="FFFFFF" w:val="clear"/>
            <w:vAlign w:val="center"/>
          </w:tcPr>
          <w:p>
            <w:pPr>
              <w:pStyle w:val="TableContents"/>
              <w:bidi w:val="0"/>
              <w:spacing w:before="0" w:after="283"/>
              <w:jc w:val="left"/>
              <w:rPr/>
            </w:pPr>
            <w:r>
              <w:rPr/>
              <w:t>Landlord’s Insurance</w:t>
            </w:r>
          </w:p>
        </w:tc>
        <w:tc>
          <w:tcPr>
            <w:tcW w:w="950" w:type="dxa"/>
            <w:tcBorders/>
            <w:shd w:fill="FFFFFF" w:val="clear"/>
            <w:vAlign w:val="center"/>
          </w:tcPr>
          <w:p>
            <w:pPr>
              <w:pStyle w:val="TableContents"/>
              <w:bidi w:val="0"/>
              <w:spacing w:before="0" w:after="283"/>
              <w:jc w:val="right"/>
              <w:rPr/>
            </w:pPr>
            <w:r>
              <w:rPr/>
              <w:t>12</w:t>
            </w:r>
          </w:p>
        </w:tc>
      </w:tr>
      <w:tr>
        <w:trPr/>
        <w:tc>
          <w:tcPr>
            <w:tcW w:w="335" w:type="dxa"/>
            <w:tcBorders/>
            <w:shd w:fill="EEEEEE" w:val="clear"/>
            <w:vAlign w:val="center"/>
          </w:tcPr>
          <w:p>
            <w:pPr>
              <w:pStyle w:val="TableContents"/>
              <w:bidi w:val="0"/>
              <w:spacing w:before="0" w:after="283"/>
              <w:jc w:val="left"/>
              <w:rPr/>
            </w:pPr>
            <w:r>
              <w:rPr/>
              <w:t> </w:t>
            </w:r>
          </w:p>
        </w:tc>
        <w:tc>
          <w:tcPr>
            <w:tcW w:w="452" w:type="dxa"/>
            <w:tcBorders/>
            <w:shd w:fill="EEEEEE" w:val="clear"/>
            <w:vAlign w:val="center"/>
          </w:tcPr>
          <w:p>
            <w:pPr>
              <w:pStyle w:val="TableContents"/>
              <w:bidi w:val="0"/>
              <w:spacing w:before="0" w:after="283"/>
              <w:jc w:val="left"/>
              <w:rPr/>
            </w:pPr>
            <w:r>
              <w:rPr/>
              <w:t>(c)</w:t>
            </w:r>
          </w:p>
        </w:tc>
        <w:tc>
          <w:tcPr>
            <w:tcW w:w="6542" w:type="dxa"/>
            <w:tcBorders/>
            <w:shd w:fill="EEEEEE" w:val="clear"/>
            <w:vAlign w:val="center"/>
          </w:tcPr>
          <w:p>
            <w:pPr>
              <w:pStyle w:val="TableContents"/>
              <w:bidi w:val="0"/>
              <w:spacing w:before="0" w:after="283"/>
              <w:jc w:val="left"/>
              <w:rPr/>
            </w:pPr>
            <w:r>
              <w:rPr/>
              <w:t>No Subrogation; Waiver of Property Claims</w:t>
            </w:r>
          </w:p>
        </w:tc>
        <w:tc>
          <w:tcPr>
            <w:tcW w:w="950" w:type="dxa"/>
            <w:tcBorders/>
            <w:shd w:fill="EEEEEE" w:val="clear"/>
            <w:vAlign w:val="center"/>
          </w:tcPr>
          <w:p>
            <w:pPr>
              <w:pStyle w:val="TableContents"/>
              <w:bidi w:val="0"/>
              <w:spacing w:before="0" w:after="283"/>
              <w:jc w:val="right"/>
              <w:rPr/>
            </w:pPr>
            <w:r>
              <w:rPr/>
              <w:t>12</w:t>
            </w:r>
          </w:p>
        </w:tc>
      </w:tr>
    </w:tbl>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6329" w:type="dxa"/>
        <w:jc w:val="left"/>
        <w:tblInd w:w="0" w:type="dxa"/>
        <w:tblLayout w:type="fixed"/>
        <w:tblCellMar>
          <w:top w:w="0" w:type="dxa"/>
          <w:left w:w="0" w:type="dxa"/>
          <w:bottom w:w="0" w:type="dxa"/>
          <w:right w:w="0" w:type="dxa"/>
        </w:tblCellMar>
      </w:tblPr>
      <w:tblGrid>
        <w:gridCol w:w="335"/>
        <w:gridCol w:w="355"/>
        <w:gridCol w:w="5364"/>
        <w:gridCol w:w="275"/>
      </w:tblGrid>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(d)</w:t>
            </w:r>
          </w:p>
        </w:tc>
        <w:tc>
          <w:tcPr>
            <w:tcW w:w="5364" w:type="dxa"/>
            <w:tcBorders/>
            <w:shd w:fill="EEEEEE" w:val="clear"/>
            <w:vAlign w:val="center"/>
          </w:tcPr>
          <w:p>
            <w:pPr>
              <w:pStyle w:val="TableContents"/>
              <w:bidi w:val="0"/>
              <w:spacing w:before="0" w:after="283"/>
              <w:jc w:val="left"/>
              <w:rPr/>
            </w:pPr>
            <w:r>
              <w:rPr/>
              <w:t>Indemnity</w:t>
            </w:r>
          </w:p>
        </w:tc>
        <w:tc>
          <w:tcPr>
            <w:tcW w:w="275" w:type="dxa"/>
            <w:tcBorders/>
            <w:shd w:fill="EEEEEE" w:val="clear"/>
            <w:vAlign w:val="center"/>
          </w:tcPr>
          <w:p>
            <w:pPr>
              <w:pStyle w:val="TableContents"/>
              <w:bidi w:val="0"/>
              <w:spacing w:before="0" w:after="283"/>
              <w:jc w:val="right"/>
              <w:rPr/>
            </w:pPr>
            <w:r>
              <w:rPr/>
              <w:t>12</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(e)</w:t>
            </w:r>
          </w:p>
        </w:tc>
        <w:tc>
          <w:tcPr>
            <w:tcW w:w="5364" w:type="dxa"/>
            <w:tcBorders/>
            <w:shd w:fill="FFFFFF" w:val="clear"/>
            <w:vAlign w:val="center"/>
          </w:tcPr>
          <w:p>
            <w:pPr>
              <w:pStyle w:val="TableContents"/>
              <w:bidi w:val="0"/>
              <w:spacing w:before="0" w:after="283"/>
              <w:jc w:val="left"/>
              <w:rPr/>
            </w:pPr>
            <w:r>
              <w:rPr/>
              <w:t>Cost of Landlord’s Insurance</w:t>
            </w:r>
          </w:p>
        </w:tc>
        <w:tc>
          <w:tcPr>
            <w:tcW w:w="275" w:type="dxa"/>
            <w:tcBorders/>
            <w:shd w:fill="FFFFFF" w:val="clear"/>
            <w:vAlign w:val="center"/>
          </w:tcPr>
          <w:p>
            <w:pPr>
              <w:pStyle w:val="TableContents"/>
              <w:bidi w:val="0"/>
              <w:spacing w:before="0" w:after="283"/>
              <w:jc w:val="right"/>
              <w:rPr/>
            </w:pPr>
            <w:r>
              <w:rPr/>
              <w:t>13</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 </w:t>
            </w:r>
          </w:p>
        </w:tc>
        <w:tc>
          <w:tcPr>
            <w:tcW w:w="5364"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13.</w:t>
            </w:r>
          </w:p>
        </w:tc>
        <w:tc>
          <w:tcPr>
            <w:tcW w:w="5719" w:type="dxa"/>
            <w:gridSpan w:val="2"/>
            <w:tcBorders/>
            <w:shd w:fill="FFFFFF" w:val="clear"/>
            <w:vAlign w:val="center"/>
          </w:tcPr>
          <w:p>
            <w:pPr>
              <w:pStyle w:val="TableContents"/>
              <w:bidi w:val="0"/>
              <w:spacing w:before="0" w:after="283"/>
              <w:jc w:val="left"/>
              <w:rPr/>
            </w:pPr>
            <w:r>
              <w:rPr/>
              <w:t>Subordination; Attornment; Notice to Landlord’s Mortgagee</w:t>
            </w:r>
          </w:p>
        </w:tc>
        <w:tc>
          <w:tcPr>
            <w:tcW w:w="275" w:type="dxa"/>
            <w:tcBorders/>
            <w:shd w:fill="FFFFFF" w:val="clear"/>
            <w:vAlign w:val="center"/>
          </w:tcPr>
          <w:p>
            <w:pPr>
              <w:pStyle w:val="TableContents"/>
              <w:bidi w:val="0"/>
              <w:spacing w:before="0" w:after="283"/>
              <w:jc w:val="right"/>
              <w:rPr/>
            </w:pPr>
            <w:r>
              <w:rPr/>
              <w:t>13</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(a)</w:t>
            </w:r>
          </w:p>
        </w:tc>
        <w:tc>
          <w:tcPr>
            <w:tcW w:w="5364" w:type="dxa"/>
            <w:tcBorders/>
            <w:shd w:fill="EEEEEE" w:val="clear"/>
            <w:vAlign w:val="center"/>
          </w:tcPr>
          <w:p>
            <w:pPr>
              <w:pStyle w:val="TableContents"/>
              <w:bidi w:val="0"/>
              <w:spacing w:before="0" w:after="283"/>
              <w:jc w:val="left"/>
              <w:rPr/>
            </w:pPr>
            <w:r>
              <w:rPr/>
              <w:t>Subordination</w:t>
            </w:r>
          </w:p>
        </w:tc>
        <w:tc>
          <w:tcPr>
            <w:tcW w:w="275" w:type="dxa"/>
            <w:tcBorders/>
            <w:shd w:fill="EEEEEE" w:val="clear"/>
            <w:vAlign w:val="center"/>
          </w:tcPr>
          <w:p>
            <w:pPr>
              <w:pStyle w:val="TableContents"/>
              <w:bidi w:val="0"/>
              <w:spacing w:before="0" w:after="283"/>
              <w:jc w:val="right"/>
              <w:rPr/>
            </w:pPr>
            <w:r>
              <w:rPr/>
              <w:t>13</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(b)</w:t>
            </w:r>
          </w:p>
        </w:tc>
        <w:tc>
          <w:tcPr>
            <w:tcW w:w="5364" w:type="dxa"/>
            <w:tcBorders/>
            <w:shd w:fill="FFFFFF" w:val="clear"/>
            <w:vAlign w:val="center"/>
          </w:tcPr>
          <w:p>
            <w:pPr>
              <w:pStyle w:val="TableContents"/>
              <w:bidi w:val="0"/>
              <w:spacing w:before="0" w:after="283"/>
              <w:jc w:val="left"/>
              <w:rPr/>
            </w:pPr>
            <w:r>
              <w:rPr/>
              <w:t>Attornment</w:t>
            </w:r>
          </w:p>
        </w:tc>
        <w:tc>
          <w:tcPr>
            <w:tcW w:w="275" w:type="dxa"/>
            <w:tcBorders/>
            <w:shd w:fill="FFFFFF" w:val="clear"/>
            <w:vAlign w:val="center"/>
          </w:tcPr>
          <w:p>
            <w:pPr>
              <w:pStyle w:val="TableContents"/>
              <w:bidi w:val="0"/>
              <w:spacing w:before="0" w:after="283"/>
              <w:jc w:val="right"/>
              <w:rPr/>
            </w:pPr>
            <w:r>
              <w:rPr/>
              <w:t>13</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(c)</w:t>
            </w:r>
          </w:p>
        </w:tc>
        <w:tc>
          <w:tcPr>
            <w:tcW w:w="5364" w:type="dxa"/>
            <w:tcBorders/>
            <w:shd w:fill="EEEEEE" w:val="clear"/>
            <w:vAlign w:val="center"/>
          </w:tcPr>
          <w:p>
            <w:pPr>
              <w:pStyle w:val="TableContents"/>
              <w:bidi w:val="0"/>
              <w:spacing w:before="0" w:after="283"/>
              <w:jc w:val="left"/>
              <w:rPr/>
            </w:pPr>
            <w:r>
              <w:rPr/>
              <w:t>Notice to Landlord’s Mortgagee</w:t>
            </w:r>
          </w:p>
        </w:tc>
        <w:tc>
          <w:tcPr>
            <w:tcW w:w="275" w:type="dxa"/>
            <w:tcBorders/>
            <w:shd w:fill="EEEEEE" w:val="clear"/>
            <w:vAlign w:val="center"/>
          </w:tcPr>
          <w:p>
            <w:pPr>
              <w:pStyle w:val="TableContents"/>
              <w:bidi w:val="0"/>
              <w:spacing w:before="0" w:after="283"/>
              <w:jc w:val="right"/>
              <w:rPr/>
            </w:pPr>
            <w:r>
              <w:rPr/>
              <w:t>13</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(d)</w:t>
            </w:r>
          </w:p>
        </w:tc>
        <w:tc>
          <w:tcPr>
            <w:tcW w:w="5364" w:type="dxa"/>
            <w:tcBorders/>
            <w:shd w:fill="FFFFFF" w:val="clear"/>
            <w:vAlign w:val="center"/>
          </w:tcPr>
          <w:p>
            <w:pPr>
              <w:pStyle w:val="TableContents"/>
              <w:bidi w:val="0"/>
              <w:spacing w:before="0" w:after="283"/>
              <w:jc w:val="left"/>
              <w:rPr/>
            </w:pPr>
            <w:r>
              <w:rPr/>
              <w:t>Landlord’s Mortgagee’s Protection Provisions</w:t>
            </w:r>
          </w:p>
        </w:tc>
        <w:tc>
          <w:tcPr>
            <w:tcW w:w="275" w:type="dxa"/>
            <w:tcBorders/>
            <w:shd w:fill="FFFFFF" w:val="clear"/>
            <w:vAlign w:val="center"/>
          </w:tcPr>
          <w:p>
            <w:pPr>
              <w:pStyle w:val="TableContents"/>
              <w:bidi w:val="0"/>
              <w:spacing w:before="0" w:after="283"/>
              <w:jc w:val="right"/>
              <w:rPr/>
            </w:pPr>
            <w:r>
              <w:rPr/>
              <w:t>13</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 </w:t>
            </w:r>
          </w:p>
        </w:tc>
        <w:tc>
          <w:tcPr>
            <w:tcW w:w="5364"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14.</w:t>
            </w:r>
          </w:p>
        </w:tc>
        <w:tc>
          <w:tcPr>
            <w:tcW w:w="5719" w:type="dxa"/>
            <w:gridSpan w:val="2"/>
            <w:tcBorders/>
            <w:shd w:fill="FFFFFF" w:val="clear"/>
            <w:vAlign w:val="center"/>
          </w:tcPr>
          <w:p>
            <w:pPr>
              <w:pStyle w:val="TableContents"/>
              <w:bidi w:val="0"/>
              <w:spacing w:before="0" w:after="283"/>
              <w:jc w:val="left"/>
              <w:rPr/>
            </w:pPr>
            <w:r>
              <w:rPr/>
              <w:t>Rules and Regulations</w:t>
            </w:r>
          </w:p>
        </w:tc>
        <w:tc>
          <w:tcPr>
            <w:tcW w:w="275" w:type="dxa"/>
            <w:tcBorders/>
            <w:shd w:fill="FFFFFF" w:val="clear"/>
            <w:vAlign w:val="center"/>
          </w:tcPr>
          <w:p>
            <w:pPr>
              <w:pStyle w:val="TableContents"/>
              <w:bidi w:val="0"/>
              <w:spacing w:before="0" w:after="283"/>
              <w:jc w:val="right"/>
              <w:rPr/>
            </w:pPr>
            <w:r>
              <w:rPr/>
              <w:t>13</w:t>
            </w:r>
          </w:p>
        </w:tc>
      </w:tr>
      <w:tr>
        <w:trPr/>
        <w:tc>
          <w:tcPr>
            <w:tcW w:w="335" w:type="dxa"/>
            <w:tcBorders/>
            <w:shd w:fill="EEEEEE" w:val="clear"/>
            <w:vAlign w:val="center"/>
          </w:tcPr>
          <w:p>
            <w:pPr>
              <w:pStyle w:val="TableContents"/>
              <w:bidi w:val="0"/>
              <w:spacing w:before="0" w:after="283"/>
              <w:jc w:val="left"/>
              <w:rPr/>
            </w:pPr>
            <w:r>
              <w:rPr/>
              <w:t> </w:t>
            </w:r>
          </w:p>
        </w:tc>
        <w:tc>
          <w:tcPr>
            <w:tcW w:w="5719" w:type="dxa"/>
            <w:gridSpan w:val="2"/>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15.</w:t>
            </w:r>
          </w:p>
        </w:tc>
        <w:tc>
          <w:tcPr>
            <w:tcW w:w="5719" w:type="dxa"/>
            <w:gridSpan w:val="2"/>
            <w:tcBorders/>
            <w:shd w:fill="FFFFFF" w:val="clear"/>
            <w:vAlign w:val="center"/>
          </w:tcPr>
          <w:p>
            <w:pPr>
              <w:pStyle w:val="TableContents"/>
              <w:bidi w:val="0"/>
              <w:spacing w:before="0" w:after="283"/>
              <w:jc w:val="left"/>
              <w:rPr/>
            </w:pPr>
            <w:r>
              <w:rPr/>
              <w:t>Condemnation</w:t>
            </w:r>
          </w:p>
        </w:tc>
        <w:tc>
          <w:tcPr>
            <w:tcW w:w="275" w:type="dxa"/>
            <w:tcBorders/>
            <w:shd w:fill="FFFFFF" w:val="clear"/>
            <w:vAlign w:val="center"/>
          </w:tcPr>
          <w:p>
            <w:pPr>
              <w:pStyle w:val="TableContents"/>
              <w:bidi w:val="0"/>
              <w:spacing w:before="0" w:after="283"/>
              <w:jc w:val="right"/>
              <w:rPr/>
            </w:pPr>
            <w:r>
              <w:rPr/>
              <w:t>14</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(a)</w:t>
            </w:r>
          </w:p>
        </w:tc>
        <w:tc>
          <w:tcPr>
            <w:tcW w:w="5364" w:type="dxa"/>
            <w:tcBorders/>
            <w:shd w:fill="EEEEEE" w:val="clear"/>
            <w:vAlign w:val="center"/>
          </w:tcPr>
          <w:p>
            <w:pPr>
              <w:pStyle w:val="TableContents"/>
              <w:bidi w:val="0"/>
              <w:spacing w:before="0" w:after="283"/>
              <w:jc w:val="left"/>
              <w:rPr/>
            </w:pPr>
            <w:r>
              <w:rPr/>
              <w:t>Total Taking</w:t>
            </w:r>
          </w:p>
        </w:tc>
        <w:tc>
          <w:tcPr>
            <w:tcW w:w="275" w:type="dxa"/>
            <w:tcBorders/>
            <w:shd w:fill="EEEEEE" w:val="clear"/>
            <w:vAlign w:val="center"/>
          </w:tcPr>
          <w:p>
            <w:pPr>
              <w:pStyle w:val="TableContents"/>
              <w:bidi w:val="0"/>
              <w:spacing w:before="0" w:after="283"/>
              <w:jc w:val="right"/>
              <w:rPr/>
            </w:pPr>
            <w:r>
              <w:rPr/>
              <w:t>14</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(b)</w:t>
            </w:r>
          </w:p>
        </w:tc>
        <w:tc>
          <w:tcPr>
            <w:tcW w:w="5364" w:type="dxa"/>
            <w:tcBorders/>
            <w:shd w:fill="FFFFFF" w:val="clear"/>
            <w:vAlign w:val="center"/>
          </w:tcPr>
          <w:p>
            <w:pPr>
              <w:pStyle w:val="TableContents"/>
              <w:bidi w:val="0"/>
              <w:spacing w:before="0" w:after="283"/>
              <w:jc w:val="left"/>
              <w:rPr/>
            </w:pPr>
            <w:r>
              <w:rPr/>
              <w:t>Partial Taking - Tenant’s Rights</w:t>
            </w:r>
          </w:p>
        </w:tc>
        <w:tc>
          <w:tcPr>
            <w:tcW w:w="275" w:type="dxa"/>
            <w:tcBorders/>
            <w:shd w:fill="FFFFFF" w:val="clear"/>
            <w:vAlign w:val="center"/>
          </w:tcPr>
          <w:p>
            <w:pPr>
              <w:pStyle w:val="TableContents"/>
              <w:bidi w:val="0"/>
              <w:spacing w:before="0" w:after="283"/>
              <w:jc w:val="right"/>
              <w:rPr/>
            </w:pPr>
            <w:r>
              <w:rPr/>
              <w:t>14</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(c)</w:t>
            </w:r>
          </w:p>
        </w:tc>
        <w:tc>
          <w:tcPr>
            <w:tcW w:w="5364" w:type="dxa"/>
            <w:tcBorders/>
            <w:shd w:fill="EEEEEE" w:val="clear"/>
            <w:vAlign w:val="center"/>
          </w:tcPr>
          <w:p>
            <w:pPr>
              <w:pStyle w:val="TableContents"/>
              <w:bidi w:val="0"/>
              <w:spacing w:before="0" w:after="283"/>
              <w:jc w:val="left"/>
              <w:rPr/>
            </w:pPr>
            <w:r>
              <w:rPr/>
              <w:t>Partial Taking - Landlord’s Rights</w:t>
            </w:r>
          </w:p>
        </w:tc>
        <w:tc>
          <w:tcPr>
            <w:tcW w:w="275" w:type="dxa"/>
            <w:tcBorders/>
            <w:shd w:fill="EEEEEE" w:val="clear"/>
            <w:vAlign w:val="center"/>
          </w:tcPr>
          <w:p>
            <w:pPr>
              <w:pStyle w:val="TableContents"/>
              <w:bidi w:val="0"/>
              <w:spacing w:before="0" w:after="283"/>
              <w:jc w:val="right"/>
              <w:rPr/>
            </w:pPr>
            <w:r>
              <w:rPr/>
              <w:t>14</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(d)</w:t>
            </w:r>
          </w:p>
        </w:tc>
        <w:tc>
          <w:tcPr>
            <w:tcW w:w="5364" w:type="dxa"/>
            <w:tcBorders/>
            <w:shd w:fill="FFFFFF" w:val="clear"/>
            <w:vAlign w:val="center"/>
          </w:tcPr>
          <w:p>
            <w:pPr>
              <w:pStyle w:val="TableContents"/>
              <w:bidi w:val="0"/>
              <w:spacing w:before="0" w:after="283"/>
              <w:jc w:val="left"/>
              <w:rPr/>
            </w:pPr>
            <w:r>
              <w:rPr/>
              <w:t>Temporary Taking</w:t>
            </w:r>
          </w:p>
        </w:tc>
        <w:tc>
          <w:tcPr>
            <w:tcW w:w="275" w:type="dxa"/>
            <w:tcBorders/>
            <w:shd w:fill="FFFFFF" w:val="clear"/>
            <w:vAlign w:val="center"/>
          </w:tcPr>
          <w:p>
            <w:pPr>
              <w:pStyle w:val="TableContents"/>
              <w:bidi w:val="0"/>
              <w:spacing w:before="0" w:after="283"/>
              <w:jc w:val="right"/>
              <w:rPr/>
            </w:pPr>
            <w:r>
              <w:rPr/>
              <w:t>14</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(e)</w:t>
            </w:r>
          </w:p>
        </w:tc>
        <w:tc>
          <w:tcPr>
            <w:tcW w:w="5364" w:type="dxa"/>
            <w:tcBorders/>
            <w:shd w:fill="EEEEEE" w:val="clear"/>
            <w:vAlign w:val="center"/>
          </w:tcPr>
          <w:p>
            <w:pPr>
              <w:pStyle w:val="TableContents"/>
              <w:bidi w:val="0"/>
              <w:spacing w:before="0" w:after="283"/>
              <w:jc w:val="left"/>
              <w:rPr/>
            </w:pPr>
            <w:r>
              <w:rPr/>
              <w:t>Award</w:t>
            </w:r>
          </w:p>
        </w:tc>
        <w:tc>
          <w:tcPr>
            <w:tcW w:w="275" w:type="dxa"/>
            <w:tcBorders/>
            <w:shd w:fill="EEEEEE" w:val="clear"/>
            <w:vAlign w:val="center"/>
          </w:tcPr>
          <w:p>
            <w:pPr>
              <w:pStyle w:val="TableContents"/>
              <w:bidi w:val="0"/>
              <w:spacing w:before="0" w:after="283"/>
              <w:jc w:val="right"/>
              <w:rPr/>
            </w:pPr>
            <w:r>
              <w:rPr/>
              <w:t>15</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5364"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16.</w:t>
            </w:r>
          </w:p>
        </w:tc>
        <w:tc>
          <w:tcPr>
            <w:tcW w:w="5719" w:type="dxa"/>
            <w:gridSpan w:val="2"/>
            <w:tcBorders/>
            <w:shd w:fill="EEEEEE" w:val="clear"/>
            <w:vAlign w:val="center"/>
          </w:tcPr>
          <w:p>
            <w:pPr>
              <w:pStyle w:val="TableContents"/>
              <w:bidi w:val="0"/>
              <w:spacing w:before="0" w:after="283"/>
              <w:jc w:val="left"/>
              <w:rPr/>
            </w:pPr>
            <w:r>
              <w:rPr/>
              <w:t>Fire or Other Casualty</w:t>
            </w:r>
          </w:p>
        </w:tc>
        <w:tc>
          <w:tcPr>
            <w:tcW w:w="275" w:type="dxa"/>
            <w:tcBorders/>
            <w:shd w:fill="EEEEEE" w:val="clear"/>
            <w:vAlign w:val="center"/>
          </w:tcPr>
          <w:p>
            <w:pPr>
              <w:pStyle w:val="TableContents"/>
              <w:bidi w:val="0"/>
              <w:spacing w:before="0" w:after="283"/>
              <w:jc w:val="right"/>
              <w:rPr/>
            </w:pPr>
            <w:r>
              <w:rPr/>
              <w:t>15</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(a)</w:t>
            </w:r>
          </w:p>
        </w:tc>
        <w:tc>
          <w:tcPr>
            <w:tcW w:w="5364" w:type="dxa"/>
            <w:tcBorders/>
            <w:shd w:fill="FFFFFF" w:val="clear"/>
            <w:vAlign w:val="center"/>
          </w:tcPr>
          <w:p>
            <w:pPr>
              <w:pStyle w:val="TableContents"/>
              <w:bidi w:val="0"/>
              <w:spacing w:before="0" w:after="283"/>
              <w:jc w:val="left"/>
              <w:rPr/>
            </w:pPr>
            <w:r>
              <w:rPr/>
              <w:t>Repair Estimate</w:t>
            </w:r>
          </w:p>
        </w:tc>
        <w:tc>
          <w:tcPr>
            <w:tcW w:w="275" w:type="dxa"/>
            <w:tcBorders/>
            <w:shd w:fill="FFFFFF" w:val="clear"/>
            <w:vAlign w:val="center"/>
          </w:tcPr>
          <w:p>
            <w:pPr>
              <w:pStyle w:val="TableContents"/>
              <w:bidi w:val="0"/>
              <w:spacing w:before="0" w:after="283"/>
              <w:jc w:val="right"/>
              <w:rPr/>
            </w:pPr>
            <w:r>
              <w:rPr/>
              <w:t>15</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(b)</w:t>
            </w:r>
          </w:p>
        </w:tc>
        <w:tc>
          <w:tcPr>
            <w:tcW w:w="5364" w:type="dxa"/>
            <w:tcBorders/>
            <w:shd w:fill="EEEEEE" w:val="clear"/>
            <w:vAlign w:val="center"/>
          </w:tcPr>
          <w:p>
            <w:pPr>
              <w:pStyle w:val="TableContents"/>
              <w:bidi w:val="0"/>
              <w:spacing w:before="0" w:after="283"/>
              <w:jc w:val="left"/>
              <w:rPr/>
            </w:pPr>
            <w:r>
              <w:rPr/>
              <w:t>Tenant’s Rights</w:t>
            </w:r>
          </w:p>
        </w:tc>
        <w:tc>
          <w:tcPr>
            <w:tcW w:w="275" w:type="dxa"/>
            <w:tcBorders/>
            <w:shd w:fill="EEEEEE" w:val="clear"/>
            <w:vAlign w:val="center"/>
          </w:tcPr>
          <w:p>
            <w:pPr>
              <w:pStyle w:val="TableContents"/>
              <w:bidi w:val="0"/>
              <w:spacing w:before="0" w:after="283"/>
              <w:jc w:val="right"/>
              <w:rPr/>
            </w:pPr>
            <w:r>
              <w:rPr/>
              <w:t>15</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(c)</w:t>
            </w:r>
          </w:p>
        </w:tc>
        <w:tc>
          <w:tcPr>
            <w:tcW w:w="5364" w:type="dxa"/>
            <w:tcBorders/>
            <w:shd w:fill="FFFFFF" w:val="clear"/>
            <w:vAlign w:val="center"/>
          </w:tcPr>
          <w:p>
            <w:pPr>
              <w:pStyle w:val="TableContents"/>
              <w:bidi w:val="0"/>
              <w:spacing w:before="0" w:after="283"/>
              <w:jc w:val="left"/>
              <w:rPr/>
            </w:pPr>
            <w:r>
              <w:rPr/>
              <w:t>Landlord’s Rights</w:t>
            </w:r>
          </w:p>
        </w:tc>
        <w:tc>
          <w:tcPr>
            <w:tcW w:w="275" w:type="dxa"/>
            <w:tcBorders/>
            <w:shd w:fill="FFFFFF" w:val="clear"/>
            <w:vAlign w:val="center"/>
          </w:tcPr>
          <w:p>
            <w:pPr>
              <w:pStyle w:val="TableContents"/>
              <w:bidi w:val="0"/>
              <w:spacing w:before="0" w:after="283"/>
              <w:jc w:val="right"/>
              <w:rPr/>
            </w:pPr>
            <w:r>
              <w:rPr/>
              <w:t>15</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(d)</w:t>
            </w:r>
          </w:p>
        </w:tc>
        <w:tc>
          <w:tcPr>
            <w:tcW w:w="5364" w:type="dxa"/>
            <w:tcBorders/>
            <w:shd w:fill="EEEEEE" w:val="clear"/>
            <w:vAlign w:val="center"/>
          </w:tcPr>
          <w:p>
            <w:pPr>
              <w:pStyle w:val="TableContents"/>
              <w:bidi w:val="0"/>
              <w:spacing w:before="0" w:after="283"/>
              <w:jc w:val="left"/>
              <w:rPr/>
            </w:pPr>
            <w:r>
              <w:rPr/>
              <w:t>Repair Obligation</w:t>
            </w:r>
          </w:p>
        </w:tc>
        <w:tc>
          <w:tcPr>
            <w:tcW w:w="275" w:type="dxa"/>
            <w:tcBorders/>
            <w:shd w:fill="EEEEEE" w:val="clear"/>
            <w:vAlign w:val="center"/>
          </w:tcPr>
          <w:p>
            <w:pPr>
              <w:pStyle w:val="TableContents"/>
              <w:bidi w:val="0"/>
              <w:spacing w:before="0" w:after="283"/>
              <w:jc w:val="right"/>
              <w:rPr/>
            </w:pPr>
            <w:r>
              <w:rPr/>
              <w:t>15</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(e)</w:t>
            </w:r>
          </w:p>
        </w:tc>
        <w:tc>
          <w:tcPr>
            <w:tcW w:w="5364" w:type="dxa"/>
            <w:tcBorders/>
            <w:shd w:fill="FFFFFF" w:val="clear"/>
            <w:vAlign w:val="center"/>
          </w:tcPr>
          <w:p>
            <w:pPr>
              <w:pStyle w:val="TableContents"/>
              <w:bidi w:val="0"/>
              <w:spacing w:before="0" w:after="283"/>
              <w:jc w:val="left"/>
              <w:rPr/>
            </w:pPr>
            <w:r>
              <w:rPr/>
              <w:t>Abatement of Rent</w:t>
            </w:r>
          </w:p>
        </w:tc>
        <w:tc>
          <w:tcPr>
            <w:tcW w:w="275" w:type="dxa"/>
            <w:tcBorders/>
            <w:shd w:fill="FFFFFF" w:val="clear"/>
            <w:vAlign w:val="center"/>
          </w:tcPr>
          <w:p>
            <w:pPr>
              <w:pStyle w:val="TableContents"/>
              <w:bidi w:val="0"/>
              <w:spacing w:before="0" w:after="283"/>
              <w:jc w:val="right"/>
              <w:rPr/>
            </w:pPr>
            <w:r>
              <w:rPr/>
              <w:t>16</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 </w:t>
            </w:r>
          </w:p>
        </w:tc>
        <w:tc>
          <w:tcPr>
            <w:tcW w:w="5364"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17.</w:t>
            </w:r>
          </w:p>
        </w:tc>
        <w:tc>
          <w:tcPr>
            <w:tcW w:w="5719" w:type="dxa"/>
            <w:gridSpan w:val="2"/>
            <w:tcBorders/>
            <w:shd w:fill="FFFFFF" w:val="clear"/>
            <w:vAlign w:val="center"/>
          </w:tcPr>
          <w:p>
            <w:pPr>
              <w:pStyle w:val="TableContents"/>
              <w:bidi w:val="0"/>
              <w:spacing w:before="0" w:after="283"/>
              <w:jc w:val="left"/>
              <w:rPr/>
            </w:pPr>
            <w:r>
              <w:rPr/>
              <w:t>Personal Property Taxes</w:t>
            </w:r>
          </w:p>
        </w:tc>
        <w:tc>
          <w:tcPr>
            <w:tcW w:w="275" w:type="dxa"/>
            <w:tcBorders/>
            <w:shd w:fill="FFFFFF" w:val="clear"/>
            <w:vAlign w:val="center"/>
          </w:tcPr>
          <w:p>
            <w:pPr>
              <w:pStyle w:val="TableContents"/>
              <w:bidi w:val="0"/>
              <w:spacing w:before="0" w:after="283"/>
              <w:jc w:val="right"/>
              <w:rPr/>
            </w:pPr>
            <w:r>
              <w:rPr/>
              <w:t>16</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 </w:t>
            </w:r>
          </w:p>
        </w:tc>
        <w:tc>
          <w:tcPr>
            <w:tcW w:w="5364"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18.</w:t>
            </w:r>
          </w:p>
        </w:tc>
        <w:tc>
          <w:tcPr>
            <w:tcW w:w="5719" w:type="dxa"/>
            <w:gridSpan w:val="2"/>
            <w:tcBorders/>
            <w:shd w:fill="FFFFFF" w:val="clear"/>
            <w:vAlign w:val="center"/>
          </w:tcPr>
          <w:p>
            <w:pPr>
              <w:pStyle w:val="TableContents"/>
              <w:bidi w:val="0"/>
              <w:spacing w:before="0" w:after="283"/>
              <w:jc w:val="left"/>
              <w:rPr/>
            </w:pPr>
            <w:r>
              <w:rPr/>
              <w:t>Events of Default</w:t>
            </w:r>
          </w:p>
        </w:tc>
        <w:tc>
          <w:tcPr>
            <w:tcW w:w="275" w:type="dxa"/>
            <w:tcBorders/>
            <w:shd w:fill="FFFFFF" w:val="clear"/>
            <w:vAlign w:val="center"/>
          </w:tcPr>
          <w:p>
            <w:pPr>
              <w:pStyle w:val="TableContents"/>
              <w:bidi w:val="0"/>
              <w:spacing w:before="0" w:after="283"/>
              <w:jc w:val="right"/>
              <w:rPr/>
            </w:pPr>
            <w:r>
              <w:rPr/>
              <w:t>16</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(a)</w:t>
            </w:r>
          </w:p>
        </w:tc>
        <w:tc>
          <w:tcPr>
            <w:tcW w:w="5364" w:type="dxa"/>
            <w:tcBorders/>
            <w:shd w:fill="EEEEEE" w:val="clear"/>
            <w:vAlign w:val="center"/>
          </w:tcPr>
          <w:p>
            <w:pPr>
              <w:pStyle w:val="TableContents"/>
              <w:bidi w:val="0"/>
              <w:spacing w:before="0" w:after="283"/>
              <w:jc w:val="left"/>
              <w:rPr/>
            </w:pPr>
            <w:r>
              <w:rPr/>
              <w:t>Payment Default</w:t>
            </w:r>
          </w:p>
        </w:tc>
        <w:tc>
          <w:tcPr>
            <w:tcW w:w="275" w:type="dxa"/>
            <w:tcBorders/>
            <w:shd w:fill="EEEEEE" w:val="clear"/>
            <w:vAlign w:val="center"/>
          </w:tcPr>
          <w:p>
            <w:pPr>
              <w:pStyle w:val="TableContents"/>
              <w:bidi w:val="0"/>
              <w:spacing w:before="0" w:after="283"/>
              <w:jc w:val="right"/>
              <w:rPr/>
            </w:pPr>
            <w:r>
              <w:rPr/>
              <w:t>16</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(b)</w:t>
            </w:r>
          </w:p>
        </w:tc>
        <w:tc>
          <w:tcPr>
            <w:tcW w:w="5364" w:type="dxa"/>
            <w:tcBorders/>
            <w:shd w:fill="FFFFFF" w:val="clear"/>
            <w:vAlign w:val="center"/>
          </w:tcPr>
          <w:p>
            <w:pPr>
              <w:pStyle w:val="TableContents"/>
              <w:bidi w:val="0"/>
              <w:spacing w:before="0" w:after="283"/>
              <w:jc w:val="left"/>
              <w:rPr/>
            </w:pPr>
            <w:r>
              <w:rPr/>
              <w:t>Abandonment</w:t>
            </w:r>
          </w:p>
        </w:tc>
        <w:tc>
          <w:tcPr>
            <w:tcW w:w="275" w:type="dxa"/>
            <w:tcBorders/>
            <w:shd w:fill="FFFFFF" w:val="clear"/>
            <w:vAlign w:val="center"/>
          </w:tcPr>
          <w:p>
            <w:pPr>
              <w:pStyle w:val="TableContents"/>
              <w:bidi w:val="0"/>
              <w:spacing w:before="0" w:after="283"/>
              <w:jc w:val="right"/>
              <w:rPr/>
            </w:pPr>
            <w:r>
              <w:rPr/>
              <w:t>16</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(c)</w:t>
            </w:r>
          </w:p>
        </w:tc>
        <w:tc>
          <w:tcPr>
            <w:tcW w:w="5364" w:type="dxa"/>
            <w:tcBorders/>
            <w:shd w:fill="EEEEEE" w:val="clear"/>
            <w:vAlign w:val="center"/>
          </w:tcPr>
          <w:p>
            <w:pPr>
              <w:pStyle w:val="TableContents"/>
              <w:bidi w:val="0"/>
              <w:spacing w:before="0" w:after="283"/>
              <w:jc w:val="left"/>
              <w:rPr/>
            </w:pPr>
            <w:r>
              <w:rPr/>
              <w:t>Estoppel</w:t>
            </w:r>
          </w:p>
        </w:tc>
        <w:tc>
          <w:tcPr>
            <w:tcW w:w="275" w:type="dxa"/>
            <w:tcBorders/>
            <w:shd w:fill="EEEEEE" w:val="clear"/>
            <w:vAlign w:val="center"/>
          </w:tcPr>
          <w:p>
            <w:pPr>
              <w:pStyle w:val="TableContents"/>
              <w:bidi w:val="0"/>
              <w:spacing w:before="0" w:after="283"/>
              <w:jc w:val="right"/>
              <w:rPr/>
            </w:pPr>
            <w:r>
              <w:rPr/>
              <w:t>16</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(d)</w:t>
            </w:r>
          </w:p>
        </w:tc>
        <w:tc>
          <w:tcPr>
            <w:tcW w:w="5364" w:type="dxa"/>
            <w:tcBorders/>
            <w:shd w:fill="FFFFFF" w:val="clear"/>
            <w:vAlign w:val="center"/>
          </w:tcPr>
          <w:p>
            <w:pPr>
              <w:pStyle w:val="TableContents"/>
              <w:bidi w:val="0"/>
              <w:spacing w:before="0" w:after="283"/>
              <w:jc w:val="left"/>
              <w:rPr/>
            </w:pPr>
            <w:r>
              <w:rPr/>
              <w:t>Insurance</w:t>
            </w:r>
          </w:p>
        </w:tc>
        <w:tc>
          <w:tcPr>
            <w:tcW w:w="275" w:type="dxa"/>
            <w:tcBorders/>
            <w:shd w:fill="FFFFFF" w:val="clear"/>
            <w:vAlign w:val="center"/>
          </w:tcPr>
          <w:p>
            <w:pPr>
              <w:pStyle w:val="TableContents"/>
              <w:bidi w:val="0"/>
              <w:spacing w:before="0" w:after="283"/>
              <w:jc w:val="right"/>
              <w:rPr/>
            </w:pPr>
            <w:r>
              <w:rPr/>
              <w:t>16</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(e)</w:t>
            </w:r>
          </w:p>
        </w:tc>
        <w:tc>
          <w:tcPr>
            <w:tcW w:w="5364" w:type="dxa"/>
            <w:tcBorders/>
            <w:shd w:fill="EEEEEE" w:val="clear"/>
            <w:vAlign w:val="center"/>
          </w:tcPr>
          <w:p>
            <w:pPr>
              <w:pStyle w:val="TableContents"/>
              <w:bidi w:val="0"/>
              <w:spacing w:before="0" w:after="283"/>
              <w:jc w:val="left"/>
              <w:rPr/>
            </w:pPr>
            <w:r>
              <w:rPr/>
              <w:t>Mechanic’s Liens</w:t>
            </w:r>
          </w:p>
        </w:tc>
        <w:tc>
          <w:tcPr>
            <w:tcW w:w="275" w:type="dxa"/>
            <w:tcBorders/>
            <w:shd w:fill="EEEEEE" w:val="clear"/>
            <w:vAlign w:val="center"/>
          </w:tcPr>
          <w:p>
            <w:pPr>
              <w:pStyle w:val="TableContents"/>
              <w:bidi w:val="0"/>
              <w:spacing w:before="0" w:after="283"/>
              <w:jc w:val="right"/>
              <w:rPr/>
            </w:pPr>
            <w:r>
              <w:rPr/>
              <w:t>16</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(f)</w:t>
            </w:r>
          </w:p>
        </w:tc>
        <w:tc>
          <w:tcPr>
            <w:tcW w:w="5364" w:type="dxa"/>
            <w:tcBorders/>
            <w:shd w:fill="FFFFFF" w:val="clear"/>
            <w:vAlign w:val="center"/>
          </w:tcPr>
          <w:p>
            <w:pPr>
              <w:pStyle w:val="TableContents"/>
              <w:bidi w:val="0"/>
              <w:spacing w:before="0" w:after="283"/>
              <w:jc w:val="left"/>
              <w:rPr/>
            </w:pPr>
            <w:r>
              <w:rPr/>
              <w:t>Other Defaults</w:t>
            </w:r>
          </w:p>
        </w:tc>
        <w:tc>
          <w:tcPr>
            <w:tcW w:w="275" w:type="dxa"/>
            <w:tcBorders/>
            <w:shd w:fill="FFFFFF" w:val="clear"/>
            <w:vAlign w:val="center"/>
          </w:tcPr>
          <w:p>
            <w:pPr>
              <w:pStyle w:val="TableContents"/>
              <w:bidi w:val="0"/>
              <w:spacing w:before="0" w:after="283"/>
              <w:jc w:val="right"/>
              <w:rPr/>
            </w:pPr>
            <w:r>
              <w:rPr/>
              <w:t>16</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(g)</w:t>
            </w:r>
          </w:p>
        </w:tc>
        <w:tc>
          <w:tcPr>
            <w:tcW w:w="5364" w:type="dxa"/>
            <w:tcBorders/>
            <w:shd w:fill="EEEEEE" w:val="clear"/>
            <w:vAlign w:val="center"/>
          </w:tcPr>
          <w:p>
            <w:pPr>
              <w:pStyle w:val="TableContents"/>
              <w:bidi w:val="0"/>
              <w:spacing w:before="0" w:after="283"/>
              <w:jc w:val="left"/>
              <w:rPr/>
            </w:pPr>
            <w:r>
              <w:rPr/>
              <w:t>Insolvency</w:t>
            </w:r>
          </w:p>
        </w:tc>
        <w:tc>
          <w:tcPr>
            <w:tcW w:w="275" w:type="dxa"/>
            <w:tcBorders/>
            <w:shd w:fill="EEEEEE" w:val="clear"/>
            <w:vAlign w:val="center"/>
          </w:tcPr>
          <w:p>
            <w:pPr>
              <w:pStyle w:val="TableContents"/>
              <w:bidi w:val="0"/>
              <w:spacing w:before="0" w:after="283"/>
              <w:jc w:val="right"/>
              <w:rPr/>
            </w:pPr>
            <w:r>
              <w:rPr/>
              <w:t>17</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5364"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19.</w:t>
            </w:r>
          </w:p>
        </w:tc>
        <w:tc>
          <w:tcPr>
            <w:tcW w:w="5719" w:type="dxa"/>
            <w:gridSpan w:val="2"/>
            <w:tcBorders/>
            <w:shd w:fill="EEEEEE" w:val="clear"/>
            <w:vAlign w:val="center"/>
          </w:tcPr>
          <w:p>
            <w:pPr>
              <w:pStyle w:val="TableContents"/>
              <w:bidi w:val="0"/>
              <w:spacing w:before="0" w:after="283"/>
              <w:jc w:val="left"/>
              <w:rPr/>
            </w:pPr>
            <w:r>
              <w:rPr/>
              <w:t>Remedies</w:t>
            </w:r>
          </w:p>
        </w:tc>
        <w:tc>
          <w:tcPr>
            <w:tcW w:w="275" w:type="dxa"/>
            <w:tcBorders/>
            <w:shd w:fill="EEEEEE" w:val="clear"/>
            <w:vAlign w:val="center"/>
          </w:tcPr>
          <w:p>
            <w:pPr>
              <w:pStyle w:val="TableContents"/>
              <w:bidi w:val="0"/>
              <w:spacing w:before="0" w:after="283"/>
              <w:jc w:val="right"/>
              <w:rPr/>
            </w:pPr>
            <w:r>
              <w:rPr/>
              <w:t>17</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(a)</w:t>
            </w:r>
          </w:p>
        </w:tc>
        <w:tc>
          <w:tcPr>
            <w:tcW w:w="5364" w:type="dxa"/>
            <w:tcBorders/>
            <w:shd w:fill="FFFFFF" w:val="clear"/>
            <w:vAlign w:val="center"/>
          </w:tcPr>
          <w:p>
            <w:pPr>
              <w:pStyle w:val="TableContents"/>
              <w:bidi w:val="0"/>
              <w:spacing w:before="0" w:after="283"/>
              <w:jc w:val="left"/>
              <w:rPr/>
            </w:pPr>
            <w:r>
              <w:rPr/>
              <w:t>Termination of Lease</w:t>
            </w:r>
          </w:p>
        </w:tc>
        <w:tc>
          <w:tcPr>
            <w:tcW w:w="275" w:type="dxa"/>
            <w:tcBorders/>
            <w:shd w:fill="FFFFFF" w:val="clear"/>
            <w:vAlign w:val="center"/>
          </w:tcPr>
          <w:p>
            <w:pPr>
              <w:pStyle w:val="TableContents"/>
              <w:bidi w:val="0"/>
              <w:spacing w:before="0" w:after="283"/>
              <w:jc w:val="right"/>
              <w:rPr/>
            </w:pPr>
            <w:r>
              <w:rPr/>
              <w:t>17</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(b)</w:t>
            </w:r>
          </w:p>
        </w:tc>
        <w:tc>
          <w:tcPr>
            <w:tcW w:w="5364" w:type="dxa"/>
            <w:tcBorders/>
            <w:shd w:fill="EEEEEE" w:val="clear"/>
            <w:vAlign w:val="center"/>
          </w:tcPr>
          <w:p>
            <w:pPr>
              <w:pStyle w:val="TableContents"/>
              <w:bidi w:val="0"/>
              <w:spacing w:before="0" w:after="283"/>
              <w:jc w:val="left"/>
              <w:rPr/>
            </w:pPr>
            <w:r>
              <w:rPr/>
              <w:t>Termination of Possession</w:t>
            </w:r>
          </w:p>
        </w:tc>
        <w:tc>
          <w:tcPr>
            <w:tcW w:w="275" w:type="dxa"/>
            <w:tcBorders/>
            <w:shd w:fill="EEEEEE" w:val="clear"/>
            <w:vAlign w:val="center"/>
          </w:tcPr>
          <w:p>
            <w:pPr>
              <w:pStyle w:val="TableContents"/>
              <w:bidi w:val="0"/>
              <w:spacing w:before="0" w:after="283"/>
              <w:jc w:val="right"/>
              <w:rPr/>
            </w:pPr>
            <w:r>
              <w:rPr/>
              <w:t>17</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(c)</w:t>
            </w:r>
          </w:p>
        </w:tc>
        <w:tc>
          <w:tcPr>
            <w:tcW w:w="5364" w:type="dxa"/>
            <w:tcBorders/>
            <w:shd w:fill="FFFFFF" w:val="clear"/>
            <w:vAlign w:val="center"/>
          </w:tcPr>
          <w:p>
            <w:pPr>
              <w:pStyle w:val="TableContents"/>
              <w:bidi w:val="0"/>
              <w:spacing w:before="0" w:after="283"/>
              <w:jc w:val="left"/>
              <w:rPr/>
            </w:pPr>
            <w:r>
              <w:rPr/>
              <w:t>Perform Acts on Behalf of Tenant</w:t>
            </w:r>
          </w:p>
        </w:tc>
        <w:tc>
          <w:tcPr>
            <w:tcW w:w="275" w:type="dxa"/>
            <w:tcBorders/>
            <w:shd w:fill="FFFFFF" w:val="clear"/>
            <w:vAlign w:val="center"/>
          </w:tcPr>
          <w:p>
            <w:pPr>
              <w:pStyle w:val="TableContents"/>
              <w:bidi w:val="0"/>
              <w:spacing w:before="0" w:after="283"/>
              <w:jc w:val="right"/>
              <w:rPr/>
            </w:pPr>
            <w:r>
              <w:rPr/>
              <w:t>17</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(d)</w:t>
            </w:r>
          </w:p>
        </w:tc>
        <w:tc>
          <w:tcPr>
            <w:tcW w:w="5364" w:type="dxa"/>
            <w:tcBorders/>
            <w:shd w:fill="EEEEEE" w:val="clear"/>
            <w:vAlign w:val="center"/>
          </w:tcPr>
          <w:p>
            <w:pPr>
              <w:pStyle w:val="TableContents"/>
              <w:bidi w:val="0"/>
              <w:spacing w:before="0" w:after="283"/>
              <w:jc w:val="left"/>
              <w:rPr/>
            </w:pPr>
            <w:r>
              <w:rPr/>
              <w:t>Suspension of Services</w:t>
            </w:r>
          </w:p>
        </w:tc>
        <w:tc>
          <w:tcPr>
            <w:tcW w:w="275" w:type="dxa"/>
            <w:tcBorders/>
            <w:shd w:fill="EEEEEE" w:val="clear"/>
            <w:vAlign w:val="center"/>
          </w:tcPr>
          <w:p>
            <w:pPr>
              <w:pStyle w:val="TableContents"/>
              <w:bidi w:val="0"/>
              <w:spacing w:before="0" w:after="283"/>
              <w:jc w:val="right"/>
              <w:rPr/>
            </w:pPr>
            <w:r>
              <w:rPr/>
              <w:t>17</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(e)</w:t>
            </w:r>
          </w:p>
        </w:tc>
        <w:tc>
          <w:tcPr>
            <w:tcW w:w="5364" w:type="dxa"/>
            <w:tcBorders/>
            <w:shd w:fill="FFFFFF" w:val="clear"/>
            <w:vAlign w:val="center"/>
          </w:tcPr>
          <w:p>
            <w:pPr>
              <w:pStyle w:val="TableContents"/>
              <w:bidi w:val="0"/>
              <w:spacing w:before="0" w:after="283"/>
              <w:jc w:val="left"/>
              <w:rPr/>
            </w:pPr>
            <w:r>
              <w:rPr/>
              <w:t>Alteration of Locks</w:t>
            </w:r>
          </w:p>
        </w:tc>
        <w:tc>
          <w:tcPr>
            <w:tcW w:w="275" w:type="dxa"/>
            <w:tcBorders/>
            <w:shd w:fill="FFFFFF" w:val="clear"/>
            <w:vAlign w:val="center"/>
          </w:tcPr>
          <w:p>
            <w:pPr>
              <w:pStyle w:val="TableContents"/>
              <w:bidi w:val="0"/>
              <w:spacing w:before="0" w:after="283"/>
              <w:jc w:val="right"/>
              <w:rPr/>
            </w:pPr>
            <w:r>
              <w:rPr/>
              <w:t>18</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 </w:t>
            </w:r>
          </w:p>
        </w:tc>
        <w:tc>
          <w:tcPr>
            <w:tcW w:w="5364"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20.</w:t>
            </w:r>
          </w:p>
        </w:tc>
        <w:tc>
          <w:tcPr>
            <w:tcW w:w="5719" w:type="dxa"/>
            <w:gridSpan w:val="2"/>
            <w:tcBorders/>
            <w:shd w:fill="FFFFFF" w:val="clear"/>
            <w:vAlign w:val="center"/>
          </w:tcPr>
          <w:p>
            <w:pPr>
              <w:pStyle w:val="TableContents"/>
              <w:bidi w:val="0"/>
              <w:spacing w:before="0" w:after="283"/>
              <w:jc w:val="left"/>
              <w:rPr/>
            </w:pPr>
            <w:r>
              <w:rPr/>
              <w:t>Payment by Tenant; Non-Waiver; Cumulative Remedies</w:t>
            </w:r>
          </w:p>
        </w:tc>
        <w:tc>
          <w:tcPr>
            <w:tcW w:w="275" w:type="dxa"/>
            <w:tcBorders/>
            <w:shd w:fill="FFFFFF" w:val="clear"/>
            <w:vAlign w:val="center"/>
          </w:tcPr>
          <w:p>
            <w:pPr>
              <w:pStyle w:val="TableContents"/>
              <w:bidi w:val="0"/>
              <w:spacing w:before="0" w:after="283"/>
              <w:jc w:val="right"/>
              <w:rPr/>
            </w:pPr>
            <w:r>
              <w:rPr/>
              <w:t>18</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(a)</w:t>
            </w:r>
          </w:p>
        </w:tc>
        <w:tc>
          <w:tcPr>
            <w:tcW w:w="5364" w:type="dxa"/>
            <w:tcBorders/>
            <w:shd w:fill="EEEEEE" w:val="clear"/>
            <w:vAlign w:val="center"/>
          </w:tcPr>
          <w:p>
            <w:pPr>
              <w:pStyle w:val="TableContents"/>
              <w:bidi w:val="0"/>
              <w:spacing w:before="0" w:after="283"/>
              <w:jc w:val="left"/>
              <w:rPr/>
            </w:pPr>
            <w:r>
              <w:rPr/>
              <w:t>Payment by Tenant</w:t>
            </w:r>
          </w:p>
        </w:tc>
        <w:tc>
          <w:tcPr>
            <w:tcW w:w="275" w:type="dxa"/>
            <w:tcBorders/>
            <w:shd w:fill="EEEEEE" w:val="clear"/>
            <w:vAlign w:val="center"/>
          </w:tcPr>
          <w:p>
            <w:pPr>
              <w:pStyle w:val="TableContents"/>
              <w:bidi w:val="0"/>
              <w:spacing w:before="0" w:after="283"/>
              <w:jc w:val="right"/>
              <w:rPr/>
            </w:pPr>
            <w:r>
              <w:rPr/>
              <w:t>18</w:t>
            </w:r>
          </w:p>
        </w:tc>
      </w:tr>
      <w:tr>
        <w:trPr/>
        <w:tc>
          <w:tcPr>
            <w:tcW w:w="33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(b)</w:t>
            </w:r>
          </w:p>
        </w:tc>
        <w:tc>
          <w:tcPr>
            <w:tcW w:w="5364" w:type="dxa"/>
            <w:tcBorders/>
            <w:shd w:fill="FFFFFF" w:val="clear"/>
            <w:vAlign w:val="center"/>
          </w:tcPr>
          <w:p>
            <w:pPr>
              <w:pStyle w:val="TableContents"/>
              <w:bidi w:val="0"/>
              <w:spacing w:before="0" w:after="283"/>
              <w:jc w:val="left"/>
              <w:rPr/>
            </w:pPr>
            <w:r>
              <w:rPr/>
              <w:t>No Waiver</w:t>
            </w:r>
          </w:p>
        </w:tc>
        <w:tc>
          <w:tcPr>
            <w:tcW w:w="275" w:type="dxa"/>
            <w:tcBorders/>
            <w:shd w:fill="FFFFFF" w:val="clear"/>
            <w:vAlign w:val="center"/>
          </w:tcPr>
          <w:p>
            <w:pPr>
              <w:pStyle w:val="TableContents"/>
              <w:bidi w:val="0"/>
              <w:spacing w:before="0" w:after="283"/>
              <w:jc w:val="right"/>
              <w:rPr/>
            </w:pPr>
            <w:r>
              <w:rPr/>
              <w:t>18</w:t>
            </w:r>
          </w:p>
        </w:tc>
      </w:tr>
      <w:tr>
        <w:trPr/>
        <w:tc>
          <w:tcPr>
            <w:tcW w:w="335" w:type="dxa"/>
            <w:tcBorders/>
            <w:shd w:fill="EEEEEE" w:val="clear"/>
            <w:vAlign w:val="center"/>
          </w:tcPr>
          <w:p>
            <w:pPr>
              <w:pStyle w:val="TableContents"/>
              <w:bidi w:val="0"/>
              <w:spacing w:before="0" w:after="283"/>
              <w:jc w:val="left"/>
              <w:rPr/>
            </w:pPr>
            <w:r>
              <w:rPr/>
              <w:t> </w:t>
            </w:r>
          </w:p>
        </w:tc>
        <w:tc>
          <w:tcPr>
            <w:tcW w:w="355" w:type="dxa"/>
            <w:tcBorders/>
            <w:shd w:fill="EEEEEE" w:val="clear"/>
            <w:vAlign w:val="center"/>
          </w:tcPr>
          <w:p>
            <w:pPr>
              <w:pStyle w:val="TableContents"/>
              <w:bidi w:val="0"/>
              <w:spacing w:before="0" w:after="283"/>
              <w:jc w:val="left"/>
              <w:rPr/>
            </w:pPr>
            <w:r>
              <w:rPr/>
              <w:t>(c)</w:t>
            </w:r>
          </w:p>
        </w:tc>
        <w:tc>
          <w:tcPr>
            <w:tcW w:w="5364" w:type="dxa"/>
            <w:tcBorders/>
            <w:shd w:fill="EEEEEE" w:val="clear"/>
            <w:vAlign w:val="center"/>
          </w:tcPr>
          <w:p>
            <w:pPr>
              <w:pStyle w:val="TableContents"/>
              <w:bidi w:val="0"/>
              <w:spacing w:before="0" w:after="283"/>
              <w:jc w:val="left"/>
              <w:rPr/>
            </w:pPr>
            <w:r>
              <w:rPr/>
              <w:t>Cumulative Remedies</w:t>
            </w:r>
          </w:p>
        </w:tc>
        <w:tc>
          <w:tcPr>
            <w:tcW w:w="275" w:type="dxa"/>
            <w:tcBorders/>
            <w:shd w:fill="EEEEEE" w:val="clear"/>
            <w:vAlign w:val="center"/>
          </w:tcPr>
          <w:p>
            <w:pPr>
              <w:pStyle w:val="TableContents"/>
              <w:bidi w:val="0"/>
              <w:spacing w:before="0" w:after="283"/>
              <w:jc w:val="right"/>
              <w:rPr/>
            </w:pPr>
            <w:r>
              <w:rPr/>
              <w:t>18</w:t>
            </w:r>
          </w:p>
        </w:tc>
      </w:tr>
    </w:tbl>
    <w:p>
      <w:pPr>
        <w:pStyle w:val="TextBody"/>
        <w:bidi w:val="0"/>
        <w:spacing w:before="0" w:after="283"/>
        <w:jc w:val="left"/>
        <w:rPr/>
      </w:pPr>
      <w:r>
        <w:rPr/>
        <w:t> </w:t>
      </w:r>
    </w:p>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6035" w:type="dxa"/>
        <w:jc w:val="left"/>
        <w:tblInd w:w="0" w:type="dxa"/>
        <w:tblLayout w:type="fixed"/>
        <w:tblCellMar>
          <w:top w:w="0" w:type="dxa"/>
          <w:left w:w="0" w:type="dxa"/>
          <w:bottom w:w="0" w:type="dxa"/>
          <w:right w:w="0" w:type="dxa"/>
        </w:tblCellMar>
      </w:tblPr>
      <w:tblGrid>
        <w:gridCol w:w="335"/>
        <w:gridCol w:w="350"/>
        <w:gridCol w:w="5075"/>
        <w:gridCol w:w="275"/>
      </w:tblGrid>
      <w:tr>
        <w:trPr/>
        <w:tc>
          <w:tcPr>
            <w:tcW w:w="335" w:type="dxa"/>
            <w:tcBorders/>
            <w:shd w:fill="EEEEEE" w:val="clear"/>
            <w:vAlign w:val="center"/>
          </w:tcPr>
          <w:p>
            <w:pPr>
              <w:pStyle w:val="TableContents"/>
              <w:bidi w:val="0"/>
              <w:spacing w:before="0" w:after="283"/>
              <w:jc w:val="left"/>
              <w:rPr>
                <w:b/>
              </w:rPr>
            </w:pPr>
            <w:r>
              <w:rPr>
                <w:b/>
              </w:rPr>
              <w:t>21.</w:t>
            </w:r>
          </w:p>
        </w:tc>
        <w:tc>
          <w:tcPr>
            <w:tcW w:w="5425" w:type="dxa"/>
            <w:gridSpan w:val="2"/>
            <w:tcBorders/>
            <w:shd w:fill="EEEEEE" w:val="clear"/>
            <w:vAlign w:val="center"/>
          </w:tcPr>
          <w:p>
            <w:pPr>
              <w:pStyle w:val="TableContents"/>
              <w:bidi w:val="0"/>
              <w:spacing w:before="0" w:after="283"/>
              <w:jc w:val="left"/>
              <w:rPr/>
            </w:pPr>
            <w:r>
              <w:rPr/>
              <w:t>Landlord’s Lien</w:t>
            </w:r>
          </w:p>
        </w:tc>
        <w:tc>
          <w:tcPr>
            <w:tcW w:w="275" w:type="dxa"/>
            <w:tcBorders/>
            <w:shd w:fill="EEEEEE" w:val="clear"/>
            <w:vAlign w:val="center"/>
          </w:tcPr>
          <w:p>
            <w:pPr>
              <w:pStyle w:val="TableContents"/>
              <w:bidi w:val="0"/>
              <w:spacing w:before="0" w:after="283"/>
              <w:jc w:val="right"/>
              <w:rPr/>
            </w:pPr>
            <w:r>
              <w:rPr/>
              <w:t>18</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0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22.</w:t>
            </w:r>
          </w:p>
        </w:tc>
        <w:tc>
          <w:tcPr>
            <w:tcW w:w="5425" w:type="dxa"/>
            <w:gridSpan w:val="2"/>
            <w:tcBorders/>
            <w:shd w:fill="EEEEEE" w:val="clear"/>
            <w:vAlign w:val="center"/>
          </w:tcPr>
          <w:p>
            <w:pPr>
              <w:pStyle w:val="TableContents"/>
              <w:bidi w:val="0"/>
              <w:spacing w:before="0" w:after="283"/>
              <w:jc w:val="left"/>
              <w:rPr/>
            </w:pPr>
            <w:r>
              <w:rPr/>
              <w:t>Surrender of Premises</w:t>
            </w:r>
          </w:p>
        </w:tc>
        <w:tc>
          <w:tcPr>
            <w:tcW w:w="275" w:type="dxa"/>
            <w:tcBorders/>
            <w:shd w:fill="EEEEEE" w:val="clear"/>
            <w:vAlign w:val="center"/>
          </w:tcPr>
          <w:p>
            <w:pPr>
              <w:pStyle w:val="TableContents"/>
              <w:bidi w:val="0"/>
              <w:spacing w:before="0" w:after="283"/>
              <w:jc w:val="right"/>
              <w:rPr/>
            </w:pPr>
            <w:r>
              <w:rPr/>
              <w:t>19</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0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23.</w:t>
            </w:r>
          </w:p>
        </w:tc>
        <w:tc>
          <w:tcPr>
            <w:tcW w:w="5425" w:type="dxa"/>
            <w:gridSpan w:val="2"/>
            <w:tcBorders/>
            <w:shd w:fill="EEEEEE" w:val="clear"/>
            <w:vAlign w:val="center"/>
          </w:tcPr>
          <w:p>
            <w:pPr>
              <w:pStyle w:val="TableContents"/>
              <w:bidi w:val="0"/>
              <w:spacing w:before="0" w:after="283"/>
              <w:jc w:val="left"/>
              <w:rPr/>
            </w:pPr>
            <w:r>
              <w:rPr/>
              <w:t>Holding Over</w:t>
            </w:r>
          </w:p>
        </w:tc>
        <w:tc>
          <w:tcPr>
            <w:tcW w:w="275" w:type="dxa"/>
            <w:tcBorders/>
            <w:shd w:fill="EEEEEE" w:val="clear"/>
            <w:vAlign w:val="center"/>
          </w:tcPr>
          <w:p>
            <w:pPr>
              <w:pStyle w:val="TableContents"/>
              <w:bidi w:val="0"/>
              <w:spacing w:before="0" w:after="283"/>
              <w:jc w:val="right"/>
              <w:rPr/>
            </w:pPr>
            <w:r>
              <w:rPr/>
              <w:t>19</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0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24.</w:t>
            </w:r>
          </w:p>
        </w:tc>
        <w:tc>
          <w:tcPr>
            <w:tcW w:w="5425" w:type="dxa"/>
            <w:gridSpan w:val="2"/>
            <w:tcBorders/>
            <w:shd w:fill="EEEEEE" w:val="clear"/>
            <w:vAlign w:val="center"/>
          </w:tcPr>
          <w:p>
            <w:pPr>
              <w:pStyle w:val="TableContents"/>
              <w:bidi w:val="0"/>
              <w:spacing w:before="0" w:after="283"/>
              <w:jc w:val="left"/>
              <w:rPr/>
            </w:pPr>
            <w:r>
              <w:rPr/>
              <w:t>Certain Rights Reserved by Landlord</w:t>
            </w:r>
          </w:p>
        </w:tc>
        <w:tc>
          <w:tcPr>
            <w:tcW w:w="275" w:type="dxa"/>
            <w:tcBorders/>
            <w:shd w:fill="EEEEEE" w:val="clear"/>
            <w:vAlign w:val="center"/>
          </w:tcPr>
          <w:p>
            <w:pPr>
              <w:pStyle w:val="TableContents"/>
              <w:bidi w:val="0"/>
              <w:spacing w:before="0" w:after="283"/>
              <w:jc w:val="right"/>
              <w:rPr/>
            </w:pPr>
            <w:r>
              <w:rPr/>
              <w:t>20</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(a)</w:t>
            </w:r>
          </w:p>
        </w:tc>
        <w:tc>
          <w:tcPr>
            <w:tcW w:w="5075" w:type="dxa"/>
            <w:tcBorders/>
            <w:shd w:fill="FFFFFF" w:val="clear"/>
            <w:vAlign w:val="center"/>
          </w:tcPr>
          <w:p>
            <w:pPr>
              <w:pStyle w:val="TableContents"/>
              <w:bidi w:val="0"/>
              <w:spacing w:before="0" w:after="283"/>
              <w:jc w:val="left"/>
              <w:rPr/>
            </w:pPr>
            <w:r>
              <w:rPr/>
              <w:t>Building Operations</w:t>
            </w:r>
          </w:p>
        </w:tc>
        <w:tc>
          <w:tcPr>
            <w:tcW w:w="275" w:type="dxa"/>
            <w:tcBorders/>
            <w:shd w:fill="FFFFFF" w:val="clear"/>
            <w:vAlign w:val="center"/>
          </w:tcPr>
          <w:p>
            <w:pPr>
              <w:pStyle w:val="TableContents"/>
              <w:bidi w:val="0"/>
              <w:spacing w:before="0" w:after="283"/>
              <w:jc w:val="right"/>
              <w:rPr/>
            </w:pPr>
            <w:r>
              <w:rPr/>
              <w:t>20</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(b)</w:t>
            </w:r>
          </w:p>
        </w:tc>
        <w:tc>
          <w:tcPr>
            <w:tcW w:w="5075" w:type="dxa"/>
            <w:tcBorders/>
            <w:shd w:fill="EEEEEE" w:val="clear"/>
            <w:vAlign w:val="center"/>
          </w:tcPr>
          <w:p>
            <w:pPr>
              <w:pStyle w:val="TableContents"/>
              <w:bidi w:val="0"/>
              <w:spacing w:before="0" w:after="283"/>
              <w:jc w:val="left"/>
              <w:rPr/>
            </w:pPr>
            <w:r>
              <w:rPr/>
              <w:t>Security</w:t>
            </w:r>
          </w:p>
        </w:tc>
        <w:tc>
          <w:tcPr>
            <w:tcW w:w="275" w:type="dxa"/>
            <w:tcBorders/>
            <w:shd w:fill="EEEEEE" w:val="clear"/>
            <w:vAlign w:val="center"/>
          </w:tcPr>
          <w:p>
            <w:pPr>
              <w:pStyle w:val="TableContents"/>
              <w:bidi w:val="0"/>
              <w:spacing w:before="0" w:after="283"/>
              <w:jc w:val="right"/>
              <w:rPr/>
            </w:pPr>
            <w:r>
              <w:rPr/>
              <w:t>20</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(c)</w:t>
            </w:r>
          </w:p>
        </w:tc>
        <w:tc>
          <w:tcPr>
            <w:tcW w:w="5075" w:type="dxa"/>
            <w:tcBorders/>
            <w:shd w:fill="FFFFFF" w:val="clear"/>
            <w:vAlign w:val="center"/>
          </w:tcPr>
          <w:p>
            <w:pPr>
              <w:pStyle w:val="TableContents"/>
              <w:bidi w:val="0"/>
              <w:spacing w:before="0" w:after="283"/>
              <w:jc w:val="left"/>
              <w:rPr/>
            </w:pPr>
            <w:r>
              <w:rPr/>
              <w:t>Prospective Purchasers and Lenders</w:t>
            </w:r>
          </w:p>
        </w:tc>
        <w:tc>
          <w:tcPr>
            <w:tcW w:w="275" w:type="dxa"/>
            <w:tcBorders/>
            <w:shd w:fill="FFFFFF" w:val="clear"/>
            <w:vAlign w:val="center"/>
          </w:tcPr>
          <w:p>
            <w:pPr>
              <w:pStyle w:val="TableContents"/>
              <w:bidi w:val="0"/>
              <w:spacing w:before="0" w:after="283"/>
              <w:jc w:val="right"/>
              <w:rPr/>
            </w:pPr>
            <w:r>
              <w:rPr/>
              <w:t>20</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(d)</w:t>
            </w:r>
          </w:p>
        </w:tc>
        <w:tc>
          <w:tcPr>
            <w:tcW w:w="5075" w:type="dxa"/>
            <w:tcBorders/>
            <w:shd w:fill="EEEEEE" w:val="clear"/>
            <w:vAlign w:val="center"/>
          </w:tcPr>
          <w:p>
            <w:pPr>
              <w:pStyle w:val="TableContents"/>
              <w:bidi w:val="0"/>
              <w:spacing w:before="0" w:after="283"/>
              <w:jc w:val="left"/>
              <w:rPr/>
            </w:pPr>
            <w:r>
              <w:rPr/>
              <w:t>Prospective Tenants</w:t>
            </w:r>
          </w:p>
        </w:tc>
        <w:tc>
          <w:tcPr>
            <w:tcW w:w="275" w:type="dxa"/>
            <w:tcBorders/>
            <w:shd w:fill="EEEEEE" w:val="clear"/>
            <w:vAlign w:val="center"/>
          </w:tcPr>
          <w:p>
            <w:pPr>
              <w:pStyle w:val="TableContents"/>
              <w:bidi w:val="0"/>
              <w:spacing w:before="0" w:after="283"/>
              <w:jc w:val="right"/>
              <w:rPr/>
            </w:pPr>
            <w:r>
              <w:rPr/>
              <w:t>20</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0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25.</w:t>
            </w:r>
          </w:p>
        </w:tc>
        <w:tc>
          <w:tcPr>
            <w:tcW w:w="5425" w:type="dxa"/>
            <w:gridSpan w:val="2"/>
            <w:tcBorders/>
            <w:shd w:fill="EEEEEE" w:val="clear"/>
            <w:vAlign w:val="center"/>
          </w:tcPr>
          <w:p>
            <w:pPr>
              <w:pStyle w:val="TableContents"/>
              <w:bidi w:val="0"/>
              <w:spacing w:before="0" w:after="283"/>
              <w:jc w:val="left"/>
              <w:rPr/>
            </w:pPr>
            <w:r>
              <w:rPr/>
              <w:t>Intentionally Omitted</w:t>
            </w:r>
          </w:p>
        </w:tc>
        <w:tc>
          <w:tcPr>
            <w:tcW w:w="275" w:type="dxa"/>
            <w:tcBorders/>
            <w:shd w:fill="EEEEEE" w:val="clear"/>
            <w:vAlign w:val="center"/>
          </w:tcPr>
          <w:p>
            <w:pPr>
              <w:pStyle w:val="TableContents"/>
              <w:bidi w:val="0"/>
              <w:spacing w:before="0" w:after="283"/>
              <w:jc w:val="right"/>
              <w:rPr/>
            </w:pPr>
            <w:r>
              <w:rPr/>
              <w:t>20</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075" w:type="dxa"/>
            <w:tcBorders/>
            <w:shd w:fill="FFFFFF" w:val="clear"/>
            <w:vAlign w:val="center"/>
          </w:tcPr>
          <w:p>
            <w:pPr>
              <w:pStyle w:val="TableContents"/>
              <w:bidi w:val="0"/>
              <w:spacing w:before="0" w:after="283"/>
              <w:jc w:val="left"/>
              <w:rPr>
                <w:sz w:val="4"/>
                <w:szCs w:val="4"/>
              </w:rPr>
            </w:pPr>
            <w:r>
              <w:rPr>
                <w:sz w:val="4"/>
                <w:szCs w:val="4"/>
              </w:rPr>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26.</w:t>
            </w:r>
          </w:p>
        </w:tc>
        <w:tc>
          <w:tcPr>
            <w:tcW w:w="5425" w:type="dxa"/>
            <w:gridSpan w:val="2"/>
            <w:tcBorders/>
            <w:shd w:fill="EEEEEE" w:val="clear"/>
            <w:vAlign w:val="center"/>
          </w:tcPr>
          <w:p>
            <w:pPr>
              <w:pStyle w:val="TableContents"/>
              <w:bidi w:val="0"/>
              <w:spacing w:before="0" w:after="283"/>
              <w:jc w:val="left"/>
              <w:rPr/>
            </w:pPr>
            <w:r>
              <w:rPr/>
              <w:t>Miscellaneous</w:t>
            </w:r>
          </w:p>
        </w:tc>
        <w:tc>
          <w:tcPr>
            <w:tcW w:w="275" w:type="dxa"/>
            <w:tcBorders/>
            <w:shd w:fill="EEEEEE" w:val="clear"/>
            <w:vAlign w:val="center"/>
          </w:tcPr>
          <w:p>
            <w:pPr>
              <w:pStyle w:val="TableContents"/>
              <w:bidi w:val="0"/>
              <w:spacing w:before="0" w:after="283"/>
              <w:jc w:val="right"/>
              <w:rPr/>
            </w:pPr>
            <w:r>
              <w:rPr/>
              <w:t>20</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(a)</w:t>
            </w:r>
          </w:p>
        </w:tc>
        <w:tc>
          <w:tcPr>
            <w:tcW w:w="5075" w:type="dxa"/>
            <w:tcBorders/>
            <w:shd w:fill="FFFFFF" w:val="clear"/>
            <w:vAlign w:val="center"/>
          </w:tcPr>
          <w:p>
            <w:pPr>
              <w:pStyle w:val="TableContents"/>
              <w:bidi w:val="0"/>
              <w:spacing w:before="0" w:after="283"/>
              <w:jc w:val="left"/>
              <w:rPr/>
            </w:pPr>
            <w:r>
              <w:rPr/>
              <w:t>Landlord Transfer</w:t>
            </w:r>
          </w:p>
        </w:tc>
        <w:tc>
          <w:tcPr>
            <w:tcW w:w="275" w:type="dxa"/>
            <w:tcBorders/>
            <w:shd w:fill="FFFFFF" w:val="clear"/>
            <w:vAlign w:val="center"/>
          </w:tcPr>
          <w:p>
            <w:pPr>
              <w:pStyle w:val="TableContents"/>
              <w:bidi w:val="0"/>
              <w:spacing w:before="0" w:after="283"/>
              <w:jc w:val="right"/>
              <w:rPr/>
            </w:pPr>
            <w:r>
              <w:rPr/>
              <w:t>20</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(b)</w:t>
            </w:r>
          </w:p>
        </w:tc>
        <w:tc>
          <w:tcPr>
            <w:tcW w:w="5075" w:type="dxa"/>
            <w:tcBorders/>
            <w:shd w:fill="EEEEEE" w:val="clear"/>
            <w:vAlign w:val="center"/>
          </w:tcPr>
          <w:p>
            <w:pPr>
              <w:pStyle w:val="TableContents"/>
              <w:bidi w:val="0"/>
              <w:spacing w:before="0" w:after="283"/>
              <w:jc w:val="left"/>
              <w:rPr/>
            </w:pPr>
            <w:r>
              <w:rPr/>
              <w:t>Landlord’s Liability</w:t>
            </w:r>
          </w:p>
        </w:tc>
        <w:tc>
          <w:tcPr>
            <w:tcW w:w="275" w:type="dxa"/>
            <w:tcBorders/>
            <w:shd w:fill="EEEEEE" w:val="clear"/>
            <w:vAlign w:val="center"/>
          </w:tcPr>
          <w:p>
            <w:pPr>
              <w:pStyle w:val="TableContents"/>
              <w:bidi w:val="0"/>
              <w:spacing w:before="0" w:after="283"/>
              <w:jc w:val="right"/>
              <w:rPr/>
            </w:pPr>
            <w:r>
              <w:rPr/>
              <w:t>20</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(c)</w:t>
            </w:r>
          </w:p>
        </w:tc>
        <w:tc>
          <w:tcPr>
            <w:tcW w:w="5075" w:type="dxa"/>
            <w:tcBorders/>
            <w:shd w:fill="FFFFFF" w:val="clear"/>
            <w:vAlign w:val="center"/>
          </w:tcPr>
          <w:p>
            <w:pPr>
              <w:pStyle w:val="TableContents"/>
              <w:bidi w:val="0"/>
              <w:spacing w:before="0" w:after="283"/>
              <w:jc w:val="left"/>
              <w:rPr/>
            </w:pPr>
            <w:r>
              <w:rPr/>
              <w:t>Force Majeure</w:t>
            </w:r>
          </w:p>
        </w:tc>
        <w:tc>
          <w:tcPr>
            <w:tcW w:w="275" w:type="dxa"/>
            <w:tcBorders/>
            <w:shd w:fill="FFFFFF" w:val="clear"/>
            <w:vAlign w:val="center"/>
          </w:tcPr>
          <w:p>
            <w:pPr>
              <w:pStyle w:val="TableContents"/>
              <w:bidi w:val="0"/>
              <w:spacing w:before="0" w:after="283"/>
              <w:jc w:val="right"/>
              <w:rPr/>
            </w:pPr>
            <w:r>
              <w:rPr/>
              <w:t>20</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(d)</w:t>
            </w:r>
          </w:p>
        </w:tc>
        <w:tc>
          <w:tcPr>
            <w:tcW w:w="5075" w:type="dxa"/>
            <w:tcBorders/>
            <w:shd w:fill="EEEEEE" w:val="clear"/>
            <w:vAlign w:val="center"/>
          </w:tcPr>
          <w:p>
            <w:pPr>
              <w:pStyle w:val="TableContents"/>
              <w:bidi w:val="0"/>
              <w:spacing w:before="0" w:after="283"/>
              <w:jc w:val="left"/>
              <w:rPr/>
            </w:pPr>
            <w:r>
              <w:rPr/>
              <w:t>Brokerage</w:t>
            </w:r>
          </w:p>
        </w:tc>
        <w:tc>
          <w:tcPr>
            <w:tcW w:w="275" w:type="dxa"/>
            <w:tcBorders/>
            <w:shd w:fill="EEEEEE" w:val="clear"/>
            <w:vAlign w:val="center"/>
          </w:tcPr>
          <w:p>
            <w:pPr>
              <w:pStyle w:val="TableContents"/>
              <w:bidi w:val="0"/>
              <w:spacing w:before="0" w:after="283"/>
              <w:jc w:val="right"/>
              <w:rPr/>
            </w:pPr>
            <w:r>
              <w:rPr/>
              <w:t>21</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(e)</w:t>
            </w:r>
          </w:p>
        </w:tc>
        <w:tc>
          <w:tcPr>
            <w:tcW w:w="5075" w:type="dxa"/>
            <w:tcBorders/>
            <w:shd w:fill="FFFFFF" w:val="clear"/>
            <w:vAlign w:val="center"/>
          </w:tcPr>
          <w:p>
            <w:pPr>
              <w:pStyle w:val="TableContents"/>
              <w:bidi w:val="0"/>
              <w:spacing w:before="0" w:after="283"/>
              <w:jc w:val="left"/>
              <w:rPr/>
            </w:pPr>
            <w:r>
              <w:rPr/>
              <w:t>Estoppel Certificates</w:t>
            </w:r>
          </w:p>
        </w:tc>
        <w:tc>
          <w:tcPr>
            <w:tcW w:w="275" w:type="dxa"/>
            <w:tcBorders/>
            <w:shd w:fill="FFFFFF" w:val="clear"/>
            <w:vAlign w:val="center"/>
          </w:tcPr>
          <w:p>
            <w:pPr>
              <w:pStyle w:val="TableContents"/>
              <w:bidi w:val="0"/>
              <w:spacing w:before="0" w:after="283"/>
              <w:jc w:val="right"/>
              <w:rPr/>
            </w:pPr>
            <w:r>
              <w:rPr/>
              <w:t>21</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(f)</w:t>
            </w:r>
          </w:p>
        </w:tc>
        <w:tc>
          <w:tcPr>
            <w:tcW w:w="5075" w:type="dxa"/>
            <w:tcBorders/>
            <w:shd w:fill="EEEEEE" w:val="clear"/>
            <w:vAlign w:val="center"/>
          </w:tcPr>
          <w:p>
            <w:pPr>
              <w:pStyle w:val="TableContents"/>
              <w:bidi w:val="0"/>
              <w:spacing w:before="0" w:after="283"/>
              <w:jc w:val="left"/>
              <w:rPr/>
            </w:pPr>
            <w:r>
              <w:rPr/>
              <w:t>Notices</w:t>
            </w:r>
          </w:p>
        </w:tc>
        <w:tc>
          <w:tcPr>
            <w:tcW w:w="275" w:type="dxa"/>
            <w:tcBorders/>
            <w:shd w:fill="EEEEEE" w:val="clear"/>
            <w:vAlign w:val="center"/>
          </w:tcPr>
          <w:p>
            <w:pPr>
              <w:pStyle w:val="TableContents"/>
              <w:bidi w:val="0"/>
              <w:spacing w:before="0" w:after="283"/>
              <w:jc w:val="right"/>
              <w:rPr/>
            </w:pPr>
            <w:r>
              <w:rPr/>
              <w:t>21</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(g)</w:t>
            </w:r>
          </w:p>
        </w:tc>
        <w:tc>
          <w:tcPr>
            <w:tcW w:w="5075" w:type="dxa"/>
            <w:tcBorders/>
            <w:shd w:fill="FFFFFF" w:val="clear"/>
            <w:vAlign w:val="center"/>
          </w:tcPr>
          <w:p>
            <w:pPr>
              <w:pStyle w:val="TableContents"/>
              <w:bidi w:val="0"/>
              <w:spacing w:before="0" w:after="283"/>
              <w:jc w:val="left"/>
              <w:rPr/>
            </w:pPr>
            <w:r>
              <w:rPr/>
              <w:t>Separability</w:t>
            </w:r>
          </w:p>
        </w:tc>
        <w:tc>
          <w:tcPr>
            <w:tcW w:w="275" w:type="dxa"/>
            <w:tcBorders/>
            <w:shd w:fill="FFFFFF" w:val="clear"/>
            <w:vAlign w:val="center"/>
          </w:tcPr>
          <w:p>
            <w:pPr>
              <w:pStyle w:val="TableContents"/>
              <w:bidi w:val="0"/>
              <w:spacing w:before="0" w:after="283"/>
              <w:jc w:val="right"/>
              <w:rPr/>
            </w:pPr>
            <w:r>
              <w:rPr/>
              <w:t>21</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(h)</w:t>
            </w:r>
          </w:p>
        </w:tc>
        <w:tc>
          <w:tcPr>
            <w:tcW w:w="5075" w:type="dxa"/>
            <w:tcBorders/>
            <w:shd w:fill="EEEEEE" w:val="clear"/>
            <w:vAlign w:val="center"/>
          </w:tcPr>
          <w:p>
            <w:pPr>
              <w:pStyle w:val="TableContents"/>
              <w:bidi w:val="0"/>
              <w:spacing w:before="0" w:after="283"/>
              <w:jc w:val="left"/>
              <w:rPr/>
            </w:pPr>
            <w:r>
              <w:rPr/>
              <w:t>Amendments; Binding Effect; No Electronic Records</w:t>
            </w:r>
          </w:p>
        </w:tc>
        <w:tc>
          <w:tcPr>
            <w:tcW w:w="275" w:type="dxa"/>
            <w:tcBorders/>
            <w:shd w:fill="EEEEEE" w:val="clear"/>
            <w:vAlign w:val="center"/>
          </w:tcPr>
          <w:p>
            <w:pPr>
              <w:pStyle w:val="TableContents"/>
              <w:bidi w:val="0"/>
              <w:spacing w:before="0" w:after="283"/>
              <w:jc w:val="right"/>
              <w:rPr/>
            </w:pPr>
            <w:r>
              <w:rPr/>
              <w:t>21</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(i)</w:t>
            </w:r>
          </w:p>
        </w:tc>
        <w:tc>
          <w:tcPr>
            <w:tcW w:w="5075" w:type="dxa"/>
            <w:tcBorders/>
            <w:shd w:fill="FFFFFF" w:val="clear"/>
            <w:vAlign w:val="center"/>
          </w:tcPr>
          <w:p>
            <w:pPr>
              <w:pStyle w:val="TableContents"/>
              <w:bidi w:val="0"/>
              <w:spacing w:before="0" w:after="283"/>
              <w:jc w:val="left"/>
              <w:rPr/>
            </w:pPr>
            <w:r>
              <w:rPr/>
              <w:t>Quiet Enjoyment</w:t>
            </w:r>
          </w:p>
        </w:tc>
        <w:tc>
          <w:tcPr>
            <w:tcW w:w="275" w:type="dxa"/>
            <w:tcBorders/>
            <w:shd w:fill="FFFFFF" w:val="clear"/>
            <w:vAlign w:val="center"/>
          </w:tcPr>
          <w:p>
            <w:pPr>
              <w:pStyle w:val="TableContents"/>
              <w:bidi w:val="0"/>
              <w:spacing w:before="0" w:after="283"/>
              <w:jc w:val="right"/>
              <w:rPr/>
            </w:pPr>
            <w:r>
              <w:rPr/>
              <w:t>22</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(j)</w:t>
            </w:r>
          </w:p>
        </w:tc>
        <w:tc>
          <w:tcPr>
            <w:tcW w:w="5075" w:type="dxa"/>
            <w:tcBorders/>
            <w:shd w:fill="EEEEEE" w:val="clear"/>
            <w:vAlign w:val="center"/>
          </w:tcPr>
          <w:p>
            <w:pPr>
              <w:pStyle w:val="TableContents"/>
              <w:bidi w:val="0"/>
              <w:spacing w:before="0" w:after="283"/>
              <w:jc w:val="left"/>
              <w:rPr/>
            </w:pPr>
            <w:r>
              <w:rPr/>
              <w:t>Entire Agreement</w:t>
            </w:r>
          </w:p>
        </w:tc>
        <w:tc>
          <w:tcPr>
            <w:tcW w:w="275" w:type="dxa"/>
            <w:tcBorders/>
            <w:shd w:fill="EEEEEE" w:val="clear"/>
            <w:vAlign w:val="center"/>
          </w:tcPr>
          <w:p>
            <w:pPr>
              <w:pStyle w:val="TableContents"/>
              <w:bidi w:val="0"/>
              <w:spacing w:before="0" w:after="283"/>
              <w:jc w:val="right"/>
              <w:rPr/>
            </w:pPr>
            <w:r>
              <w:rPr/>
              <w:t>22</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(k)</w:t>
            </w:r>
          </w:p>
        </w:tc>
        <w:tc>
          <w:tcPr>
            <w:tcW w:w="5075" w:type="dxa"/>
            <w:tcBorders/>
            <w:shd w:fill="FFFFFF" w:val="clear"/>
            <w:vAlign w:val="center"/>
          </w:tcPr>
          <w:p>
            <w:pPr>
              <w:pStyle w:val="TableContents"/>
              <w:bidi w:val="0"/>
              <w:spacing w:before="0" w:after="283"/>
              <w:jc w:val="left"/>
              <w:rPr/>
            </w:pPr>
            <w:r>
              <w:rPr/>
              <w:t>Waiver of Jury Trial</w:t>
            </w:r>
          </w:p>
        </w:tc>
        <w:tc>
          <w:tcPr>
            <w:tcW w:w="275" w:type="dxa"/>
            <w:tcBorders/>
            <w:shd w:fill="FFFFFF" w:val="clear"/>
            <w:vAlign w:val="center"/>
          </w:tcPr>
          <w:p>
            <w:pPr>
              <w:pStyle w:val="TableContents"/>
              <w:bidi w:val="0"/>
              <w:spacing w:before="0" w:after="283"/>
              <w:jc w:val="right"/>
              <w:rPr/>
            </w:pPr>
            <w:r>
              <w:rPr/>
              <w:t>22</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(l)</w:t>
            </w:r>
          </w:p>
        </w:tc>
        <w:tc>
          <w:tcPr>
            <w:tcW w:w="5075" w:type="dxa"/>
            <w:tcBorders/>
            <w:shd w:fill="EEEEEE" w:val="clear"/>
            <w:vAlign w:val="center"/>
          </w:tcPr>
          <w:p>
            <w:pPr>
              <w:pStyle w:val="TableContents"/>
              <w:bidi w:val="0"/>
              <w:spacing w:before="0" w:after="283"/>
              <w:jc w:val="left"/>
              <w:rPr/>
            </w:pPr>
            <w:r>
              <w:rPr/>
              <w:t>Governing Law</w:t>
            </w:r>
          </w:p>
        </w:tc>
        <w:tc>
          <w:tcPr>
            <w:tcW w:w="275" w:type="dxa"/>
            <w:tcBorders/>
            <w:shd w:fill="EEEEEE" w:val="clear"/>
            <w:vAlign w:val="center"/>
          </w:tcPr>
          <w:p>
            <w:pPr>
              <w:pStyle w:val="TableContents"/>
              <w:bidi w:val="0"/>
              <w:spacing w:before="0" w:after="283"/>
              <w:jc w:val="right"/>
              <w:rPr/>
            </w:pPr>
            <w:r>
              <w:rPr/>
              <w:t>22</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(m)</w:t>
            </w:r>
          </w:p>
        </w:tc>
        <w:tc>
          <w:tcPr>
            <w:tcW w:w="5075" w:type="dxa"/>
            <w:tcBorders/>
            <w:shd w:fill="FFFFFF" w:val="clear"/>
            <w:vAlign w:val="center"/>
          </w:tcPr>
          <w:p>
            <w:pPr>
              <w:pStyle w:val="TableContents"/>
              <w:bidi w:val="0"/>
              <w:spacing w:before="0" w:after="283"/>
              <w:jc w:val="left"/>
              <w:rPr/>
            </w:pPr>
            <w:r>
              <w:rPr/>
              <w:t>Recording</w:t>
            </w:r>
          </w:p>
        </w:tc>
        <w:tc>
          <w:tcPr>
            <w:tcW w:w="275" w:type="dxa"/>
            <w:tcBorders/>
            <w:shd w:fill="FFFFFF" w:val="clear"/>
            <w:vAlign w:val="center"/>
          </w:tcPr>
          <w:p>
            <w:pPr>
              <w:pStyle w:val="TableContents"/>
              <w:bidi w:val="0"/>
              <w:spacing w:before="0" w:after="283"/>
              <w:jc w:val="right"/>
              <w:rPr/>
            </w:pPr>
            <w:r>
              <w:rPr/>
              <w:t>22</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(n)</w:t>
            </w:r>
          </w:p>
        </w:tc>
        <w:tc>
          <w:tcPr>
            <w:tcW w:w="5075" w:type="dxa"/>
            <w:tcBorders/>
            <w:shd w:fill="EEEEEE" w:val="clear"/>
            <w:vAlign w:val="center"/>
          </w:tcPr>
          <w:p>
            <w:pPr>
              <w:pStyle w:val="TableContents"/>
              <w:bidi w:val="0"/>
              <w:spacing w:before="0" w:after="283"/>
              <w:jc w:val="left"/>
              <w:rPr/>
            </w:pPr>
            <w:r>
              <w:rPr/>
              <w:t>Water or Mold Notification</w:t>
            </w:r>
          </w:p>
        </w:tc>
        <w:tc>
          <w:tcPr>
            <w:tcW w:w="275" w:type="dxa"/>
            <w:tcBorders/>
            <w:shd w:fill="EEEEEE" w:val="clear"/>
            <w:vAlign w:val="center"/>
          </w:tcPr>
          <w:p>
            <w:pPr>
              <w:pStyle w:val="TableContents"/>
              <w:bidi w:val="0"/>
              <w:spacing w:before="0" w:after="283"/>
              <w:jc w:val="right"/>
              <w:rPr/>
            </w:pPr>
            <w:r>
              <w:rPr/>
              <w:t>22</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(o)</w:t>
            </w:r>
          </w:p>
        </w:tc>
        <w:tc>
          <w:tcPr>
            <w:tcW w:w="5075" w:type="dxa"/>
            <w:tcBorders/>
            <w:shd w:fill="FFFFFF" w:val="clear"/>
            <w:vAlign w:val="center"/>
          </w:tcPr>
          <w:p>
            <w:pPr>
              <w:pStyle w:val="TableContents"/>
              <w:bidi w:val="0"/>
              <w:spacing w:before="0" w:after="283"/>
              <w:jc w:val="left"/>
              <w:rPr/>
            </w:pPr>
            <w:r>
              <w:rPr/>
              <w:t>Joint and Several Liability</w:t>
            </w:r>
          </w:p>
        </w:tc>
        <w:tc>
          <w:tcPr>
            <w:tcW w:w="275" w:type="dxa"/>
            <w:tcBorders/>
            <w:shd w:fill="FFFFFF" w:val="clear"/>
            <w:vAlign w:val="center"/>
          </w:tcPr>
          <w:p>
            <w:pPr>
              <w:pStyle w:val="TableContents"/>
              <w:bidi w:val="0"/>
              <w:spacing w:before="0" w:after="283"/>
              <w:jc w:val="right"/>
              <w:rPr/>
            </w:pPr>
            <w:r>
              <w:rPr/>
              <w:t>22</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(p)</w:t>
            </w:r>
          </w:p>
        </w:tc>
        <w:tc>
          <w:tcPr>
            <w:tcW w:w="5075" w:type="dxa"/>
            <w:tcBorders/>
            <w:shd w:fill="EEEEEE" w:val="clear"/>
            <w:vAlign w:val="center"/>
          </w:tcPr>
          <w:p>
            <w:pPr>
              <w:pStyle w:val="TableContents"/>
              <w:bidi w:val="0"/>
              <w:spacing w:before="0" w:after="283"/>
              <w:jc w:val="left"/>
              <w:rPr/>
            </w:pPr>
            <w:r>
              <w:rPr/>
              <w:t>Financial Reports</w:t>
            </w:r>
          </w:p>
        </w:tc>
        <w:tc>
          <w:tcPr>
            <w:tcW w:w="275" w:type="dxa"/>
            <w:tcBorders/>
            <w:shd w:fill="EEEEEE" w:val="clear"/>
            <w:vAlign w:val="center"/>
          </w:tcPr>
          <w:p>
            <w:pPr>
              <w:pStyle w:val="TableContents"/>
              <w:bidi w:val="0"/>
              <w:spacing w:before="0" w:after="283"/>
              <w:jc w:val="right"/>
              <w:rPr/>
            </w:pPr>
            <w:r>
              <w:rPr/>
              <w:t>22</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(q)</w:t>
            </w:r>
          </w:p>
        </w:tc>
        <w:tc>
          <w:tcPr>
            <w:tcW w:w="5075" w:type="dxa"/>
            <w:tcBorders/>
            <w:shd w:fill="FFFFFF" w:val="clear"/>
            <w:vAlign w:val="center"/>
          </w:tcPr>
          <w:p>
            <w:pPr>
              <w:pStyle w:val="TableContents"/>
              <w:bidi w:val="0"/>
              <w:spacing w:before="0" w:after="283"/>
              <w:jc w:val="left"/>
              <w:rPr/>
            </w:pPr>
            <w:r>
              <w:rPr/>
              <w:t>Landlord’s Fees</w:t>
            </w:r>
          </w:p>
        </w:tc>
        <w:tc>
          <w:tcPr>
            <w:tcW w:w="275" w:type="dxa"/>
            <w:tcBorders/>
            <w:shd w:fill="FFFFFF" w:val="clear"/>
            <w:vAlign w:val="center"/>
          </w:tcPr>
          <w:p>
            <w:pPr>
              <w:pStyle w:val="TableContents"/>
              <w:bidi w:val="0"/>
              <w:spacing w:before="0" w:after="283"/>
              <w:jc w:val="right"/>
              <w:rPr/>
            </w:pPr>
            <w:r>
              <w:rPr/>
              <w:t>22</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(r)</w:t>
            </w:r>
          </w:p>
        </w:tc>
        <w:tc>
          <w:tcPr>
            <w:tcW w:w="5075" w:type="dxa"/>
            <w:tcBorders/>
            <w:shd w:fill="EEEEEE" w:val="clear"/>
            <w:vAlign w:val="center"/>
          </w:tcPr>
          <w:p>
            <w:pPr>
              <w:pStyle w:val="TableContents"/>
              <w:bidi w:val="0"/>
              <w:spacing w:before="0" w:after="283"/>
              <w:jc w:val="left"/>
              <w:rPr/>
            </w:pPr>
            <w:r>
              <w:rPr/>
              <w:t>Telecommunications</w:t>
            </w:r>
          </w:p>
        </w:tc>
        <w:tc>
          <w:tcPr>
            <w:tcW w:w="275" w:type="dxa"/>
            <w:tcBorders/>
            <w:shd w:fill="EEEEEE" w:val="clear"/>
            <w:vAlign w:val="center"/>
          </w:tcPr>
          <w:p>
            <w:pPr>
              <w:pStyle w:val="TableContents"/>
              <w:bidi w:val="0"/>
              <w:spacing w:before="0" w:after="283"/>
              <w:jc w:val="right"/>
              <w:rPr/>
            </w:pPr>
            <w:r>
              <w:rPr/>
              <w:t>23</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(s)</w:t>
            </w:r>
          </w:p>
        </w:tc>
        <w:tc>
          <w:tcPr>
            <w:tcW w:w="5075" w:type="dxa"/>
            <w:tcBorders/>
            <w:shd w:fill="FFFFFF" w:val="clear"/>
            <w:vAlign w:val="center"/>
          </w:tcPr>
          <w:p>
            <w:pPr>
              <w:pStyle w:val="TableContents"/>
              <w:bidi w:val="0"/>
              <w:spacing w:before="0" w:after="283"/>
              <w:jc w:val="left"/>
              <w:rPr/>
            </w:pPr>
            <w:r>
              <w:rPr/>
              <w:t>Confidentiality</w:t>
            </w:r>
          </w:p>
        </w:tc>
        <w:tc>
          <w:tcPr>
            <w:tcW w:w="275" w:type="dxa"/>
            <w:tcBorders/>
            <w:shd w:fill="FFFFFF" w:val="clear"/>
            <w:vAlign w:val="center"/>
          </w:tcPr>
          <w:p>
            <w:pPr>
              <w:pStyle w:val="TableContents"/>
              <w:bidi w:val="0"/>
              <w:spacing w:before="0" w:after="283"/>
              <w:jc w:val="right"/>
              <w:rPr/>
            </w:pPr>
            <w:r>
              <w:rPr/>
              <w:t>23</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(t)</w:t>
            </w:r>
          </w:p>
        </w:tc>
        <w:tc>
          <w:tcPr>
            <w:tcW w:w="5075" w:type="dxa"/>
            <w:tcBorders/>
            <w:shd w:fill="EEEEEE" w:val="clear"/>
            <w:vAlign w:val="center"/>
          </w:tcPr>
          <w:p>
            <w:pPr>
              <w:pStyle w:val="TableContents"/>
              <w:bidi w:val="0"/>
              <w:spacing w:before="0" w:after="283"/>
              <w:jc w:val="left"/>
              <w:rPr/>
            </w:pPr>
            <w:r>
              <w:rPr/>
              <w:t>Authority</w:t>
            </w:r>
          </w:p>
        </w:tc>
        <w:tc>
          <w:tcPr>
            <w:tcW w:w="275" w:type="dxa"/>
            <w:tcBorders/>
            <w:shd w:fill="EEEEEE" w:val="clear"/>
            <w:vAlign w:val="center"/>
          </w:tcPr>
          <w:p>
            <w:pPr>
              <w:pStyle w:val="TableContents"/>
              <w:bidi w:val="0"/>
              <w:spacing w:before="0" w:after="283"/>
              <w:jc w:val="right"/>
              <w:rPr/>
            </w:pPr>
            <w:r>
              <w:rPr/>
              <w:t>23</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(u)</w:t>
            </w:r>
          </w:p>
        </w:tc>
        <w:tc>
          <w:tcPr>
            <w:tcW w:w="5075" w:type="dxa"/>
            <w:tcBorders/>
            <w:shd w:fill="FFFFFF" w:val="clear"/>
            <w:vAlign w:val="center"/>
          </w:tcPr>
          <w:p>
            <w:pPr>
              <w:pStyle w:val="TableContents"/>
              <w:bidi w:val="0"/>
              <w:spacing w:before="0" w:after="283"/>
              <w:jc w:val="left"/>
              <w:rPr/>
            </w:pPr>
            <w:r>
              <w:rPr/>
              <w:t>Security Service</w:t>
            </w:r>
          </w:p>
        </w:tc>
        <w:tc>
          <w:tcPr>
            <w:tcW w:w="275" w:type="dxa"/>
            <w:tcBorders/>
            <w:shd w:fill="FFFFFF" w:val="clear"/>
            <w:vAlign w:val="center"/>
          </w:tcPr>
          <w:p>
            <w:pPr>
              <w:pStyle w:val="TableContents"/>
              <w:bidi w:val="0"/>
              <w:spacing w:before="0" w:after="283"/>
              <w:jc w:val="right"/>
              <w:rPr/>
            </w:pPr>
            <w:r>
              <w:rPr/>
              <w:t>23</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(v)</w:t>
            </w:r>
          </w:p>
        </w:tc>
        <w:tc>
          <w:tcPr>
            <w:tcW w:w="5075" w:type="dxa"/>
            <w:tcBorders/>
            <w:shd w:fill="EEEEEE" w:val="clear"/>
            <w:vAlign w:val="center"/>
          </w:tcPr>
          <w:p>
            <w:pPr>
              <w:pStyle w:val="TableContents"/>
              <w:bidi w:val="0"/>
              <w:spacing w:before="0" w:after="283"/>
              <w:jc w:val="left"/>
              <w:rPr/>
            </w:pPr>
            <w:r>
              <w:rPr/>
              <w:t>List of Exhibits</w:t>
            </w:r>
          </w:p>
        </w:tc>
        <w:tc>
          <w:tcPr>
            <w:tcW w:w="275" w:type="dxa"/>
            <w:tcBorders/>
            <w:shd w:fill="EEEEEE" w:val="clear"/>
            <w:vAlign w:val="center"/>
          </w:tcPr>
          <w:p>
            <w:pPr>
              <w:pStyle w:val="TableContents"/>
              <w:bidi w:val="0"/>
              <w:spacing w:before="0" w:after="283"/>
              <w:jc w:val="right"/>
              <w:rPr/>
            </w:pPr>
            <w:r>
              <w:rPr/>
              <w:t>23</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(w)</w:t>
            </w:r>
          </w:p>
        </w:tc>
        <w:tc>
          <w:tcPr>
            <w:tcW w:w="5075" w:type="dxa"/>
            <w:tcBorders/>
            <w:shd w:fill="FFFFFF" w:val="clear"/>
            <w:vAlign w:val="center"/>
          </w:tcPr>
          <w:p>
            <w:pPr>
              <w:pStyle w:val="TableContents"/>
              <w:bidi w:val="0"/>
              <w:spacing w:before="0" w:after="283"/>
              <w:jc w:val="left"/>
              <w:rPr/>
            </w:pPr>
            <w:r>
              <w:rPr/>
              <w:t>Prohibited Persons and Transactions</w:t>
            </w:r>
          </w:p>
        </w:tc>
        <w:tc>
          <w:tcPr>
            <w:tcW w:w="275" w:type="dxa"/>
            <w:tcBorders/>
            <w:shd w:fill="FFFFFF" w:val="clear"/>
            <w:vAlign w:val="center"/>
          </w:tcPr>
          <w:p>
            <w:pPr>
              <w:pStyle w:val="TableContents"/>
              <w:bidi w:val="0"/>
              <w:spacing w:before="0" w:after="283"/>
              <w:jc w:val="right"/>
              <w:rPr/>
            </w:pPr>
            <w:r>
              <w:rPr/>
              <w:t>24</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(x)</w:t>
            </w:r>
          </w:p>
        </w:tc>
        <w:tc>
          <w:tcPr>
            <w:tcW w:w="5075" w:type="dxa"/>
            <w:tcBorders/>
            <w:shd w:fill="EEEEEE" w:val="clear"/>
            <w:vAlign w:val="center"/>
          </w:tcPr>
          <w:p>
            <w:pPr>
              <w:pStyle w:val="TableContents"/>
              <w:bidi w:val="0"/>
              <w:spacing w:before="0" w:after="283"/>
              <w:jc w:val="left"/>
              <w:rPr/>
            </w:pPr>
            <w:r>
              <w:rPr/>
              <w:t>Determination of Charges</w:t>
            </w:r>
          </w:p>
        </w:tc>
        <w:tc>
          <w:tcPr>
            <w:tcW w:w="275" w:type="dxa"/>
            <w:tcBorders/>
            <w:shd w:fill="EEEEEE" w:val="clear"/>
            <w:vAlign w:val="center"/>
          </w:tcPr>
          <w:p>
            <w:pPr>
              <w:pStyle w:val="TableContents"/>
              <w:bidi w:val="0"/>
              <w:spacing w:before="0" w:after="283"/>
              <w:jc w:val="right"/>
              <w:rPr/>
            </w:pPr>
            <w:r>
              <w:rPr/>
              <w:t>24</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(y)</w:t>
            </w:r>
          </w:p>
        </w:tc>
        <w:tc>
          <w:tcPr>
            <w:tcW w:w="5075" w:type="dxa"/>
            <w:tcBorders/>
            <w:shd w:fill="FFFFFF" w:val="clear"/>
            <w:vAlign w:val="center"/>
          </w:tcPr>
          <w:p>
            <w:pPr>
              <w:pStyle w:val="TableContents"/>
              <w:bidi w:val="0"/>
              <w:spacing w:before="0" w:after="283"/>
              <w:jc w:val="left"/>
              <w:rPr/>
            </w:pPr>
            <w:r>
              <w:rPr/>
              <w:t>No Invasive Testing</w:t>
            </w:r>
          </w:p>
        </w:tc>
        <w:tc>
          <w:tcPr>
            <w:tcW w:w="275" w:type="dxa"/>
            <w:tcBorders/>
            <w:shd w:fill="FFFFFF" w:val="clear"/>
            <w:vAlign w:val="center"/>
          </w:tcPr>
          <w:p>
            <w:pPr>
              <w:pStyle w:val="TableContents"/>
              <w:bidi w:val="0"/>
              <w:spacing w:before="0" w:after="283"/>
              <w:jc w:val="right"/>
              <w:rPr/>
            </w:pPr>
            <w:r>
              <w:rPr/>
              <w:t>24</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(z)</w:t>
            </w:r>
          </w:p>
        </w:tc>
        <w:tc>
          <w:tcPr>
            <w:tcW w:w="5075" w:type="dxa"/>
            <w:tcBorders/>
            <w:shd w:fill="EEEEEE" w:val="clear"/>
            <w:vAlign w:val="center"/>
          </w:tcPr>
          <w:p>
            <w:pPr>
              <w:pStyle w:val="TableContents"/>
              <w:bidi w:val="0"/>
              <w:spacing w:before="0" w:after="283"/>
              <w:jc w:val="left"/>
              <w:rPr/>
            </w:pPr>
            <w:r>
              <w:rPr/>
              <w:t>Counterparts</w:t>
            </w:r>
          </w:p>
        </w:tc>
        <w:tc>
          <w:tcPr>
            <w:tcW w:w="275" w:type="dxa"/>
            <w:tcBorders/>
            <w:shd w:fill="EEEEEE" w:val="clear"/>
            <w:vAlign w:val="center"/>
          </w:tcPr>
          <w:p>
            <w:pPr>
              <w:pStyle w:val="TableContents"/>
              <w:bidi w:val="0"/>
              <w:spacing w:before="0" w:after="283"/>
              <w:jc w:val="right"/>
              <w:rPr/>
            </w:pPr>
            <w:r>
              <w:rPr/>
              <w:t>24</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0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335" w:type="dxa"/>
            <w:tcBorders/>
            <w:shd w:fill="EEEEEE" w:val="clear"/>
            <w:vAlign w:val="center"/>
          </w:tcPr>
          <w:p>
            <w:pPr>
              <w:pStyle w:val="TableContents"/>
              <w:bidi w:val="0"/>
              <w:spacing w:before="0" w:after="283"/>
              <w:jc w:val="left"/>
              <w:rPr>
                <w:b/>
              </w:rPr>
            </w:pPr>
            <w:r>
              <w:rPr>
                <w:b/>
              </w:rPr>
              <w:t>27.</w:t>
            </w:r>
          </w:p>
        </w:tc>
        <w:tc>
          <w:tcPr>
            <w:tcW w:w="5425" w:type="dxa"/>
            <w:gridSpan w:val="2"/>
            <w:tcBorders/>
            <w:shd w:fill="EEEEEE" w:val="clear"/>
            <w:vAlign w:val="center"/>
          </w:tcPr>
          <w:p>
            <w:pPr>
              <w:pStyle w:val="TableContents"/>
              <w:bidi w:val="0"/>
              <w:spacing w:before="0" w:after="283"/>
              <w:jc w:val="left"/>
              <w:rPr/>
            </w:pPr>
            <w:r>
              <w:rPr/>
              <w:t>Environmental Requirements</w:t>
            </w:r>
          </w:p>
        </w:tc>
        <w:tc>
          <w:tcPr>
            <w:tcW w:w="275" w:type="dxa"/>
            <w:tcBorders/>
            <w:shd w:fill="EEEEEE" w:val="clear"/>
            <w:vAlign w:val="center"/>
          </w:tcPr>
          <w:p>
            <w:pPr>
              <w:pStyle w:val="TableContents"/>
              <w:bidi w:val="0"/>
              <w:spacing w:before="0" w:after="283"/>
              <w:jc w:val="right"/>
              <w:rPr/>
            </w:pPr>
            <w:r>
              <w:rPr/>
              <w:t>24</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(a)</w:t>
            </w:r>
          </w:p>
        </w:tc>
        <w:tc>
          <w:tcPr>
            <w:tcW w:w="5075" w:type="dxa"/>
            <w:tcBorders/>
            <w:shd w:fill="FFFFFF" w:val="clear"/>
            <w:vAlign w:val="center"/>
          </w:tcPr>
          <w:p>
            <w:pPr>
              <w:pStyle w:val="TableContents"/>
              <w:bidi w:val="0"/>
              <w:spacing w:before="0" w:after="283"/>
              <w:jc w:val="left"/>
              <w:rPr/>
            </w:pPr>
            <w:r>
              <w:rPr/>
              <w:t>Prohibition against Hazardous Materials</w:t>
            </w:r>
          </w:p>
        </w:tc>
        <w:tc>
          <w:tcPr>
            <w:tcW w:w="275" w:type="dxa"/>
            <w:tcBorders/>
            <w:shd w:fill="FFFFFF" w:val="clear"/>
            <w:vAlign w:val="center"/>
          </w:tcPr>
          <w:p>
            <w:pPr>
              <w:pStyle w:val="TableContents"/>
              <w:bidi w:val="0"/>
              <w:spacing w:before="0" w:after="283"/>
              <w:jc w:val="right"/>
              <w:rPr/>
            </w:pPr>
            <w:r>
              <w:rPr/>
              <w:t>24</w:t>
            </w:r>
          </w:p>
        </w:tc>
      </w:tr>
      <w:tr>
        <w:trPr/>
        <w:tc>
          <w:tcPr>
            <w:tcW w:w="335"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(b)</w:t>
            </w:r>
          </w:p>
        </w:tc>
        <w:tc>
          <w:tcPr>
            <w:tcW w:w="5075" w:type="dxa"/>
            <w:tcBorders/>
            <w:shd w:fill="EEEEEE" w:val="clear"/>
            <w:vAlign w:val="center"/>
          </w:tcPr>
          <w:p>
            <w:pPr>
              <w:pStyle w:val="TableContents"/>
              <w:bidi w:val="0"/>
              <w:spacing w:before="0" w:after="283"/>
              <w:jc w:val="left"/>
              <w:rPr/>
            </w:pPr>
            <w:r>
              <w:rPr/>
              <w:t>Environmental Requirements</w:t>
            </w:r>
          </w:p>
        </w:tc>
        <w:tc>
          <w:tcPr>
            <w:tcW w:w="275" w:type="dxa"/>
            <w:tcBorders/>
            <w:shd w:fill="EEEEEE" w:val="clear"/>
            <w:vAlign w:val="center"/>
          </w:tcPr>
          <w:p>
            <w:pPr>
              <w:pStyle w:val="TableContents"/>
              <w:bidi w:val="0"/>
              <w:spacing w:before="0" w:after="283"/>
              <w:jc w:val="right"/>
              <w:rPr/>
            </w:pPr>
            <w:r>
              <w:rPr/>
              <w:t>24</w:t>
            </w:r>
          </w:p>
        </w:tc>
      </w:tr>
      <w:tr>
        <w:trPr/>
        <w:tc>
          <w:tcPr>
            <w:tcW w:w="3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(c)</w:t>
            </w:r>
          </w:p>
        </w:tc>
        <w:tc>
          <w:tcPr>
            <w:tcW w:w="5075" w:type="dxa"/>
            <w:tcBorders/>
            <w:shd w:fill="FFFFFF" w:val="clear"/>
            <w:vAlign w:val="center"/>
          </w:tcPr>
          <w:p>
            <w:pPr>
              <w:pStyle w:val="TableContents"/>
              <w:bidi w:val="0"/>
              <w:spacing w:before="0" w:after="283"/>
              <w:jc w:val="left"/>
              <w:rPr/>
            </w:pPr>
            <w:r>
              <w:rPr/>
              <w:t>Removal of Hazardous Materials</w:t>
            </w:r>
          </w:p>
        </w:tc>
        <w:tc>
          <w:tcPr>
            <w:tcW w:w="275" w:type="dxa"/>
            <w:tcBorders/>
            <w:shd w:fill="FFFFFF" w:val="clear"/>
            <w:vAlign w:val="center"/>
          </w:tcPr>
          <w:p>
            <w:pPr>
              <w:pStyle w:val="TableContents"/>
              <w:bidi w:val="0"/>
              <w:spacing w:before="0" w:after="283"/>
              <w:jc w:val="right"/>
              <w:rPr/>
            </w:pPr>
            <w:r>
              <w:rPr/>
              <w:t>25</w:t>
            </w:r>
          </w:p>
        </w:tc>
      </w:tr>
    </w:tbl>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v</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3725" w:type="dxa"/>
        <w:jc w:val="left"/>
        <w:tblInd w:w="0" w:type="dxa"/>
        <w:tblLayout w:type="fixed"/>
        <w:tblCellMar>
          <w:top w:w="0" w:type="dxa"/>
          <w:left w:w="0" w:type="dxa"/>
          <w:bottom w:w="0" w:type="dxa"/>
          <w:right w:w="0" w:type="dxa"/>
        </w:tblCellMar>
      </w:tblPr>
      <w:tblGrid>
        <w:gridCol w:w="335"/>
        <w:gridCol w:w="290"/>
        <w:gridCol w:w="2825"/>
        <w:gridCol w:w="275"/>
      </w:tblGrid>
      <w:tr>
        <w:trPr/>
        <w:tc>
          <w:tcPr>
            <w:tcW w:w="335" w:type="dxa"/>
            <w:tcBorders/>
            <w:shd w:fill="EEEEEE" w:val="clear"/>
            <w:vAlign w:val="center"/>
          </w:tcPr>
          <w:p>
            <w:pPr>
              <w:pStyle w:val="TableContents"/>
              <w:bidi w:val="0"/>
              <w:spacing w:before="0" w:after="283"/>
              <w:jc w:val="left"/>
              <w:rPr/>
            </w:pPr>
            <w:r>
              <w:rPr/>
              <w:t> </w:t>
            </w:r>
          </w:p>
        </w:tc>
        <w:tc>
          <w:tcPr>
            <w:tcW w:w="290" w:type="dxa"/>
            <w:tcBorders/>
            <w:shd w:fill="EEEEEE" w:val="clear"/>
            <w:vAlign w:val="center"/>
          </w:tcPr>
          <w:p>
            <w:pPr>
              <w:pStyle w:val="TableContents"/>
              <w:bidi w:val="0"/>
              <w:spacing w:before="0" w:after="283"/>
              <w:jc w:val="left"/>
              <w:rPr/>
            </w:pPr>
            <w:r>
              <w:rPr/>
              <w:t>(d)</w:t>
            </w:r>
          </w:p>
        </w:tc>
        <w:tc>
          <w:tcPr>
            <w:tcW w:w="2825" w:type="dxa"/>
            <w:tcBorders/>
            <w:shd w:fill="EEEEEE" w:val="clear"/>
            <w:vAlign w:val="center"/>
          </w:tcPr>
          <w:p>
            <w:pPr>
              <w:pStyle w:val="TableContents"/>
              <w:bidi w:val="0"/>
              <w:spacing w:before="0" w:after="283"/>
              <w:jc w:val="left"/>
              <w:rPr/>
            </w:pPr>
            <w:r>
              <w:rPr/>
              <w:t>Tenant’s Indemnity</w:t>
            </w:r>
          </w:p>
        </w:tc>
        <w:tc>
          <w:tcPr>
            <w:tcW w:w="275" w:type="dxa"/>
            <w:tcBorders/>
            <w:shd w:fill="EEEEEE" w:val="clear"/>
            <w:vAlign w:val="center"/>
          </w:tcPr>
          <w:p>
            <w:pPr>
              <w:pStyle w:val="TableContents"/>
              <w:bidi w:val="0"/>
              <w:spacing w:before="0" w:after="283"/>
              <w:jc w:val="right"/>
              <w:rPr/>
            </w:pPr>
            <w:r>
              <w:rPr/>
              <w:t>25</w:t>
            </w:r>
          </w:p>
        </w:tc>
      </w:tr>
      <w:tr>
        <w:trPr/>
        <w:tc>
          <w:tcPr>
            <w:tcW w:w="33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(e)</w:t>
            </w:r>
          </w:p>
        </w:tc>
        <w:tc>
          <w:tcPr>
            <w:tcW w:w="2825" w:type="dxa"/>
            <w:tcBorders/>
            <w:shd w:fill="FFFFFF" w:val="clear"/>
            <w:vAlign w:val="center"/>
          </w:tcPr>
          <w:p>
            <w:pPr>
              <w:pStyle w:val="TableContents"/>
              <w:bidi w:val="0"/>
              <w:spacing w:before="0" w:after="283"/>
              <w:jc w:val="left"/>
              <w:rPr/>
            </w:pPr>
            <w:r>
              <w:rPr/>
              <w:t>Inspections and Tests</w:t>
            </w:r>
          </w:p>
        </w:tc>
        <w:tc>
          <w:tcPr>
            <w:tcW w:w="275" w:type="dxa"/>
            <w:tcBorders/>
            <w:shd w:fill="FFFFFF" w:val="clear"/>
            <w:vAlign w:val="center"/>
          </w:tcPr>
          <w:p>
            <w:pPr>
              <w:pStyle w:val="TableContents"/>
              <w:bidi w:val="0"/>
              <w:spacing w:before="0" w:after="283"/>
              <w:jc w:val="right"/>
              <w:rPr/>
            </w:pPr>
            <w:r>
              <w:rPr/>
              <w:t>25</w:t>
            </w:r>
          </w:p>
        </w:tc>
      </w:tr>
      <w:tr>
        <w:trPr/>
        <w:tc>
          <w:tcPr>
            <w:tcW w:w="335" w:type="dxa"/>
            <w:tcBorders/>
            <w:shd w:fill="EEEEEE" w:val="clear"/>
            <w:vAlign w:val="center"/>
          </w:tcPr>
          <w:p>
            <w:pPr>
              <w:pStyle w:val="TableContents"/>
              <w:bidi w:val="0"/>
              <w:spacing w:before="0" w:after="283"/>
              <w:jc w:val="left"/>
              <w:rPr/>
            </w:pPr>
            <w:r>
              <w:rPr/>
              <w:t> </w:t>
            </w:r>
          </w:p>
        </w:tc>
        <w:tc>
          <w:tcPr>
            <w:tcW w:w="290" w:type="dxa"/>
            <w:tcBorders/>
            <w:shd w:fill="EEEEEE" w:val="clear"/>
            <w:vAlign w:val="center"/>
          </w:tcPr>
          <w:p>
            <w:pPr>
              <w:pStyle w:val="TableContents"/>
              <w:bidi w:val="0"/>
              <w:spacing w:before="0" w:after="283"/>
              <w:jc w:val="left"/>
              <w:rPr/>
            </w:pPr>
            <w:r>
              <w:rPr/>
              <w:t> </w:t>
            </w:r>
          </w:p>
        </w:tc>
        <w:tc>
          <w:tcPr>
            <w:tcW w:w="2825"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28.</w:t>
            </w:r>
          </w:p>
        </w:tc>
        <w:tc>
          <w:tcPr>
            <w:tcW w:w="290" w:type="dxa"/>
            <w:tcBorders/>
            <w:shd w:fill="FFFFFF" w:val="clear"/>
            <w:vAlign w:val="center"/>
          </w:tcPr>
          <w:p>
            <w:pPr>
              <w:pStyle w:val="TableContents"/>
              <w:bidi w:val="0"/>
              <w:spacing w:before="0" w:after="283"/>
              <w:jc w:val="left"/>
              <w:rPr/>
            </w:pPr>
            <w:r>
              <w:rPr/>
              <w:t> </w:t>
            </w:r>
          </w:p>
        </w:tc>
        <w:tc>
          <w:tcPr>
            <w:tcW w:w="2825" w:type="dxa"/>
            <w:tcBorders/>
            <w:shd w:fill="FFFFFF" w:val="clear"/>
            <w:vAlign w:val="center"/>
          </w:tcPr>
          <w:p>
            <w:pPr>
              <w:pStyle w:val="TableContents"/>
              <w:bidi w:val="0"/>
              <w:spacing w:before="0" w:after="283"/>
              <w:jc w:val="left"/>
              <w:rPr/>
            </w:pPr>
            <w:r>
              <w:rPr/>
              <w:t>Parking</w:t>
            </w:r>
          </w:p>
        </w:tc>
        <w:tc>
          <w:tcPr>
            <w:tcW w:w="275" w:type="dxa"/>
            <w:tcBorders/>
            <w:shd w:fill="FFFFFF" w:val="clear"/>
            <w:vAlign w:val="center"/>
          </w:tcPr>
          <w:p>
            <w:pPr>
              <w:pStyle w:val="TableContents"/>
              <w:bidi w:val="0"/>
              <w:spacing w:before="0" w:after="283"/>
              <w:jc w:val="right"/>
              <w:rPr/>
            </w:pPr>
            <w:r>
              <w:rPr/>
              <w:t>25</w:t>
            </w:r>
          </w:p>
        </w:tc>
      </w:tr>
      <w:tr>
        <w:trPr/>
        <w:tc>
          <w:tcPr>
            <w:tcW w:w="335" w:type="dxa"/>
            <w:tcBorders/>
            <w:shd w:fill="EEEEEE" w:val="clear"/>
            <w:vAlign w:val="center"/>
          </w:tcPr>
          <w:p>
            <w:pPr>
              <w:pStyle w:val="TableContents"/>
              <w:bidi w:val="0"/>
              <w:spacing w:before="0" w:after="283"/>
              <w:jc w:val="left"/>
              <w:rPr/>
            </w:pPr>
            <w:r>
              <w:rPr/>
              <w:t> </w:t>
            </w:r>
          </w:p>
        </w:tc>
        <w:tc>
          <w:tcPr>
            <w:tcW w:w="290" w:type="dxa"/>
            <w:tcBorders/>
            <w:shd w:fill="EEEEEE" w:val="clear"/>
            <w:vAlign w:val="center"/>
          </w:tcPr>
          <w:p>
            <w:pPr>
              <w:pStyle w:val="TableContents"/>
              <w:bidi w:val="0"/>
              <w:spacing w:before="0" w:after="283"/>
              <w:jc w:val="left"/>
              <w:rPr/>
            </w:pPr>
            <w:r>
              <w:rPr/>
              <w:t> </w:t>
            </w:r>
          </w:p>
        </w:tc>
        <w:tc>
          <w:tcPr>
            <w:tcW w:w="2825"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29.</w:t>
            </w:r>
          </w:p>
        </w:tc>
        <w:tc>
          <w:tcPr>
            <w:tcW w:w="290" w:type="dxa"/>
            <w:tcBorders/>
            <w:shd w:fill="FFFFFF" w:val="clear"/>
            <w:vAlign w:val="center"/>
          </w:tcPr>
          <w:p>
            <w:pPr>
              <w:pStyle w:val="TableContents"/>
              <w:bidi w:val="0"/>
              <w:spacing w:before="0" w:after="283"/>
              <w:jc w:val="left"/>
              <w:rPr/>
            </w:pPr>
            <w:r>
              <w:rPr/>
              <w:t> </w:t>
            </w:r>
          </w:p>
        </w:tc>
        <w:tc>
          <w:tcPr>
            <w:tcW w:w="2825" w:type="dxa"/>
            <w:tcBorders/>
            <w:shd w:fill="FFFFFF" w:val="clear"/>
            <w:vAlign w:val="center"/>
          </w:tcPr>
          <w:p>
            <w:pPr>
              <w:pStyle w:val="TableContents"/>
              <w:bidi w:val="0"/>
              <w:spacing w:before="0" w:after="283"/>
              <w:jc w:val="left"/>
              <w:rPr/>
            </w:pPr>
            <w:r>
              <w:rPr/>
              <w:t>Governmental Applications</w:t>
            </w:r>
          </w:p>
        </w:tc>
        <w:tc>
          <w:tcPr>
            <w:tcW w:w="275" w:type="dxa"/>
            <w:tcBorders/>
            <w:shd w:fill="FFFFFF" w:val="clear"/>
            <w:vAlign w:val="center"/>
          </w:tcPr>
          <w:p>
            <w:pPr>
              <w:pStyle w:val="TableContents"/>
              <w:bidi w:val="0"/>
              <w:spacing w:before="0" w:after="283"/>
              <w:jc w:val="right"/>
              <w:rPr/>
            </w:pPr>
            <w:r>
              <w:rPr/>
              <w:t>25</w:t>
            </w:r>
          </w:p>
        </w:tc>
      </w:tr>
      <w:tr>
        <w:trPr/>
        <w:tc>
          <w:tcPr>
            <w:tcW w:w="335" w:type="dxa"/>
            <w:tcBorders/>
            <w:shd w:fill="EEEEEE" w:val="clear"/>
            <w:vAlign w:val="center"/>
          </w:tcPr>
          <w:p>
            <w:pPr>
              <w:pStyle w:val="TableContents"/>
              <w:bidi w:val="0"/>
              <w:spacing w:before="0" w:after="283"/>
              <w:jc w:val="left"/>
              <w:rPr/>
            </w:pPr>
            <w:r>
              <w:rPr/>
              <w:t> </w:t>
            </w:r>
          </w:p>
        </w:tc>
        <w:tc>
          <w:tcPr>
            <w:tcW w:w="290" w:type="dxa"/>
            <w:tcBorders/>
            <w:shd w:fill="EEEEEE" w:val="clear"/>
            <w:vAlign w:val="center"/>
          </w:tcPr>
          <w:p>
            <w:pPr>
              <w:pStyle w:val="TableContents"/>
              <w:bidi w:val="0"/>
              <w:spacing w:before="0" w:after="283"/>
              <w:jc w:val="left"/>
              <w:rPr/>
            </w:pPr>
            <w:r>
              <w:rPr/>
              <w:t> </w:t>
            </w:r>
          </w:p>
        </w:tc>
        <w:tc>
          <w:tcPr>
            <w:tcW w:w="2825"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30</w:t>
            </w:r>
          </w:p>
        </w:tc>
        <w:tc>
          <w:tcPr>
            <w:tcW w:w="290" w:type="dxa"/>
            <w:tcBorders/>
            <w:shd w:fill="FFFFFF" w:val="clear"/>
            <w:vAlign w:val="center"/>
          </w:tcPr>
          <w:p>
            <w:pPr>
              <w:pStyle w:val="TableContents"/>
              <w:bidi w:val="0"/>
              <w:spacing w:before="0" w:after="283"/>
              <w:jc w:val="left"/>
              <w:rPr/>
            </w:pPr>
            <w:r>
              <w:rPr/>
              <w:t> </w:t>
            </w:r>
          </w:p>
        </w:tc>
        <w:tc>
          <w:tcPr>
            <w:tcW w:w="2825" w:type="dxa"/>
            <w:tcBorders/>
            <w:shd w:fill="FFFFFF" w:val="clear"/>
            <w:vAlign w:val="center"/>
          </w:tcPr>
          <w:p>
            <w:pPr>
              <w:pStyle w:val="TableContents"/>
              <w:bidi w:val="0"/>
              <w:spacing w:before="0" w:after="283"/>
              <w:jc w:val="left"/>
              <w:rPr/>
            </w:pPr>
            <w:r>
              <w:rPr/>
              <w:t>Landlord Termination Option</w:t>
            </w:r>
          </w:p>
        </w:tc>
        <w:tc>
          <w:tcPr>
            <w:tcW w:w="275" w:type="dxa"/>
            <w:tcBorders/>
            <w:shd w:fill="FFFFFF" w:val="clear"/>
            <w:vAlign w:val="center"/>
          </w:tcPr>
          <w:p>
            <w:pPr>
              <w:pStyle w:val="TableContents"/>
              <w:bidi w:val="0"/>
              <w:spacing w:before="0" w:after="283"/>
              <w:jc w:val="right"/>
              <w:rPr/>
            </w:pPr>
            <w:r>
              <w:rPr/>
              <w:t>26</w:t>
            </w:r>
          </w:p>
        </w:tc>
      </w:tr>
      <w:tr>
        <w:trPr/>
        <w:tc>
          <w:tcPr>
            <w:tcW w:w="335" w:type="dxa"/>
            <w:tcBorders/>
            <w:shd w:fill="EEEEEE" w:val="clear"/>
            <w:vAlign w:val="center"/>
          </w:tcPr>
          <w:p>
            <w:pPr>
              <w:pStyle w:val="TableContents"/>
              <w:bidi w:val="0"/>
              <w:spacing w:before="0" w:after="283"/>
              <w:jc w:val="left"/>
              <w:rPr/>
            </w:pPr>
            <w:r>
              <w:rPr/>
              <w:t> </w:t>
            </w:r>
          </w:p>
        </w:tc>
        <w:tc>
          <w:tcPr>
            <w:tcW w:w="290" w:type="dxa"/>
            <w:tcBorders/>
            <w:shd w:fill="EEEEEE" w:val="clear"/>
            <w:vAlign w:val="center"/>
          </w:tcPr>
          <w:p>
            <w:pPr>
              <w:pStyle w:val="TableContents"/>
              <w:bidi w:val="0"/>
              <w:spacing w:before="0" w:after="283"/>
              <w:jc w:val="left"/>
              <w:rPr/>
            </w:pPr>
            <w:r>
              <w:rPr/>
              <w:t> </w:t>
            </w:r>
          </w:p>
        </w:tc>
        <w:tc>
          <w:tcPr>
            <w:tcW w:w="2825"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31.</w:t>
            </w:r>
          </w:p>
        </w:tc>
        <w:tc>
          <w:tcPr>
            <w:tcW w:w="290" w:type="dxa"/>
            <w:tcBorders/>
            <w:shd w:fill="FFFFFF" w:val="clear"/>
            <w:vAlign w:val="center"/>
          </w:tcPr>
          <w:p>
            <w:pPr>
              <w:pStyle w:val="TableContents"/>
              <w:bidi w:val="0"/>
              <w:spacing w:before="0" w:after="283"/>
              <w:jc w:val="left"/>
              <w:rPr/>
            </w:pPr>
            <w:r>
              <w:rPr/>
              <w:t> </w:t>
            </w:r>
          </w:p>
        </w:tc>
        <w:tc>
          <w:tcPr>
            <w:tcW w:w="2825" w:type="dxa"/>
            <w:tcBorders/>
            <w:shd w:fill="FFFFFF" w:val="clear"/>
            <w:vAlign w:val="center"/>
          </w:tcPr>
          <w:p>
            <w:pPr>
              <w:pStyle w:val="TableContents"/>
              <w:bidi w:val="0"/>
              <w:spacing w:before="0" w:after="283"/>
              <w:jc w:val="left"/>
              <w:rPr/>
            </w:pPr>
            <w:r>
              <w:rPr/>
              <w:t>Tenant Termination Option</w:t>
            </w:r>
          </w:p>
        </w:tc>
        <w:tc>
          <w:tcPr>
            <w:tcW w:w="275" w:type="dxa"/>
            <w:tcBorders/>
            <w:shd w:fill="FFFFFF" w:val="clear"/>
            <w:vAlign w:val="center"/>
          </w:tcPr>
          <w:p>
            <w:pPr>
              <w:pStyle w:val="TableContents"/>
              <w:bidi w:val="0"/>
              <w:spacing w:before="0" w:after="283"/>
              <w:jc w:val="right"/>
              <w:rPr/>
            </w:pPr>
            <w:r>
              <w:rPr/>
              <w:t>26</w:t>
            </w:r>
          </w:p>
        </w:tc>
      </w:tr>
      <w:tr>
        <w:trPr/>
        <w:tc>
          <w:tcPr>
            <w:tcW w:w="335" w:type="dxa"/>
            <w:tcBorders/>
            <w:shd w:fill="EEEEEE" w:val="clear"/>
            <w:vAlign w:val="center"/>
          </w:tcPr>
          <w:p>
            <w:pPr>
              <w:pStyle w:val="TableContents"/>
              <w:bidi w:val="0"/>
              <w:spacing w:before="0" w:after="283"/>
              <w:jc w:val="left"/>
              <w:rPr/>
            </w:pPr>
            <w:r>
              <w:rPr/>
              <w:t> </w:t>
            </w:r>
          </w:p>
        </w:tc>
        <w:tc>
          <w:tcPr>
            <w:tcW w:w="290" w:type="dxa"/>
            <w:tcBorders/>
            <w:shd w:fill="EEEEEE" w:val="clear"/>
            <w:vAlign w:val="center"/>
          </w:tcPr>
          <w:p>
            <w:pPr>
              <w:pStyle w:val="TableContents"/>
              <w:bidi w:val="0"/>
              <w:spacing w:before="0" w:after="283"/>
              <w:jc w:val="left"/>
              <w:rPr/>
            </w:pPr>
            <w:r>
              <w:rPr/>
              <w:t> </w:t>
            </w:r>
          </w:p>
        </w:tc>
        <w:tc>
          <w:tcPr>
            <w:tcW w:w="2825"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335" w:type="dxa"/>
            <w:tcBorders/>
            <w:shd w:fill="FFFFFF" w:val="clear"/>
            <w:vAlign w:val="center"/>
          </w:tcPr>
          <w:p>
            <w:pPr>
              <w:pStyle w:val="TableContents"/>
              <w:bidi w:val="0"/>
              <w:spacing w:before="0" w:after="283"/>
              <w:jc w:val="left"/>
              <w:rPr>
                <w:b/>
              </w:rPr>
            </w:pPr>
            <w:r>
              <w:rPr>
                <w:b/>
              </w:rPr>
              <w:t>32.</w:t>
            </w:r>
          </w:p>
        </w:tc>
        <w:tc>
          <w:tcPr>
            <w:tcW w:w="290" w:type="dxa"/>
            <w:tcBorders/>
            <w:shd w:fill="FFFFFF" w:val="clear"/>
            <w:vAlign w:val="center"/>
          </w:tcPr>
          <w:p>
            <w:pPr>
              <w:pStyle w:val="TableContents"/>
              <w:bidi w:val="0"/>
              <w:spacing w:before="0" w:after="283"/>
              <w:jc w:val="left"/>
              <w:rPr/>
            </w:pPr>
            <w:r>
              <w:rPr/>
              <w:t> </w:t>
            </w:r>
          </w:p>
        </w:tc>
        <w:tc>
          <w:tcPr>
            <w:tcW w:w="2825" w:type="dxa"/>
            <w:tcBorders/>
            <w:shd w:fill="FFFFFF" w:val="clear"/>
            <w:vAlign w:val="center"/>
          </w:tcPr>
          <w:p>
            <w:pPr>
              <w:pStyle w:val="TableContents"/>
              <w:bidi w:val="0"/>
              <w:spacing w:before="0" w:after="283"/>
              <w:jc w:val="left"/>
              <w:rPr/>
            </w:pPr>
            <w:r>
              <w:rPr/>
              <w:t>Solar Panels</w:t>
            </w:r>
          </w:p>
        </w:tc>
        <w:tc>
          <w:tcPr>
            <w:tcW w:w="275" w:type="dxa"/>
            <w:tcBorders/>
            <w:shd w:fill="FFFFFF" w:val="clear"/>
            <w:vAlign w:val="center"/>
          </w:tcPr>
          <w:p>
            <w:pPr>
              <w:pStyle w:val="TableContents"/>
              <w:bidi w:val="0"/>
              <w:spacing w:before="0" w:after="283"/>
              <w:jc w:val="right"/>
              <w:rPr/>
            </w:pPr>
            <w:r>
              <w:rPr/>
              <w:t>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vi</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LIST OF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3395"/>
        <w:gridCol w:w="950"/>
      </w:tblGrid>
      <w:tr>
        <w:trPr/>
        <w:tc>
          <w:tcPr>
            <w:tcW w:w="3395"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b/>
              </w:rPr>
            </w:pPr>
            <w:r>
              <w:rPr>
                <w:b/>
              </w:rPr>
              <w:t>Page No.</w:t>
            </w:r>
          </w:p>
        </w:tc>
      </w:tr>
      <w:tr>
        <w:trPr/>
        <w:tc>
          <w:tcPr>
            <w:tcW w:w="339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r>
      <w:tr>
        <w:trPr/>
        <w:tc>
          <w:tcPr>
            <w:tcW w:w="3395" w:type="dxa"/>
            <w:tcBorders/>
            <w:shd w:fill="EEEEEE" w:val="clear"/>
            <w:vAlign w:val="center"/>
          </w:tcPr>
          <w:p>
            <w:pPr>
              <w:pStyle w:val="TableContents"/>
              <w:bidi w:val="0"/>
              <w:spacing w:before="0" w:after="283"/>
              <w:jc w:val="left"/>
              <w:rPr/>
            </w:pPr>
            <w:r>
              <w:rPr/>
              <w:t>Additional Rent</w:t>
            </w:r>
          </w:p>
        </w:tc>
        <w:tc>
          <w:tcPr>
            <w:tcW w:w="950" w:type="dxa"/>
            <w:tcBorders/>
            <w:shd w:fill="EEEEEE" w:val="clear"/>
            <w:vAlign w:val="center"/>
          </w:tcPr>
          <w:p>
            <w:pPr>
              <w:pStyle w:val="TableContents"/>
              <w:bidi w:val="0"/>
              <w:spacing w:before="0" w:after="283"/>
              <w:jc w:val="right"/>
              <w:rPr/>
            </w:pPr>
            <w:r>
              <w:rPr/>
              <w:t>ii</w:t>
            </w:r>
          </w:p>
        </w:tc>
      </w:tr>
      <w:tr>
        <w:trPr/>
        <w:tc>
          <w:tcPr>
            <w:tcW w:w="3395" w:type="dxa"/>
            <w:tcBorders/>
            <w:shd w:fill="FFFFFF" w:val="clear"/>
            <w:vAlign w:val="center"/>
          </w:tcPr>
          <w:p>
            <w:pPr>
              <w:pStyle w:val="TableContents"/>
              <w:bidi w:val="0"/>
              <w:spacing w:before="0" w:after="283"/>
              <w:jc w:val="left"/>
              <w:rPr/>
            </w:pPr>
            <w:r>
              <w:rPr/>
              <w:t>Affiliate</w:t>
            </w:r>
          </w:p>
        </w:tc>
        <w:tc>
          <w:tcPr>
            <w:tcW w:w="950" w:type="dxa"/>
            <w:tcBorders/>
            <w:shd w:fill="FFFFFF" w:val="clear"/>
            <w:vAlign w:val="center"/>
          </w:tcPr>
          <w:p>
            <w:pPr>
              <w:pStyle w:val="TableContents"/>
              <w:bidi w:val="0"/>
              <w:spacing w:before="0" w:after="283"/>
              <w:jc w:val="right"/>
              <w:rPr/>
            </w:pPr>
            <w:r>
              <w:rPr/>
              <w:t>1</w:t>
            </w:r>
          </w:p>
        </w:tc>
      </w:tr>
      <w:tr>
        <w:trPr/>
        <w:tc>
          <w:tcPr>
            <w:tcW w:w="3395" w:type="dxa"/>
            <w:tcBorders/>
            <w:shd w:fill="EEEEEE" w:val="clear"/>
            <w:vAlign w:val="center"/>
          </w:tcPr>
          <w:p>
            <w:pPr>
              <w:pStyle w:val="TableContents"/>
              <w:bidi w:val="0"/>
              <w:spacing w:before="0" w:after="283"/>
              <w:jc w:val="left"/>
              <w:rPr/>
            </w:pPr>
            <w:r>
              <w:rPr/>
              <w:t>Basic Lease Information</w:t>
            </w:r>
          </w:p>
        </w:tc>
        <w:tc>
          <w:tcPr>
            <w:tcW w:w="950" w:type="dxa"/>
            <w:tcBorders/>
            <w:shd w:fill="EEEEEE" w:val="clear"/>
            <w:vAlign w:val="center"/>
          </w:tcPr>
          <w:p>
            <w:pPr>
              <w:pStyle w:val="TableContents"/>
              <w:bidi w:val="0"/>
              <w:spacing w:before="0" w:after="283"/>
              <w:jc w:val="right"/>
              <w:rPr/>
            </w:pPr>
            <w:r>
              <w:rPr/>
              <w:t>1</w:t>
            </w:r>
          </w:p>
        </w:tc>
      </w:tr>
      <w:tr>
        <w:trPr/>
        <w:tc>
          <w:tcPr>
            <w:tcW w:w="3395" w:type="dxa"/>
            <w:tcBorders/>
            <w:shd w:fill="FFFFFF" w:val="clear"/>
            <w:vAlign w:val="center"/>
          </w:tcPr>
          <w:p>
            <w:pPr>
              <w:pStyle w:val="TableContents"/>
              <w:bidi w:val="0"/>
              <w:spacing w:before="0" w:after="283"/>
              <w:jc w:val="left"/>
              <w:rPr/>
            </w:pPr>
            <w:r>
              <w:rPr/>
              <w:t>Basic Rent</w:t>
            </w:r>
          </w:p>
        </w:tc>
        <w:tc>
          <w:tcPr>
            <w:tcW w:w="950" w:type="dxa"/>
            <w:tcBorders/>
            <w:shd w:fill="FFFFFF" w:val="clear"/>
            <w:vAlign w:val="center"/>
          </w:tcPr>
          <w:p>
            <w:pPr>
              <w:pStyle w:val="TableContents"/>
              <w:bidi w:val="0"/>
              <w:spacing w:before="0" w:after="283"/>
              <w:jc w:val="right"/>
              <w:rPr/>
            </w:pPr>
            <w:r>
              <w:rPr/>
              <w:t>i</w:t>
            </w:r>
          </w:p>
        </w:tc>
      </w:tr>
      <w:tr>
        <w:trPr/>
        <w:tc>
          <w:tcPr>
            <w:tcW w:w="3395" w:type="dxa"/>
            <w:tcBorders/>
            <w:shd w:fill="EEEEEE" w:val="clear"/>
            <w:vAlign w:val="center"/>
          </w:tcPr>
          <w:p>
            <w:pPr>
              <w:pStyle w:val="TableContents"/>
              <w:bidi w:val="0"/>
              <w:spacing w:before="0" w:after="283"/>
              <w:jc w:val="left"/>
              <w:rPr/>
            </w:pPr>
            <w:r>
              <w:rPr/>
              <w:t>Building</w:t>
            </w:r>
          </w:p>
        </w:tc>
        <w:tc>
          <w:tcPr>
            <w:tcW w:w="950" w:type="dxa"/>
            <w:tcBorders/>
            <w:shd w:fill="EEEEEE" w:val="clear"/>
            <w:vAlign w:val="center"/>
          </w:tcPr>
          <w:p>
            <w:pPr>
              <w:pStyle w:val="TableContents"/>
              <w:bidi w:val="0"/>
              <w:spacing w:before="0" w:after="283"/>
              <w:jc w:val="right"/>
              <w:rPr/>
            </w:pPr>
            <w:r>
              <w:rPr/>
              <w:t>i</w:t>
            </w:r>
          </w:p>
        </w:tc>
      </w:tr>
      <w:tr>
        <w:trPr/>
        <w:tc>
          <w:tcPr>
            <w:tcW w:w="3395" w:type="dxa"/>
            <w:tcBorders/>
            <w:shd w:fill="FFFFFF" w:val="clear"/>
            <w:vAlign w:val="center"/>
          </w:tcPr>
          <w:p>
            <w:pPr>
              <w:pStyle w:val="TableContents"/>
              <w:bidi w:val="0"/>
              <w:spacing w:before="0" w:after="283"/>
              <w:jc w:val="left"/>
              <w:rPr/>
            </w:pPr>
            <w:r>
              <w:rPr/>
              <w:t>Building’s Structure</w:t>
            </w:r>
          </w:p>
        </w:tc>
        <w:tc>
          <w:tcPr>
            <w:tcW w:w="950" w:type="dxa"/>
            <w:tcBorders/>
            <w:shd w:fill="FFFFFF" w:val="clear"/>
            <w:vAlign w:val="center"/>
          </w:tcPr>
          <w:p>
            <w:pPr>
              <w:pStyle w:val="TableContents"/>
              <w:bidi w:val="0"/>
              <w:spacing w:before="0" w:after="283"/>
              <w:jc w:val="right"/>
              <w:rPr/>
            </w:pPr>
            <w:r>
              <w:rPr/>
              <w:t>1</w:t>
            </w:r>
          </w:p>
        </w:tc>
      </w:tr>
      <w:tr>
        <w:trPr/>
        <w:tc>
          <w:tcPr>
            <w:tcW w:w="3395" w:type="dxa"/>
            <w:tcBorders/>
            <w:shd w:fill="EEEEEE" w:val="clear"/>
            <w:vAlign w:val="center"/>
          </w:tcPr>
          <w:p>
            <w:pPr>
              <w:pStyle w:val="TableContents"/>
              <w:bidi w:val="0"/>
              <w:spacing w:before="0" w:after="283"/>
              <w:jc w:val="left"/>
              <w:rPr/>
            </w:pPr>
            <w:r>
              <w:rPr/>
              <w:t>Building’s Systems</w:t>
            </w:r>
          </w:p>
        </w:tc>
        <w:tc>
          <w:tcPr>
            <w:tcW w:w="950" w:type="dxa"/>
            <w:tcBorders/>
            <w:shd w:fill="EEEEEE" w:val="clear"/>
            <w:vAlign w:val="center"/>
          </w:tcPr>
          <w:p>
            <w:pPr>
              <w:pStyle w:val="TableContents"/>
              <w:bidi w:val="0"/>
              <w:spacing w:before="0" w:after="283"/>
              <w:jc w:val="right"/>
              <w:rPr/>
            </w:pPr>
            <w:r>
              <w:rPr/>
              <w:t>1</w:t>
            </w:r>
          </w:p>
        </w:tc>
      </w:tr>
      <w:tr>
        <w:trPr/>
        <w:tc>
          <w:tcPr>
            <w:tcW w:w="3395" w:type="dxa"/>
            <w:tcBorders/>
            <w:shd w:fill="FFFFFF" w:val="clear"/>
            <w:vAlign w:val="center"/>
          </w:tcPr>
          <w:p>
            <w:pPr>
              <w:pStyle w:val="TableContents"/>
              <w:bidi w:val="0"/>
              <w:spacing w:before="0" w:after="283"/>
              <w:jc w:val="left"/>
              <w:rPr/>
            </w:pPr>
            <w:r>
              <w:rPr/>
              <w:t>Casualty</w:t>
            </w:r>
          </w:p>
        </w:tc>
        <w:tc>
          <w:tcPr>
            <w:tcW w:w="950" w:type="dxa"/>
            <w:tcBorders/>
            <w:shd w:fill="FFFFFF" w:val="clear"/>
            <w:vAlign w:val="center"/>
          </w:tcPr>
          <w:p>
            <w:pPr>
              <w:pStyle w:val="TableContents"/>
              <w:bidi w:val="0"/>
              <w:spacing w:before="0" w:after="283"/>
              <w:jc w:val="right"/>
              <w:rPr/>
            </w:pPr>
            <w:r>
              <w:rPr/>
              <w:t>15</w:t>
            </w:r>
          </w:p>
        </w:tc>
      </w:tr>
      <w:tr>
        <w:trPr/>
        <w:tc>
          <w:tcPr>
            <w:tcW w:w="3395" w:type="dxa"/>
            <w:tcBorders/>
            <w:shd w:fill="EEEEEE" w:val="clear"/>
            <w:vAlign w:val="center"/>
          </w:tcPr>
          <w:p>
            <w:pPr>
              <w:pStyle w:val="TableContents"/>
              <w:bidi w:val="0"/>
              <w:spacing w:before="0" w:after="283"/>
              <w:jc w:val="left"/>
              <w:rPr/>
            </w:pPr>
            <w:r>
              <w:rPr/>
              <w:t>Code Modification</w:t>
            </w:r>
          </w:p>
        </w:tc>
        <w:tc>
          <w:tcPr>
            <w:tcW w:w="950" w:type="dxa"/>
            <w:tcBorders/>
            <w:shd w:fill="EEEEEE" w:val="clear"/>
            <w:vAlign w:val="center"/>
          </w:tcPr>
          <w:p>
            <w:pPr>
              <w:pStyle w:val="TableContents"/>
              <w:bidi w:val="0"/>
              <w:spacing w:before="0" w:after="283"/>
              <w:jc w:val="right"/>
              <w:rPr/>
            </w:pPr>
            <w:r>
              <w:rPr/>
              <w:t>8</w:t>
            </w:r>
          </w:p>
        </w:tc>
      </w:tr>
      <w:tr>
        <w:trPr/>
        <w:tc>
          <w:tcPr>
            <w:tcW w:w="3395" w:type="dxa"/>
            <w:tcBorders/>
            <w:shd w:fill="FFFFFF" w:val="clear"/>
            <w:vAlign w:val="center"/>
          </w:tcPr>
          <w:p>
            <w:pPr>
              <w:pStyle w:val="TableContents"/>
              <w:bidi w:val="0"/>
              <w:spacing w:before="0" w:after="283"/>
              <w:jc w:val="left"/>
              <w:rPr/>
            </w:pPr>
            <w:r>
              <w:rPr/>
              <w:t>Collateral</w:t>
            </w:r>
          </w:p>
        </w:tc>
        <w:tc>
          <w:tcPr>
            <w:tcW w:w="950" w:type="dxa"/>
            <w:tcBorders/>
            <w:shd w:fill="FFFFFF" w:val="clear"/>
            <w:vAlign w:val="center"/>
          </w:tcPr>
          <w:p>
            <w:pPr>
              <w:pStyle w:val="TableContents"/>
              <w:bidi w:val="0"/>
              <w:spacing w:before="0" w:after="283"/>
              <w:jc w:val="right"/>
              <w:rPr/>
            </w:pPr>
            <w:r>
              <w:rPr/>
              <w:t>22</w:t>
            </w:r>
          </w:p>
        </w:tc>
      </w:tr>
      <w:tr>
        <w:trPr/>
        <w:tc>
          <w:tcPr>
            <w:tcW w:w="3395" w:type="dxa"/>
            <w:tcBorders/>
            <w:shd w:fill="EEEEEE" w:val="clear"/>
            <w:vAlign w:val="center"/>
          </w:tcPr>
          <w:p>
            <w:pPr>
              <w:pStyle w:val="TableContents"/>
              <w:bidi w:val="0"/>
              <w:spacing w:before="0" w:after="283"/>
              <w:jc w:val="left"/>
              <w:rPr/>
            </w:pPr>
            <w:r>
              <w:rPr/>
              <w:t>Commencement Date</w:t>
            </w:r>
          </w:p>
        </w:tc>
        <w:tc>
          <w:tcPr>
            <w:tcW w:w="950" w:type="dxa"/>
            <w:tcBorders/>
            <w:shd w:fill="EEEEEE" w:val="clear"/>
            <w:vAlign w:val="center"/>
          </w:tcPr>
          <w:p>
            <w:pPr>
              <w:pStyle w:val="TableContents"/>
              <w:bidi w:val="0"/>
              <w:spacing w:before="0" w:after="283"/>
              <w:jc w:val="right"/>
              <w:rPr/>
            </w:pPr>
            <w:r>
              <w:rPr/>
              <w:t>i</w:t>
            </w:r>
          </w:p>
        </w:tc>
      </w:tr>
      <w:tr>
        <w:trPr/>
        <w:tc>
          <w:tcPr>
            <w:tcW w:w="3395" w:type="dxa"/>
            <w:tcBorders/>
            <w:shd w:fill="FFFFFF" w:val="clear"/>
            <w:vAlign w:val="center"/>
          </w:tcPr>
          <w:p>
            <w:pPr>
              <w:pStyle w:val="TableContents"/>
              <w:bidi w:val="0"/>
              <w:spacing w:before="0" w:after="283"/>
              <w:jc w:val="left"/>
              <w:rPr/>
            </w:pPr>
            <w:r>
              <w:rPr/>
              <w:t>Complex</w:t>
            </w:r>
          </w:p>
        </w:tc>
        <w:tc>
          <w:tcPr>
            <w:tcW w:w="950" w:type="dxa"/>
            <w:tcBorders/>
            <w:shd w:fill="FFFFFF" w:val="clear"/>
            <w:vAlign w:val="center"/>
          </w:tcPr>
          <w:p>
            <w:pPr>
              <w:pStyle w:val="TableContents"/>
              <w:bidi w:val="0"/>
              <w:spacing w:before="0" w:after="283"/>
              <w:jc w:val="right"/>
              <w:rPr/>
            </w:pPr>
            <w:r>
              <w:rPr/>
              <w:t>3</w:t>
            </w:r>
          </w:p>
        </w:tc>
      </w:tr>
      <w:tr>
        <w:trPr/>
        <w:tc>
          <w:tcPr>
            <w:tcW w:w="3395" w:type="dxa"/>
            <w:tcBorders/>
            <w:shd w:fill="EEEEEE" w:val="clear"/>
            <w:vAlign w:val="center"/>
          </w:tcPr>
          <w:p>
            <w:pPr>
              <w:pStyle w:val="TableContents"/>
              <w:bidi w:val="0"/>
              <w:spacing w:before="0" w:after="283"/>
              <w:jc w:val="left"/>
              <w:rPr/>
            </w:pPr>
            <w:r>
              <w:rPr/>
              <w:t>Damage Notice</w:t>
            </w:r>
          </w:p>
        </w:tc>
        <w:tc>
          <w:tcPr>
            <w:tcW w:w="950" w:type="dxa"/>
            <w:tcBorders/>
            <w:shd w:fill="EEEEEE" w:val="clear"/>
            <w:vAlign w:val="center"/>
          </w:tcPr>
          <w:p>
            <w:pPr>
              <w:pStyle w:val="TableContents"/>
              <w:bidi w:val="0"/>
              <w:spacing w:before="0" w:after="283"/>
              <w:jc w:val="right"/>
              <w:rPr/>
            </w:pPr>
            <w:r>
              <w:rPr/>
              <w:t>15</w:t>
            </w:r>
          </w:p>
        </w:tc>
      </w:tr>
      <w:tr>
        <w:trPr/>
        <w:tc>
          <w:tcPr>
            <w:tcW w:w="3395" w:type="dxa"/>
            <w:tcBorders/>
            <w:shd w:fill="FFFFFF" w:val="clear"/>
            <w:vAlign w:val="center"/>
          </w:tcPr>
          <w:p>
            <w:pPr>
              <w:pStyle w:val="TableContents"/>
              <w:bidi w:val="0"/>
              <w:spacing w:before="0" w:after="283"/>
              <w:jc w:val="left"/>
              <w:rPr/>
            </w:pPr>
            <w:r>
              <w:rPr/>
              <w:t>Default Rate</w:t>
            </w:r>
          </w:p>
        </w:tc>
        <w:tc>
          <w:tcPr>
            <w:tcW w:w="950" w:type="dxa"/>
            <w:tcBorders/>
            <w:shd w:fill="FFFFFF" w:val="clear"/>
            <w:vAlign w:val="center"/>
          </w:tcPr>
          <w:p>
            <w:pPr>
              <w:pStyle w:val="TableContents"/>
              <w:bidi w:val="0"/>
              <w:spacing w:before="0" w:after="283"/>
              <w:jc w:val="right"/>
              <w:rPr/>
            </w:pPr>
            <w:r>
              <w:rPr/>
              <w:t>5</w:t>
            </w:r>
          </w:p>
        </w:tc>
      </w:tr>
      <w:tr>
        <w:trPr/>
        <w:tc>
          <w:tcPr>
            <w:tcW w:w="3395" w:type="dxa"/>
            <w:tcBorders/>
            <w:shd w:fill="EEEEEE" w:val="clear"/>
            <w:vAlign w:val="center"/>
          </w:tcPr>
          <w:p>
            <w:pPr>
              <w:pStyle w:val="TableContents"/>
              <w:bidi w:val="0"/>
              <w:spacing w:before="0" w:after="283"/>
              <w:jc w:val="left"/>
              <w:rPr/>
            </w:pPr>
            <w:r>
              <w:rPr/>
              <w:t>Environmental Requirements</w:t>
            </w:r>
          </w:p>
        </w:tc>
        <w:tc>
          <w:tcPr>
            <w:tcW w:w="950" w:type="dxa"/>
            <w:tcBorders/>
            <w:shd w:fill="EEEEEE" w:val="clear"/>
            <w:vAlign w:val="center"/>
          </w:tcPr>
          <w:p>
            <w:pPr>
              <w:pStyle w:val="TableContents"/>
              <w:bidi w:val="0"/>
              <w:spacing w:before="0" w:after="283"/>
              <w:jc w:val="right"/>
              <w:rPr/>
            </w:pPr>
            <w:r>
              <w:rPr/>
              <w:t>24</w:t>
            </w:r>
          </w:p>
        </w:tc>
      </w:tr>
      <w:tr>
        <w:trPr/>
        <w:tc>
          <w:tcPr>
            <w:tcW w:w="3395" w:type="dxa"/>
            <w:tcBorders/>
            <w:shd w:fill="FFFFFF" w:val="clear"/>
            <w:vAlign w:val="center"/>
          </w:tcPr>
          <w:p>
            <w:pPr>
              <w:pStyle w:val="TableContents"/>
              <w:bidi w:val="0"/>
              <w:spacing w:before="0" w:after="283"/>
              <w:jc w:val="left"/>
              <w:rPr/>
            </w:pPr>
            <w:r>
              <w:rPr/>
              <w:t>Estimated Delivery Date</w:t>
            </w:r>
          </w:p>
        </w:tc>
        <w:tc>
          <w:tcPr>
            <w:tcW w:w="950" w:type="dxa"/>
            <w:tcBorders/>
            <w:shd w:fill="FFFFFF" w:val="clear"/>
            <w:vAlign w:val="center"/>
          </w:tcPr>
          <w:p>
            <w:pPr>
              <w:pStyle w:val="TableContents"/>
              <w:bidi w:val="0"/>
              <w:spacing w:before="0" w:after="283"/>
              <w:jc w:val="right"/>
              <w:rPr/>
            </w:pPr>
            <w:r>
              <w:rPr/>
              <w:t>1</w:t>
            </w:r>
          </w:p>
        </w:tc>
      </w:tr>
      <w:tr>
        <w:trPr/>
        <w:tc>
          <w:tcPr>
            <w:tcW w:w="3395" w:type="dxa"/>
            <w:tcBorders/>
            <w:shd w:fill="EEEEEE" w:val="clear"/>
            <w:vAlign w:val="center"/>
          </w:tcPr>
          <w:p>
            <w:pPr>
              <w:pStyle w:val="TableContents"/>
              <w:bidi w:val="0"/>
              <w:spacing w:before="0" w:after="283"/>
              <w:jc w:val="left"/>
              <w:rPr/>
            </w:pPr>
            <w:r>
              <w:rPr/>
              <w:t>Event of Default</w:t>
            </w:r>
          </w:p>
        </w:tc>
        <w:tc>
          <w:tcPr>
            <w:tcW w:w="950" w:type="dxa"/>
            <w:tcBorders/>
            <w:shd w:fill="EEEEEE" w:val="clear"/>
            <w:vAlign w:val="center"/>
          </w:tcPr>
          <w:p>
            <w:pPr>
              <w:pStyle w:val="TableContents"/>
              <w:bidi w:val="0"/>
              <w:spacing w:before="0" w:after="283"/>
              <w:jc w:val="right"/>
              <w:rPr/>
            </w:pPr>
            <w:r>
              <w:rPr/>
              <w:t>16</w:t>
            </w:r>
          </w:p>
        </w:tc>
      </w:tr>
      <w:tr>
        <w:trPr/>
        <w:tc>
          <w:tcPr>
            <w:tcW w:w="3395" w:type="dxa"/>
            <w:tcBorders/>
            <w:shd w:fill="FFFFFF" w:val="clear"/>
            <w:vAlign w:val="center"/>
          </w:tcPr>
          <w:p>
            <w:pPr>
              <w:pStyle w:val="TableContents"/>
              <w:bidi w:val="0"/>
              <w:spacing w:before="0" w:after="283"/>
              <w:jc w:val="left"/>
              <w:rPr/>
            </w:pPr>
            <w:r>
              <w:rPr/>
              <w:t>GAAP</w:t>
            </w:r>
          </w:p>
        </w:tc>
        <w:tc>
          <w:tcPr>
            <w:tcW w:w="950" w:type="dxa"/>
            <w:tcBorders/>
            <w:shd w:fill="FFFFFF" w:val="clear"/>
            <w:vAlign w:val="center"/>
          </w:tcPr>
          <w:p>
            <w:pPr>
              <w:pStyle w:val="TableContents"/>
              <w:bidi w:val="0"/>
              <w:spacing w:before="0" w:after="283"/>
              <w:jc w:val="right"/>
              <w:rPr/>
            </w:pPr>
            <w:r>
              <w:rPr/>
              <w:t>11</w:t>
            </w:r>
          </w:p>
        </w:tc>
      </w:tr>
      <w:tr>
        <w:trPr/>
        <w:tc>
          <w:tcPr>
            <w:tcW w:w="3395" w:type="dxa"/>
            <w:tcBorders/>
            <w:shd w:fill="EEEEEE" w:val="clear"/>
            <w:vAlign w:val="center"/>
          </w:tcPr>
          <w:p>
            <w:pPr>
              <w:pStyle w:val="TableContents"/>
              <w:bidi w:val="0"/>
              <w:spacing w:before="0" w:after="283"/>
              <w:jc w:val="left"/>
              <w:rPr/>
            </w:pPr>
            <w:r>
              <w:rPr/>
              <w:t>Governmental Requirements</w:t>
            </w:r>
          </w:p>
        </w:tc>
        <w:tc>
          <w:tcPr>
            <w:tcW w:w="950" w:type="dxa"/>
            <w:tcBorders/>
            <w:shd w:fill="EEEEEE" w:val="clear"/>
            <w:vAlign w:val="center"/>
          </w:tcPr>
          <w:p>
            <w:pPr>
              <w:pStyle w:val="TableContents"/>
              <w:bidi w:val="0"/>
              <w:spacing w:before="0" w:after="283"/>
              <w:jc w:val="right"/>
              <w:rPr/>
            </w:pPr>
            <w:r>
              <w:rPr/>
              <w:t>8</w:t>
            </w:r>
          </w:p>
        </w:tc>
      </w:tr>
      <w:tr>
        <w:trPr/>
        <w:tc>
          <w:tcPr>
            <w:tcW w:w="3395" w:type="dxa"/>
            <w:tcBorders/>
            <w:shd w:fill="FFFFFF" w:val="clear"/>
            <w:vAlign w:val="center"/>
          </w:tcPr>
          <w:p>
            <w:pPr>
              <w:pStyle w:val="TableContents"/>
              <w:bidi w:val="0"/>
              <w:spacing w:before="0" w:after="283"/>
              <w:jc w:val="left"/>
              <w:rPr/>
            </w:pPr>
            <w:r>
              <w:rPr/>
              <w:t>Hazardous Materials</w:t>
            </w:r>
          </w:p>
        </w:tc>
        <w:tc>
          <w:tcPr>
            <w:tcW w:w="950" w:type="dxa"/>
            <w:tcBorders/>
            <w:shd w:fill="FFFFFF" w:val="clear"/>
            <w:vAlign w:val="center"/>
          </w:tcPr>
          <w:p>
            <w:pPr>
              <w:pStyle w:val="TableContents"/>
              <w:bidi w:val="0"/>
              <w:spacing w:before="0" w:after="283"/>
              <w:jc w:val="right"/>
              <w:rPr/>
            </w:pPr>
            <w:r>
              <w:rPr/>
              <w:t>24</w:t>
            </w:r>
          </w:p>
        </w:tc>
      </w:tr>
      <w:tr>
        <w:trPr/>
        <w:tc>
          <w:tcPr>
            <w:tcW w:w="3395" w:type="dxa"/>
            <w:tcBorders/>
            <w:shd w:fill="EEEEEE" w:val="clear"/>
            <w:vAlign w:val="center"/>
          </w:tcPr>
          <w:p>
            <w:pPr>
              <w:pStyle w:val="TableContents"/>
              <w:bidi w:val="0"/>
              <w:spacing w:before="0" w:after="283"/>
              <w:jc w:val="left"/>
              <w:rPr/>
            </w:pPr>
            <w:r>
              <w:rPr/>
              <w:t>including</w:t>
            </w:r>
          </w:p>
        </w:tc>
        <w:tc>
          <w:tcPr>
            <w:tcW w:w="950" w:type="dxa"/>
            <w:tcBorders/>
            <w:shd w:fill="EEEEEE" w:val="clear"/>
            <w:vAlign w:val="center"/>
          </w:tcPr>
          <w:p>
            <w:pPr>
              <w:pStyle w:val="TableContents"/>
              <w:bidi w:val="0"/>
              <w:spacing w:before="0" w:after="283"/>
              <w:jc w:val="right"/>
              <w:rPr/>
            </w:pPr>
            <w:r>
              <w:rPr/>
              <w:t>1</w:t>
            </w:r>
          </w:p>
        </w:tc>
      </w:tr>
      <w:tr>
        <w:trPr/>
        <w:tc>
          <w:tcPr>
            <w:tcW w:w="3395" w:type="dxa"/>
            <w:tcBorders/>
            <w:shd w:fill="FFFFFF" w:val="clear"/>
            <w:vAlign w:val="center"/>
          </w:tcPr>
          <w:p>
            <w:pPr>
              <w:pStyle w:val="TableContents"/>
              <w:bidi w:val="0"/>
              <w:spacing w:before="0" w:after="283"/>
              <w:jc w:val="left"/>
              <w:rPr/>
            </w:pPr>
            <w:r>
              <w:rPr/>
              <w:t>Insurance Costs</w:t>
            </w:r>
          </w:p>
        </w:tc>
        <w:tc>
          <w:tcPr>
            <w:tcW w:w="950" w:type="dxa"/>
            <w:tcBorders/>
            <w:shd w:fill="FFFFFF" w:val="clear"/>
            <w:vAlign w:val="center"/>
          </w:tcPr>
          <w:p>
            <w:pPr>
              <w:pStyle w:val="TableContents"/>
              <w:bidi w:val="0"/>
              <w:spacing w:before="0" w:after="283"/>
              <w:jc w:val="right"/>
              <w:rPr/>
            </w:pPr>
            <w:r>
              <w:rPr/>
              <w:t>13</w:t>
            </w:r>
          </w:p>
        </w:tc>
      </w:tr>
      <w:tr>
        <w:trPr/>
        <w:tc>
          <w:tcPr>
            <w:tcW w:w="3395" w:type="dxa"/>
            <w:tcBorders/>
            <w:shd w:fill="EEEEEE" w:val="clear"/>
            <w:vAlign w:val="center"/>
          </w:tcPr>
          <w:p>
            <w:pPr>
              <w:pStyle w:val="TableContents"/>
              <w:bidi w:val="0"/>
              <w:spacing w:before="0" w:after="283"/>
              <w:jc w:val="left"/>
              <w:rPr/>
            </w:pPr>
            <w:r>
              <w:rPr/>
              <w:t>Land</w:t>
            </w:r>
          </w:p>
        </w:tc>
        <w:tc>
          <w:tcPr>
            <w:tcW w:w="950" w:type="dxa"/>
            <w:tcBorders/>
            <w:shd w:fill="EEEEEE" w:val="clear"/>
            <w:vAlign w:val="center"/>
          </w:tcPr>
          <w:p>
            <w:pPr>
              <w:pStyle w:val="TableContents"/>
              <w:bidi w:val="0"/>
              <w:spacing w:before="0" w:after="283"/>
              <w:jc w:val="right"/>
              <w:rPr/>
            </w:pPr>
            <w:r>
              <w:rPr/>
              <w:t>i</w:t>
            </w:r>
          </w:p>
        </w:tc>
      </w:tr>
      <w:tr>
        <w:trPr/>
        <w:tc>
          <w:tcPr>
            <w:tcW w:w="3395" w:type="dxa"/>
            <w:tcBorders/>
            <w:shd w:fill="FFFFFF" w:val="clear"/>
            <w:vAlign w:val="center"/>
          </w:tcPr>
          <w:p>
            <w:pPr>
              <w:pStyle w:val="TableContents"/>
              <w:bidi w:val="0"/>
              <w:spacing w:before="0" w:after="283"/>
              <w:jc w:val="left"/>
              <w:rPr/>
            </w:pPr>
            <w:r>
              <w:rPr/>
              <w:t>Landlord</w:t>
            </w:r>
          </w:p>
        </w:tc>
        <w:tc>
          <w:tcPr>
            <w:tcW w:w="950" w:type="dxa"/>
            <w:tcBorders/>
            <w:shd w:fill="FFFFFF" w:val="clear"/>
            <w:vAlign w:val="center"/>
          </w:tcPr>
          <w:p>
            <w:pPr>
              <w:pStyle w:val="TableContents"/>
              <w:bidi w:val="0"/>
              <w:spacing w:before="0" w:after="283"/>
              <w:jc w:val="right"/>
              <w:rPr/>
            </w:pPr>
            <w:r>
              <w:rPr/>
              <w:t>1</w:t>
            </w:r>
          </w:p>
        </w:tc>
      </w:tr>
      <w:tr>
        <w:trPr/>
        <w:tc>
          <w:tcPr>
            <w:tcW w:w="3395" w:type="dxa"/>
            <w:tcBorders/>
            <w:shd w:fill="EEEEEE" w:val="clear"/>
            <w:vAlign w:val="center"/>
          </w:tcPr>
          <w:p>
            <w:pPr>
              <w:pStyle w:val="TableContents"/>
              <w:bidi w:val="0"/>
              <w:spacing w:before="0" w:after="283"/>
              <w:jc w:val="left"/>
              <w:rPr/>
            </w:pPr>
            <w:r>
              <w:rPr/>
              <w:t>Landlord’s Mortgagee</w:t>
            </w:r>
          </w:p>
        </w:tc>
        <w:tc>
          <w:tcPr>
            <w:tcW w:w="950" w:type="dxa"/>
            <w:tcBorders/>
            <w:shd w:fill="EEEEEE" w:val="clear"/>
            <w:vAlign w:val="center"/>
          </w:tcPr>
          <w:p>
            <w:pPr>
              <w:pStyle w:val="TableContents"/>
              <w:bidi w:val="0"/>
              <w:spacing w:before="0" w:after="283"/>
              <w:jc w:val="right"/>
              <w:rPr/>
            </w:pPr>
            <w:r>
              <w:rPr/>
              <w:t>13</w:t>
            </w:r>
          </w:p>
        </w:tc>
      </w:tr>
      <w:tr>
        <w:trPr/>
        <w:tc>
          <w:tcPr>
            <w:tcW w:w="3395" w:type="dxa"/>
            <w:tcBorders/>
            <w:shd w:fill="FFFFFF" w:val="clear"/>
            <w:vAlign w:val="center"/>
          </w:tcPr>
          <w:p>
            <w:pPr>
              <w:pStyle w:val="TableContents"/>
              <w:bidi w:val="0"/>
              <w:spacing w:before="0" w:after="283"/>
              <w:jc w:val="left"/>
              <w:rPr/>
            </w:pPr>
            <w:r>
              <w:rPr/>
              <w:t>Law</w:t>
            </w:r>
          </w:p>
        </w:tc>
        <w:tc>
          <w:tcPr>
            <w:tcW w:w="950" w:type="dxa"/>
            <w:tcBorders/>
            <w:shd w:fill="FFFFFF" w:val="clear"/>
            <w:vAlign w:val="center"/>
          </w:tcPr>
          <w:p>
            <w:pPr>
              <w:pStyle w:val="TableContents"/>
              <w:bidi w:val="0"/>
              <w:spacing w:before="0" w:after="283"/>
              <w:jc w:val="right"/>
              <w:rPr/>
            </w:pPr>
            <w:r>
              <w:rPr/>
              <w:t>1</w:t>
            </w:r>
          </w:p>
        </w:tc>
      </w:tr>
      <w:tr>
        <w:trPr/>
        <w:tc>
          <w:tcPr>
            <w:tcW w:w="3395" w:type="dxa"/>
            <w:tcBorders/>
            <w:shd w:fill="EEEEEE" w:val="clear"/>
            <w:vAlign w:val="center"/>
          </w:tcPr>
          <w:p>
            <w:pPr>
              <w:pStyle w:val="TableContents"/>
              <w:bidi w:val="0"/>
              <w:spacing w:before="0" w:after="283"/>
              <w:jc w:val="left"/>
              <w:rPr/>
            </w:pPr>
            <w:r>
              <w:rPr/>
              <w:t>Laws</w:t>
            </w:r>
          </w:p>
        </w:tc>
        <w:tc>
          <w:tcPr>
            <w:tcW w:w="950" w:type="dxa"/>
            <w:tcBorders/>
            <w:shd w:fill="EEEEEE" w:val="clear"/>
            <w:vAlign w:val="center"/>
          </w:tcPr>
          <w:p>
            <w:pPr>
              <w:pStyle w:val="TableContents"/>
              <w:bidi w:val="0"/>
              <w:spacing w:before="0" w:after="283"/>
              <w:jc w:val="right"/>
              <w:rPr/>
            </w:pPr>
            <w:r>
              <w:rPr/>
              <w:t>1</w:t>
            </w:r>
          </w:p>
        </w:tc>
      </w:tr>
      <w:tr>
        <w:trPr/>
        <w:tc>
          <w:tcPr>
            <w:tcW w:w="3395" w:type="dxa"/>
            <w:tcBorders/>
            <w:shd w:fill="FFFFFF" w:val="clear"/>
            <w:vAlign w:val="center"/>
          </w:tcPr>
          <w:p>
            <w:pPr>
              <w:pStyle w:val="TableContents"/>
              <w:bidi w:val="0"/>
              <w:spacing w:before="0" w:after="283"/>
              <w:jc w:val="left"/>
              <w:rPr/>
            </w:pPr>
            <w:r>
              <w:rPr/>
              <w:t>Lease</w:t>
            </w:r>
          </w:p>
        </w:tc>
        <w:tc>
          <w:tcPr>
            <w:tcW w:w="950" w:type="dxa"/>
            <w:tcBorders/>
            <w:shd w:fill="FFFFFF" w:val="clear"/>
            <w:vAlign w:val="center"/>
          </w:tcPr>
          <w:p>
            <w:pPr>
              <w:pStyle w:val="TableContents"/>
              <w:bidi w:val="0"/>
              <w:spacing w:before="0" w:after="283"/>
              <w:jc w:val="right"/>
              <w:rPr/>
            </w:pPr>
            <w:r>
              <w:rPr/>
              <w:t>1</w:t>
            </w:r>
          </w:p>
        </w:tc>
      </w:tr>
      <w:tr>
        <w:trPr/>
        <w:tc>
          <w:tcPr>
            <w:tcW w:w="3395" w:type="dxa"/>
            <w:tcBorders/>
            <w:shd w:fill="EEEEEE" w:val="clear"/>
            <w:vAlign w:val="center"/>
          </w:tcPr>
          <w:p>
            <w:pPr>
              <w:pStyle w:val="TableContents"/>
              <w:bidi w:val="0"/>
              <w:spacing w:before="0" w:after="283"/>
              <w:jc w:val="left"/>
              <w:rPr/>
            </w:pPr>
            <w:r>
              <w:rPr/>
              <w:t>Lease Month</w:t>
            </w:r>
          </w:p>
        </w:tc>
        <w:tc>
          <w:tcPr>
            <w:tcW w:w="950" w:type="dxa"/>
            <w:tcBorders/>
            <w:shd w:fill="EEEEEE" w:val="clear"/>
            <w:vAlign w:val="center"/>
          </w:tcPr>
          <w:p>
            <w:pPr>
              <w:pStyle w:val="TableContents"/>
              <w:bidi w:val="0"/>
              <w:spacing w:before="0" w:after="283"/>
              <w:jc w:val="right"/>
              <w:rPr/>
            </w:pPr>
            <w:r>
              <w:rPr/>
              <w:t>ii</w:t>
            </w:r>
          </w:p>
        </w:tc>
      </w:tr>
      <w:tr>
        <w:trPr/>
        <w:tc>
          <w:tcPr>
            <w:tcW w:w="3395" w:type="dxa"/>
            <w:tcBorders/>
            <w:shd w:fill="FFFFFF" w:val="clear"/>
            <w:vAlign w:val="center"/>
          </w:tcPr>
          <w:p>
            <w:pPr>
              <w:pStyle w:val="TableContents"/>
              <w:bidi w:val="0"/>
              <w:spacing w:before="0" w:after="283"/>
              <w:jc w:val="left"/>
              <w:rPr/>
            </w:pPr>
            <w:r>
              <w:rPr/>
              <w:t>Loss</w:t>
            </w:r>
          </w:p>
        </w:tc>
        <w:tc>
          <w:tcPr>
            <w:tcW w:w="950" w:type="dxa"/>
            <w:tcBorders/>
            <w:shd w:fill="FFFFFF" w:val="clear"/>
            <w:vAlign w:val="center"/>
          </w:tcPr>
          <w:p>
            <w:pPr>
              <w:pStyle w:val="TableContents"/>
              <w:bidi w:val="0"/>
              <w:spacing w:before="0" w:after="283"/>
              <w:jc w:val="right"/>
              <w:rPr/>
            </w:pPr>
            <w:r>
              <w:rPr/>
              <w:t>12</w:t>
            </w:r>
          </w:p>
        </w:tc>
      </w:tr>
      <w:tr>
        <w:trPr/>
        <w:tc>
          <w:tcPr>
            <w:tcW w:w="3395" w:type="dxa"/>
            <w:tcBorders/>
            <w:shd w:fill="EEEEEE" w:val="clear"/>
            <w:vAlign w:val="center"/>
          </w:tcPr>
          <w:p>
            <w:pPr>
              <w:pStyle w:val="TableContents"/>
              <w:bidi w:val="0"/>
              <w:spacing w:before="0" w:after="283"/>
              <w:jc w:val="left"/>
              <w:rPr/>
            </w:pPr>
            <w:r>
              <w:rPr/>
              <w:t>Mortgage</w:t>
            </w:r>
          </w:p>
        </w:tc>
        <w:tc>
          <w:tcPr>
            <w:tcW w:w="950" w:type="dxa"/>
            <w:tcBorders/>
            <w:shd w:fill="EEEEEE" w:val="clear"/>
            <w:vAlign w:val="center"/>
          </w:tcPr>
          <w:p>
            <w:pPr>
              <w:pStyle w:val="TableContents"/>
              <w:bidi w:val="0"/>
              <w:spacing w:before="0" w:after="283"/>
              <w:jc w:val="right"/>
              <w:rPr/>
            </w:pPr>
            <w:r>
              <w:rPr/>
              <w:t>13</w:t>
            </w:r>
          </w:p>
        </w:tc>
      </w:tr>
      <w:tr>
        <w:trPr/>
        <w:tc>
          <w:tcPr>
            <w:tcW w:w="3395" w:type="dxa"/>
            <w:tcBorders/>
            <w:shd w:fill="FFFFFF" w:val="clear"/>
            <w:vAlign w:val="center"/>
          </w:tcPr>
          <w:p>
            <w:pPr>
              <w:pStyle w:val="TableContents"/>
              <w:bidi w:val="0"/>
              <w:spacing w:before="0" w:after="283"/>
              <w:jc w:val="left"/>
              <w:rPr/>
            </w:pPr>
            <w:r>
              <w:rPr/>
              <w:t>OFAC</w:t>
            </w:r>
          </w:p>
        </w:tc>
        <w:tc>
          <w:tcPr>
            <w:tcW w:w="950" w:type="dxa"/>
            <w:tcBorders/>
            <w:shd w:fill="FFFFFF" w:val="clear"/>
            <w:vAlign w:val="center"/>
          </w:tcPr>
          <w:p>
            <w:pPr>
              <w:pStyle w:val="TableContents"/>
              <w:bidi w:val="0"/>
              <w:spacing w:before="0" w:after="283"/>
              <w:jc w:val="right"/>
              <w:rPr/>
            </w:pPr>
            <w:r>
              <w:rPr/>
              <w:t>9</w:t>
            </w:r>
          </w:p>
        </w:tc>
      </w:tr>
      <w:tr>
        <w:trPr/>
        <w:tc>
          <w:tcPr>
            <w:tcW w:w="3395" w:type="dxa"/>
            <w:tcBorders/>
            <w:shd w:fill="EEEEEE" w:val="clear"/>
            <w:vAlign w:val="center"/>
          </w:tcPr>
          <w:p>
            <w:pPr>
              <w:pStyle w:val="TableContents"/>
              <w:bidi w:val="0"/>
              <w:spacing w:before="0" w:after="283"/>
              <w:jc w:val="left"/>
              <w:rPr/>
            </w:pPr>
            <w:r>
              <w:rPr/>
              <w:t>Operating Costs</w:t>
            </w:r>
          </w:p>
        </w:tc>
        <w:tc>
          <w:tcPr>
            <w:tcW w:w="950" w:type="dxa"/>
            <w:tcBorders/>
            <w:shd w:fill="EEEEEE" w:val="clear"/>
            <w:vAlign w:val="center"/>
          </w:tcPr>
          <w:p>
            <w:pPr>
              <w:pStyle w:val="TableContents"/>
              <w:bidi w:val="0"/>
              <w:spacing w:before="0" w:after="283"/>
              <w:jc w:val="right"/>
              <w:rPr/>
            </w:pPr>
            <w:r>
              <w:rPr/>
              <w:t>3</w:t>
            </w:r>
          </w:p>
        </w:tc>
      </w:tr>
      <w:tr>
        <w:trPr/>
        <w:tc>
          <w:tcPr>
            <w:tcW w:w="3395" w:type="dxa"/>
            <w:tcBorders/>
            <w:shd w:fill="FFFFFF" w:val="clear"/>
            <w:vAlign w:val="center"/>
          </w:tcPr>
          <w:p>
            <w:pPr>
              <w:pStyle w:val="TableContents"/>
              <w:bidi w:val="0"/>
              <w:spacing w:before="0" w:after="283"/>
              <w:jc w:val="left"/>
              <w:rPr/>
            </w:pPr>
            <w:r>
              <w:rPr/>
              <w:t>Operating Costs and Tax Statement</w:t>
            </w:r>
          </w:p>
        </w:tc>
        <w:tc>
          <w:tcPr>
            <w:tcW w:w="950" w:type="dxa"/>
            <w:tcBorders/>
            <w:shd w:fill="FFFFFF" w:val="clear"/>
            <w:vAlign w:val="center"/>
          </w:tcPr>
          <w:p>
            <w:pPr>
              <w:pStyle w:val="TableContents"/>
              <w:bidi w:val="0"/>
              <w:spacing w:before="0" w:after="283"/>
              <w:jc w:val="right"/>
              <w:rPr/>
            </w:pPr>
            <w:r>
              <w:rPr/>
              <w:t>4</w:t>
            </w:r>
          </w:p>
        </w:tc>
      </w:tr>
      <w:tr>
        <w:trPr/>
        <w:tc>
          <w:tcPr>
            <w:tcW w:w="3395" w:type="dxa"/>
            <w:tcBorders/>
            <w:shd w:fill="EEEEEE" w:val="clear"/>
            <w:vAlign w:val="center"/>
          </w:tcPr>
          <w:p>
            <w:pPr>
              <w:pStyle w:val="TableContents"/>
              <w:bidi w:val="0"/>
              <w:spacing w:before="0" w:after="283"/>
              <w:jc w:val="left"/>
              <w:rPr/>
            </w:pPr>
            <w:r>
              <w:rPr/>
              <w:t>Permitted Transfer</w:t>
            </w:r>
          </w:p>
        </w:tc>
        <w:tc>
          <w:tcPr>
            <w:tcW w:w="950" w:type="dxa"/>
            <w:tcBorders/>
            <w:shd w:fill="EEEEEE" w:val="clear"/>
            <w:vAlign w:val="center"/>
          </w:tcPr>
          <w:p>
            <w:pPr>
              <w:pStyle w:val="TableContents"/>
              <w:bidi w:val="0"/>
              <w:spacing w:before="0" w:after="283"/>
              <w:jc w:val="right"/>
              <w:rPr/>
            </w:pPr>
            <w:r>
              <w:rPr/>
              <w:t>10</w:t>
            </w:r>
          </w:p>
        </w:tc>
      </w:tr>
      <w:tr>
        <w:trPr/>
        <w:tc>
          <w:tcPr>
            <w:tcW w:w="3395" w:type="dxa"/>
            <w:tcBorders/>
            <w:shd w:fill="FFFFFF" w:val="clear"/>
            <w:vAlign w:val="center"/>
          </w:tcPr>
          <w:p>
            <w:pPr>
              <w:pStyle w:val="TableContents"/>
              <w:bidi w:val="0"/>
              <w:spacing w:before="0" w:after="283"/>
              <w:jc w:val="left"/>
              <w:rPr/>
            </w:pPr>
            <w:r>
              <w:rPr/>
              <w:t>Permitted Transferee</w:t>
            </w:r>
          </w:p>
        </w:tc>
        <w:tc>
          <w:tcPr>
            <w:tcW w:w="950" w:type="dxa"/>
            <w:tcBorders/>
            <w:shd w:fill="FFFFFF" w:val="clear"/>
            <w:vAlign w:val="center"/>
          </w:tcPr>
          <w:p>
            <w:pPr>
              <w:pStyle w:val="TableContents"/>
              <w:bidi w:val="0"/>
              <w:spacing w:before="0" w:after="283"/>
              <w:jc w:val="right"/>
              <w:rPr/>
            </w:pPr>
            <w:r>
              <w:rPr/>
              <w:t>10</w:t>
            </w:r>
          </w:p>
        </w:tc>
      </w:tr>
      <w:tr>
        <w:trPr/>
        <w:tc>
          <w:tcPr>
            <w:tcW w:w="3395" w:type="dxa"/>
            <w:tcBorders/>
            <w:shd w:fill="EEEEEE" w:val="clear"/>
            <w:vAlign w:val="center"/>
          </w:tcPr>
          <w:p>
            <w:pPr>
              <w:pStyle w:val="TableContents"/>
              <w:bidi w:val="0"/>
              <w:spacing w:before="0" w:after="283"/>
              <w:jc w:val="left"/>
              <w:rPr/>
            </w:pPr>
            <w:r>
              <w:rPr/>
              <w:t>Permitted Use</w:t>
            </w:r>
          </w:p>
        </w:tc>
        <w:tc>
          <w:tcPr>
            <w:tcW w:w="950" w:type="dxa"/>
            <w:tcBorders/>
            <w:shd w:fill="EEEEEE" w:val="clear"/>
            <w:vAlign w:val="center"/>
          </w:tcPr>
          <w:p>
            <w:pPr>
              <w:pStyle w:val="TableContents"/>
              <w:bidi w:val="0"/>
              <w:spacing w:before="0" w:after="283"/>
              <w:jc w:val="right"/>
              <w:rPr/>
            </w:pPr>
            <w:r>
              <w:rPr/>
              <w:t>ii</w:t>
            </w:r>
          </w:p>
        </w:tc>
      </w:tr>
      <w:tr>
        <w:trPr/>
        <w:tc>
          <w:tcPr>
            <w:tcW w:w="3395" w:type="dxa"/>
            <w:tcBorders/>
            <w:shd w:fill="FFFFFF" w:val="clear"/>
            <w:vAlign w:val="center"/>
          </w:tcPr>
          <w:p>
            <w:pPr>
              <w:pStyle w:val="TableContents"/>
              <w:bidi w:val="0"/>
              <w:spacing w:before="0" w:after="283"/>
              <w:jc w:val="left"/>
              <w:rPr/>
            </w:pPr>
            <w:r>
              <w:rPr/>
              <w:t>Premises</w:t>
            </w:r>
          </w:p>
        </w:tc>
        <w:tc>
          <w:tcPr>
            <w:tcW w:w="950" w:type="dxa"/>
            <w:tcBorders/>
            <w:shd w:fill="FFFFFF" w:val="clear"/>
            <w:vAlign w:val="center"/>
          </w:tcPr>
          <w:p>
            <w:pPr>
              <w:pStyle w:val="TableContents"/>
              <w:bidi w:val="0"/>
              <w:spacing w:before="0" w:after="283"/>
              <w:jc w:val="right"/>
              <w:rPr/>
            </w:pPr>
            <w:r>
              <w:rPr/>
              <w:t>i</w:t>
            </w:r>
          </w:p>
        </w:tc>
      </w:tr>
      <w:tr>
        <w:trPr/>
        <w:tc>
          <w:tcPr>
            <w:tcW w:w="3395" w:type="dxa"/>
            <w:tcBorders/>
            <w:shd w:fill="EEEEEE" w:val="clear"/>
            <w:vAlign w:val="center"/>
          </w:tcPr>
          <w:p>
            <w:pPr>
              <w:pStyle w:val="TableContents"/>
              <w:bidi w:val="0"/>
              <w:spacing w:before="0" w:after="283"/>
              <w:jc w:val="left"/>
              <w:rPr/>
            </w:pPr>
            <w:r>
              <w:rPr/>
              <w:t>Primary Lease</w:t>
            </w:r>
          </w:p>
        </w:tc>
        <w:tc>
          <w:tcPr>
            <w:tcW w:w="950" w:type="dxa"/>
            <w:tcBorders/>
            <w:shd w:fill="EEEEEE" w:val="clear"/>
            <w:vAlign w:val="center"/>
          </w:tcPr>
          <w:p>
            <w:pPr>
              <w:pStyle w:val="TableContents"/>
              <w:bidi w:val="0"/>
              <w:spacing w:before="0" w:after="283"/>
              <w:jc w:val="right"/>
              <w:rPr/>
            </w:pPr>
            <w:r>
              <w:rPr/>
              <w:t>13</w:t>
            </w:r>
          </w:p>
        </w:tc>
      </w:tr>
      <w:tr>
        <w:trPr/>
        <w:tc>
          <w:tcPr>
            <w:tcW w:w="3395" w:type="dxa"/>
            <w:tcBorders/>
            <w:shd w:fill="FFFFFF" w:val="clear"/>
            <w:vAlign w:val="center"/>
          </w:tcPr>
          <w:p>
            <w:pPr>
              <w:pStyle w:val="TableContents"/>
              <w:bidi w:val="0"/>
              <w:spacing w:before="0" w:after="283"/>
              <w:jc w:val="left"/>
              <w:rPr/>
            </w:pPr>
            <w:r>
              <w:rPr/>
              <w:t>Project</w:t>
            </w:r>
          </w:p>
        </w:tc>
        <w:tc>
          <w:tcPr>
            <w:tcW w:w="950" w:type="dxa"/>
            <w:tcBorders/>
            <w:shd w:fill="FFFFFF" w:val="clear"/>
            <w:vAlign w:val="center"/>
          </w:tcPr>
          <w:p>
            <w:pPr>
              <w:pStyle w:val="TableContents"/>
              <w:bidi w:val="0"/>
              <w:spacing w:before="0" w:after="283"/>
              <w:jc w:val="right"/>
              <w:rPr/>
            </w:pPr>
            <w:r>
              <w:rPr/>
              <w:t>i</w:t>
            </w:r>
          </w:p>
        </w:tc>
      </w:tr>
      <w:tr>
        <w:trPr/>
        <w:tc>
          <w:tcPr>
            <w:tcW w:w="3395" w:type="dxa"/>
            <w:tcBorders/>
            <w:shd w:fill="EEEEEE" w:val="clear"/>
            <w:vAlign w:val="center"/>
          </w:tcPr>
          <w:p>
            <w:pPr>
              <w:pStyle w:val="TableContents"/>
              <w:bidi w:val="0"/>
              <w:spacing w:before="0" w:after="283"/>
              <w:jc w:val="left"/>
              <w:rPr/>
            </w:pPr>
            <w:r>
              <w:rPr/>
              <w:t>PSA</w:t>
            </w:r>
          </w:p>
        </w:tc>
        <w:tc>
          <w:tcPr>
            <w:tcW w:w="950" w:type="dxa"/>
            <w:tcBorders/>
            <w:shd w:fill="EEEEEE" w:val="clear"/>
            <w:vAlign w:val="center"/>
          </w:tcPr>
          <w:p>
            <w:pPr>
              <w:pStyle w:val="TableContents"/>
              <w:bidi w:val="0"/>
              <w:spacing w:before="0" w:after="283"/>
              <w:jc w:val="right"/>
              <w:rPr/>
            </w:pPr>
            <w:r>
              <w:rPr/>
              <w:t>5</w:t>
            </w:r>
          </w:p>
        </w:tc>
      </w:tr>
      <w:tr>
        <w:trPr/>
        <w:tc>
          <w:tcPr>
            <w:tcW w:w="3395" w:type="dxa"/>
            <w:tcBorders/>
            <w:shd w:fill="FFFFFF" w:val="clear"/>
            <w:vAlign w:val="center"/>
          </w:tcPr>
          <w:p>
            <w:pPr>
              <w:pStyle w:val="TableContents"/>
              <w:bidi w:val="0"/>
              <w:spacing w:before="0" w:after="283"/>
              <w:jc w:val="left"/>
              <w:rPr/>
            </w:pPr>
            <w:r>
              <w:rPr/>
              <w:t>Punchlist Items</w:t>
            </w:r>
          </w:p>
        </w:tc>
        <w:tc>
          <w:tcPr>
            <w:tcW w:w="950" w:type="dxa"/>
            <w:tcBorders/>
            <w:shd w:fill="FFFFFF" w:val="clear"/>
            <w:vAlign w:val="center"/>
          </w:tcPr>
          <w:p>
            <w:pPr>
              <w:pStyle w:val="TableContents"/>
              <w:bidi w:val="0"/>
              <w:spacing w:before="0" w:after="283"/>
              <w:jc w:val="right"/>
              <w:rPr/>
            </w:pPr>
            <w:r>
              <w:rPr/>
              <w:t>E-3</w:t>
            </w:r>
          </w:p>
        </w:tc>
      </w:tr>
      <w:tr>
        <w:trPr/>
        <w:tc>
          <w:tcPr>
            <w:tcW w:w="3395" w:type="dxa"/>
            <w:tcBorders/>
            <w:shd w:fill="EEEEEE" w:val="clear"/>
            <w:vAlign w:val="center"/>
          </w:tcPr>
          <w:p>
            <w:pPr>
              <w:pStyle w:val="TableContents"/>
              <w:bidi w:val="0"/>
              <w:spacing w:before="0" w:after="283"/>
              <w:jc w:val="left"/>
              <w:rPr/>
            </w:pPr>
            <w:r>
              <w:rPr/>
              <w:t>Rent</w:t>
            </w:r>
          </w:p>
        </w:tc>
        <w:tc>
          <w:tcPr>
            <w:tcW w:w="950" w:type="dxa"/>
            <w:tcBorders/>
            <w:shd w:fill="EEEEEE" w:val="clear"/>
            <w:vAlign w:val="center"/>
          </w:tcPr>
          <w:p>
            <w:pPr>
              <w:pStyle w:val="TableContents"/>
              <w:bidi w:val="0"/>
              <w:spacing w:before="0" w:after="283"/>
              <w:jc w:val="right"/>
              <w:rPr/>
            </w:pPr>
            <w:r>
              <w:rPr/>
              <w:t>ii</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vii</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tbl>
      <w:tblPr>
        <w:tblW w:w="3670" w:type="dxa"/>
        <w:jc w:val="left"/>
        <w:tblInd w:w="0" w:type="dxa"/>
        <w:tblLayout w:type="fixed"/>
        <w:tblCellMar>
          <w:top w:w="0" w:type="dxa"/>
          <w:left w:w="0" w:type="dxa"/>
          <w:bottom w:w="0" w:type="dxa"/>
          <w:right w:w="0" w:type="dxa"/>
        </w:tblCellMar>
      </w:tblPr>
      <w:tblGrid>
        <w:gridCol w:w="3260"/>
        <w:gridCol w:w="410"/>
      </w:tblGrid>
      <w:tr>
        <w:trPr/>
        <w:tc>
          <w:tcPr>
            <w:tcW w:w="3260" w:type="dxa"/>
            <w:tcBorders/>
            <w:shd w:fill="EEEEEE" w:val="clear"/>
            <w:vAlign w:val="center"/>
          </w:tcPr>
          <w:p>
            <w:pPr>
              <w:pStyle w:val="TableContents"/>
              <w:bidi w:val="0"/>
              <w:spacing w:before="0" w:after="283"/>
              <w:jc w:val="left"/>
              <w:rPr/>
            </w:pPr>
            <w:r>
              <w:rPr/>
              <w:t>Repair Period</w:t>
            </w:r>
          </w:p>
        </w:tc>
        <w:tc>
          <w:tcPr>
            <w:tcW w:w="410" w:type="dxa"/>
            <w:tcBorders/>
            <w:shd w:fill="EEEEEE" w:val="clear"/>
            <w:vAlign w:val="center"/>
          </w:tcPr>
          <w:p>
            <w:pPr>
              <w:pStyle w:val="TableContents"/>
              <w:bidi w:val="0"/>
              <w:spacing w:before="0" w:after="283"/>
              <w:jc w:val="right"/>
              <w:rPr/>
            </w:pPr>
            <w:r>
              <w:rPr/>
              <w:t>15</w:t>
            </w:r>
          </w:p>
        </w:tc>
      </w:tr>
      <w:tr>
        <w:trPr/>
        <w:tc>
          <w:tcPr>
            <w:tcW w:w="3260" w:type="dxa"/>
            <w:tcBorders/>
            <w:shd w:fill="FFFFFF" w:val="clear"/>
            <w:vAlign w:val="center"/>
          </w:tcPr>
          <w:p>
            <w:pPr>
              <w:pStyle w:val="TableContents"/>
              <w:bidi w:val="0"/>
              <w:spacing w:before="0" w:after="283"/>
              <w:jc w:val="left"/>
              <w:rPr/>
            </w:pPr>
            <w:r>
              <w:rPr/>
              <w:t>Security Deposit</w:t>
            </w:r>
          </w:p>
        </w:tc>
        <w:tc>
          <w:tcPr>
            <w:tcW w:w="410" w:type="dxa"/>
            <w:tcBorders/>
            <w:shd w:fill="FFFFFF" w:val="clear"/>
            <w:vAlign w:val="center"/>
          </w:tcPr>
          <w:p>
            <w:pPr>
              <w:pStyle w:val="TableContents"/>
              <w:bidi w:val="0"/>
              <w:spacing w:before="0" w:after="283"/>
              <w:jc w:val="right"/>
              <w:rPr/>
            </w:pPr>
            <w:r>
              <w:rPr/>
              <w:t>ii</w:t>
            </w:r>
          </w:p>
        </w:tc>
      </w:tr>
      <w:tr>
        <w:trPr/>
        <w:tc>
          <w:tcPr>
            <w:tcW w:w="3260" w:type="dxa"/>
            <w:tcBorders/>
            <w:shd w:fill="EEEEEE" w:val="clear"/>
            <w:vAlign w:val="center"/>
          </w:tcPr>
          <w:p>
            <w:pPr>
              <w:pStyle w:val="TableContents"/>
              <w:bidi w:val="0"/>
              <w:spacing w:before="0" w:after="283"/>
              <w:jc w:val="left"/>
              <w:rPr/>
            </w:pPr>
            <w:r>
              <w:rPr/>
              <w:t>Substantial Completion</w:t>
            </w:r>
          </w:p>
        </w:tc>
        <w:tc>
          <w:tcPr>
            <w:tcW w:w="410" w:type="dxa"/>
            <w:tcBorders/>
            <w:shd w:fill="EEEEEE" w:val="clear"/>
            <w:vAlign w:val="center"/>
          </w:tcPr>
          <w:p>
            <w:pPr>
              <w:pStyle w:val="TableContents"/>
              <w:bidi w:val="0"/>
              <w:spacing w:before="0" w:after="283"/>
              <w:jc w:val="right"/>
              <w:rPr/>
            </w:pPr>
            <w:r>
              <w:rPr/>
              <w:t>D-1</w:t>
            </w:r>
          </w:p>
        </w:tc>
      </w:tr>
      <w:tr>
        <w:trPr/>
        <w:tc>
          <w:tcPr>
            <w:tcW w:w="3260" w:type="dxa"/>
            <w:tcBorders/>
            <w:shd w:fill="FFFFFF" w:val="clear"/>
            <w:vAlign w:val="center"/>
          </w:tcPr>
          <w:p>
            <w:pPr>
              <w:pStyle w:val="TableContents"/>
              <w:bidi w:val="0"/>
              <w:spacing w:before="0" w:after="283"/>
              <w:jc w:val="left"/>
              <w:rPr/>
            </w:pPr>
            <w:r>
              <w:rPr/>
              <w:t>Substantially Completed</w:t>
            </w:r>
          </w:p>
        </w:tc>
        <w:tc>
          <w:tcPr>
            <w:tcW w:w="410" w:type="dxa"/>
            <w:tcBorders/>
            <w:shd w:fill="FFFFFF" w:val="clear"/>
            <w:vAlign w:val="center"/>
          </w:tcPr>
          <w:p>
            <w:pPr>
              <w:pStyle w:val="TableContents"/>
              <w:bidi w:val="0"/>
              <w:spacing w:before="0" w:after="283"/>
              <w:jc w:val="right"/>
              <w:rPr/>
            </w:pPr>
            <w:r>
              <w:rPr/>
              <w:t>D-1</w:t>
            </w:r>
          </w:p>
        </w:tc>
      </w:tr>
      <w:tr>
        <w:trPr/>
        <w:tc>
          <w:tcPr>
            <w:tcW w:w="3260" w:type="dxa"/>
            <w:tcBorders/>
            <w:shd w:fill="EEEEEE" w:val="clear"/>
            <w:vAlign w:val="center"/>
          </w:tcPr>
          <w:p>
            <w:pPr>
              <w:pStyle w:val="TableContents"/>
              <w:bidi w:val="0"/>
              <w:spacing w:before="0" w:after="283"/>
              <w:jc w:val="left"/>
              <w:rPr/>
            </w:pPr>
            <w:r>
              <w:rPr/>
              <w:t>Taking</w:t>
            </w:r>
          </w:p>
        </w:tc>
        <w:tc>
          <w:tcPr>
            <w:tcW w:w="410" w:type="dxa"/>
            <w:tcBorders/>
            <w:shd w:fill="EEEEEE" w:val="clear"/>
            <w:vAlign w:val="center"/>
          </w:tcPr>
          <w:p>
            <w:pPr>
              <w:pStyle w:val="TableContents"/>
              <w:bidi w:val="0"/>
              <w:spacing w:before="0" w:after="283"/>
              <w:jc w:val="right"/>
              <w:rPr/>
            </w:pPr>
            <w:r>
              <w:rPr/>
              <w:t>14</w:t>
            </w:r>
          </w:p>
        </w:tc>
      </w:tr>
      <w:tr>
        <w:trPr/>
        <w:tc>
          <w:tcPr>
            <w:tcW w:w="3260" w:type="dxa"/>
            <w:tcBorders/>
            <w:shd w:fill="FFFFFF" w:val="clear"/>
            <w:vAlign w:val="center"/>
          </w:tcPr>
          <w:p>
            <w:pPr>
              <w:pStyle w:val="TableContents"/>
              <w:bidi w:val="0"/>
              <w:spacing w:before="0" w:after="283"/>
              <w:jc w:val="left"/>
              <w:rPr/>
            </w:pPr>
            <w:r>
              <w:rPr/>
              <w:t>Tangible Net Worth</w:t>
            </w:r>
          </w:p>
        </w:tc>
        <w:tc>
          <w:tcPr>
            <w:tcW w:w="410" w:type="dxa"/>
            <w:tcBorders/>
            <w:shd w:fill="FFFFFF" w:val="clear"/>
            <w:vAlign w:val="center"/>
          </w:tcPr>
          <w:p>
            <w:pPr>
              <w:pStyle w:val="TableContents"/>
              <w:bidi w:val="0"/>
              <w:spacing w:before="0" w:after="283"/>
              <w:jc w:val="right"/>
              <w:rPr/>
            </w:pPr>
            <w:r>
              <w:rPr/>
              <w:t>11</w:t>
            </w:r>
          </w:p>
        </w:tc>
      </w:tr>
      <w:tr>
        <w:trPr/>
        <w:tc>
          <w:tcPr>
            <w:tcW w:w="3260" w:type="dxa"/>
            <w:tcBorders/>
            <w:shd w:fill="EEEEEE" w:val="clear"/>
            <w:vAlign w:val="center"/>
          </w:tcPr>
          <w:p>
            <w:pPr>
              <w:pStyle w:val="TableContents"/>
              <w:bidi w:val="0"/>
              <w:spacing w:before="0" w:after="283"/>
              <w:jc w:val="left"/>
              <w:rPr/>
            </w:pPr>
            <w:r>
              <w:rPr/>
              <w:t>Taxes</w:t>
            </w:r>
          </w:p>
        </w:tc>
        <w:tc>
          <w:tcPr>
            <w:tcW w:w="410" w:type="dxa"/>
            <w:tcBorders/>
            <w:shd w:fill="EEEEEE" w:val="clear"/>
            <w:vAlign w:val="center"/>
          </w:tcPr>
          <w:p>
            <w:pPr>
              <w:pStyle w:val="TableContents"/>
              <w:bidi w:val="0"/>
              <w:spacing w:before="0" w:after="283"/>
              <w:jc w:val="right"/>
              <w:rPr/>
            </w:pPr>
            <w:r>
              <w:rPr/>
              <w:t>4</w:t>
            </w:r>
          </w:p>
        </w:tc>
      </w:tr>
      <w:tr>
        <w:trPr/>
        <w:tc>
          <w:tcPr>
            <w:tcW w:w="3260" w:type="dxa"/>
            <w:tcBorders/>
            <w:shd w:fill="FFFFFF" w:val="clear"/>
            <w:vAlign w:val="center"/>
          </w:tcPr>
          <w:p>
            <w:pPr>
              <w:pStyle w:val="TableContents"/>
              <w:bidi w:val="0"/>
              <w:spacing w:before="0" w:after="283"/>
              <w:jc w:val="left"/>
              <w:rPr/>
            </w:pPr>
            <w:r>
              <w:rPr/>
              <w:t>Telecommunications Services</w:t>
            </w:r>
          </w:p>
        </w:tc>
        <w:tc>
          <w:tcPr>
            <w:tcW w:w="410" w:type="dxa"/>
            <w:tcBorders/>
            <w:shd w:fill="FFFFFF" w:val="clear"/>
            <w:vAlign w:val="center"/>
          </w:tcPr>
          <w:p>
            <w:pPr>
              <w:pStyle w:val="TableContents"/>
              <w:bidi w:val="0"/>
              <w:spacing w:before="0" w:after="283"/>
              <w:jc w:val="right"/>
              <w:rPr/>
            </w:pPr>
            <w:r>
              <w:rPr/>
              <w:t>23</w:t>
            </w:r>
          </w:p>
        </w:tc>
      </w:tr>
      <w:tr>
        <w:trPr/>
        <w:tc>
          <w:tcPr>
            <w:tcW w:w="3260" w:type="dxa"/>
            <w:tcBorders/>
            <w:shd w:fill="EEEEEE" w:val="clear"/>
            <w:vAlign w:val="center"/>
          </w:tcPr>
          <w:p>
            <w:pPr>
              <w:pStyle w:val="TableContents"/>
              <w:bidi w:val="0"/>
              <w:spacing w:before="0" w:after="283"/>
              <w:jc w:val="left"/>
              <w:rPr/>
            </w:pPr>
            <w:r>
              <w:rPr/>
              <w:t>Tenant</w:t>
            </w:r>
          </w:p>
        </w:tc>
        <w:tc>
          <w:tcPr>
            <w:tcW w:w="410" w:type="dxa"/>
            <w:tcBorders/>
            <w:shd w:fill="EEEEEE" w:val="clear"/>
            <w:vAlign w:val="center"/>
          </w:tcPr>
          <w:p>
            <w:pPr>
              <w:pStyle w:val="TableContents"/>
              <w:bidi w:val="0"/>
              <w:spacing w:before="0" w:after="283"/>
              <w:jc w:val="right"/>
              <w:rPr/>
            </w:pPr>
            <w:r>
              <w:rPr/>
              <w:t>1</w:t>
            </w:r>
          </w:p>
        </w:tc>
      </w:tr>
      <w:tr>
        <w:trPr/>
        <w:tc>
          <w:tcPr>
            <w:tcW w:w="3260" w:type="dxa"/>
            <w:tcBorders/>
            <w:shd w:fill="FFFFFF" w:val="clear"/>
            <w:vAlign w:val="center"/>
          </w:tcPr>
          <w:p>
            <w:pPr>
              <w:pStyle w:val="TableContents"/>
              <w:bidi w:val="0"/>
              <w:spacing w:before="0" w:after="283"/>
              <w:jc w:val="left"/>
              <w:rPr/>
            </w:pPr>
            <w:r>
              <w:rPr/>
              <w:t>Tenant Party</w:t>
            </w:r>
          </w:p>
        </w:tc>
        <w:tc>
          <w:tcPr>
            <w:tcW w:w="410" w:type="dxa"/>
            <w:tcBorders/>
            <w:shd w:fill="FFFFFF" w:val="clear"/>
            <w:vAlign w:val="center"/>
          </w:tcPr>
          <w:p>
            <w:pPr>
              <w:pStyle w:val="TableContents"/>
              <w:bidi w:val="0"/>
              <w:spacing w:before="0" w:after="283"/>
              <w:jc w:val="right"/>
              <w:rPr/>
            </w:pPr>
            <w:r>
              <w:rPr/>
              <w:t>1</w:t>
            </w:r>
          </w:p>
        </w:tc>
      </w:tr>
      <w:tr>
        <w:trPr/>
        <w:tc>
          <w:tcPr>
            <w:tcW w:w="3260" w:type="dxa"/>
            <w:tcBorders/>
            <w:shd w:fill="EEEEEE" w:val="clear"/>
            <w:vAlign w:val="center"/>
          </w:tcPr>
          <w:p>
            <w:pPr>
              <w:pStyle w:val="TableContents"/>
              <w:bidi w:val="0"/>
              <w:spacing w:before="0" w:after="283"/>
              <w:jc w:val="left"/>
              <w:rPr/>
            </w:pPr>
            <w:r>
              <w:rPr/>
              <w:t>Tenant’s Off-Premises Equipment</w:t>
            </w:r>
          </w:p>
        </w:tc>
        <w:tc>
          <w:tcPr>
            <w:tcW w:w="410" w:type="dxa"/>
            <w:tcBorders/>
            <w:shd w:fill="EEEEEE" w:val="clear"/>
            <w:vAlign w:val="center"/>
          </w:tcPr>
          <w:p>
            <w:pPr>
              <w:pStyle w:val="TableContents"/>
              <w:bidi w:val="0"/>
              <w:spacing w:before="0" w:after="283"/>
              <w:jc w:val="right"/>
              <w:rPr/>
            </w:pPr>
            <w:r>
              <w:rPr/>
              <w:t>1</w:t>
            </w:r>
          </w:p>
        </w:tc>
      </w:tr>
      <w:tr>
        <w:trPr/>
        <w:tc>
          <w:tcPr>
            <w:tcW w:w="3260" w:type="dxa"/>
            <w:tcBorders/>
            <w:shd w:fill="FFFFFF" w:val="clear"/>
            <w:vAlign w:val="center"/>
          </w:tcPr>
          <w:p>
            <w:pPr>
              <w:pStyle w:val="TableContents"/>
              <w:bidi w:val="0"/>
              <w:spacing w:before="0" w:after="283"/>
              <w:jc w:val="left"/>
              <w:rPr/>
            </w:pPr>
            <w:r>
              <w:rPr/>
              <w:t>Tenant’s Proportionate Share</w:t>
            </w:r>
          </w:p>
        </w:tc>
        <w:tc>
          <w:tcPr>
            <w:tcW w:w="410" w:type="dxa"/>
            <w:tcBorders/>
            <w:shd w:fill="FFFFFF" w:val="clear"/>
            <w:vAlign w:val="center"/>
          </w:tcPr>
          <w:p>
            <w:pPr>
              <w:pStyle w:val="TableContents"/>
              <w:bidi w:val="0"/>
              <w:spacing w:before="0" w:after="283"/>
              <w:jc w:val="right"/>
              <w:rPr/>
            </w:pPr>
            <w:r>
              <w:rPr/>
              <w:t>ii</w:t>
            </w:r>
          </w:p>
        </w:tc>
      </w:tr>
      <w:tr>
        <w:trPr/>
        <w:tc>
          <w:tcPr>
            <w:tcW w:w="3260" w:type="dxa"/>
            <w:tcBorders/>
            <w:shd w:fill="EEEEEE" w:val="clear"/>
            <w:vAlign w:val="center"/>
          </w:tcPr>
          <w:p>
            <w:pPr>
              <w:pStyle w:val="TableContents"/>
              <w:bidi w:val="0"/>
              <w:spacing w:before="0" w:after="283"/>
              <w:jc w:val="left"/>
              <w:rPr/>
            </w:pPr>
            <w:r>
              <w:rPr/>
              <w:t>Term</w:t>
            </w:r>
          </w:p>
        </w:tc>
        <w:tc>
          <w:tcPr>
            <w:tcW w:w="410" w:type="dxa"/>
            <w:tcBorders/>
            <w:shd w:fill="EEEEEE" w:val="clear"/>
            <w:vAlign w:val="center"/>
          </w:tcPr>
          <w:p>
            <w:pPr>
              <w:pStyle w:val="TableContents"/>
              <w:bidi w:val="0"/>
              <w:spacing w:before="0" w:after="283"/>
              <w:jc w:val="right"/>
              <w:rPr/>
            </w:pPr>
            <w:r>
              <w:rPr/>
              <w:t>i</w:t>
            </w:r>
          </w:p>
        </w:tc>
      </w:tr>
      <w:tr>
        <w:trPr/>
        <w:tc>
          <w:tcPr>
            <w:tcW w:w="3260" w:type="dxa"/>
            <w:tcBorders/>
            <w:shd w:fill="FFFFFF" w:val="clear"/>
            <w:vAlign w:val="center"/>
          </w:tcPr>
          <w:p>
            <w:pPr>
              <w:pStyle w:val="TableContents"/>
              <w:bidi w:val="0"/>
              <w:spacing w:before="0" w:after="283"/>
              <w:jc w:val="left"/>
              <w:rPr/>
            </w:pPr>
            <w:r>
              <w:rPr/>
              <w:t>Transfer</w:t>
            </w:r>
          </w:p>
        </w:tc>
        <w:tc>
          <w:tcPr>
            <w:tcW w:w="410" w:type="dxa"/>
            <w:tcBorders/>
            <w:shd w:fill="FFFFFF" w:val="clear"/>
            <w:vAlign w:val="center"/>
          </w:tcPr>
          <w:p>
            <w:pPr>
              <w:pStyle w:val="TableContents"/>
              <w:bidi w:val="0"/>
              <w:spacing w:before="0" w:after="283"/>
              <w:jc w:val="right"/>
              <w:rPr/>
            </w:pPr>
            <w:r>
              <w:rPr/>
              <w:t>9</w:t>
            </w:r>
          </w:p>
        </w:tc>
      </w:tr>
      <w:tr>
        <w:trPr/>
        <w:tc>
          <w:tcPr>
            <w:tcW w:w="3260" w:type="dxa"/>
            <w:tcBorders/>
            <w:shd w:fill="EEEEEE" w:val="clear"/>
            <w:vAlign w:val="center"/>
          </w:tcPr>
          <w:p>
            <w:pPr>
              <w:pStyle w:val="TableContents"/>
              <w:bidi w:val="0"/>
              <w:spacing w:before="0" w:after="283"/>
              <w:jc w:val="left"/>
              <w:rPr/>
            </w:pPr>
            <w:r>
              <w:rPr/>
              <w:t>UCC</w:t>
            </w:r>
          </w:p>
        </w:tc>
        <w:tc>
          <w:tcPr>
            <w:tcW w:w="410" w:type="dxa"/>
            <w:tcBorders/>
            <w:shd w:fill="EEEEEE" w:val="clear"/>
            <w:vAlign w:val="center"/>
          </w:tcPr>
          <w:p>
            <w:pPr>
              <w:pStyle w:val="TableContents"/>
              <w:bidi w:val="0"/>
              <w:spacing w:before="0" w:after="283"/>
              <w:jc w:val="right"/>
              <w:rPr/>
            </w:pPr>
            <w:r>
              <w:rPr/>
              <w:t>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viii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LEASE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Agreement (this “</w:t>
      </w:r>
      <w:r>
        <w:rPr>
          <w:rFonts w:ascii="Times New Roman;Times;Serif" w:hAnsi="Times New Roman;Times;Serif"/>
          <w:b/>
          <w:i w:val="false"/>
          <w:caps w:val="false"/>
          <w:smallCaps w:val="false"/>
          <w:sz w:val="20"/>
          <w:u w:val="single"/>
        </w:rPr>
        <w:t>Lease</w:t>
      </w:r>
      <w:r>
        <w:rPr>
          <w:rFonts w:ascii="Times New Roman;Times;Serif" w:hAnsi="Times New Roman;Times;Serif"/>
          <w:b w:val="false"/>
          <w:i w:val="false"/>
          <w:caps w:val="false"/>
          <w:smallCaps w:val="false"/>
          <w:sz w:val="20"/>
        </w:rPr>
        <w:t>”) is entered into as of August 31, 2026, between Hightower Phase II Owner, LLC, a Delaware limited liability company (“</w:t>
      </w:r>
      <w:r>
        <w:rPr>
          <w:rFonts w:ascii="Times New Roman;Times;Serif" w:hAnsi="Times New Roman;Times;Serif"/>
          <w:b/>
          <w:i w:val="false"/>
          <w:caps w:val="false"/>
          <w:smallCaps w:val="false"/>
          <w:sz w:val="20"/>
          <w:u w:val="single"/>
        </w:rPr>
        <w:t>Landlord</w:t>
      </w:r>
      <w:r>
        <w:rPr>
          <w:rFonts w:ascii="Times New Roman;Times;Serif" w:hAnsi="Times New Roman;Times;Serif"/>
          <w:b w:val="false"/>
          <w:i w:val="false"/>
          <w:caps w:val="false"/>
          <w:smallCaps w:val="false"/>
          <w:sz w:val="20"/>
        </w:rPr>
        <w:t>”), and Applied Optoelectronics, Inc., a Delaware corporation (“</w:t>
      </w:r>
      <w:r>
        <w:rPr>
          <w:rFonts w:ascii="Times New Roman;Times;Serif" w:hAnsi="Times New Roman;Times;Serif"/>
          <w:b/>
          <w:i w:val="false"/>
          <w:caps w:val="false"/>
          <w:smallCaps w:val="false"/>
          <w:sz w:val="20"/>
          <w:u w:val="single"/>
        </w:rPr>
        <w:t>Tenant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 and Basic Provisions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definitions and basic provisions set forth in the Basic Lease Information (the “</w:t>
      </w:r>
      <w:r>
        <w:rPr>
          <w:rFonts w:ascii="Times New Roman;Times;Serif" w:hAnsi="Times New Roman;Times;Serif"/>
          <w:b/>
          <w:i w:val="false"/>
          <w:caps w:val="false"/>
          <w:smallCaps w:val="false"/>
          <w:sz w:val="20"/>
          <w:u w:val="single"/>
        </w:rPr>
        <w:t>Basic Lease Information</w:t>
      </w:r>
      <w:r>
        <w:rPr>
          <w:rFonts w:ascii="Times New Roman;Times;Serif" w:hAnsi="Times New Roman;Times;Serif"/>
          <w:b w:val="false"/>
          <w:i w:val="false"/>
          <w:caps w:val="false"/>
          <w:smallCaps w:val="false"/>
          <w:sz w:val="20"/>
        </w:rPr>
        <w:t>”) set forth above are incorporated herein by reference for all purposes. Additionally, the following terms shall have the following meanings when used in this Lease: “</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means any person or entity which, directly or indirectly controls, is controlled by, or is under common control with the party in question; “</w:t>
      </w:r>
      <w:r>
        <w:rPr>
          <w:rFonts w:ascii="Times New Roman;Times;Serif" w:hAnsi="Times New Roman;Times;Serif"/>
          <w:b/>
          <w:i w:val="false"/>
          <w:caps w:val="false"/>
          <w:smallCaps w:val="false"/>
          <w:sz w:val="20"/>
          <w:u w:val="single"/>
        </w:rPr>
        <w:t>Building’s Structure</w:t>
      </w:r>
      <w:r>
        <w:rPr>
          <w:rFonts w:ascii="Times New Roman;Times;Serif" w:hAnsi="Times New Roman;Times;Serif"/>
          <w:b w:val="false"/>
          <w:i w:val="false"/>
          <w:caps w:val="false"/>
          <w:smallCaps w:val="false"/>
          <w:sz w:val="20"/>
        </w:rPr>
        <w:t>” means the Building’s exterior walls, roof, elevator shafts, footings, foundations, structural portions of load-bearing walls, structural floors and subfloors, and structural columns and beams; “</w:t>
      </w:r>
      <w:r>
        <w:rPr>
          <w:rFonts w:ascii="Times New Roman;Times;Serif" w:hAnsi="Times New Roman;Times;Serif"/>
          <w:b/>
          <w:i w:val="false"/>
          <w:caps w:val="false"/>
          <w:smallCaps w:val="false"/>
          <w:sz w:val="20"/>
          <w:u w:val="single"/>
        </w:rPr>
        <w:t>Building’s Systems</w:t>
      </w:r>
      <w:r>
        <w:rPr>
          <w:rFonts w:ascii="Times New Roman;Times;Serif" w:hAnsi="Times New Roman;Times;Serif"/>
          <w:b w:val="false"/>
          <w:i w:val="false"/>
          <w:caps w:val="false"/>
          <w:smallCaps w:val="false"/>
          <w:sz w:val="20"/>
        </w:rPr>
        <w:t>” means the Building’s HVAC, life-safety, plumbing, electrical, and mechanical systems; “</w:t>
      </w:r>
      <w:r>
        <w:rPr>
          <w:rFonts w:ascii="Times New Roman;Times;Serif" w:hAnsi="Times New Roman;Times;Serif"/>
          <w:b/>
          <w:i w:val="false"/>
          <w:caps w:val="false"/>
          <w:smallCaps w:val="false"/>
          <w:sz w:val="20"/>
          <w:u w:val="single"/>
        </w:rPr>
        <w:t>including</w:t>
      </w:r>
      <w:r>
        <w:rPr>
          <w:rFonts w:ascii="Times New Roman;Times;Serif" w:hAnsi="Times New Roman;Times;Serif"/>
          <w:b w:val="false"/>
          <w:i w:val="false"/>
          <w:caps w:val="false"/>
          <w:smallCaps w:val="false"/>
          <w:sz w:val="20"/>
        </w:rPr>
        <w:t>” means including, without limitation; “</w:t>
      </w:r>
      <w:r>
        <w:rPr>
          <w:rFonts w:ascii="Times New Roman;Times;Serif" w:hAnsi="Times New Roman;Times;Serif"/>
          <w:b/>
          <w:i w:val="false"/>
          <w:caps w:val="false"/>
          <w:smallCaps w:val="false"/>
          <w:sz w:val="20"/>
          <w:u w:val="single"/>
        </w:rPr>
        <w:t>Laws</w:t>
      </w:r>
      <w:r>
        <w:rPr>
          <w:rFonts w:ascii="Times New Roman;Times;Serif" w:hAnsi="Times New Roman;Times;Serif"/>
          <w:b w:val="false"/>
          <w:i w:val="false"/>
          <w:caps w:val="false"/>
          <w:smallCaps w:val="false"/>
          <w:sz w:val="20"/>
        </w:rPr>
        <w:t>” means all federal, state, and local laws, ordinances, rules and regulations, all court orders, governmental directives, and governmental orders, and all interpretations of the foregoing, and all restrictive covenants affecting this Lease or the Project, and “</w:t>
      </w:r>
      <w:r>
        <w:rPr>
          <w:rFonts w:ascii="Times New Roman;Times;Serif" w:hAnsi="Times New Roman;Times;Serif"/>
          <w:b/>
          <w:i w:val="false"/>
          <w:caps w:val="false"/>
          <w:smallCaps w:val="false"/>
          <w:sz w:val="20"/>
          <w:u w:val="single"/>
        </w:rPr>
        <w:t>Law</w:t>
      </w:r>
      <w:r>
        <w:rPr>
          <w:rFonts w:ascii="Times New Roman;Times;Serif" w:hAnsi="Times New Roman;Times;Serif"/>
          <w:b w:val="false"/>
          <w:i w:val="false"/>
          <w:caps w:val="false"/>
          <w:smallCaps w:val="false"/>
          <w:sz w:val="20"/>
        </w:rPr>
        <w:t>” means any of the foregoing; “</w:t>
      </w:r>
      <w:r>
        <w:rPr>
          <w:rFonts w:ascii="Times New Roman;Times;Serif" w:hAnsi="Times New Roman;Times;Serif"/>
          <w:b/>
          <w:i w:val="false"/>
          <w:caps w:val="false"/>
          <w:smallCaps w:val="false"/>
          <w:sz w:val="20"/>
          <w:u w:val="single"/>
        </w:rPr>
        <w:t>Tenant’s Off-Premises Equipment</w:t>
      </w:r>
      <w:r>
        <w:rPr>
          <w:rFonts w:ascii="Times New Roman;Times;Serif" w:hAnsi="Times New Roman;Times;Serif"/>
          <w:b w:val="false"/>
          <w:i w:val="false"/>
          <w:caps w:val="false"/>
          <w:smallCaps w:val="false"/>
          <w:sz w:val="20"/>
        </w:rPr>
        <w:t>” means any of Tenant’s equipment or other property that may be located on or about the Project (other than inside the Premises); and “</w:t>
      </w:r>
      <w:r>
        <w:rPr>
          <w:rFonts w:ascii="Times New Roman;Times;Serif" w:hAnsi="Times New Roman;Times;Serif"/>
          <w:b/>
          <w:i w:val="false"/>
          <w:caps w:val="false"/>
          <w:smallCaps w:val="false"/>
          <w:sz w:val="20"/>
          <w:u w:val="single"/>
        </w:rPr>
        <w:t>Tenant Party</w:t>
      </w:r>
      <w:r>
        <w:rPr>
          <w:rFonts w:ascii="Times New Roman;Times;Serif" w:hAnsi="Times New Roman;Times;Serif"/>
          <w:b w:val="false"/>
          <w:i w:val="false"/>
          <w:caps w:val="false"/>
          <w:smallCaps w:val="false"/>
          <w:sz w:val="20"/>
        </w:rPr>
        <w:t>” means any of the following persons: Tenant; any assignees claiming by, through, or under Tenant; any subtenants claiming by, through, or under Tenant; and any of their respective agents, contractors, employees, licensees, guests and invitees.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u w:val="single"/>
        </w:rPr>
        <w:t>Lease Grant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Subject to the terms of this Lease, Landlord leases to Tenant, and Tenant leases from Landlord, the Premises. Additionally, subject to the terms of this Lease and Landlord’s rules and regulations therefor, Tenant and its employees and invitees shall have a non-exclusive license to use any applicable driveways, loading dock areas, roadways, rail tracks and other similar improvements designated by Landlord from time to time as common areas for the common use and enjoyment of all tenants and occupants of the Complex. In addition, notwithstanding anything in this Lease to the contrary, Tenant shall have the exclusive right to use, on a “24 hour a day”, “365 days a year” basis and without any additional charge, the following: (a) the loading facilities and areas exclusively serving the Premises, (b) the trash removal area labeled and shown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as the “Tenant Trash Removal Area”, and (c) the parking areas (including trailer parking stalls) within the Project labeled and shown on Exhibit “A” attached hereto as the “Tenant Exclusive Parking Area” (so called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u w:val="single"/>
        </w:rPr>
        <w:t>Tender of Possession</w:t>
      </w:r>
      <w:r>
        <w:rPr>
          <w:rFonts w:ascii="Times New Roman;Times;Serif" w:hAnsi="Times New Roman;Times;Serif"/>
          <w:b/>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Landlord and Tenant anticipate the Work to be Substantially Complete on or about the date that is sixteen (16) months following the Lease Date (the “</w:t>
      </w:r>
      <w:r>
        <w:rPr>
          <w:rFonts w:ascii="Times New Roman;Times;Serif" w:hAnsi="Times New Roman;Times;Serif"/>
          <w:b/>
          <w:i w:val="false"/>
          <w:caps w:val="false"/>
          <w:smallCaps w:val="false"/>
          <w:sz w:val="20"/>
          <w:u w:val="single"/>
        </w:rPr>
        <w:t>Estimated Delivery Date</w:t>
      </w:r>
      <w:r>
        <w:rPr>
          <w:rFonts w:ascii="Times New Roman;Times;Serif" w:hAnsi="Times New Roman;Times;Serif"/>
          <w:b w:val="false"/>
          <w:i w:val="false"/>
          <w:caps w:val="false"/>
          <w:smallCaps w:val="false"/>
          <w:sz w:val="20"/>
        </w:rPr>
        <w:t>”). If the Work is not Substantially Complete by the Estimated Delivery Date, then (1) the validity of this Lease shall not be affected or impaired thereby, (2) Landlord shall not be in default hereunder or be liable for damages therefor, and (3) Tenant shall accept possession of the Premises when the Work is Substantially Complete. Notwithstanding the foregoing, if the Work is not Substantially Complete by the date that is eighteen (18) months following the Lease Date, as extended one day for each Tenant Delay Day or day of Force Majeure (the “</w:t>
      </w:r>
      <w:r>
        <w:rPr>
          <w:rFonts w:ascii="Times New Roman;Times;Serif" w:hAnsi="Times New Roman;Times;Serif"/>
          <w:b/>
          <w:i w:val="false"/>
          <w:caps w:val="false"/>
          <w:smallCaps w:val="false"/>
          <w:sz w:val="20"/>
          <w:u w:val="single"/>
        </w:rPr>
        <w:t>Outside Delivery Date</w:t>
      </w:r>
      <w:r>
        <w:rPr>
          <w:rFonts w:ascii="Times New Roman;Times;Serif" w:hAnsi="Times New Roman;Times;Serif"/>
          <w:b w:val="false"/>
          <w:i w:val="false"/>
          <w:caps w:val="false"/>
          <w:smallCaps w:val="false"/>
          <w:sz w:val="20"/>
        </w:rPr>
        <w:t>”), Basic Rent will be abated, commencing with Lease Month 1, one (1) day for each day after the Outside Delivery Date that occurs before the date the Work is Substantially Complete (the “</w:t>
      </w:r>
      <w:r>
        <w:rPr>
          <w:rFonts w:ascii="Times New Roman;Times;Serif" w:hAnsi="Times New Roman;Times;Serif"/>
          <w:b/>
          <w:i w:val="false"/>
          <w:caps w:val="false"/>
          <w:smallCaps w:val="false"/>
          <w:sz w:val="20"/>
          <w:u w:val="single"/>
        </w:rPr>
        <w:t>Actual Delivery Date</w:t>
      </w:r>
      <w:r>
        <w:rPr>
          <w:rFonts w:ascii="Times New Roman;Times;Serif" w:hAnsi="Times New Roman;Times;Serif"/>
          <w:b w:val="false"/>
          <w:i w:val="false"/>
          <w:caps w:val="false"/>
          <w:smallCaps w:val="false"/>
          <w:sz w:val="20"/>
        </w:rPr>
        <w:t xml:space="preserve">”), and if the Actual Delivery Date has not occurred by the date that is twenty-four (24) months following the Lease Date, then Tenant may terminate this Lease upon thirty (30) days’ advance written notice to Landlord but prior to the date on which Landlord Substantially Completes the Work; provided, however, that if the Actual Delivery Date occurs during such 30-day period, such termination shall be deemed rescinded and this Lease will continue in full force and effect. In the event of such termination, Landlord shall return to Tenant the Security Deposit and the Prepaid Rent within ten (10) days after the date of such termination, which obligation shall survive termination of this Lease. By occupying the Premises, Tenant shall be deemed to have accepted the Premises in their condition as of the date of such occupancy, subject to the performance of punch-list items that remain to be performed by Landlord, if any, and Landlord’s repair of latent defects of which Tenant provides Landlord written notice within one (1) year after the Actual Delivery Date. Prior to occupying the Premises, Tenant shall execute and deliver to Landlord a letter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confirming (1) the Commencement Date and the expiration date of the initial Term, (2) that Tenant has accepted the Premises, and (3) that Landlord has performed all of its obligations with respect to the Premises (except for punch-list items specified in such letter and Landlord’s repair of latent defects of which Tenant provides Landlord written notice within one (1) year after the Actual Delivery Date); however, the failure of the parties to execute such letter shall not defer the Commencement Date or otherwise invalidate this Lease. Occupancy of the Premises by Tenant prior to the Commencement Date shall be subject to all of the provisions of this Lease excepting only those requiring the payment of Basic Rent and Additional Rent.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Remeasurement</w:t>
      </w:r>
      <w:r>
        <w:rPr>
          <w:rFonts w:ascii="Times New Roman;Times;Serif" w:hAnsi="Times New Roman;Times;Serif"/>
          <w:b w:val="false"/>
          <w:i w:val="false"/>
          <w:caps w:val="false"/>
          <w:smallCaps w:val="false"/>
          <w:sz w:val="20"/>
        </w:rPr>
        <w:t>. Within thirty (30) days after Substantial Completion of the Work, Landlord shall cause (at Landlord’s sole cost) its architect to measure the area of the Building in accordance with BOMA International and the Society of Industrial and Office Realtors Industrial Buildings: Standard Methods of Measurement (ANSI Z65.2-2025), using Exterior Wall Methodology (Method A), and provide a written certification of such measurement to Landlord and Tenant. The area stipulated therein (absent manifest error of which a party notifies the other in writing within ten (10) days following receipt of the initial written certification) shall be fully applicable and binding on the parties until after such time, if ever, as any such measurement is effected, following which event the new measurements, if they differ from those herein set forth, shall be applicable to future obligations only. Upon such measurement(s), the square footage of the Premises and all other provisions in this Lease which are based on the square footage of the Premises and/or Building shall be adjusted accordingly. Landlord shall provide Tenant ten (10) days advance notice of the date of such measurement and Tenant shall be permitted to have one or more representatives present during such measurement.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u w:val="single"/>
        </w:rPr>
        <w:t>Rent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Tenant shall timely pay to Landlord Rent, without notice, demand, deduction or set off (except as otherwise expressly provided herein), by good and sufficient check drawn on a national banking association at Landlord’s address provided for in this Lease or as otherwise specified by Landlord and shall be accompanied by all applicable state and local sales or use taxes. The obligations of Tenant to pay Rent to Landlord and the obligations of Landlord under this Lease are independent obligations. Rent shall be payable monthly in advance. The first monthly installment of Basic Rent shall be payable contemporaneously with the execution of this Lease (the “</w:t>
      </w:r>
      <w:r>
        <w:rPr>
          <w:rFonts w:ascii="Times New Roman;Times;Serif" w:hAnsi="Times New Roman;Times;Serif"/>
          <w:b/>
          <w:i w:val="false"/>
          <w:caps w:val="false"/>
          <w:smallCaps w:val="false"/>
          <w:sz w:val="20"/>
          <w:u w:val="single"/>
        </w:rPr>
        <w:t>Prepaid Rent</w:t>
      </w:r>
      <w:r>
        <w:rPr>
          <w:rFonts w:ascii="Times New Roman;Times;Serif" w:hAnsi="Times New Roman;Times;Serif"/>
          <w:b w:val="false"/>
          <w:i w:val="false"/>
          <w:caps w:val="false"/>
          <w:smallCaps w:val="false"/>
          <w:sz w:val="20"/>
        </w:rPr>
        <w:t>”); thereafter, Basic Rent shall be payable on the first day of each month beginning on the first day of the second Lease Month. The monthly Rent for any partial month at the beginning of the Term shall equal the product of 1/365 of the annual Basic Rent (and Additional Rent) in effect during the partial month and the number of days in the partial month, and shall be due on the Commencement Date. Payments of Rent for any fractional calendar month at the end of the Term shall be similarly prorated.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Operating Costs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Tenant shall pay to Landlord Tenant’s Proportionate Share of the annual Operating Costs (defined below). Prior to each calendar year of the Term, Landlord shall make a good faith estimate of Tenant’s Proportionate Share of Operating Costs for the following calendar year or part thereof during the Term. During each calendar year or partial calendar year of the Term, Tenant shall pay to Landlord, in advance concurrently with each monthly installment of Basic Rent, an amount equal to the estimated Tenant’s Proportionate Share of Operating Costs for such calendar year or part thereof divided by the number of months therein. From time to time, but not more than once a calendar year, Landlord may re-estimate the amount of Tenant’s Proportionate Share of Operating Costs to be due by Tenant and deliver a copy of the re-estimate to Tenant. Thereafter, the monthly installments of Tenant’s Proportionate Share of Operating Costs shall be adjusted in accordance with the estimations so that, by the end of the calendar year in question, Tenant shall have paid all of Tenant’s Proportionate Share of Operating Costs as estimated by Landlord. Any amounts paid based on such an estimate shall be subject to adjustment as herein provided when actual Operating Costs are available for each calendar year.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term “</w:t>
      </w:r>
      <w:r>
        <w:rPr>
          <w:rFonts w:ascii="Times New Roman;Times;Serif" w:hAnsi="Times New Roman;Times;Serif"/>
          <w:b/>
          <w:i w:val="false"/>
          <w:caps w:val="false"/>
          <w:smallCaps w:val="false"/>
          <w:sz w:val="20"/>
          <w:u w:val="single"/>
        </w:rPr>
        <w:t>Operating Costs</w:t>
      </w:r>
      <w:r>
        <w:rPr>
          <w:rFonts w:ascii="Times New Roman;Times;Serif" w:hAnsi="Times New Roman;Times;Serif"/>
          <w:b w:val="false"/>
          <w:i w:val="false"/>
          <w:caps w:val="false"/>
          <w:smallCaps w:val="false"/>
          <w:sz w:val="20"/>
        </w:rPr>
        <w:t>” means all expenses and disbursements (subject to the limitations set forth below) that Landlord incurs in connection with the ownership, operation, and maintenance of the Project, determined in accordance with sound accounting principles consistently applied, including the following costs: (A) wages and salaries of all on-site employees at or below the grade of senior building manager, engaged in the operation, maintenance or security of the Project (together with Landlord’s reasonable allocation of expenses of off-site employees at or below the grade of senior building manager who perform a portion of their services in connection with the operation, maintenance or security of the Project), including taxes, insurance and benefits relating thereto; (B) all supplies and materials used in the operation, maintenance, repair, replacement, and security of the Project; (C) cost of all utilities (including fuel, gas, electricity, water, sewer, and other services) for the common areas and other non-tenant areas of the Project (e.g., mechanical, electrical and telecommunications rooms) as reasonably determined by Landlord; (D) repairs, replacements, and general maintenance of the Project including paving and parking areas, roads, roof repairs (Landlord is responsible for replacement of the roof as provided in Section 7), alleys and driveways, trash collection, sweeping and removal of trash for the common areas, mowing and snow removal, landscaping and exterior painting, the cost of maintaining utility lines, fire sprinklers and fire protection systems, exterior lighting, and mechanical and plumbing systems serving the Project and, to the extent the following items serve more than one tenant in the Project, dock doors, drains and sump pumps; (E) fair market rental and other costs with respect to the management office for the Project; (F) service, maintenance and management contracts with independent contractors for the operation, maintenance, management, repair, replacement, and security of the Project (including alarm service, window cleaning, and elevator maintenance); (G) reasonable costs of professional services rendered for the general benefit of the Project; (H) environmental insurance or environmental management fees; (I) the cost of any insurance deductibles for insurance required to be maintained by Landlord; and (J) costs for improvements made to the Project which, although capital in nature, are expected to reduce the normal operating costs (including all utility costs) of the Project, as amortized using a commercially reasonable interest rate over the time period reasonably estimated by Landlord to recover the costs thereof taking into consideration the anticipated cost savings, as determined by Landlord using its good faith, commercially reasonable judgment, as well as capital improvements made in order to comply with any Law hereafter promulgated by any governmental authority or any new interpretations of any Law hereafter rendered with respect to any existing Law, as amortized using a commercially reasonable interest rate over the useful economic life of such improvements as determined by Landlord in its reasonable discretion. The parties acknowledge the Project is part of an industrial park complex (the “</w:t>
      </w:r>
      <w:r>
        <w:rPr>
          <w:rFonts w:ascii="Times New Roman;Times;Serif" w:hAnsi="Times New Roman;Times;Serif"/>
          <w:b/>
          <w:i w:val="false"/>
          <w:caps w:val="false"/>
          <w:smallCaps w:val="false"/>
          <w:sz w:val="20"/>
          <w:u w:val="single"/>
        </w:rPr>
        <w:t>Complex</w:t>
      </w:r>
      <w:r>
        <w:rPr>
          <w:rFonts w:ascii="Times New Roman;Times;Serif" w:hAnsi="Times New Roman;Times;Serif"/>
          <w:b w:val="false"/>
          <w:i w:val="false"/>
          <w:caps w:val="false"/>
          <w:smallCaps w:val="false"/>
          <w:sz w:val="20"/>
        </w:rPr>
        <w:t>”), Operating Costs, Taxes (defined below) and Insurance Costs (defined below) for the Complex may be prorated among the Project and the other buildings of the Complex, as reasonably determined by Landlord.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shall not include costs for (i) capital improvements made to the Project or the Complex, other than capital improvements described in Section 4(b)(2)(J) and except for items which are generally considered maintenance and repair items, such as painting of common areas, replacement of carpet in elevator lobbies (if any), and the like; (ii) repair, replacements and general maintenance paid by proceeds of insurance or by Tenant or other third parties; (iii) interest, amortization or other payments on loans to Landlord; (iv) depreciation; (v) leasing commissions; (vi) legal expenses for services, other than those that benefit the Project tenants generally (e.g., tax disputes); (vii) Taxes; (viii) Insurance Costs; (ix) renovating or otherwise improving space for occupants of the Project or the Complex or vacant space in the Project or the Complex; (x) [intentionally omitted]; (xi) overhead and profit increment paid to Landlord or to subsidiaries or affiliates of Landlord for goods and/or services in or to the Complex to the extent the same exceeds the costs of such goods and/or services rendered by unaffiliated third parties on a competitive basis; (xii) costs of any impact or tap fees or any sewer or water connection fees for the benefit of any particular tenant in the Complex; (xiii) any costs incurred in the removal, containment encapsulation or disposal of or repair or cleaning or monitoring of areas affected by any Hazardous Materials unless same arise due to the acts or omissions of Tenant; (xiv) any costs incurred in connection with the original design, construction, and landscaping of the Complex; (xv) Landlord’s general corporate overhead and general administrative expenses; (xvi) wages, salaries, benefits, or other costs of employees above the grade of “building manager” or similar title; (xvii) any administrative or management fee(s) in excess of three percent (3%) of the gross revenue of the Complex; (xviii) reserves of any kind; or (xix) any costs necessitated by or resulting from the gross negligence or willful misconduct of Landlord, or its agents, contractors, or employees.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Tenant shall also pay Tenant’s Proportionate Share of the Taxes for each year and partial year falling within the Term. Tenant shall pay Tenant’s Proportionate Share of Taxes in the same manner as provided above for Tenant’s Proportionate Share of Operating Costs.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 means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for common charges under a restrictive covenant or other private agreement that are not treated as part of Operating Costs) now or hereafter attributable to the Project or its operation (including the franchise tax set forth in V.T.C.A. Tax Code section 171.0001 et seq., as the same may be amended or recorded from time to time), excluding, however, penalties and interest thereon and federal and state taxes on income (if the present method of taxation changes so that in lieu of or in addition to the whole or any part of any Taxes, there is levied on Landlord a capital tax, sales tax, or use tax directly on the rents received therefrom or a franchise tax, assessment, or charge based, in whole or in part, upon such rents for the Project, then all such taxes, assessments, or charges, or the part thereof so based, shall be deemed to be included within the term “Taxes” for purposes hereof). Taxes shall include the reasonable costs of consultants retained in an effort to lower taxes and all costs incurred in disputing any taxes or in seeking to lower the tax valuation of the Project. Notwithstanding the foregoing, (i) Taxes will exclude income, margin, franchise inheritance, transfer, gift and “roll-back” or similar taxes, penalties or interest other than those attributable to Tenant’s failure to comply timely with its obligations under this Lease, (ii) in the event that any Taxes may be paid in installments, Tenant shall have the option to pay such Taxes in installments; and in such event, Tenant shall be liable only for those installments that are allocable to periods during the Term and become due and payable during the Term, and (iii) the Fort Bend County Municipal Utility District No. 168 (the “</w:t>
      </w:r>
      <w:r>
        <w:rPr>
          <w:rFonts w:ascii="Times New Roman;Times;Serif" w:hAnsi="Times New Roman;Times;Serif"/>
          <w:b/>
          <w:i w:val="false"/>
          <w:caps w:val="false"/>
          <w:smallCaps w:val="false"/>
          <w:sz w:val="20"/>
          <w:u w:val="single"/>
        </w:rPr>
        <w:t>MUD</w:t>
      </w:r>
      <w:r>
        <w:rPr>
          <w:rFonts w:ascii="Times New Roman;Times;Serif" w:hAnsi="Times New Roman;Times;Serif"/>
          <w:b w:val="false"/>
          <w:i w:val="false"/>
          <w:caps w:val="false"/>
          <w:smallCaps w:val="false"/>
          <w:sz w:val="20"/>
        </w:rPr>
        <w:t>”) tax rate for the Real Property shall not exceed $1.00 per $100.00 of taxable value.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For property tax purposes, Tenant waives all rights to protest or appeal the appraised value of the Premises, as well as the Project, and all rights to receive notices of reappraisement, as set forth in Sections 41.413 and 42.015 of the Texas Tax Code. Landlord agrees to consult with a real estate tax consultant or advisor engaged by it from time to time and in the exercise of reasonable and prudent ownership judgment contest any unreasonable tax assessment to the extent such tax counsel advises Landlord that a reasonable basis exists therefor. Upon at least 10 days’ written request from Tenant, Landlord will confirm to Tenant by April 30 of any calendar year during the Term, whether it will protest or appeal the appraised value of the Project. If Landlord fails to respond to such inquiry by April 30 of any calendar year or responds to Tenant that it will not protest or appeal the appraised value of the Project, then notwithstanding the terms of this Section 4(b)(4), Tenant may protest or appeal the appraised value of the Project.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By April 1 of each calendar year, or as soon thereafter as practicable, Landlord shall furnish to Tenant a statement of Operating Costs and Taxes for the previous year (the “</w:t>
      </w:r>
      <w:r>
        <w:rPr>
          <w:rFonts w:ascii="Times New Roman;Times;Serif" w:hAnsi="Times New Roman;Times;Serif"/>
          <w:b/>
          <w:i w:val="false"/>
          <w:caps w:val="false"/>
          <w:smallCaps w:val="false"/>
          <w:sz w:val="20"/>
          <w:u w:val="single"/>
        </w:rPr>
        <w:t>Operating Costs and Tax Statement</w:t>
      </w:r>
      <w:r>
        <w:rPr>
          <w:rFonts w:ascii="Times New Roman;Times;Serif" w:hAnsi="Times New Roman;Times;Serif"/>
          <w:b w:val="false"/>
          <w:i w:val="false"/>
          <w:caps w:val="false"/>
          <w:smallCaps w:val="false"/>
          <w:sz w:val="20"/>
        </w:rPr>
        <w:t>”). If Tenant’s estimated payments of Operating Costs or Taxes under this Section 4(b) for the year covered by the Operating Costs and Tax Statement exceed Tenant’s Proportionate Share of such items as indicated in the Operating Costs and Tax Statement, then Landlord shall promptly credit or reimburse Tenant for such excess; likewise, if Tenant’s estimated payments of Operating Costs or Taxes under this Section 4(b) for such year are less than Tenant’s Proportionate Share of such items as indicated in the Operating Costs and Tax Statement, then Tenant shall promptly pay Landlord such deficiency.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Notwithstanding the foregoing, commencing with the first full calendar year after the first anniversary of the Commencement Date, the amount of Controllable Expenses (defined below) for purposes of calculating Tenant’s Proportionate Share of Operating Costs under Section 4(b) shall not increase by more than seven percent (7%) over Tenant’s Proportionate Share of Controllable Expenses in the previous calendar year, cumulative and compounded. The term “Controllable Expenses” means all Operating Costs but excludes all expenses relating to the cost of utilities, security expenses, insurance, real estate taxes and assessments, and other expenses that are deemed by industry standards to be uncontrollable to the extent same constitute Operating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Audit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Provided that no Event of Default is then outstanding, Tenant shall have the right to inspect, at reasonable times and in a reasonable manner, during the sixty (60) day period following the delivery of the Operating Costs and Tax Statement (the “</w:t>
      </w:r>
      <w:r>
        <w:rPr>
          <w:rFonts w:ascii="Times New Roman;Times;Serif" w:hAnsi="Times New Roman;Times;Serif"/>
          <w:b/>
          <w:i w:val="false"/>
          <w:caps w:val="false"/>
          <w:smallCaps w:val="false"/>
          <w:sz w:val="20"/>
          <w:u w:val="single"/>
        </w:rPr>
        <w:t>Inspection Period</w:t>
      </w:r>
      <w:r>
        <w:rPr>
          <w:rFonts w:ascii="Times New Roman;Times;Serif" w:hAnsi="Times New Roman;Times;Serif"/>
          <w:b w:val="false"/>
          <w:i w:val="false"/>
          <w:caps w:val="false"/>
          <w:smallCaps w:val="false"/>
          <w:sz w:val="20"/>
        </w:rPr>
        <w:t>”), such of Landlord’s books of account and records as pertain to and contain information concerning the Operating Costs and Taxes for the prior calendar year in order to verify the amounts thereof. Such inspection shall take place at Landlord’s office upon at least fifteen (15) days prior written notice from Tenant to Landlord. Tenant shall also agree to follow Landlord’s reasonable procedures for auditing such books and records. Landlord and Tenant shall act reasonably in assessing the other party’s calculation of the Operating Costs and Taxes. Tenant shall provide Landlord with a copy of its findings within thirty (30) days after completion of the audit. Tenant’s failure to exercise its rights hereunder within the Inspection Period shall be deemed a waiver of its right to inspect or contest the method, accuracy or amount of such Operating Costs and Taxes.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Landlord’s calculation of the Operating Costs and Taxes or Tenant’s Proportionate Share thereof for the inspected calendar year was incorrect, the parties shall enter into a written agreement confirming such undisputed error and then Landlord shall make a correcting payment in full to Tenant within thirty (30) days after the determination of the amount of such error or credit such amount against future Additional Rent if Tenant overpaid such amount, and Tenant shall pay Landlord within thirty (30) days after the determination of such error if Tenant underpaid such amount. In the event of any errors on the part of Landlord that cost Tenant in excess of $5,000, Landlord will also reimburse Tenant for the costs of an audit reasonably incurred by Tenant (not to exceed $5,000) within the above thirty (30) day period. If Tenant provides Landlord with written notice disputing the correctness of Landlord’s statement, and if such dispute shall have not been settled by agreement within thirty (30) days after Tenant provides Landlord with such written notice, Tenant may submit the dispute to a reputable firm of independent certified public accountants selected by Tenant and reasonably approved by Landlord, and the decision of such accountants shall be conclusive and binding upon the parties. If such accountant decides that there was an error, Landlord will make correcting payment if Tenant overpaid such amount, and Tenant shall pay Landlord if Tenant underpaid such amount. The fees and expenses involved in such decision shall be borne by the party required to pay for the audit.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Tenant shall maintain the results of each such audit or inspection confidential and shall not be permitted to use any third party to perform such audit or inspection, other than an independent firm of certified public accountants (1) reasonably acceptable to Landlord, (2) which is not compensated on a contingency fee basis or in any other manner which is dependent upon the results of such audit or inspection (and Tenant shall deliver the fee agreement or other similar evidence of such fee arrangement to Landlord upon request), and (3) which agrees with Landlord in writing to maintain the results of such audit or inspection confidential. Nothing in this Section 4(c) shall be construed to limit, suspend or abate Tenant’s obligation to pay Rent when due, including Additional Rent.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u w:val="single"/>
        </w:rPr>
        <w:t>Delinquent Payment; Handling Charges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payments required of Tenant hereunder not received within three (3) business days of the date due shall bear interest from the date due until paid at the lesser of eighteen percent per annum or the maximum lawful rate of interest (such lesser amount is referred to herein as the “</w:t>
      </w:r>
      <w:r>
        <w:rPr>
          <w:rFonts w:ascii="Times New Roman;Times;Serif" w:hAnsi="Times New Roman;Times;Serif"/>
          <w:b/>
          <w:i w:val="false"/>
          <w:caps w:val="false"/>
          <w:smallCaps w:val="false"/>
          <w:sz w:val="20"/>
          <w:u w:val="single"/>
        </w:rPr>
        <w:t>Default Rate</w:t>
      </w:r>
      <w:r>
        <w:rPr>
          <w:rFonts w:ascii="Times New Roman;Times;Serif" w:hAnsi="Times New Roman;Times;Serif"/>
          <w:b w:val="false"/>
          <w:i w:val="false"/>
          <w:caps w:val="false"/>
          <w:smallCaps w:val="false"/>
          <w:sz w:val="20"/>
        </w:rPr>
        <w:t>”); additionally, Landlord, in addition to all other rights and remedies available to it, may charge Tenant a fee equal to the greater of (a) $50.00 or (b) five percent of the delinquent payment to reimburse Landlord for its cost and inconvenience incurred as a consequence of Tenant’s delinquency. In no event, however, shall the charges permitted under this Section 5 or elsewhere in this Lease, to the extent they are considered to be interest under applicable Law, exceed the maximum lawful rate of interest. Notwithstanding the foregoing, the interest and late fee referenced above shall not be charged with respect to the first occurrence (but not any subsequent occurrence) during any 12-month period that Tenant fails to make payment within three (3) business days of the date due, until five days after Landlord delivers written notice of such delinquency to Tenant.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val="false"/>
          <w:i w:val="false"/>
          <w:caps w:val="false"/>
          <w:smallCaps w:val="false"/>
          <w:sz w:val="20"/>
          <w:u w:val="single"/>
        </w:rPr>
        <w:t>Security Deposit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Contemporaneously with the execution of this Lease, Tenant shall pay to Landlord a portion of the Security Deposit equal to $450,000, and within ten (10) days following the Commencement Date, Tenant shall pay to Landlord a portion of the Security Deposit equal to $7,050,000, all of which shall be held by Landlord to secure Tenant's performance of its obligations under this Lease. The Security Deposit is not an advance payment of Rent or a measure or limit of Landlord's damages upon an Event of Default (as defined herein). Landlord may, from time to time following an Event of Default and without prejudice to any other remedy, use all or a part of the Security Deposit to perform any obligation Tenant fails to perform hereunder. Following any such application of the Security Deposit, Tenant shall pay to Landlord on demand the amount so applied in order to restore the Security Deposit to its original amount. Subject to the requirements of, and conditions imposed by, Laws applicable to security deposits under commercial leases, Landlord shall, within the time required by applicable Law, return to Tenant the portion of the Security Deposit remaining after deducting all damages, charges and other amounts permitted by Law. Landlord and Tenant agree that such deductions shall include, without limitation, all damages and losses that Landlord has suffered or that Landlord reasonably estimates that it will suffer as a result of any breach of this Lease by Tenant. The Security Deposit may be commingled with other funds, and no interest shall be paid thereon. If Landlord transfers its interest in the Premises, Landlord will assign the Security Deposit to the transferee and, upon such transfer and the delivery to Tenant of an acknowledgement of the transferee's responsibility for the Security Deposit as provided by Law, Landlord thereafter shall have no further liability for the return of the Security Deposit. Notwithstanding anything to the contrary set forth herein, (i) if no Event of Default occurs during the first twelve (12) Lease Months, then upon written request of Tenant, Landlord will reduce the Security Deposit by $2,250,000; (ii) if no Event of Default occurs during Lease Months thirteen (13) through twenty-four (24), then upon written request of Tenant, Landlord will further reduce the Security Deposit by an additional $2,250,000; and (iii) if no Event of Default occurs during Lease Months twenty-five (25) through thirty-six (36), then upon written request of Tenant, Landlord will further reduce the Security Deposit by an additional $2,550,000, leaving a Security Deposit balance of $450,000. Each reduction in the Security Deposit will be applied by Landlord to Tenant’s next accruing installments of Basic Rent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val="false"/>
          <w:i w:val="false"/>
          <w:caps w:val="false"/>
          <w:smallCaps w:val="false"/>
          <w:sz w:val="20"/>
          <w:u w:val="single"/>
        </w:rPr>
        <w:t>Landlord’s Maintenance Obligations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Lease is intended to be a net lease; accordingly, Landlord’s maintenance obligations are limited to the replacement of the Building’s Structure; Landlord shall not be responsible for any such work until Tenant notifies Landlord of the need therefor in writing. The Building’s Structure does not include skylights, windows, glass or plate glass, doors or overhead doors, special fronts, or office entries, dock bumpers, dock plates or levelers, loading areas and docks, and loading dock equipment, all of which shall be maintained by Tenant. Landlord’s liability for any defects, repairs, replacement or maintenance for which Landlord is specifically responsible for under this Lease shall be limited to the cost of performing the work. Additionally, Landlord shall maintain the parking areas, and other common areas of the Building, including driveways, alleys, landscape and grounds surrounding the Premises and utility lines in a good condition, consistent with the operation of a bulk warehouse/industrial or service center facility, including maintenance, repair, and replacement of any rail tracks serving the Premises, the exterior of the Building (including painting), landscaping sprinkler systems, and any items normally associated with the foregoing. All costs in performing the work described in the foregoing sentence shall be included in Operating Costs. Tenant shall promptly notify Landlord in writing of any work required to be performed under this Section 7, and Landlord shall not be responsible for performing such work until Tenant delivers to Landlord such notice. Notwithstanding anything to the contrary contained herein, Landlord shall, in its commercially reasonable discretion, determine the appropriate remedial action required of it to satisfy its maintenance obligations hereunder (e.g., Landlord shall, in its commercially reasonable discretion, determine whether, and to the extent, repairs or replacements are the appropriate remedial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val="false"/>
          <w:i w:val="false"/>
          <w:caps w:val="false"/>
          <w:smallCaps w:val="false"/>
          <w:sz w:val="20"/>
          <w:u w:val="single"/>
        </w:rPr>
        <w:t>Improvements; Alterations; Tenant’s Maintenance and Repair Obligations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Improvements; Alterations</w:t>
      </w:r>
      <w:r>
        <w:rPr>
          <w:rFonts w:ascii="Times New Roman;Times;Serif" w:hAnsi="Times New Roman;Times;Serif"/>
          <w:b w:val="false"/>
          <w:i w:val="false"/>
          <w:caps w:val="false"/>
          <w:smallCaps w:val="false"/>
          <w:sz w:val="20"/>
        </w:rPr>
        <w:t xml:space="preserve">. Except for the Work to be performed pursuant to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all alterations and improvements to the Premises shall be installed at Tenant’s expense only in accordance with plans and specifications which have been previously approved in writing by Landlord, which approval shall be governed by the provisions set forth in this Section 8(a). No alterations or additions in or to the Premises may be made without Landlord’s prior written consent, which shall not be unreasonably withheld or delayed; however, Landlord may withhold its consent to any alteration or addition that would adversely affect (in the reasonable discretion of Landlord) (1) the Building’s Structure or the Building’s Systems (including the Building’s restrooms or mechanical rooms), (2) the exterior appearance of the Building, (3) the appearance of the Building’s common areas, or (4) the provision of services to other Building occupants. Tenant shall not paint or install lighting or decorations, signs, window or door lettering, or advertising media of any type visible from the exterior of the Premises without the prior written consent of Landlord, which consent may be withheld in Landlord’s sole and absolute discretion. All alterations, additions, and improvements shall be constructed, maintained, and used by Tenant, at its risk and expense, in accordance with all Laws; Landlord’s consent to or approval of any alterations, additions or improvements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 Notwithstanding the foregoing, Tenant may, without Landlord’s consent, make non-structural alterations to the interior of the Premises (collectively, “</w:t>
      </w:r>
      <w:r>
        <w:rPr>
          <w:rFonts w:ascii="Times New Roman;Times;Serif" w:hAnsi="Times New Roman;Times;Serif"/>
          <w:b/>
          <w:i w:val="false"/>
          <w:caps w:val="false"/>
          <w:smallCaps w:val="false"/>
          <w:sz w:val="20"/>
          <w:u w:val="single"/>
        </w:rPr>
        <w:t>Non-Structural Alterations</w:t>
      </w:r>
      <w:r>
        <w:rPr>
          <w:rFonts w:ascii="Times New Roman;Times;Serif" w:hAnsi="Times New Roman;Times;Serif"/>
          <w:b w:val="false"/>
          <w:i w:val="false"/>
          <w:caps w:val="false"/>
          <w:smallCaps w:val="false"/>
          <w:sz w:val="20"/>
        </w:rPr>
        <w:t>”) provided that (i) the cost does not exceed two hundred thousand dollars ($200,000) for any one project, (ii) such alterations do not affect the Building’s Structure or the Building’s Systems and do not require issuance of a building permit, (iii) Tenant provides Landlord with prior written notice of its intention to make such alterations stating in reasonable detail the nature, extent and estimated cost of such alterations, together with, if applicable, the plans and specifications for the same (collectively, a “</w:t>
      </w:r>
      <w:r>
        <w:rPr>
          <w:rFonts w:ascii="Times New Roman;Times;Serif" w:hAnsi="Times New Roman;Times;Serif"/>
          <w:b/>
          <w:i w:val="false"/>
          <w:caps w:val="false"/>
          <w:smallCaps w:val="false"/>
          <w:sz w:val="20"/>
          <w:u w:val="single"/>
        </w:rPr>
        <w:t>Non-Structural Alterations Notice</w:t>
      </w:r>
      <w:r>
        <w:rPr>
          <w:rFonts w:ascii="Times New Roman;Times;Serif" w:hAnsi="Times New Roman;Times;Serif"/>
          <w:b w:val="false"/>
          <w:i w:val="false"/>
          <w:caps w:val="false"/>
          <w:smallCaps w:val="false"/>
          <w:sz w:val="20"/>
        </w:rPr>
        <w:t>”), and (iv) Tenant’s construction of such alterations otherwise complies with the terms of this Section 8.</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Repairs; Maintenance</w:t>
      </w:r>
      <w:r>
        <w:rPr>
          <w:rFonts w:ascii="Times New Roman;Times;Serif" w:hAnsi="Times New Roman;Times;Serif"/>
          <w:b w:val="false"/>
          <w:i w:val="false"/>
          <w:caps w:val="false"/>
          <w:smallCaps w:val="false"/>
          <w:sz w:val="20"/>
        </w:rPr>
        <w:t>. Tenant shall maintain the Premises, including the loading areas and dock, and loading dock equipment in connection with the Premises, in a clean, safe, and operable condition, and shall not permit or allow to remain damage to any portion of the Premises. Additionally, Tenant, at its sole expense, shall repair, replace and maintain in good condition and in accordance with all Laws and the equipment manufacturer’s suggested service programs, all portions of the Premises, Tenant’s Off-Premises Equipment and all areas, improvements and systems exclusively serving the Premises including loading docks, sump pumps, dock wells, dock equipment and loading areas, dock doors, dock seals, overhead doors, “levellors” and similar leveling equipment, plumbing, water, fire sprinkler system, and sewer lines up to points of common connection, entries, doors, ceilings, windows, interior walls, and the interior side of demising walls, and heating, ventilation and air conditioning systems (including any evaporative units), and other building and mechanical systems serving the Premises. Such repair and replacements include capital expenditures and repairs whose benefit may extend beyond the Term. Upon written request of Tenant, Landlord will enforce for the benefit of Tenant, any warranties received by Landlord which are applicable to the portions of the Premises to be maintained by Tenant hereunder. If Tenant fails to perform any of its maintenance obligations hereunder and such failure continues for five (5) business days after written notice from Landlord (or such longer period as may be reasonably required provided Tenant commences to perform such required maintenance within such five (5) business-day period and proceeds diligently to completion), then Landlord may make the same at Tenant’s cost. Tenant shall repair or replace, subject to Landlord’s direction and supervision, any damage to the Building caused by a Tenant Party. If Tenant fails to make such repairs or replacements within 15 days after the occurrence of such damage (or such longer period as may be reasonably required provided Tenant commences to make such repairs or replacements within such 15-day period and proceeds diligently to completion), then Landlord may make the same at Tenant’s cost. If any such damage occurs outside of the Premises, then Landlord may elect to repair such damage at Tenant’s expense, rather than having Tenant repair such damage. The reasonable costs of all maintenance, repair or replacement work performed by Landlord under this Section 8 shall be paid by Tenant to Landlord within 30 days after Landlord has invoiced Tenant therefor.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Performance of Work</w:t>
      </w:r>
      <w:r>
        <w:rPr>
          <w:rFonts w:ascii="Times New Roman;Times;Serif" w:hAnsi="Times New Roman;Times;Serif"/>
          <w:b w:val="false"/>
          <w:i w:val="false"/>
          <w:caps w:val="false"/>
          <w:smallCaps w:val="false"/>
          <w:sz w:val="20"/>
        </w:rPr>
        <w:t xml:space="preserve">. All work described in this Section 8 shall be performed only by Landlord or by contractors and subcontractors approved in writing by Landlord, which approval will not be unreasonably withheld for contractors and subcontractors that maintain the insurance coverages in compliance with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attached hereto. Tenant shall cause all contractors and subcontractors to procure and maintain insurance coverage naming Landlord, Landlord’s property management company and Landlord’s asset management company as additional insureds against such risks, in such amounts, with such companies, and coverage in compliance with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attached hereto. Tenant shall provide Landlord with the identities, mailing addresses and telephone numbers of all persons performing work or supplying materials prior to beginning such construction and Landlord may post on and about the Premises notices of non-responsibility pursuant to applicable Laws. All work shall be performed in accordance with all Laws and in a good and workmanlike manner so as not to damage the Building (including the Premises, the Building’s Structure and the Building’s Systems). All such work which may affect the Building’s Structure or the Building’s Systems must be approved by the Building’s engineer of record, at Tenant’s expense and, at Landlord’s election, must be performed by Landlord’s usual contractor for such work. All work affecting the Building roof must be performed by Landlord’s roofing contractor, and will not be permitted if it would void or reduce the warranty on the roof.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Liens</w:t>
      </w:r>
      <w:r>
        <w:rPr>
          <w:rFonts w:ascii="Times New Roman;Times;Serif" w:hAnsi="Times New Roman;Times;Serif"/>
          <w:b w:val="false"/>
          <w:i w:val="false"/>
          <w:caps w:val="false"/>
          <w:smallCaps w:val="false"/>
          <w:sz w:val="20"/>
        </w:rPr>
        <w:t>. All work performed, materials furnished, or obligations incurred by or at the request of a Tenant Party shall be deemed authorized and ordered by Tenant only, and Tenant shall not permit any mechanic’s liens to be filed against the Premises or the Project in connection therewith. Promptly following completion of any such work, Tenant shall deliver to Landlord final lien waivers from all contractors, subcontractors and materialmen who performed such work costing in excess of $5,000. If a lien is filed, then Tenant shall, within twenty days after Landlord has delivered notice of the filing thereof to Tenant (or earlier, as necessary to prevent the forfeiture of the Premises, the Project or any interest of Landlord therein or the imposition of any fine with respect thereto), either (1) pay the amount of the lien and cause the lien to be released of record, or (2) diligently contest such lien and deliver to Landlord a bond or other security reasonably satisfactory to Landlord. If Tenant fails to timely take either such action, then Landlord may pay the lien claim, and any amounts so paid, including expenses and interest, shall be paid by Tenant to Landlord within ten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during the Term, are hereby charged with notice that they look exclusively to Tenant to obtain payment for same. Nothing herein shall be deemed a consent by Landlord to any liens being placed upon the Premises, the Project or Landlord’s interest therein due to any work performed by or for Tenant or deemed to give any contractor or subcontractor or materialman any right or interest in any funds held by Landlord to reimburse Tenant for any portion of the cost of such work. Tenant shall defend, indemnify and hold harmless Landlord and its agents and representatives from and against all claims, demands, causes of action, suits, judgments, damages and expenses (including attorneys’ fees) in any way arising from or relating to the failure by any Tenant Party to pay for any work performed, materials furnished, or obligations incurred by or at the request of a Tenant Party. This indemnity provision shall survive termination or expiration of this Lease.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Janitorial Services</w:t>
      </w:r>
      <w:r>
        <w:rPr>
          <w:rFonts w:ascii="Times New Roman;Times;Serif" w:hAnsi="Times New Roman;Times;Serif"/>
          <w:b w:val="false"/>
          <w:i w:val="false"/>
          <w:caps w:val="false"/>
          <w:smallCaps w:val="false"/>
          <w:sz w:val="20"/>
        </w:rPr>
        <w:t>. Tenant, at its sole expense, shall provide janitorial services to the Premises and shall maintain the Premises in a clean and safe condition. Tenant shall store all trash and garbage within the Tenant Trash Removal Area and shall, at its sole expense, arrange for the regular pickup of such trash and garbage pursuant to reasonable regulations established by Landlord from time to time. If Tenant fails to provide janitorial services to the Premises or trash removal services in compliance with the foregoing and such failure continues for more than five (5) days after written notice to Tenant (or more than twice in any 12-month period), Landlord, in addition to any other rights and remedies available to it, may provide such services, and Tenant shall pay to Landlord the cost thereof, plus an administrative fee equal to 15% of such cost, within ten days after Landlord delivers to Tenant an invoice therefor.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val="false"/>
          <w:i w:val="false"/>
          <w:caps w:val="false"/>
          <w:smallCaps w:val="false"/>
          <w:sz w:val="20"/>
          <w:u w:val="single"/>
        </w:rPr>
        <w:t>Utilities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pay for all water, gas, electricity, heat, telephone, sewer, sprinkler charges and other utilities and services used at the Premises, together with any taxes, penalties, surcharges, connection charges, maintenance charges, and the like pertaining to Tenant’s use of the Premises. Landlord shall, at Landlord’s expense, submeter water for the Premises and bill Tenant directly for its use of such utility service. To the extent any utility service for the Premises is submetered, the meter shall be read by Landlord or Landlord’s designee, and Tenant shall pay to Landlord, within 30 days after receipt of an invoice therefor, the cost of such service based on rates charged for such service by the utility company furnishing such service, including all fuel adjustment charges, demand charges and taxes. To the extent that any particular utility is not separately metered or submetered as provided above (e.g., water or sewer charges), Landlord shall, using its good-faith, reasonable judgment, allocate the expenses for such utility among the existing tenants of the Project based upon density, usage, and other factors in Landlord’s reasonable judgment. Tenant, at its expense, shall obtain all utility services for the Premises (other than utilities submetered or otherwise provided to the Premises by Landlord). Landlord shall not be liable for any interruption or failure of utility service to the Premises, and such interruption or failure of utility service shall not be a constructive eviction of Tenant, constitute a breach of any implied warranty, or, except as provided in the next sentence, entitle Tenant to any abatement of Tenant’s obligations hereunder. If, however, Tenant is prevented from using the Premises for more than five (5) consecutive business days because of the unavailability of any such service and such unavailability was caused by Landlord, its agents, employees or contractors, and restoration of such service is within the reasonable control of Landlord (a “</w:t>
      </w:r>
      <w:r>
        <w:rPr>
          <w:rFonts w:ascii="Times New Roman;Times;Serif" w:hAnsi="Times New Roman;Times;Serif"/>
          <w:b/>
          <w:i w:val="false"/>
          <w:caps w:val="false"/>
          <w:smallCaps w:val="false"/>
          <w:sz w:val="20"/>
          <w:u w:val="single"/>
        </w:rPr>
        <w:t>Service Interruption</w:t>
      </w:r>
      <w:r>
        <w:rPr>
          <w:rFonts w:ascii="Times New Roman;Times;Serif" w:hAnsi="Times New Roman;Times;Serif"/>
          <w:b w:val="false"/>
          <w:i w:val="false"/>
          <w:caps w:val="false"/>
          <w:smallCaps w:val="false"/>
          <w:sz w:val="20"/>
        </w:rPr>
        <w:t>”), then Tenant, as its exclusive remedy is entitled to a reasonable abatement of Rent for each consecutive day (after such 5 business-day period) that Tenant is so prevented from using the Premises. Notwithstanding anything herein to the contrary, Landlord shall use commercially reasonable efforts to restore the availability of any such service following an interruption, and Landlord shall use commercially reasonable efforts to coordinate any planned interruptions outside of normal business hours. Rent shall not abate by reason of the interruption, insufficiency, unavailability or discontinuance of such service if such unavailability or discontinuance was not caused by Landlord, its agents, employees or contractors and restoration of such service is not within the reasonable control of Landlord.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val="false"/>
          <w:i w:val="false"/>
          <w:caps w:val="false"/>
          <w:smallCaps w:val="false"/>
          <w:sz w:val="20"/>
          <w:u w:val="single"/>
        </w:rPr>
        <w:t>Use and Compliance with Law</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Use</w:t>
      </w:r>
      <w:r>
        <w:rPr>
          <w:rFonts w:ascii="Times New Roman;Times;Serif" w:hAnsi="Times New Roman;Times;Serif"/>
          <w:b w:val="false"/>
          <w:i w:val="false"/>
          <w:caps w:val="false"/>
          <w:smallCaps w:val="false"/>
          <w:sz w:val="20"/>
        </w:rPr>
        <w:t>. Tenant shall use the Premises only for the Permitted Use and shall comply with all Laws relating to this Lease and/or the use and occupancy of the Premises and will not commit waste, overload the Building’s Structure or the Building’s Systems. The Premises shall not be used for any use which is disreputable, or creates extraordinary fire hazards, or for the storage of any Hazardous Materials (except as provided in Section 27 hereto). Outside storage, including storage of trucks or other vehicles, is prohibited without Landlord’s prior written consent. If, because of a Tenant Party’s acts or because Tenant vacates the Premises, the rate of insurance on the Building or its contents increases, then Tenant shall pay to Landlord the amount of such increase on demand and acceptance of such payment shall not waive any of Landlord’s other rights. Tenant shall conduct its business and control each other Tenant Party so as not to create any nuisance or unreasonably interfere with other tenants or Landlord in its management of the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Existing Governmental Regulations</w:t>
      </w:r>
      <w:r>
        <w:rPr>
          <w:rFonts w:ascii="Times New Roman;Times;Serif" w:hAnsi="Times New Roman;Times;Serif"/>
          <w:b w:val="false"/>
          <w:i w:val="false"/>
          <w:caps w:val="false"/>
          <w:smallCaps w:val="false"/>
          <w:sz w:val="20"/>
        </w:rPr>
        <w:t>. If any federal, state or local laws, ordinances, orders, rules, regulations or requirements (collectively, “</w:t>
      </w:r>
      <w:r>
        <w:rPr>
          <w:rFonts w:ascii="Times New Roman;Times;Serif" w:hAnsi="Times New Roman;Times;Serif"/>
          <w:b/>
          <w:i w:val="false"/>
          <w:caps w:val="false"/>
          <w:smallCaps w:val="false"/>
          <w:sz w:val="20"/>
          <w:u w:val="single"/>
        </w:rPr>
        <w:t>Governmental Requirements</w:t>
      </w:r>
      <w:r>
        <w:rPr>
          <w:rFonts w:ascii="Times New Roman;Times;Serif" w:hAnsi="Times New Roman;Times;Serif"/>
          <w:b w:val="false"/>
          <w:i w:val="false"/>
          <w:caps w:val="false"/>
          <w:smallCaps w:val="false"/>
          <w:sz w:val="20"/>
        </w:rPr>
        <w:t>”) in existence as of the date of the Lease require an alteration or modification of the Premises (a “</w:t>
      </w:r>
      <w:r>
        <w:rPr>
          <w:rFonts w:ascii="Times New Roman;Times;Serif" w:hAnsi="Times New Roman;Times;Serif"/>
          <w:b/>
          <w:i w:val="false"/>
          <w:caps w:val="false"/>
          <w:smallCaps w:val="false"/>
          <w:sz w:val="20"/>
          <w:u w:val="single"/>
        </w:rPr>
        <w:t>Code Modification</w:t>
      </w:r>
      <w:r>
        <w:rPr>
          <w:rFonts w:ascii="Times New Roman;Times;Serif" w:hAnsi="Times New Roman;Times;Serif"/>
          <w:b w:val="false"/>
          <w:i w:val="false"/>
          <w:caps w:val="false"/>
          <w:smallCaps w:val="false"/>
          <w:sz w:val="20"/>
        </w:rPr>
        <w:t>”) and such Code Modification (i) is not made necessary as a result of the specific use being made by Tenant of the Premises (as distinguished from an alteration or improvement which would be required to be made by the owner of any building comparable to the Building irrespective of the use thereof by any particular occupant), and (ii) is not made necessary as a result of any alteration of the Premises by Tenant, such Code Modification shall be performed by Landlord, at Landlord’s sole cost and expense.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Governmental Regulations – Landlord Responsibility</w:t>
      </w:r>
      <w:r>
        <w:rPr>
          <w:rFonts w:ascii="Times New Roman;Times;Serif" w:hAnsi="Times New Roman;Times;Serif"/>
          <w:b w:val="false"/>
          <w:i w:val="false"/>
          <w:caps w:val="false"/>
          <w:smallCaps w:val="false"/>
          <w:sz w:val="20"/>
        </w:rPr>
        <w:t>. If, as a result of one or more Governmental Requirements that are not in existence as of the date of this Lease, it is necessary from time to time during the Lease Term, to perform a Code Modification to the Building or the Project that (i) is not made necessary as a result of the specific use being made by Tenant of the Premises (as distinguished from an alteration or improvement which would be required to be made by the owner of any building comparable to the Building irrespective of the use thereof by any particular occupant), and (ii) is not made necessary as a result of any alteration of the Premises by Tenant, such Code Modification shall be performed by Landlord and cost thereof shall be included in Operating Costs.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Governmental Regulations – Tenant Responsibility</w:t>
      </w:r>
      <w:r>
        <w:rPr>
          <w:rFonts w:ascii="Times New Roman;Times;Serif" w:hAnsi="Times New Roman;Times;Serif"/>
          <w:b w:val="false"/>
          <w:i w:val="false"/>
          <w:caps w:val="false"/>
          <w:smallCaps w:val="false"/>
          <w:sz w:val="20"/>
        </w:rPr>
        <w:t>. If, as a result of one or more Governmental Requirements, it is necessary from time to time during the Lease Term to perform a Code Modification to the Building or the Project that is made necessary as a result of the specific use being made by Tenant of the Premises or as a result of any alteration of the Premises by Tenant, such Code Modification shall be the sole and exclusive responsibility of Tenant in all respects; provided, however, that Tenant shall have the right to retract its request to perform a proposed alteration in the event that the performance of such alteration would trigger the requirement for a Code Modification.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val="false"/>
          <w:i w:val="false"/>
          <w:caps w:val="false"/>
          <w:smallCaps w:val="false"/>
          <w:sz w:val="20"/>
          <w:u w:val="single"/>
        </w:rPr>
        <w:t>Assignment and Subletting</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Except as provided in Section 11(h), Tenant shall not, without the prior written consent of Landlord, (1) assign, transfer, or encumber this Lease or any estate or interest herein, whether directly or by operation of law, (2) permit any other entity to become Tenant hereunder by merger, consolidation, or other reorganization, (3) if Tenant is an entity other than a corporation whose stock is publicly traded, permit the transfer of an ownership interest in Tenant so as to result in a change in the current control of Tenant, (4) sublet any portion of the Premises, (5) grant any license, concession, or other right of occupancy of any portion of the Premises, or (6) permit the use of the Premises by any parties other than Tenant (any of the events listed in Section 11(a)(1) through 11(a)(6) being a “</w:t>
      </w:r>
      <w:r>
        <w:rPr>
          <w:rFonts w:ascii="Times New Roman;Times;Serif" w:hAnsi="Times New Roman;Times;Serif"/>
          <w:b/>
          <w:i w:val="false"/>
          <w:caps w:val="false"/>
          <w:smallCaps w:val="false"/>
          <w:sz w:val="20"/>
          <w:u w:val="single"/>
        </w:rPr>
        <w:t>Transfer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Consent Standards</w:t>
      </w:r>
      <w:r>
        <w:rPr>
          <w:rFonts w:ascii="Times New Roman;Times;Serif" w:hAnsi="Times New Roman;Times;Serif"/>
          <w:b w:val="false"/>
          <w:i w:val="false"/>
          <w:caps w:val="false"/>
          <w:smallCaps w:val="false"/>
          <w:sz w:val="20"/>
        </w:rPr>
        <w:t>. Landlord shall not unreasonably withhold its consent to any assignment or subletting of the Premises, provided that the proposed transferee (1) is creditworthy, (2) has a good reputation in the business community, (3) will use the Premises for the Permitted Use (thus, excluding, without limitation, uses for credit processing and telemarketing), (4) will not use the Premises, Building or Project in a manner that would materially increase the pedestrian or vehicular traffic to the Premises, Building or Project, (5) is not a governmental entity, or subdivision or agency thereof, (6) is not another occupant of the Building or Complex, (7) is in compliance with the regulations of the Office of Foreign Asset Control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of the Department of the Treasury (including those named on OFAC’s Specially Designated Nationals and Blocked Persons List) and any statute, executive order (including the September 24, 2001, Executive Order Blocking Property and Prohibiting Transactions with Persons Who Commit, Threaten to Commit or Support Terrorism), or other governmental action relating thereto; and (8) is not a person or entity with whom Landlord is then, or has been within the six-month period prior to the time Tenant seeks to enter into such assignment or subletting, negotiating to lease space in the Building or Complex, or any Affiliate of any such person or entity; otherwise, Landlord may withhold its consent in its sole discretion. Additionally, Landlord may withhold its consent to any proposed Transfer if any Event of Default by Tenant then exists.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Request for Consent</w:t>
      </w:r>
      <w:r>
        <w:rPr>
          <w:rFonts w:ascii="Times New Roman;Times;Serif" w:hAnsi="Times New Roman;Times;Serif"/>
          <w:b w:val="false"/>
          <w:i w:val="false"/>
          <w:caps w:val="false"/>
          <w:smallCaps w:val="false"/>
          <w:sz w:val="20"/>
        </w:rPr>
        <w:t>. At least 15 business days prior to the effective date of the proposed Transfer, Tenant shall provide Landlord with a written description of all terms and conditions of the proposed Transfer, copies of the proposed documentation, and the following information about the proposed transferee: name and address of the proposed transferee and any entities and persons who own, control or direct the proposed transferee; reasonably satisfactory information about its business and business history; its proposed use of the Premises; banking, financial, and other credit information; and general references sufficient to enable Landlord to determine the proposed transferee’s creditworthiness and character. Within 30 days after written notice from Landlord, Tenant will reimburse Landlord for its reasonable attorneys’ fees incurred in connection with considering any request for consent to a Transfer, not to exceed $2,500.00 per request for consent.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Conditions to Consent</w:t>
      </w:r>
      <w:r>
        <w:rPr>
          <w:rFonts w:ascii="Times New Roman;Times;Serif" w:hAnsi="Times New Roman;Times;Serif"/>
          <w:b w:val="false"/>
          <w:i w:val="false"/>
          <w:caps w:val="false"/>
          <w:smallCaps w:val="false"/>
          <w:sz w:val="20"/>
        </w:rPr>
        <w:t>. If Landlord consents to a proposed Transfer, the proposed transferee shall deliver to Landlord a written agreement expressly assuming Tenant’s obligations hereunder; however, any transferee of less than all of the Premises shall be liable only for obligations under this Lease properly allocable to the space subject to the Transfer, for the period of the Transfer. No Transfer shall release Tenant from its obligations under this Lease; Tenant and its transferee shall be jointly and severally liable therefor. Landlord’s consent to any Transfer shall not waive Landlord’s rights as to any subsequent Transfers. If an Event of Default occurs while any part of the Premises or any part thereof are subject to a Transfer, then Landlord, in addition to its other remedies, may collect directly from such transferee all rents becoming due to Tenant, and apply such rents against Rent. Tenant instructs its transferees to make payments of rent directly to Landlord upon receipt of notice from Landlord to do so following the occurrence of an Event of Default. Tenant shall pay for the cost of any demising walls or other improvements necessitated by a proposed subletting or assignment.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Attornment by Subtenants</w:t>
      </w:r>
      <w:r>
        <w:rPr>
          <w:rFonts w:ascii="Times New Roman;Times;Serif" w:hAnsi="Times New Roman;Times;Serif"/>
          <w:b w:val="false"/>
          <w:i w:val="false"/>
          <w:caps w:val="false"/>
          <w:smallCaps w:val="false"/>
          <w:sz w:val="20"/>
        </w:rPr>
        <w:t>. Each sublease hereunder shall be subject and subordinate to this Lease and to the matters to which this Lease is or shall be subordinate, and each subtenant is deemed to have agreed that in the event of termination, re-entry or dispossession by Landlord under this Lease, Landlord may, at its option, take over the right, title and interest of Tenant, as sublandlord, under such sublease, and such subtenant shall, at Landlord’s option, attorn to Landlord pursuant to the then executory provisions of such sublease, except that Landlord shall not be (1) liable for any previous act or omission of Tenant under such sublease, (2) subject to any counterclaim, offset or defense of such subtenant against Tenant, (3) bound by any previous modification of such sublease not approved by Landlord in writing or by any rent or additional rent or advance rent which such subtenant has paid for more than the current month to Tenant, and all such rent shall remain due and owing, notwithstanding such advance payment, (4) bound by any security or advance rental deposit made by such subtenant which is not delivered to Landlord and with respect to which such subtenant shall look solely to Tenant for refund or reimbursement, or (5)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as a condition of its occupying or using any part of the Premises, to have agreed to be bound by the terms of this Section 11(e).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Landlord may, within 30 days after receipt of Tenant’s written request for Landlord’s consent to an assignment of the entire Premises for all or substantially of the remaining Term, cancel this Lease as to the portion of the Premises proposed to be assigned as of the date the proposed Transfer is to be effective. If Landlord cancels this Lease as to any portion of the Premises, then this Lease shall cease for such portion of the Premises and Tenant shall pay to Landlord all Rent accrued through the cancellation date, relating to such portion of the Premises. Thereafter, Landlord may lease such portion of the Premises to the prospective transferee (or to any other person) without liability to Tenant. Notwithstanding the foregoing, if Landlord provides written notification to Tenant of its election to cancel this Lease as to any portion of the Premises as provided above, Tenant may rescind its proposed assignment of all or any portion of the Premises by notifying Landlord in writing within ten business days following Landlord’s written cancellation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Additional Compensation</w:t>
      </w:r>
      <w:r>
        <w:rPr>
          <w:rFonts w:ascii="Times New Roman;Times;Serif" w:hAnsi="Times New Roman;Times;Serif"/>
          <w:b w:val="false"/>
          <w:i w:val="false"/>
          <w:caps w:val="false"/>
          <w:smallCaps w:val="false"/>
          <w:sz w:val="20"/>
        </w:rPr>
        <w:t>. Tenant shall pay to Landlord, immediately upon receipt thereof, the excess of (1) all rental compensation received by Tenant for a Transfer, less the actual out-of-pocket costs reasonably incurred by Tenant with unaffiliated third parties (i.e., brokerage commissions and tenant finish work) in connection with such Transfer (such costs shall be amortized on a straight-line basis over the term of the Transfer in question) over (2) the Rent allocable to the portion of the Premises covered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 Notwithstanding Section 11(a), Tenant may Transfer all or part of its interest in this Lease or all or part of the Premises (a “</w:t>
      </w:r>
      <w:r>
        <w:rPr>
          <w:rFonts w:ascii="Times New Roman;Times;Serif" w:hAnsi="Times New Roman;Times;Serif"/>
          <w:b/>
          <w:i w:val="false"/>
          <w:caps w:val="false"/>
          <w:smallCaps w:val="false"/>
          <w:sz w:val="20"/>
          <w:u w:val="single"/>
        </w:rPr>
        <w:t>Permitted Transfer</w:t>
      </w:r>
      <w:r>
        <w:rPr>
          <w:rFonts w:ascii="Times New Roman;Times;Serif" w:hAnsi="Times New Roman;Times;Serif"/>
          <w:b w:val="false"/>
          <w:i w:val="false"/>
          <w:caps w:val="false"/>
          <w:smallCaps w:val="false"/>
          <w:sz w:val="20"/>
        </w:rPr>
        <w:t>”) to the following types of entities (a “</w:t>
      </w:r>
      <w:r>
        <w:rPr>
          <w:rFonts w:ascii="Times New Roman;Times;Serif" w:hAnsi="Times New Roman;Times;Serif"/>
          <w:b/>
          <w:i w:val="false"/>
          <w:caps w:val="false"/>
          <w:smallCaps w:val="false"/>
          <w:sz w:val="20"/>
          <w:u w:val="single"/>
        </w:rPr>
        <w:t>Permitted Transferee</w:t>
      </w:r>
      <w:r>
        <w:rPr>
          <w:rFonts w:ascii="Times New Roman;Times;Serif" w:hAnsi="Times New Roman;Times;Serif"/>
          <w:b w:val="false"/>
          <w:i w:val="false"/>
          <w:caps w:val="false"/>
          <w:smallCaps w:val="false"/>
          <w:sz w:val="20"/>
        </w:rPr>
        <w:t>”) without the written consent of Landlord: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 Affiliate of Tenant;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corporation, limited partnership, limited liability partnership, limited liability company or other business entity in which or with which Tenant, or its corporate successors or assigns, is merged or consolidated, in accordance with applicable statutory provisions governing merger and consolidation of business entities, so long as (A) Tenant’s obligations hereunder are assumed by the entity surviving such merger or created by such consolidation; and (B) the Tangible Net Worth of the surviving or created entity is not less than the Tangible Net Worth of Tenant as of the date hereof; 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corporation, limited partnership, limited liability partnership, limited liability company or other business entity acquiring all or substantially all of Tenant’s assets if such entity’s Tangible Net Worth after such acquisition is not less than the Tangible Net Worth of Tenant as of the date 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promptly notify Landlord of any such Permitted Transfer. Tenant shall remain liable for the performance of all of the obligations of Tenant hereunder, or if Tenant no longer exists because of a merger, consolidation, or acquisition, the surviving or acquiring entity shall expressly assume in writing the obligations of Tenant hereunder. Additionally, the Permitted Transferee shall comply with all of the terms and conditions of this Lease. No later than 30 days after the effective date of any Permitted Transfer, Tenant shall furnish Landlord with (A) copies of the instrument effecting such Permitted Transfer, (B) documentation establishing Tenant’s satisfaction of the requirements set forth above applicable to such Transfer, (C) evidence of insurance as required under this Lease with respect to the Permitted Transferee, and (D) evidence of compliance with the regulations of OFAC and any statute, executive order (including the September 24, 2001, Executive Order Blocking Property and Prohibiting Transactions with Persons Who Commit, Threaten to Commit, or Support Terrorism), or other governmental action relating thereto, including the name and address of the Permitted Transferee and any entities and persons who own, control or direct the Permitted Transferee. The occurrence of a Permitted Transfer shall not waive Landlord’s rights as to any subsequent Transfers. “</w:t>
      </w:r>
      <w:r>
        <w:rPr>
          <w:rFonts w:ascii="Times New Roman;Times;Serif" w:hAnsi="Times New Roman;Times;Serif"/>
          <w:b/>
          <w:i w:val="false"/>
          <w:caps w:val="false"/>
          <w:smallCaps w:val="false"/>
          <w:sz w:val="20"/>
          <w:u w:val="single"/>
        </w:rPr>
        <w:t>Tangible Net Worth</w:t>
      </w:r>
      <w:r>
        <w:rPr>
          <w:rFonts w:ascii="Times New Roman;Times;Serif" w:hAnsi="Times New Roman;Times;Serif"/>
          <w:b w:val="false"/>
          <w:i w:val="false"/>
          <w:caps w:val="false"/>
          <w:smallCaps w:val="false"/>
          <w:sz w:val="20"/>
        </w:rPr>
        <w:t>” means the excess of total assets over total liabilities, in each case as determined in accordance with generally accepted accounting principles consistently applied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excluding, however, from the determination of total assets all assets which would be classified as intangible assets under GAAP including goodwill, licenses, patents, trademarks, trade names, copyrights, and franchises. Any subsequent Transfer by a Permitted Transferee shall be subject to the terms of this Section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val="false"/>
          <w:i w:val="false"/>
          <w:caps w:val="false"/>
          <w:smallCaps w:val="false"/>
          <w:sz w:val="20"/>
          <w:u w:val="single"/>
        </w:rPr>
        <w:t>Insurance; Waivers; Subrogation; Indemnity</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Tenant’s Insurance</w:t>
      </w:r>
      <w:r>
        <w:rPr>
          <w:rFonts w:ascii="Times New Roman;Times;Serif" w:hAnsi="Times New Roman;Times;Serif"/>
          <w:b w:val="false"/>
          <w:i w:val="false"/>
          <w:caps w:val="false"/>
          <w:smallCaps w:val="false"/>
          <w:sz w:val="20"/>
        </w:rPr>
        <w:t>. Effective as of the earlier of (1) the date Tenant enters or occupies the Premises, or (2) the Commencement Date, and continuing throughout the Term, Tenant shall maintain the following insurance policies: (A) commercial general liability insurance in amounts of not less than $1,000,000 per occurrence, $1,000,000 general aggregate, $2,000,000 products/completed operations aggregate, $1,000,000 personal and advertising injury liability, and $100,000 fire legal liability or, following the expiration of the initial Term, such other amounts as Landlord from time to time reasonably requires (and, if the use and occupancy of the Premises include any activity or matter that is or may be excluded from coverage under a commercial general liability policy [e.g., the sale, service or consumption of alcoholic beverages], Tenant shall obtain such endorsements to the commercial general liability policy or otherwise obtain insurance to insure all liability arising from such activity or matter [including liquor liability, if applicable] in such amounts as Landlord may reasonably require), insuring Tenant, Landlord, Landlord’s property management company, Landlord’s asset management company and, if requested in writing by Landlord, Landlord’s Mortgagee against all liability for injury to or death of a person or persons or damage to property arising from the use and occupancy of the Premises on a primary and non-contributory basis and (without implying any consent by Landlord to the installation thereof) the installation, operation, maintenance, repair or removal of Tenant’s Off-Premises Equipment, (B) insurance covering the full value of all alterations and improvements and betterments in the Premises, naming Landlord and Landlord’s Mortgagee as additional loss payees as their interests may appear, (C) insurance covering the full value of all furniture, trade fixtures and personal property (including property of Tenant or others) in the Premises or otherwise placed in the Project by or on behalf of a Tenant Party (including Tenant’s Off-Premises Equipment), (D) contractual liability insurance sufficient to cover Tenant’s indemnity obligations hereunder (but only if such contractual liability insurance is not already included in Tenant’s commercial general liability insurance policy), (E) worker’s compensation insurance in accordance with the laws of the state in which the Premises are located, with Employer’s Liability insurance with limits of $1,000,000 Bodily Injury each Accident, $1,000,000 Disease each Employee, and $1,000,000 Disease– Policy Limit, (F) business interruption insurance in an amount not less than one hundred percent (100%) of all charges payable by Tenant under this lease for a period of twelve (12) months, (G) Automobile Liability insurance covering owned, hired and non-owned vehicles with limits of $1,000,000 combined single limit, (H) Umbrella/Excess Liability insurance, with a limit of $10,000,000 per occurrence and $10,000,000 annual aggregate on a following form basis in excess of the required Commercial General Liability, Automobile Liability, and Employer’s Liability coverages, and (I) Pollution liability insurance, with a limit of $1,000,000 limit is required if Tenant uses or stores any flammable or toxic chemicals or if otherwise requested by Landlord. Tenant shall furnish to Landlord certificates of such insurance least ten (10) days prior to the earlier of the Commencement Date or the date Tenant enters or occupies the Premises, and at least fifteen (15) days prior to each renewal of said insurance, and Tenant shall notify Landlord at least thirty (30) days before cancellation of any such insurance policies. All such insurance policies shall be in form reasonably satisfactory to Landlord and issued by companies with a Best’s rating of A+:VII or better. Tenant’s insurance requirements may be covered under a blanket insurance policy or policies covering other premises or insureds in addition to the Premises. If Tenant fails to comply with the foregoing insurance requirements or to deliver to Landlord the certificates or evidence of coverage required herein, and such failure continues for more than two (2) business days after written notice from Landlord, Landlord, in addition to any other remedy available pursuant to this Lease or otherwise, may, but shall not be obligated to, obtain such insurance and Tenant shall pay to Landlord within thirty (30) days after written notice from Landlord, the premium costs thereof, plus an administrative fee of 15% of such cost.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Landlord’s Insurance</w:t>
      </w:r>
      <w:r>
        <w:rPr>
          <w:rFonts w:ascii="Times New Roman;Times;Serif" w:hAnsi="Times New Roman;Times;Serif"/>
          <w:b w:val="false"/>
          <w:i w:val="false"/>
          <w:caps w:val="false"/>
          <w:smallCaps w:val="false"/>
          <w:sz w:val="20"/>
        </w:rPr>
        <w:t>. Throughout the Term of this Lease, Landlord shall maintain, as a minimum, the following insurance policies: (1) property insurance for the Building’s replacement value (excluding property required to be insured by Tenant), less a commercially-reasonable deductible if Landlord so chooses, and (2) commercial general liability insurance in an amount of not less than $3,000,000. Landlord may, but is not obligated to, maintain such other insurance and additional coverages as it may deem necessary. The cost of all insurance carried by Landlord with respect to the Project shall be included in Insurance Costs (defined below). The foregoing insurance policies and any other insurance carried by Landlord shall be for the sole benefit of Landlord and under Landlord’s sole control, and Tenant shall have no right or claim to any proceeds thereof or any other rights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Subrogation; Waiver of Property Claims</w:t>
      </w:r>
      <w:r>
        <w:rPr>
          <w:rFonts w:ascii="Times New Roman;Times;Serif" w:hAnsi="Times New Roman;Times;Serif"/>
          <w:b w:val="false"/>
          <w:i w:val="false"/>
          <w:caps w:val="false"/>
          <w:smallCaps w:val="false"/>
          <w:sz w:val="20"/>
        </w:rPr>
        <w:t xml:space="preserve">. Landlord and Tenant each waives any claim it might have against the other for any damage to or theft, destruction, loss, or loss of use of any property, to the extent the same is insured against under any property insurance policy of the types described in this Section 12 that covers the Project, the Premises, Landlord’s or Tenant’s fixtures, personal property, inventory, leasehold improvements, or business, or is required to be insured against under the terms hereof, </w:t>
      </w:r>
      <w:r>
        <w:rPr>
          <w:rFonts w:ascii="Times New Roman;Times;Serif" w:hAnsi="Times New Roman;Times;Serif"/>
          <w:b/>
          <w:i w:val="false"/>
          <w:caps w:val="false"/>
          <w:smallCaps w:val="false"/>
          <w:sz w:val="20"/>
        </w:rPr>
        <w:t>regardless of whether the negligence of the other party caused such Loss</w:t>
      </w:r>
      <w:r>
        <w:rPr>
          <w:rFonts w:ascii="Times New Roman;Times;Serif" w:hAnsi="Times New Roman;Times;Serif"/>
          <w:b w:val="false"/>
          <w:i w:val="false"/>
          <w:caps w:val="false"/>
          <w:smallCaps w:val="false"/>
          <w:sz w:val="20"/>
        </w:rPr>
        <w:t xml:space="preserve"> (defined below). Additionally, Tenant waives any claim it may have against Landlord for any Loss to the extent such Loss is caused by a terrorist act. Each party shall cause its insurance carrier to endorse all applicable policies waiving the carrier’s rights of recovery under subrogation or otherwise against the other party. Notwithstanding any provision in this Lease to the contrary, Landlord, its agents, employees and contractors shall not be liable to Tenant or to any party claiming by, through or under Tenant for (and Tenant hereby releases Landlord and its servants, agents, contractors, employees and invitees from any claim or responsibility for) any damage to or destruction, loss, or loss of use, or theft of any property of any Tenant Party located in or about the Project, caused by casualty, theft, fire, third parties or any other matter or cause, </w:t>
      </w:r>
      <w:r>
        <w:rPr>
          <w:rFonts w:ascii="Times New Roman;Times;Serif" w:hAnsi="Times New Roman;Times;Serif"/>
          <w:b/>
          <w:i w:val="false"/>
          <w:caps w:val="false"/>
          <w:smallCaps w:val="false"/>
          <w:sz w:val="20"/>
        </w:rPr>
        <w:t>regardless of whether the negligence of any party caused such loss in whole or in part</w:t>
      </w:r>
      <w:r>
        <w:rPr>
          <w:rFonts w:ascii="Times New Roman;Times;Serif" w:hAnsi="Times New Roman;Times;Serif"/>
          <w:b w:val="false"/>
          <w:i w:val="false"/>
          <w:caps w:val="false"/>
          <w:smallCaps w:val="false"/>
          <w:sz w:val="20"/>
        </w:rPr>
        <w:t>. Tenant acknowledges that Landlord shall not carry insurance on, and shall not be responsible for damage to, any property of any Tenant Party located in or about the Project.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Subject to Section 12(c), Tenant shall defend, indemnify, and hold harmless Landlord and its representatives and agents from and against all claims, demands, liabilities, causes of action, suits, judgments, damages, and expenses (including reasonable attorneys’ fees) arising from any injury to or death of any person or the damage to or theft, destruction, loss or loss of use of, any property or inconvenience (a “</w:t>
      </w:r>
      <w:r>
        <w:rPr>
          <w:rFonts w:ascii="Times New Roman;Times;Serif" w:hAnsi="Times New Roman;Times;Serif"/>
          <w:b/>
          <w:i w:val="false"/>
          <w:caps w:val="false"/>
          <w:smallCaps w:val="false"/>
          <w:sz w:val="20"/>
          <w:u w:val="single"/>
        </w:rPr>
        <w:t>Loss</w:t>
      </w:r>
      <w:r>
        <w:rPr>
          <w:rFonts w:ascii="Times New Roman;Times;Serif" w:hAnsi="Times New Roman;Times;Serif"/>
          <w:b w:val="false"/>
          <w:i w:val="false"/>
          <w:caps w:val="false"/>
          <w:smallCaps w:val="false"/>
          <w:sz w:val="20"/>
        </w:rPr>
        <w:t xml:space="preserve">”) occurring in or on the Project. This indemnity is intended to indemnify Landlord and its agents against the consequences of their own negligence or fault, </w:t>
      </w:r>
      <w:r>
        <w:rPr>
          <w:rFonts w:ascii="Times New Roman;Times;Serif" w:hAnsi="Times New Roman;Times;Serif"/>
          <w:b/>
          <w:i w:val="false"/>
          <w:caps w:val="false"/>
          <w:smallCaps w:val="false"/>
          <w:sz w:val="20"/>
        </w:rPr>
        <w:t>even when Landlord or its agents are jointly, comparatively, contributively, or concurrently negligent with Tenant, and even though any such claim, cause of action or suit is based upon or alleged to be based upon the strict liability of Landlord or its agents; however, such indemnity shall not apply to the sole or gross negligence or willful misconduct of Landlord and its agents.</w:t>
      </w:r>
      <w:r>
        <w:rPr>
          <w:rFonts w:ascii="Times New Roman;Times;Serif" w:hAnsi="Times New Roman;Times;Serif"/>
          <w:b w:val="false"/>
          <w:i w:val="false"/>
          <w:caps w:val="false"/>
          <w:smallCaps w:val="false"/>
          <w:sz w:val="20"/>
        </w:rPr>
        <w:t xml:space="preserve"> The indemnities set forth in this Lease shall survive termination or expiration of this Lease and shall not terminate or be waived, diminished or affected in any manner by any abatement or apportionment of Rent under any provision of this Lease. If any proceeding is filed for which indemnity is required hereunder, the indemnifying party agrees, upon request therefor, to defend the indemnified party in such proceeding at its sole cost utilizing counsel satisfactory to the indemnified party. Tenant acknowledges that the decision as to whether to include dock locks, dock restraints or other safety-related equipment, fixtures or improvements in the Premises or elsewhere in the Building shall solely be the responsibility of Tenant, and Tenant shall indemnify, defend and hold harmless the Landlord Indemnitees from and against any and all claims, damages, causes of action, demands, penalties, costs, liabilities, losses, and expenses (including reasonable attorneys’ fees and expenses at the trial and appellate levels) resulting from actual or threatened claims by third parties occasioned by injuries to any person and damage to, or theft or loss of, property occurring in or about the Premises or the Building to the extent caused or alleged to be caused by the failure of any such safety-related equipment, fixtures or improvements to be installed or maintained at the Building. This indemnity provision shall survive termination or expiration of this Lease. The furnishing of insurance required hereunder shall not be deemed to limit Tenant’s indemnification obligations.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Cost of Landlord’s Insurance</w:t>
      </w:r>
      <w:r>
        <w:rPr>
          <w:rFonts w:ascii="Times New Roman;Times;Serif" w:hAnsi="Times New Roman;Times;Serif"/>
          <w:b w:val="false"/>
          <w:i w:val="false"/>
          <w:caps w:val="false"/>
          <w:smallCaps w:val="false"/>
          <w:sz w:val="20"/>
        </w:rPr>
        <w:t>. Tenant shall pay Tenant’s Proportionate Share of the cost of the insurance carried by Landlord from time to time with respect to the Project (including other improvements and Landlord’s personal property used in connection therewith), which may include fire and extended coverage insurance (including extended and broad form coverage risks, mudslide, land subsidence, volcanic eruption, flood, earthquake and rent loss insurance) and comprehensive general public liability insurance and excess liability insurance, in such amounts and containing such terms as Landlord reasonably deems necessary or desirable (collectively, “</w:t>
      </w:r>
      <w:r>
        <w:rPr>
          <w:rFonts w:ascii="Times New Roman;Times;Serif" w:hAnsi="Times New Roman;Times;Serif"/>
          <w:b/>
          <w:i w:val="false"/>
          <w:caps w:val="false"/>
          <w:smallCaps w:val="false"/>
          <w:sz w:val="20"/>
          <w:u w:val="single"/>
        </w:rPr>
        <w:t>Insurance Costs</w:t>
      </w:r>
      <w:r>
        <w:rPr>
          <w:rFonts w:ascii="Times New Roman;Times;Serif" w:hAnsi="Times New Roman;Times;Serif"/>
          <w:b w:val="false"/>
          <w:i w:val="false"/>
          <w:caps w:val="false"/>
          <w:smallCaps w:val="false"/>
          <w:sz w:val="20"/>
        </w:rPr>
        <w:t>”). During each month of the Term, Tenant shall make a monthly payment to Landlord equal to 1/12th of Tenant’s Proportionate Share of Insurance Costs that will be due and payable for that particular year. Each payment of Insurance Costs shall be due and payable at the same time as, and in the same manner as, provided above for Tenant’s Proportionate Share of Operating Costs. The initial monthly payment of Insurance Costs is based upon Landlord’s good faith estimate of Tenant’s Proportionate Share of the estimated Insurance Costs for the remainder of the first calendar year. The monthly payment of Insurance Costs is subject to increase or decrease as determined by Landlord to reflect accurately Tenant’s Proportionate Share of estimated Insurance Costs. If, following Landlord’s receipt of the bill for the insurance premiums for a calendar year, Landlord determines that Tenant’s total payments of Insurance Costs are less than Tenant’s Proportionate Share of actual Insurance Costs, Tenant shall pay to Landlord the difference within thirty (30) days after written notice from Landlord; if Tenant’s total payments of Insurance Costs are more than Tenant’s Proportionate Share of actual Insurance Costs, Landlord shall retain such excess and credit it to Tenant’s future payments of Insurance Costs (unless such adjustment is at the end of the Term, in which event Landlord shall refund such excess to Tenant within thirty (30) days after expiration).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val="false"/>
          <w:i w:val="false"/>
          <w:caps w:val="false"/>
          <w:smallCaps w:val="false"/>
          <w:sz w:val="20"/>
          <w:u w:val="single"/>
        </w:rPr>
        <w:t>Subordination; Attornment; Notice to Landlord’s Mortgagee</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This Lease shall be subordinate to any deed of trust, mortgage, or other security instrument (each, a “</w:t>
      </w:r>
      <w:r>
        <w:rPr>
          <w:rFonts w:ascii="Times New Roman;Times;Serif" w:hAnsi="Times New Roman;Times;Serif"/>
          <w:b/>
          <w:i w:val="false"/>
          <w:caps w:val="false"/>
          <w:smallCaps w:val="false"/>
          <w:sz w:val="20"/>
          <w:u w:val="single"/>
        </w:rPr>
        <w:t>Mortgage</w:t>
      </w:r>
      <w:r>
        <w:rPr>
          <w:rFonts w:ascii="Times New Roman;Times;Serif" w:hAnsi="Times New Roman;Times;Serif"/>
          <w:b w:val="false"/>
          <w:i w:val="false"/>
          <w:caps w:val="false"/>
          <w:smallCaps w:val="false"/>
          <w:sz w:val="20"/>
        </w:rPr>
        <w:t>”), or any ground lease, master lease, or primary lease (each, a “</w:t>
      </w:r>
      <w:r>
        <w:rPr>
          <w:rFonts w:ascii="Times New Roman;Times;Serif" w:hAnsi="Times New Roman;Times;Serif"/>
          <w:b/>
          <w:i w:val="false"/>
          <w:caps w:val="false"/>
          <w:smallCaps w:val="false"/>
          <w:sz w:val="20"/>
          <w:u w:val="single"/>
        </w:rPr>
        <w:t>Primary Lease</w:t>
      </w:r>
      <w:r>
        <w:rPr>
          <w:rFonts w:ascii="Times New Roman;Times;Serif" w:hAnsi="Times New Roman;Times;Serif"/>
          <w:b w:val="false"/>
          <w:i w:val="false"/>
          <w:caps w:val="false"/>
          <w:smallCaps w:val="false"/>
          <w:sz w:val="20"/>
        </w:rPr>
        <w:t>”), that now or hereafter covers all or any part of the Premises (the mortgagee under any such Mortgage, beneficiary under any such deed of trust, or the lessor under any such Primary Lease is referred to herein as a “</w:t>
      </w:r>
      <w:r>
        <w:rPr>
          <w:rFonts w:ascii="Times New Roman;Times;Serif" w:hAnsi="Times New Roman;Times;Serif"/>
          <w:b/>
          <w:i w:val="false"/>
          <w:caps w:val="false"/>
          <w:smallCaps w:val="false"/>
          <w:sz w:val="20"/>
          <w:u w:val="single"/>
        </w:rPr>
        <w:t>Landlord’s Mortgagee</w:t>
      </w:r>
      <w:r>
        <w:rPr>
          <w:rFonts w:ascii="Times New Roman;Times;Serif" w:hAnsi="Times New Roman;Times;Serif"/>
          <w:b w:val="false"/>
          <w:i w:val="false"/>
          <w:caps w:val="false"/>
          <w:smallCaps w:val="false"/>
          <w:sz w:val="20"/>
        </w:rPr>
        <w:t>”).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days after written request therefor such documentation, in recordable form if required, as a Landlord’s Mortgagee may reasonably request to evidence the subordination of this Lease to such Landlord’s Mortgagee’s Mortgage or Primary Lease (including a subordination, non-disturbance and attornment agreement) or, if the Landlord’s Mortgagee so elects, the subordination of such Landlord’s Mortgagee’s Mortgage or Primary Lease to this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Attornment</w:t>
      </w:r>
      <w:r>
        <w:rPr>
          <w:rFonts w:ascii="Times New Roman;Times;Serif" w:hAnsi="Times New Roman;Times;Serif"/>
          <w:b w:val="false"/>
          <w:i w:val="false"/>
          <w:caps w:val="false"/>
          <w:smallCaps w:val="false"/>
          <w:sz w:val="20"/>
        </w:rPr>
        <w:t>. Tenant shall attorn to any party succeeding to Landlord’s interest in the Premises, whether by purchase, foreclosure, deed in lieu of foreclosure, power of sale, or otherwise, upon such party’s request, and shall execute such agreements confirming such attornment as such party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 to Landlord’s Mortgagee</w:t>
      </w:r>
      <w:r>
        <w:rPr>
          <w:rFonts w:ascii="Times New Roman;Times;Serif" w:hAnsi="Times New Roman;Times;Serif"/>
          <w:b w:val="false"/>
          <w:i w:val="false"/>
          <w:caps w:val="false"/>
          <w:smallCaps w:val="false"/>
          <w:sz w:val="20"/>
        </w:rPr>
        <w:t>. Tenant shall not seek to enforce any remedy it may have for any default on the part of Landlord without first giving written notice by certified mail, return receipt requested, specifying the default in reasonable detail, to any Landlord’s Mortgagee whose address has been given to Tenant, and affording such Landlord’s Mortgagee a reasonable opportunity to perform Landlord’s obligations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Landlord’s Mortgagee’s Protection Provisions</w:t>
      </w:r>
      <w:r>
        <w:rPr>
          <w:rFonts w:ascii="Times New Roman;Times;Serif" w:hAnsi="Times New Roman;Times;Serif"/>
          <w:b w:val="false"/>
          <w:i w:val="false"/>
          <w:caps w:val="false"/>
          <w:smallCaps w:val="false"/>
          <w:sz w:val="20"/>
        </w:rPr>
        <w:t>. If Landlord’s Mortgagee shall succeed to the interest of Landlord under this Lease, Landlord’s Mortgagee shall not be: (1) liable for any act or omission of any prior lessor (including Landlord); (2) bound by any Rent which Tenant has paid for more than the current month to any prior lessor (including Landlord), and all such rent shall remain due and owing; (3) bound by any security or advance rental deposit made by Tenant which is not delivered or paid over to Landlord’s Mortgagee and with respect to which Tenant shall look solely to Landlord for refund or reimbursement; (4) bound by any termination, amendment or modification of this Lease made without Landlord’s Mortgagee’s consent and written approval, except for those terminations, amendments and modifications permitted to be made by Landlord without Landlord’s Mortgagee’s consent pursuant to the terms of the loan documents between Landlord and Landlord’s Mortgagee; (5) subject to the defenses which Tenant might have against any prior lessor (including Landlord); and (6) subject to the offsets which Tenant might have against any prior lessor (including Landlord) except for those offset rights which (A) are expressly provided in this Lease, (B) relate to periods of time following the acquisition of the Building by Landlord’s Mortgagee, and (C) Tenant has provided written notice to Landlord’s Mortgagee and provided Landlord’s Mortgagee a reasonable opportunity to cure the event giving rise to such offset event. Landlord’s Mortgagee shall have no liability or responsibility under or pursuant to the terms of this Lease or otherwise after it ceases to own an interest in the Project. Nothing in this Lease shall be construed to require Landlord’s Mortgagee to see to the application of the proceeds of any loan, and Tenant’s agreements set forth herein shall not be impaired on account of any modification of the documents evidencing and securing any loan.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Non-Disturbance and Recognition</w:t>
      </w:r>
      <w:r>
        <w:rPr>
          <w:rFonts w:ascii="Times New Roman;Times;Serif" w:hAnsi="Times New Roman;Times;Serif"/>
          <w:b w:val="false"/>
          <w:i w:val="false"/>
          <w:caps w:val="false"/>
          <w:smallCaps w:val="false"/>
          <w:sz w:val="20"/>
        </w:rPr>
        <w:t>. Landlord represents and warrants to Tenant that the Premises are not encumbered by a Primary Lease or Mortgage as of the Lease Date. Notwithstanding Section 13(a) above, any subordination of Tenant’s interest in the Lease to any future Primary Lease or Mortgage is subject to Tenant’s execution of a commercially reasonable Recognition, Non-Disturbance and Attornment Agreement (“</w:t>
      </w:r>
      <w:r>
        <w:rPr>
          <w:rFonts w:ascii="Times New Roman;Times;Serif" w:hAnsi="Times New Roman;Times;Serif"/>
          <w:b/>
          <w:i w:val="false"/>
          <w:caps w:val="false"/>
          <w:smallCaps w:val="false"/>
          <w:sz w:val="20"/>
          <w:u w:val="single"/>
        </w:rPr>
        <w:t>RNDA</w:t>
      </w:r>
      <w:r>
        <w:rPr>
          <w:rFonts w:ascii="Times New Roman;Times;Serif" w:hAnsi="Times New Roman;Times;Serif"/>
          <w:b w:val="false"/>
          <w:i w:val="false"/>
          <w:caps w:val="false"/>
          <w:smallCaps w:val="false"/>
          <w:sz w:val="20"/>
        </w:rPr>
        <w:t>”) and/or a Subordination, Non-Disturbance and Attornment Agreement (“</w:t>
      </w:r>
      <w:r>
        <w:rPr>
          <w:rFonts w:ascii="Times New Roman;Times;Serif" w:hAnsi="Times New Roman;Times;Serif"/>
          <w:b/>
          <w:i w:val="false"/>
          <w:caps w:val="false"/>
          <w:smallCaps w:val="false"/>
          <w:sz w:val="20"/>
          <w:u w:val="single"/>
        </w:rPr>
        <w:t>SNDA</w:t>
      </w:r>
      <w:r>
        <w:rPr>
          <w:rFonts w:ascii="Times New Roman;Times;Serif" w:hAnsi="Times New Roman;Times;Serif"/>
          <w:b w:val="false"/>
          <w:i w:val="false"/>
          <w:caps w:val="false"/>
          <w:smallCaps w:val="false"/>
          <w:sz w:val="20"/>
        </w:rPr>
        <w:t>”) by Tenant, Landlord and the other party(ies) to such Primary Lease or Mortgage, as applicable. Landlord also agrees to provide an RNDA and SNDA from any such parties who later come into existence after the Lease Date during the Term.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comply with the rules and regulations of the Project which are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Landlord may, from time to time, change such rules and regulations for the safety, care, or cleanliness of the Project and related facilities, provided that such changes are applicable to all tenants of the Complex, will not unreasonably interfere with Tenant’s use of the Premises and are enforced by Landlord in a non-discriminatory manner. Tenant shall be responsible for the compliance with such rules and regulations by each Tenant Party. To the extent of a conflict between the terms of this Lease and such rules and regulations, the terms of this Lease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val="false"/>
          <w:i w:val="false"/>
          <w:caps w:val="false"/>
          <w:smallCaps w:val="false"/>
          <w:sz w:val="20"/>
          <w:u w:val="single"/>
        </w:rPr>
        <w:t>Condemnation</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Total Taking</w:t>
      </w:r>
      <w:r>
        <w:rPr>
          <w:rFonts w:ascii="Times New Roman;Times;Serif" w:hAnsi="Times New Roman;Times;Serif"/>
          <w:b w:val="false"/>
          <w:i w:val="false"/>
          <w:caps w:val="false"/>
          <w:smallCaps w:val="false"/>
          <w:sz w:val="20"/>
        </w:rPr>
        <w:t>. If the entire Building or Premises are taken by right of eminent domain or conveyed in lieu thereof (a “</w:t>
      </w:r>
      <w:r>
        <w:rPr>
          <w:rFonts w:ascii="Times New Roman;Times;Serif" w:hAnsi="Times New Roman;Times;Serif"/>
          <w:b/>
          <w:i w:val="false"/>
          <w:caps w:val="false"/>
          <w:smallCaps w:val="false"/>
          <w:sz w:val="20"/>
          <w:u w:val="single"/>
        </w:rPr>
        <w:t>Taking</w:t>
      </w:r>
      <w:r>
        <w:rPr>
          <w:rFonts w:ascii="Times New Roman;Times;Serif" w:hAnsi="Times New Roman;Times;Serif"/>
          <w:b w:val="false"/>
          <w:i w:val="false"/>
          <w:caps w:val="false"/>
          <w:smallCaps w:val="false"/>
          <w:sz w:val="20"/>
        </w:rPr>
        <w:t>”), this Lease shall terminate as of the date of the Taking. In the event of a termination under Section 15(a) of either or both of the other two lease agreements between Landlord and Tenant for the leasing of space in the Complex (the “</w:t>
      </w:r>
      <w:r>
        <w:rPr>
          <w:rFonts w:ascii="Times New Roman;Times;Serif" w:hAnsi="Times New Roman;Times;Serif"/>
          <w:b/>
          <w:i w:val="false"/>
          <w:caps w:val="false"/>
          <w:smallCaps w:val="false"/>
          <w:sz w:val="20"/>
          <w:u w:val="single"/>
        </w:rPr>
        <w:t>Other Leases</w:t>
      </w:r>
      <w:r>
        <w:rPr>
          <w:rFonts w:ascii="Times New Roman;Times;Serif" w:hAnsi="Times New Roman;Times;Serif"/>
          <w:b w:val="false"/>
          <w:i w:val="false"/>
          <w:caps w:val="false"/>
          <w:smallCaps w:val="false"/>
          <w:sz w:val="20"/>
        </w:rPr>
        <w:t>”), Tenant shall have the option to terminate this Lease by providing Landlord written notice to that effect within sixty (60) days after the date of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Partial Taking - Tenant’s Rights</w:t>
      </w:r>
      <w:r>
        <w:rPr>
          <w:rFonts w:ascii="Times New Roman;Times;Serif" w:hAnsi="Times New Roman;Times;Serif"/>
          <w:b w:val="false"/>
          <w:i w:val="false"/>
          <w:caps w:val="false"/>
          <w:smallCaps w:val="false"/>
          <w:sz w:val="20"/>
        </w:rPr>
        <w:t>. If any part of the Building becomes subject to a Taking and such Taking will prevent Tenant from conducting on a permanent basis its business in the Premises in a manner reasonably comparable to that conducted immediately before such Taking, or if Landlord does not commit to repairing within 180 days after the date of the Taking any damage caused by the Taking and adversely affecting Tenant’s conducting business in the Premises, then Tenant may terminate this Lease as of the date of such Taking by giving written notice to Landlord within 30 days after the Taking, and Basic Rent and Additional Rent shall be apportioned as of the date of such Taking. If Tenant does not terminate this Lease, then Rent shall be abated on a reasonable basis as to that portion of the Premises rendered untenantable by the Taking.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Partial Taking - Landlord’s Rights</w:t>
      </w:r>
      <w:r>
        <w:rPr>
          <w:rFonts w:ascii="Times New Roman;Times;Serif" w:hAnsi="Times New Roman;Times;Serif"/>
          <w:b w:val="false"/>
          <w:i w:val="false"/>
          <w:caps w:val="false"/>
          <w:smallCaps w:val="false"/>
          <w:sz w:val="20"/>
        </w:rPr>
        <w:t>. If any material portion, but less than all, of the Building becomes subject to a Taking, or if Landlord is required to pay any of the proceeds arising from a Taking to a Landlord’s Mortgagee, then Landlord may terminate this Lease by delivering written notice thereof to Tenant within 30 days after such Taking, and Basic Rent and Additional Rent shall be apportioned as of the date of such Taking. If Landlord does not so terminate this Lease, then this Lease will continue, but if any portion of the Premises has been taken, Rent shall abate as provided in the last sentence of Section 15(b). In the event Landlord exercises its termination right under Section 15(c) of either or both of the Other Leases, Tenant shall have the option to terminate this Lease by providing Landlord written notice to that effect within sixty (60) days after the date of such Landlord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Temporary Taking</w:t>
      </w:r>
      <w:r>
        <w:rPr>
          <w:rFonts w:ascii="Times New Roman;Times;Serif" w:hAnsi="Times New Roman;Times;Serif"/>
          <w:b w:val="false"/>
          <w:i w:val="false"/>
          <w:caps w:val="false"/>
          <w:smallCaps w:val="false"/>
          <w:sz w:val="20"/>
        </w:rPr>
        <w:t>. If all or any portion of the Premises becomes subject to a Taking for a limited period of time, this Lease shall remain in full force and effect and Tenant shall continue to perform all of the terms, conditions and covenants of this Lease, including the payment of Basic Rent and all other amounts required hereunder. If any such temporary Taking terminates prior to the expiration of the Term, Tenant shall restore the Premises as nearly as possible to the condition prior to such temporary Taking, at Tenant’s sole cost and expense. Landlord shall be entitled to receive the entire award for any such temporary Taking, except that Tenant shall be entitled to receive the portion of such award which (1) compensates Tenant for its loss of use of the Premises within the Term and (2) reimburses Tenant for the reasonable out-of-pocket costs actually incurred by Tenant to restore the Premises as required by this Section.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If any Taking occurs, then Landlord shall receive the entire award or other compensation for the Land, the Building, and other improvements taken; however, Tenant may separately pursue a claim (to the extent it will not reduce Landlord’s award) against the condemnor for the value of Tenant’s personal property which Tenant is entitled to remove under this Lease, moving costs, loss of business, and other claims it may have.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val="false"/>
          <w:i w:val="false"/>
          <w:caps w:val="false"/>
          <w:smallCaps w:val="false"/>
          <w:sz w:val="20"/>
          <w:u w:val="single"/>
        </w:rPr>
        <w:t>Fire or Other Casualty</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Repair Estimate</w:t>
      </w:r>
      <w:r>
        <w:rPr>
          <w:rFonts w:ascii="Times New Roman;Times;Serif" w:hAnsi="Times New Roman;Times;Serif"/>
          <w:b w:val="false"/>
          <w:i w:val="false"/>
          <w:caps w:val="false"/>
          <w:smallCaps w:val="false"/>
          <w:sz w:val="20"/>
        </w:rPr>
        <w:t>. If the Premises or the Building are damaged by fire or other casualty (a “</w:t>
      </w:r>
      <w:r>
        <w:rPr>
          <w:rFonts w:ascii="Times New Roman;Times;Serif" w:hAnsi="Times New Roman;Times;Serif"/>
          <w:b/>
          <w:i w:val="false"/>
          <w:caps w:val="false"/>
          <w:smallCaps w:val="false"/>
          <w:sz w:val="20"/>
          <w:u w:val="single"/>
        </w:rPr>
        <w:t>Casualty</w:t>
      </w:r>
      <w:r>
        <w:rPr>
          <w:rFonts w:ascii="Times New Roman;Times;Serif" w:hAnsi="Times New Roman;Times;Serif"/>
          <w:b w:val="false"/>
          <w:i w:val="false"/>
          <w:caps w:val="false"/>
          <w:smallCaps w:val="false"/>
          <w:sz w:val="20"/>
        </w:rPr>
        <w:t>”), Landlord shall, within 90 days after such Casualty, deliver to Tenant a good faith estimate (the “</w:t>
      </w:r>
      <w:r>
        <w:rPr>
          <w:rFonts w:ascii="Times New Roman;Times;Serif" w:hAnsi="Times New Roman;Times;Serif"/>
          <w:b/>
          <w:i w:val="false"/>
          <w:caps w:val="false"/>
          <w:smallCaps w:val="false"/>
          <w:sz w:val="20"/>
          <w:u w:val="single"/>
        </w:rPr>
        <w:t>Damage Notice</w:t>
      </w:r>
      <w:r>
        <w:rPr>
          <w:rFonts w:ascii="Times New Roman;Times;Serif" w:hAnsi="Times New Roman;Times;Serif"/>
          <w:b w:val="false"/>
          <w:i w:val="false"/>
          <w:caps w:val="false"/>
          <w:smallCaps w:val="false"/>
          <w:sz w:val="20"/>
        </w:rPr>
        <w:t>”) of the cost and time needed to repair the damage caused by such Casualty.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Tenant’s Rights</w:t>
      </w:r>
      <w:r>
        <w:rPr>
          <w:rFonts w:ascii="Times New Roman;Times;Serif" w:hAnsi="Times New Roman;Times;Serif"/>
          <w:b w:val="false"/>
          <w:i w:val="false"/>
          <w:caps w:val="false"/>
          <w:smallCaps w:val="false"/>
          <w:sz w:val="20"/>
        </w:rPr>
        <w:t>. If a material portion of the Premises is damaged by Casualty such that Tenant is prevented from conducting its business in the Premises in a manner reasonably comparable to that conducted immediately before such Casualty and Landlord estimates that the damage caused thereby cannot be repaired within 270 days after the commencement of repairs (the “</w:t>
      </w:r>
      <w:r>
        <w:rPr>
          <w:rFonts w:ascii="Times New Roman;Times;Serif" w:hAnsi="Times New Roman;Times;Serif"/>
          <w:b/>
          <w:i w:val="false"/>
          <w:caps w:val="false"/>
          <w:smallCaps w:val="false"/>
          <w:sz w:val="20"/>
          <w:u w:val="single"/>
        </w:rPr>
        <w:t>Repair Period</w:t>
      </w:r>
      <w:r>
        <w:rPr>
          <w:rFonts w:ascii="Times New Roman;Times;Serif" w:hAnsi="Times New Roman;Times;Serif"/>
          <w:b w:val="false"/>
          <w:i w:val="false"/>
          <w:caps w:val="false"/>
          <w:smallCaps w:val="false"/>
          <w:sz w:val="20"/>
        </w:rPr>
        <w:t>”), then Tenant may terminate this Lease by delivering written notice to Landlord of its election to terminate within 30 days after the Damage Notice has been delivered to Tenant.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Landlord’s Rights</w:t>
      </w:r>
      <w:r>
        <w:rPr>
          <w:rFonts w:ascii="Times New Roman;Times;Serif" w:hAnsi="Times New Roman;Times;Serif"/>
          <w:b w:val="false"/>
          <w:i w:val="false"/>
          <w:caps w:val="false"/>
          <w:smallCaps w:val="false"/>
          <w:sz w:val="20"/>
        </w:rPr>
        <w:t>. If (i) a Casualty damages the Premises or a material portion of the Building, (ii) Tenant does not agree in writing within ten (10) business days after receipt of the Damage Notice to pay for the cost of repair of such damage and restoration of the Premises pursuant to this Section 16, and (iii) either (1) Landlord estimates that the damage to the Premises cannot be repaired within the Repair Period, (2) the damage to the Premises exceeds 50% of the replacement cost thereof (excluding foundations and footings), as estimated by Landlord, and such damage occurs during the last two years of the Term, (3) regardless of the extent of damage to the Premises, the damage is not fully covered by Landlord’s insurance policies plus applicable deductibles (provided Landlord carries the insurance required hereunder) or Landlord makes a good faith determination that restoring the Building would be uneconomical, or (4) Landlord is required to pay any insurance proceeds arising out of the Casualty to a Landlord’s Mortgagee such that remaining insurance proceeds are insufficient to cover the costs of rebuilding, then Landlord may terminate this Lease by giving written notice of its election to terminate within 30 days after the Damage Notice has been delivered to Tenant. In the event Landlord exercises its termination right under Section 16(c) of either or both of the Other Leases, Tenant shall have the option to terminate this Lease by providing Landlord written notice to that effect within sixty (60) days after the date of such Landlord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Repair Obligation</w:t>
      </w:r>
      <w:r>
        <w:rPr>
          <w:rFonts w:ascii="Times New Roman;Times;Serif" w:hAnsi="Times New Roman;Times;Serif"/>
          <w:b w:val="false"/>
          <w:i w:val="false"/>
          <w:caps w:val="false"/>
          <w:smallCaps w:val="false"/>
          <w:sz w:val="20"/>
        </w:rPr>
        <w:t>. If neither party elects to terminate this Lease following a Casualty, then Landlord shall, within a reasonable time after such Casualty, begin to repair the Premises and shall proceed with reasonable diligence to restore the Premises to substantially the same condition as they existed immediately before such Casualty; however, Landlord shall not be required to repair or replace any alterations or betterments within the Premises (which shall be promptly and with due diligence repaired and restored by Tenant at Tenant’s sole cost and expense) or any furniture, equipment, trade fixtures or personal property of Tenant or others in the Premises or the Building, and Landlord’s obligation to repair or restore the Premises shall be limited to the extent of the insurance proceeds actually received by Landlord for the Casualty in question (plus applicable deductible amounts). If this Lease is terminated under the provisions of this Section 16, Landlord shall be entitled to the full proceeds of the insurance policies providing coverage for all alterations, improvements and betterments in the Premises (and, if Tenant has failed to maintain insurance on such items as required by this Lease, Tenant shall pay Landlord an amount equal to the proceeds Landlord would have received had Tenant maintained insurance on such items as required by this Lease). If Landlord does not complete the restoration of the Premises within 120 days after the time period estimated by Landlord to repair the damage caused by such Casualty as specified in the Damage Notice, as the same may be extended by force majeure or delays caused by a Tenant Party, Tenant may terminate this Lease by delivering written notice to Landlord and Landlord’s Mortgagee following the expiration of such 120-day period (as the same may be extended as set forth above) and prior to the date upon which Landlord substantially completes such restoration. Such termination shall be effective as of the date specified in Tenant’s termination notice (but not earlier than 30 days nor later than 90 days after the date of such notice) as if such date were the date fixed for the expiration of the Term. If Tenant fails to timely give such termination notice, Tenant shall be deemed to have waived its right to terminate this Lease, time being of the essence with respect thereto. Notwithstanding the foregoing, if upon the receipt of Tenant’s written election to terminate this Lease as provided in this Section 16(d), Landlord reasonably believes it can complete the restoration of the Premises within 30 days following the receipt of such notice, Landlord may, in its sole discretion, elect to proceed with such restoration and, provided Landlord substantially completes such restoration within such 30-day period, Tenant’s election to terminate shall be null and void.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Abatement of Rent</w:t>
      </w:r>
      <w:r>
        <w:rPr>
          <w:rFonts w:ascii="Times New Roman;Times;Serif" w:hAnsi="Times New Roman;Times;Serif"/>
          <w:b w:val="false"/>
          <w:i w:val="false"/>
          <w:caps w:val="false"/>
          <w:smallCaps w:val="false"/>
          <w:sz w:val="20"/>
        </w:rPr>
        <w:t>. If the Premises are damaged by Casualty, Rent for the portion of the Premises rendered untenantable by the damage shall be abated on a reasonable basis from the date of damage until the completion of Landlord’s repairs (or until the date of termination of this Lease by Landlord or Tenant as provided above, as the case may be), unless the gross negligence or willful misconduct of a Tenant Party caused such damage, in which case, Tenant shall continue to pay Rent without abatement.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val="false"/>
          <w:i w:val="false"/>
          <w:caps w:val="false"/>
          <w:smallCaps w:val="false"/>
          <w:sz w:val="20"/>
          <w:u w:val="single"/>
        </w:rPr>
        <w:t>Personal Property Taxes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be liable for all taxes levied or assessed against personal property, furniture, or fixtures placed by Tenant in the Premises or in or on the Building or Project. 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30 days following written request therefor, the part of such taxes for which Tenant is primarily liable hereunder; however, Landlord shall not pay such amount if Tenant notifies Landlord that it will contest the validity or amount of such taxes before Landlord makes such payment, and thereafter diligently proceeds with such contest in accordance with Law and if the non-payment thereof does not pose a threat of loss or seizure of the Project or interest of Landlord therein or impose any fee or penalty against Landlord.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the following occurrences shall be an “</w:t>
      </w:r>
      <w:r>
        <w:rPr>
          <w:rFonts w:ascii="Times New Roman;Times;Serif" w:hAnsi="Times New Roman;Times;Serif"/>
          <w:b/>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 Default</w:t>
      </w:r>
      <w:r>
        <w:rPr>
          <w:rFonts w:ascii="Times New Roman;Times;Serif" w:hAnsi="Times New Roman;Times;Serif"/>
          <w:b w:val="false"/>
          <w:i w:val="false"/>
          <w:caps w:val="false"/>
          <w:smallCaps w:val="false"/>
          <w:sz w:val="20"/>
        </w:rPr>
        <w:t>. Tenant’s failure to pay Rent within three (3) business days of the date due, which failure continues for five (5) days after Landlord has delivered written notice to Tenant that the same is due; however, an Event of Default shall occur hereunder without any obligation of Landlord to give any notice if Tenant fails to pay any regularly scheduled Rent payment within three (3) business days of the date due and, during the 12 month interval preceding such failure, Landlord has given Tenant written notice of failure to pay any regularly scheduled Rent payment on one or more occasions;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Abandonment</w:t>
      </w:r>
      <w:r>
        <w:rPr>
          <w:rFonts w:ascii="Times New Roman;Times;Serif" w:hAnsi="Times New Roman;Times;Serif"/>
          <w:b w:val="false"/>
          <w:i w:val="false"/>
          <w:caps w:val="false"/>
          <w:smallCaps w:val="false"/>
          <w:sz w:val="20"/>
        </w:rPr>
        <w:t>. Tenant abandons the Premises or any substantial portion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Estoppel</w:t>
      </w:r>
      <w:r>
        <w:rPr>
          <w:rFonts w:ascii="Times New Roman;Times;Serif" w:hAnsi="Times New Roman;Times;Serif"/>
          <w:b w:val="false"/>
          <w:i w:val="false"/>
          <w:caps w:val="false"/>
          <w:smallCaps w:val="false"/>
          <w:sz w:val="20"/>
        </w:rPr>
        <w:t>. Tenant fails to provide any estoppel certificate after Landlord’s written request therefor pursuant to Section 26(e) and such failure shall continue for three business days after Landlord’s second written notice thereof to Tenant;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Tenant fails to procure, maintain and deliver to Landlord evidence of the insurance policies and coverages as required under Section 12(a), and with respect to delivery of evidence of such insurance only, such failure shall continue for five business days after Landlord’s written notice thereof to Tenant;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Mechanic’s Liens</w:t>
      </w:r>
      <w:r>
        <w:rPr>
          <w:rFonts w:ascii="Times New Roman;Times;Serif" w:hAnsi="Times New Roman;Times;Serif"/>
          <w:b w:val="false"/>
          <w:i w:val="false"/>
          <w:caps w:val="false"/>
          <w:smallCaps w:val="false"/>
          <w:sz w:val="20"/>
        </w:rPr>
        <w:t>. Tenant fails to pay and release of record, or diligently contest and bond around, any mechanic’s lien filed against the Premises or the Project for any work performed, materials furnished, or obligation incurred by or at the request of Tenant, within the time and in the manner required by Section 8(d) and such failure shall continue for five business days after Landlord’s written notice thereof to Tenant;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Other Defaults</w:t>
      </w:r>
      <w:r>
        <w:rPr>
          <w:rFonts w:ascii="Times New Roman;Times;Serif" w:hAnsi="Times New Roman;Times;Serif"/>
          <w:b w:val="false"/>
          <w:i w:val="false"/>
          <w:caps w:val="false"/>
          <w:smallCaps w:val="false"/>
          <w:sz w:val="20"/>
        </w:rPr>
        <w:t>. Tenant’s failure to perform, comply with, or observe any other agreement or obligation of Tenant under this Lease and the continuance of such failure for a period of more than 30 days after Landlord has delivered to Tenant written notice thereof; however, if such failure cannot be cured within such 30-day period (thus excluding, for example, Tenant’s obligation to provide Landlord evidence of Tenant’s insurance coverage) and Tenant commences to cure such failure within such 30-day period and thereafter diligently pursues such cure to completion, then such failure shall not be an Event of Default unless it is not fully cured within an additional 60 days after the expiration of the 30-day period; 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Insolvency</w:t>
      </w:r>
      <w:r>
        <w:rPr>
          <w:rFonts w:ascii="Times New Roman;Times;Serif" w:hAnsi="Times New Roman;Times;Serif"/>
          <w:b w:val="false"/>
          <w:i w:val="false"/>
          <w:caps w:val="false"/>
          <w:smallCaps w:val="false"/>
          <w:sz w:val="20"/>
        </w:rPr>
        <w:t>. The filing of a petition by or against Tenant (the term “</w:t>
      </w:r>
      <w:r>
        <w:rPr>
          <w:rFonts w:ascii="Times New Roman;Times;Serif" w:hAnsi="Times New Roman;Times;Serif"/>
          <w:b/>
          <w:i w:val="false"/>
          <w:caps w:val="false"/>
          <w:smallCaps w:val="false"/>
          <w:sz w:val="20"/>
          <w:u w:val="single"/>
        </w:rPr>
        <w:t>Tenant</w:t>
      </w:r>
      <w:r>
        <w:rPr>
          <w:rFonts w:ascii="Times New Roman;Times;Serif" w:hAnsi="Times New Roman;Times;Serif"/>
          <w:b w:val="false"/>
          <w:i w:val="false"/>
          <w:caps w:val="false"/>
          <w:smallCaps w:val="false"/>
          <w:sz w:val="20"/>
        </w:rPr>
        <w:t>” shall include, for the purpose of this Section 18(g), any guarantor of Tenant’s obligations hereunder) (1) in any bankruptcy or other insolvency proceeding; (2) seeking any relief under any state or federal debtor relief law; (3) for the appointment of a liquidator or receiver for all or substantially all of Tenant’s property or for Tenant’s interest in this Lease; (4) for the reorganization or modification of Tenant’s capital structure; or (5) in any assignment for the benefit of creditors proceeding; however, if such a petition is filed against Tenant, then such filing shall not be an Event of Default unless Tenant fails to have the proceedings initiated by such petition dismissed within 90 days after the filing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Landlord’s sole remedy for the Event of Default set forth in Subsection 18(b) above (Abandonment) is termination of this Lease. During the existence of any other Event of Default, Landlord may, in addition to all other rights and remedies afforded Landlord hereunder or by law or equity, take any one or more of the following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Termination of Lease</w:t>
      </w:r>
      <w:r>
        <w:rPr>
          <w:rFonts w:ascii="Times New Roman;Times;Serif" w:hAnsi="Times New Roman;Times;Serif"/>
          <w:b w:val="false"/>
          <w:i w:val="false"/>
          <w:caps w:val="false"/>
          <w:smallCaps w:val="false"/>
          <w:sz w:val="20"/>
        </w:rPr>
        <w:t>. Terminate this Lease by giving Tenant written notice thereof, in which event Tenant shall pay to Landlord the sum of (1) all Rent accrued hereunder through the date of termination, (2) all amounts due under Section 20(a), and (3) an amount equal to (A) the total Rent that Tenant would have been required to pay for the remainder of the Term discounted to present value at a per annum rate equal to the “Prime Rate” as published on the date this Lease is terminated by The Wall Street Journal, Southwest Edition, in its listing of “Money Rates” minus one percent, minus (B) the then present fair rental value of the Premises for such period, similarly discounted;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 of Possession</w:t>
      </w:r>
      <w:r>
        <w:rPr>
          <w:rFonts w:ascii="Times New Roman;Times;Serif" w:hAnsi="Times New Roman;Times;Serif"/>
          <w:b w:val="false"/>
          <w:i w:val="false"/>
          <w:caps w:val="false"/>
          <w:smallCaps w:val="false"/>
          <w:sz w:val="20"/>
        </w:rPr>
        <w:t>. Terminate Tenant’s right to possess the Premises without terminating this Lease by giving written notice thereof to Tenant, in which event Tenant shall pay to Landlord (1) all Rent and other amounts accrued hereunder to the date of termination of possession, (2) all amounts due from time to time under Section 20(a), and (3) all Rent and other net sums required hereunder to be paid by Tenant during the remainder of the Term, diminished by any net sums thereafter received by Landlord through reletting the Premises during such period, after deducting all reasonable costs incurred by Landlord in reletting the Premises. If Landlord elects to proceed under this Section 19(b), Landlord may remove all of Tenant’s property from the Premises and store the same in a public warehouse or elsewhere at the cost of, and for the account of, Tenant, without becoming liable for any loss or damage which may be occasioned thereby. Landlord shall use reasonable efforts to relet the Premises on such terms as Landlord in its sole reasonable discretion may determine (including a term different from the Term, rental concessions, and alterations to, and improvement of, the Premises); however, Landlord shall not be obligated to relet the Premises before leasing other portions of the Building or Complex and Landlord shall not be obligated to accept any prospective tenant unless such proposed tenant meets all of Landlord’s leasing criteria. Landlord shall not be liable for, nor shall Tenant’s obligations hereunder be diminished because of, Landlord’s failure to relet the Premises or to collect rent due for such reletting. Tenant shall not be entitled to the excess of any consideration obtained by reletting over the Rent due hereunder. Reentry by Landlord in the Premises shall not affect Tenant’s obligations hereunder for the unexpired Term; rather, Landlord may, from time to time, bring an action against Tenant to collect amounts due by Tenant, without the necessity of Landlord’s waiting until the expiration of the Term. Unless Landlord delivers written notice to Tenant expressly stating that it has elected to terminate this Lease, all actions taken by Landlord to dispossess or exclude Tenant from the Premises shall be deemed to be taken under this Section 19(b). If Landlord elects to proceed under this Section 19(b), it may at any time elect to terminate this Lease under Section 19(a);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Perform Acts on Behalf of Tenant</w:t>
      </w:r>
      <w:r>
        <w:rPr>
          <w:rFonts w:ascii="Times New Roman;Times;Serif" w:hAnsi="Times New Roman;Times;Serif"/>
          <w:b w:val="false"/>
          <w:i w:val="false"/>
          <w:caps w:val="false"/>
          <w:smallCaps w:val="false"/>
          <w:sz w:val="20"/>
        </w:rPr>
        <w:t>. Perform any act Tenant is obligated to perform under the terms of this Lease (and enter upon the Premises in connection therewith if necessary) in Tenant’s name and on Tenant’s behalf, without being liable for any claim for damages therefor, except to the extent due to Landlord’s gross negligence or willful misconduct in performing such obligation, and Tenant shall reimburse Landlord on demand for any reasonable expenses which Landlord may incur in thus effecting compliance with Tenant’s obligations under this Lease (including, but not limited to, collection costs and legal expenses), plus interest thereon at the Default 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Suspension of Services</w:t>
      </w:r>
      <w:r>
        <w:rPr>
          <w:rFonts w:ascii="Times New Roman;Times;Serif" w:hAnsi="Times New Roman;Times;Serif"/>
          <w:b w:val="false"/>
          <w:i w:val="false"/>
          <w:caps w:val="false"/>
          <w:smallCaps w:val="false"/>
          <w:sz w:val="20"/>
        </w:rPr>
        <w:t>. Suspend any services required to be provided by Landlord hereunder without being liable for any claim for damages therefor; 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Alteration of Locks</w:t>
      </w:r>
      <w:r>
        <w:rPr>
          <w:rFonts w:ascii="Times New Roman;Times;Serif" w:hAnsi="Times New Roman;Times;Serif"/>
          <w:b w:val="false"/>
          <w:i w:val="false"/>
          <w:caps w:val="false"/>
          <w:smallCaps w:val="false"/>
          <w:sz w:val="20"/>
        </w:rPr>
        <w:t>. Additionally, with or without notice, and to the extent permitted by Law, Landlord may alter locks or other security devices at the Premises to deprive Tenant of access thereto, and Landlord shall not be required to provide a new key or right of access to Tenant.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20.            </w:t>
      </w:r>
      <w:r>
        <w:rPr>
          <w:rFonts w:ascii="Times New Roman;Times;Serif" w:hAnsi="Times New Roman;Times;Serif"/>
          <w:b w:val="false"/>
          <w:i w:val="false"/>
          <w:caps w:val="false"/>
          <w:smallCaps w:val="false"/>
          <w:sz w:val="20"/>
          <w:u w:val="single"/>
        </w:rPr>
        <w:t>Payment by Tenant; Non-Waiver; Cumulative Remedies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 by Tenant</w:t>
      </w:r>
      <w:r>
        <w:rPr>
          <w:rFonts w:ascii="Times New Roman;Times;Serif" w:hAnsi="Times New Roman;Times;Serif"/>
          <w:b w:val="false"/>
          <w:i w:val="false"/>
          <w:caps w:val="false"/>
          <w:smallCaps w:val="false"/>
          <w:sz w:val="20"/>
        </w:rPr>
        <w:t>. Upon any Event of Default, Tenant shall pay to Landlord all costs incurred by Landlord (including court costs and reasonable attorneys’ fees and expenses) in (1) obtaining possession of the Premises, (2) removing and storing Tenant’s or any other occupant’s property, (3) repairing, restoring, or otherwise putting the Premises into the condition required at expiration of the Term, (4) if Tenant is dispossessed of the Premises and this Lease is not terminated, reletting all or any part of the Premises (including reasonable brokerage commissions), (5) performing Tenant’s obligations which Tenant failed to perform, and (6) enforcing, or advising Landlord of, its rights, remedies, and recourses arising out of the default. To the full extent permitted by law, Landlord and Tenant agree the federal and state courts of the state in which the Premises are located shall have exclusive jurisdiction over any matter relating to or arising from this Lease and the parties’ rights and obligations under this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Any and all remedies set forth in this Lease: (1) shall be in addition to any and all other remedies Landlord may have at law or in equity, (2) shall be cumulative, and (3) may be pursued successively or concurrently as Landlord may elect. The exercise of any remedy by Landlord shall not be deemed an election of remedies or preclude Landlord from exercising any other remedies in the future.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val="false"/>
          <w:i w:val="false"/>
          <w:caps w:val="false"/>
          <w:smallCaps w:val="false"/>
          <w:sz w:val="20"/>
          <w:u w:val="single"/>
        </w:rPr>
        <w:t>Landlord’s Lien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Tenant’s property, racking, shelves, wall display systems, bins, machinery, fixtures, security devices (including security gates and security cameras), generators, furnishings, equipment, accounts receivable, inventory, and other personal property (collectively, “</w:t>
      </w:r>
      <w:r>
        <w:rPr>
          <w:rFonts w:ascii="Times New Roman;Times;Serif" w:hAnsi="Times New Roman;Times;Serif"/>
          <w:b/>
          <w:i w:val="false"/>
          <w:caps w:val="false"/>
          <w:smallCaps w:val="false"/>
          <w:sz w:val="20"/>
          <w:u w:val="single"/>
        </w:rPr>
        <w:t>Tenant’s Property</w:t>
      </w:r>
      <w:r>
        <w:rPr>
          <w:rFonts w:ascii="Times New Roman;Times;Serif" w:hAnsi="Times New Roman;Times;Serif"/>
          <w:b w:val="false"/>
          <w:i w:val="false"/>
          <w:caps w:val="false"/>
          <w:smallCaps w:val="false"/>
          <w:sz w:val="20"/>
        </w:rPr>
        <w:t>”), however installed or located on or about the Premises, will be and remain the property of Tenant or its lender, service providers, contractors, or vendors (and their respective lenders or contractors) (collectively, “</w:t>
      </w:r>
      <w:r>
        <w:rPr>
          <w:rFonts w:ascii="Times New Roman;Times;Serif" w:hAnsi="Times New Roman;Times;Serif"/>
          <w:b/>
          <w:i w:val="false"/>
          <w:caps w:val="false"/>
          <w:smallCaps w:val="false"/>
          <w:sz w:val="20"/>
          <w:u w:val="single"/>
        </w:rPr>
        <w:t>Vendors</w:t>
      </w:r>
      <w:r>
        <w:rPr>
          <w:rFonts w:ascii="Times New Roman;Times;Serif" w:hAnsi="Times New Roman;Times;Serif"/>
          <w:b w:val="false"/>
          <w:i w:val="false"/>
          <w:caps w:val="false"/>
          <w:smallCaps w:val="false"/>
          <w:sz w:val="20"/>
        </w:rPr>
        <w:t>”) and may be installed, modified, and removed at any time and from time to time during the Term without Landlord’s consent. In no event (including an Event of Default) will Landlord have any lien or other security interest in any of Tenant’s Property located in the Premises or elsewhere, and Landlord hereby expressly waives and releases any lien or other security interest however created or arising to secure the obligations of Tenant under this Lease until such time as Landlord may obtain an enforceable judgment against Tenant from a court with jurisdiction of Tenant or Tenant’s Property, at which time Landlord shall have such lien rights at law and in equity to enforce and collect such judgment and Tenant’s obligations under this Lease. At Tenant’s request and cost, Landlord will execute a lien waiver and access agreement requested by Vendors, in a form reasonably acceptable to Landlord and such Vendors or other institutional lenders, so long as the applicable Vendor agrees (a) to provide Landlord with at least five (5) business days’ notice before exercising any remedy to remove Tenant’s Property; (b) to allow a representative of Landlord to be present during the exercise of any such remedy; (c) to repair and restore any damage caused by the removal of Tenant’s Property; (d) to carry at least the same level of insurance as required of Tenant during any time that such third party is on the Premises; and (e) to indemnify, defend, and hold harmless Landlord from any claims arising out of or relating to such party’s exercise of its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w:t>
      </w:r>
      <w:r>
        <w:rPr>
          <w:rFonts w:ascii="Times New Roman;Times;Serif" w:hAnsi="Times New Roman;Times;Serif"/>
          <w:b w:val="false"/>
          <w:i w:val="false"/>
          <w:caps w:val="false"/>
          <w:smallCaps w:val="false"/>
          <w:sz w:val="20"/>
          <w:u w:val="single"/>
        </w:rPr>
        <w:t>Surrender of Premises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Surrender</w:t>
      </w:r>
      <w:r>
        <w:rPr>
          <w:rFonts w:ascii="Times New Roman;Times;Serif" w:hAnsi="Times New Roman;Times;Serif"/>
          <w:b w:val="false"/>
          <w:i w:val="false"/>
          <w:caps w:val="false"/>
          <w:smallCaps w:val="false"/>
          <w:sz w:val="20"/>
        </w:rPr>
        <w:t>. No act by Landlord shall be deemed an acceptance of a surrender of the Premises, and no agreement to accept a surrender of the Premises shall be valid unless it is in writing and signed by Landlord. At the expiration or termination of this Lease, Tenant shall deliver to Landlord the Premises with all improvements located therein in good repair and condition, free of Hazardous Materials placed on the Premises during the Term, broom-clean, reasonable wear and tear (and condemnation and Casualty damage not caused by Tenant, as to which Sections 15 and 16 shall control) excepted, and shall deliver to Landlord all keys to the Premises. Tenant may remove all unattached trade fixtures, furniture, and personal property placed in the Premises or elsewhere in the Building by Tenant (but Tenant may not remove any such item which was paid for, in whole or in part, by Landlord or any wiring or cabling unless Landlord requires such removal). All alterations, additions or improvements made in or upon the Premises shall, at Landlord’s option, (to be exercised pursuant to following sentences), either be removed by Tenant prior to the end of the Term (and Tenant shall repair all damage caused thereby), or shall remain in the Premises at the end of the Term without compensation to Tenant. If (1) Tenant either (a) submits plans and specifications to Landlord for proposed alterations, additions or improvements to the Premises that require Landlord’s review under this Lease, or (b) provides Landlord a Non-Structural Alterations Notice pursuant to Section 8(a) above, and (2) Tenant delivers a Removal Notice (defined below) to Landlord contemporaneously with such submission by Tenant, then Landlord will notify Tenant whether Tenant will be required to remove such alterations, additions or improvements to the Premises at the expiration of the Term. A “</w:t>
      </w:r>
      <w:r>
        <w:rPr>
          <w:rFonts w:ascii="Times New Roman;Times;Serif" w:hAnsi="Times New Roman;Times;Serif"/>
          <w:b/>
          <w:i w:val="false"/>
          <w:caps w:val="false"/>
          <w:smallCaps w:val="false"/>
          <w:sz w:val="20"/>
          <w:u w:val="single"/>
        </w:rPr>
        <w:t>Removal Notice</w:t>
      </w:r>
      <w:r>
        <w:rPr>
          <w:rFonts w:ascii="Times New Roman;Times;Serif" w:hAnsi="Times New Roman;Times;Serif"/>
          <w:b w:val="false"/>
          <w:i w:val="false"/>
          <w:caps w:val="false"/>
          <w:smallCaps w:val="false"/>
          <w:sz w:val="20"/>
        </w:rPr>
        <w:t>” means a written notice from Tenant to Landlord that conspicuously states in bold, uppercase typeface that Tenant will not be required to remove the alterations, additions or improvements in question at the end of the Term unless Landlord notifies Tenant in writing that Landlord will require Tenant to remove such alterations prior to the expiration of the Term. If Tenant does not deliver a Removal Notice to Landlord with respect to any alterations, additions or improvements to the Premises (whether such approval is required hereunder or otherwise), Tenant shall, at Landlord’s written request, remove all such alterations, additions, improvements, trade fixtures, personal property, equipment, wiring, conduits, cabling, and furniture (including Tenant’s Off-Premises Equipment) as Landlord may request. Tenant shall repair all damage caused by such removal. All items not so removed shall, at Landlord’s option, be deemed to have been abandoned by Tenant and may be appropriated, sold, stored, destroyed, or otherwise disposed of by Landlord without notice to Tenant and without any obligation to account for such items; any such disposition shall not be considered a strict foreclosure or other exercise of Landlord’s rights in respect of the security interest granted under Section 21. The provisions of this Section 22 shall survive the end of the Term.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Non-Standard Improvements</w:t>
      </w:r>
      <w:r>
        <w:rPr>
          <w:rFonts w:ascii="Times New Roman;Times;Serif" w:hAnsi="Times New Roman;Times;Serif"/>
          <w:b w:val="false"/>
          <w:i w:val="false"/>
          <w:caps w:val="false"/>
          <w:smallCaps w:val="false"/>
          <w:sz w:val="20"/>
        </w:rPr>
        <w:t>. Notwithstanding Section 22(a) above, Tenant shall remove such Non-Standard Improvements (defined below) as Landlord requests; however, Tenant shall not be required to remove any Non-Standard Improvements to the Premises or the Project if Landlord has specifically agreed in writing that the improvement or addition in question need not be removed. As used herein, “</w:t>
      </w:r>
      <w:r>
        <w:rPr>
          <w:rFonts w:ascii="Times New Roman;Times;Serif" w:hAnsi="Times New Roman;Times;Serif"/>
          <w:b/>
          <w:i w:val="false"/>
          <w:caps w:val="false"/>
          <w:smallCaps w:val="false"/>
          <w:sz w:val="20"/>
          <w:u w:val="single"/>
        </w:rPr>
        <w:t>Non-Standard Improvements</w:t>
      </w:r>
      <w:r>
        <w:rPr>
          <w:rFonts w:ascii="Times New Roman;Times;Serif" w:hAnsi="Times New Roman;Times;Serif"/>
          <w:b w:val="false"/>
          <w:i w:val="false"/>
          <w:caps w:val="false"/>
          <w:smallCaps w:val="false"/>
          <w:sz w:val="20"/>
        </w:rPr>
        <w:t>” means, collectively, any cleanroom space installed by Tenant within the Premises, any roof penetrations, alterations, additions, improvements, trade fixtures, personal property, equipment, wiring, conduits, cabling, and furniture related to such cleanroom or that are not typical warehouse improvements (in Landlord’s commercially reasonable judgment). Tenant shall repair all damage caused by removal of Non-Standard Improvements by Tenant pursuant to this Section 22(b), and upon removal of the Non-Standard Improvements, Tenant shall restore the applicable portions of the Premises to substantially the same condition as of the date of this Lease, including the roof. All such restoration work which may affect the Building’s Structure or the Building’s Systems must be approved by the Building’s engineer of record, at Tenant’s expense and, at Landlord’s election, must be performed by Landlord’s usual contractor for such work. All restoration work affecting the Building roof must be performed by Landlord’s roofing contractor, and will not be permitted if it would void or reduce the warranty on the roof.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23.            </w:t>
      </w:r>
      <w:r>
        <w:rPr>
          <w:rFonts w:ascii="Times New Roman;Times;Serif" w:hAnsi="Times New Roman;Times;Serif"/>
          <w:b w:val="false"/>
          <w:i w:val="false"/>
          <w:caps w:val="false"/>
          <w:smallCaps w:val="false"/>
          <w:sz w:val="20"/>
          <w:u w:val="single"/>
        </w:rPr>
        <w:t>Holding Over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Tenant fails to vacate the Premises at the end of the Term, then Tenant shall be a tenant at sufferance and, (a) Tenant shall pay, in addition to the other Rent, Basic Rent equal to 150% of the Rent payable during the last month of the Term, and (b) Tenant shall otherwise continue to be subject to all of Tenant’s obligations under this Lease. The provisions of this Section 23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 Notwithstanding the preceding sentence, Tenant shall not be liable for lost profits or other consequential, punitive or special damages in connection with a holdover after the end of the Term unless Landlord has notified Tenant in writing (“</w:t>
      </w:r>
      <w:r>
        <w:rPr>
          <w:rFonts w:ascii="Times New Roman;Times;Serif" w:hAnsi="Times New Roman;Times;Serif"/>
          <w:b/>
          <w:i w:val="false"/>
          <w:caps w:val="false"/>
          <w:smallCaps w:val="false"/>
          <w:sz w:val="20"/>
          <w:u w:val="single"/>
        </w:rPr>
        <w:t>Notice to Vacate</w:t>
      </w:r>
      <w:r>
        <w:rPr>
          <w:rFonts w:ascii="Times New Roman;Times;Serif" w:hAnsi="Times New Roman;Times;Serif"/>
          <w:b w:val="false"/>
          <w:i w:val="false"/>
          <w:caps w:val="false"/>
          <w:smallCaps w:val="false"/>
          <w:sz w:val="20"/>
        </w:rPr>
        <w:t>”) that Landlord has executed a bona fide letter of intent with another tenant for any portion of the Premises and Tenant fails to vacate the Premises by the later of (i) the date that is thirty (30) days after delivery of the Notice to Vacate, or (ii) the end of the Term.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24.            </w:t>
      </w:r>
      <w:r>
        <w:rPr>
          <w:rFonts w:ascii="Times New Roman;Times;Serif" w:hAnsi="Times New Roman;Times;Serif"/>
          <w:b w:val="false"/>
          <w:i w:val="false"/>
          <w:caps w:val="false"/>
          <w:smallCaps w:val="false"/>
          <w:sz w:val="20"/>
          <w:u w:val="single"/>
        </w:rPr>
        <w:t>Certain Rights Reserved by Landlord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Provided that the exercise of such rights does not unreasonably interfere with Tenant’s occupancy of the Premises, Landlord shall have the following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Building Operations</w:t>
      </w:r>
      <w:r>
        <w:rPr>
          <w:rFonts w:ascii="Times New Roman;Times;Serif" w:hAnsi="Times New Roman;Times;Serif"/>
          <w:b w:val="false"/>
          <w:i w:val="false"/>
          <w:caps w:val="false"/>
          <w:smallCaps w:val="false"/>
          <w:sz w:val="20"/>
        </w:rPr>
        <w:t>. To make inspections, repairs, and replacements, whether structural or otherwise, in and about the Project, or any part thereof; to enter upon the Premises (after giving Tenant reasonable notice thereof, which may be oral notice, except in cases of real or apparent emergency, in which case no notice shall be required) and, during the continuance of any such work, to temporarily close doors, entryways, public space, and corridors in the Building; to interrupt or temporarily suspend Building services and facilities; and to change the name of the Building;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To take such reasonable measures as Landlord deems advisable for the security of the Building and its occupants; evacuating the Building for cause, suspected cause, or for drill purposes; and temporarily denying access to the Building;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Prospective Purchasers and Lenders</w:t>
      </w:r>
      <w:r>
        <w:rPr>
          <w:rFonts w:ascii="Times New Roman;Times;Serif" w:hAnsi="Times New Roman;Times;Serif"/>
          <w:b w:val="false"/>
          <w:i w:val="false"/>
          <w:caps w:val="false"/>
          <w:smallCaps w:val="false"/>
          <w:sz w:val="20"/>
        </w:rPr>
        <w:t>. To enter the Premises at all reasonable hours, upon reasonable prior notice, to show the Premises to prospective purchasers or lenders;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Prospective Tenants</w:t>
      </w:r>
      <w:r>
        <w:rPr>
          <w:rFonts w:ascii="Times New Roman;Times;Serif" w:hAnsi="Times New Roman;Times;Serif"/>
          <w:b w:val="false"/>
          <w:i w:val="false"/>
          <w:caps w:val="false"/>
          <w:smallCaps w:val="false"/>
          <w:sz w:val="20"/>
        </w:rPr>
        <w:t>. At any time during the last 12 months of the Term (or earlier if Tenant has notified Landlord in writing that it does not desire to renew the Term) or at any time following the occurrence of an Event of Default which remains uncured, to enter the Premises at all reasonable hours, upon reasonable prior notice, to show the Premises to prospective tenants.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exercising Landlord’s rights pursuant to this Section 24, (i) Landlord shall use reasonable efforts to not materially and adversely interfere with the operations of Tenant’s business, and (ii) Tenant shall have the right to accompany Landlord during such access to the Premises, and to prevent Landlord from entering into secure areas that are identified to Landlord prior to such entry (except in cases of real or apparent emergency). Prior to permitting a prospective purchaser, prospective tenant or any other party not acting on Landlord’s behalf from entering the Premises, Landlord shall use commercially reasonable efforts to obtain non-disclosure agreements from such prospective purchasers or prospective tenants on Tenant’s then form NDA, subject to reasonable comments from such prospective purchaser or prospective tenant.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Landlord Transfer</w:t>
      </w:r>
      <w:r>
        <w:rPr>
          <w:rFonts w:ascii="Times New Roman;Times;Serif" w:hAnsi="Times New Roman;Times;Serif"/>
          <w:b w:val="false"/>
          <w:i w:val="false"/>
          <w:caps w:val="false"/>
          <w:smallCaps w:val="false"/>
          <w:sz w:val="20"/>
        </w:rPr>
        <w:t>. Landlord may transfer any portion of the Project and any of its rights under this Lease. If Landlord assigns its rights under this Lease, then Landlord shall thereby be released from any further obligations hereunder arising after the date of transfer, provided that the assignee assumes in writing Landlord’s obligations hereunder arising from and after the transfer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Landlord’s Liability</w:t>
      </w:r>
      <w:r>
        <w:rPr>
          <w:rFonts w:ascii="Times New Roman;Times;Serif" w:hAnsi="Times New Roman;Times;Serif"/>
          <w:b w:val="false"/>
          <w:i w:val="false"/>
          <w:caps w:val="false"/>
          <w:smallCaps w:val="false"/>
          <w:sz w:val="20"/>
        </w:rPr>
        <w:t>. The liability of Landlord (and its partners, shareholders or members) to Tenant (or any person or entity claiming by, through or under Tenant) for any default by Landlord under the terms of this Lease or any matter relating to or arising out of the occupancy or use of the Premises and/or other areas of the Building shall be limited to Tenant’s actual direct, but not consequential, damages therefor and shall be recoverable only from the interest of Landlord in the Building, and Landlord (and its partners, shareholders or members) shall not be personally liable for any deficiency. The provisions of this Section shall survive any expiration or termination of this Lease. Additionally, Tenant hereby waives its statutory lien under Section 91.004 of the Texas Property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Other than for Tenant’s obligations under this Lease that can be performed by the payment of 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terrorist acts or activities, governmental laws, regulations, or restrictions, or any other causes of any kind whatsoever which are beyond the control of such party (collectively, “</w:t>
      </w:r>
      <w:r>
        <w:rPr>
          <w:rFonts w:ascii="Times New Roman;Times;Serif" w:hAnsi="Times New Roman;Times;Serif"/>
          <w:b/>
          <w:i w:val="false"/>
          <w:caps w:val="false"/>
          <w:smallCaps w:val="false"/>
          <w:sz w:val="20"/>
          <w:u w:val="single"/>
        </w:rPr>
        <w:t>Force Majeure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Brokerage</w:t>
      </w:r>
      <w:r>
        <w:rPr>
          <w:rFonts w:ascii="Times New Roman;Times;Serif" w:hAnsi="Times New Roman;Times;Serif"/>
          <w:b w:val="false"/>
          <w:i w:val="false"/>
          <w:caps w:val="false"/>
          <w:smallCaps w:val="false"/>
          <w:sz w:val="20"/>
        </w:rPr>
        <w:t>. Neither Landlord nor Tenant has dealt with any broker or agent in connection with the negotiation or execution of this Lease, other than CBRE, Inc., whose commission shall be paid by Landlord pursuant to a separate written agreement. Tenant and Landlord shall each indemnify the other against all costs, expenses, attorneys’ fees, liens and other liability for commissions or other compensation claimed by any broker or agent claiming the same by, through, or under the indemnifying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Estoppel Certificates</w:t>
      </w:r>
      <w:r>
        <w:rPr>
          <w:rFonts w:ascii="Times New Roman;Times;Serif" w:hAnsi="Times New Roman;Times;Serif"/>
          <w:b w:val="false"/>
          <w:i w:val="false"/>
          <w:caps w:val="false"/>
          <w:smallCaps w:val="false"/>
          <w:sz w:val="20"/>
        </w:rPr>
        <w:t xml:space="preserve">. From time to time, Tenant shall furnish to any party designated by Landlord, within ten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Project, the initial form of estoppel certificate to be signed by Tenant is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If Tenant does not deliver to Landlord the certificate signed by Tenant within such required time period, Landlord, Landlord’s Mortgagee and any prospective purchaser or mortgagee, may conclusively presume and rely upon the following facts: (1) this Lease is in full force and effect; (2) the terms and provisions of this Lease have not been changed except as otherwise represented by Landlord; (3) not more than one monthly installment of Basic Rent and other charges have been paid in advance; (4) there are no claims against Landlord nor any defenses or rights of offset against collection of Rent or other charges; and (5) Landlord is not in default under this Lease. In such event, Tenant shall be estopped from denying the truth of the presumed facts.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required or permitted hereunder shall be in writing and shall be served on the parties at the addresses set forth in the Basic Lease Information. Any such notices shall, unless otherwise provided herein, be given or served (i) by depositing the same in the United States mail, postage paid, certified and addressed to the party to be notified, with return receipt requested, (ii) by overnight delivery using a nationally recognized overnight courier, (iii) by personal delivery, or (iv) by electronic mail addressed to the electronic mail address set forth in the Basic Lease Information for the party to be notified with a confirmation copy delivered by another method permitted under this Section 26(f) (i), (ii) or (iii). Notice given in accordance herewith for all permitted forms of notice other than by electronic mail, shall be effective upon the earlier to occur of actual delivery to the address of the addressee or refusal of receipt by the addressee (even if such addressee refuses delivery thereof). Notice given by electronic mail in accordance herewith shall be effective upon the entrance of such electronic mail into the information processing system designated by the recipient’s electronic mail address. Except for electronic mail notices as described above, no notice hereunder shall be effective if sent or delivered by electronic means. In no event shall this Lease be entered into, executed, terminated, altered, amended or modified by electronic mail or electronic record, except for the delivery or transmission of signatures as expressly provided in Section 26(z). A party’s address may be changed by written notice to the other party; provided, however, that no notice of a change of address shall be effective until actual receipt of such notice. Copies of notices are for informational purposes only, and a failure to give or receive copies of any notice shall not be deemed a failure to give notice. Notices given by counsel to the Tenant shall be deemed given by Tenant and notices given by counsel to the Landlord shall be deemed given by Landlord. If Landlord sends a default notice or an invoice to Tenant for payment of any rent due hereunder, an email of such default notice and/or invoice shall be sent to Fred Chang, David Kuo, and Ray Du regardless of any other method of notice sent to the other Tenant notice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Separability</w:t>
      </w:r>
      <w:r>
        <w:rPr>
          <w:rFonts w:ascii="Times New Roman;Times;Serif" w:hAnsi="Times New Roman;Times;Serif"/>
          <w:b w:val="false"/>
          <w:i w:val="false"/>
          <w:caps w:val="false"/>
          <w:smallCaps w:val="false"/>
          <w:sz w:val="20"/>
        </w:rPr>
        <w:t>. If any clause or provision of this Lease is illegal, invalid, or unenforceable under present or future laws, then the remainder of this Lease shall not be affected thereby and in lieu of such clause or provision, there shall be added as a part of this Lease a clause or provision as similar in terms to such illegal, invalid, or unenforceable clause or provision as may be possible and be legal, valid, and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Amendments; Binding Effect; No Electronic Records</w:t>
      </w:r>
      <w:r>
        <w:rPr>
          <w:rFonts w:ascii="Times New Roman;Times;Serif" w:hAnsi="Times New Roman;Times;Serif"/>
          <w:b w:val="false"/>
          <w:i w:val="false"/>
          <w:caps w:val="false"/>
          <w:smallCaps w:val="false"/>
          <w:sz w:val="20"/>
        </w:rPr>
        <w:t>. This Lease may not be amended except by instrument in writing signed by Landlord and Tenant. No provision of this Lease shall be deemed to have been waived by Landlord unless such waiver is in writing signed by Landlord, and no custom or practice which may evolve between the parties in the administration of the terms hereof shall waive or diminish the right of Landlord to insist upon the performance by Tenant in strict accordance with the terms hereof. Landlord and Tenant hereby agree not to conduct the transactions or communications contemplated by this Lease by electronic means, except (i) by electronic mail as specifically set forth in Section 26(f) and (ii) for the delivery or transmission of signatures as expressly provided in Section 26(z); nor shall the use of the phrase “in writing” or the word “written” be construed to include electronic communications except by electronic mail as specifically set forth in Section 26(f).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Quiet Enjoyment</w:t>
      </w:r>
      <w:r>
        <w:rPr>
          <w:rFonts w:ascii="Times New Roman;Times;Serif" w:hAnsi="Times New Roman;Times;Serif"/>
          <w:b w:val="false"/>
          <w:i w:val="false"/>
          <w:caps w:val="false"/>
          <w:smallCaps w:val="false"/>
          <w:sz w:val="20"/>
        </w:rPr>
        <w:t>. Provided no Event of Default exists, Tenant shall peaceably and quietly hold and enjoy the Premises for the Term, without hindrance from Landlord or any party claiming by, through, or under Landlord, but not otherwise, subject to the terms and conditions of this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Lease constitutes the entire agreement between Landlord and Tenant regarding the subject 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The normal rule of construction that any ambiguities be resolved against the drafting party shall not apply to the interpretation of this Lease or any exhibits or amendments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TO THE MAXIMUM EXTENT PERMITTED BY LAW, LANDLORD AND TENANT EACH WAIVE ANY RIGHT TO TRIAL BY JURY IN ANY LITIGATION OR TO HAVE A JURY PARTICIPATE IN RESOLVING ANY DISPUTE ARISING OUT OF OR WITH RESPECT TO THIS LEASE OR ANY OTHER INSTRUMENT, DOCUMENT OR AGREEMENT EXECUTED OR DELIVERED IN CONNECTION HEREWITH OR THE TRANSACTIONS RELATED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Lease shall be governed by and construed in accordance with the laws of the state in which the Premises are located.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Recording</w:t>
      </w:r>
      <w:r>
        <w:rPr>
          <w:rFonts w:ascii="Times New Roman;Times;Serif" w:hAnsi="Times New Roman;Times;Serif"/>
          <w:b w:val="false"/>
          <w:i w:val="false"/>
          <w:caps w:val="false"/>
          <w:smallCaps w:val="false"/>
          <w:sz w:val="20"/>
        </w:rPr>
        <w:t xml:space="preserve">. Landlord and Tenant shall, contemporaneously with their execution and delivery of this Lease, each execute and acknowledge a memorandum of lease respecting this Lease, substantially in the form of </w:t>
      </w:r>
      <w:r>
        <w:rPr>
          <w:rFonts w:ascii="Times New Roman;Times;Serif" w:hAnsi="Times New Roman;Times;Serif"/>
          <w:b/>
          <w:i w:val="false"/>
          <w:caps w:val="false"/>
          <w:smallCaps w:val="false"/>
          <w:sz w:val="20"/>
          <w:u w:val="single"/>
        </w:rPr>
        <w:t>Exhibit J</w:t>
      </w:r>
      <w:r>
        <w:rPr>
          <w:rFonts w:ascii="Times New Roman;Times;Serif" w:hAnsi="Times New Roman;Times;Serif"/>
          <w:b w:val="false"/>
          <w:i w:val="false"/>
          <w:caps w:val="false"/>
          <w:smallCaps w:val="false"/>
          <w:sz w:val="20"/>
        </w:rPr>
        <w:t xml:space="preserve"> attached hereto, which Tenant shall be permitted to record in the applicable public land records for Fort Bend County, Texas. Within ten (10) days after the end of the Term or if this Lease is earlier terminated, Landlord and Tenant shall enter into such documentation as is reasonably required by Landlord or Tenant to remove the memorandum of record.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Water or Mold Notification</w:t>
      </w:r>
      <w:r>
        <w:rPr>
          <w:rFonts w:ascii="Times New Roman;Times;Serif" w:hAnsi="Times New Roman;Times;Serif"/>
          <w:b w:val="false"/>
          <w:i w:val="false"/>
          <w:caps w:val="false"/>
          <w:smallCaps w:val="false"/>
          <w:sz w:val="20"/>
        </w:rPr>
        <w:t>. To the extent Tenant or its agents or employees discover any water leakage, water damage or mold in or about the Premises or Project, Tenant shall promptly notify Landlord thereof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Joint and Several Liability</w:t>
      </w:r>
      <w:r>
        <w:rPr>
          <w:rFonts w:ascii="Times New Roman;Times;Serif" w:hAnsi="Times New Roman;Times;Serif"/>
          <w:b w:val="false"/>
          <w:i w:val="false"/>
          <w:caps w:val="false"/>
          <w:smallCaps w:val="false"/>
          <w:sz w:val="20"/>
        </w:rPr>
        <w:t>. If Tenant is comprised of more than one party, each such party shall be jointly and 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Financial Reports</w:t>
      </w:r>
      <w:r>
        <w:rPr>
          <w:rFonts w:ascii="Times New Roman;Times;Serif" w:hAnsi="Times New Roman;Times;Serif"/>
          <w:b w:val="false"/>
          <w:i w:val="false"/>
          <w:caps w:val="false"/>
          <w:smallCaps w:val="false"/>
          <w:sz w:val="20"/>
        </w:rPr>
        <w:t>. Within 15 days after Landlord’s request, Tenant will furnish Tenant’s most recent 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If Tenant is a publicly traded corporation, Tenant may satisfy its obligations hereunder by providing to Landlord Tenant’s most recent annual and quarterly reports. Landlord will not disclose any aspect of Tenant’s financial statements that Tenant designates to Landlord as confidential except (1) to Landlord’s Mortgagee or prospective mortgagees or purchasers of the Building, (2) in litigation between Landlord and Tenant, and/or (3) if required by court order. Tenant shall not be required to deliver the financial statements required under this Section 26(p) more than once in any 12-month period unless requested by Landlord’s Mortgagee or a prospective buyer or lender of the Building or an Event of Default occurs. Notwithstanding anything to the contrary contained herein, so long as Tenant remains a publicly traded company (or a consolidated subsidiary of a publicly traded company) on a nationally recognized stock exchange and with financial statements that are publicly available, Tenant shall not be required to provide or deliver financial statements or any other information required under this subsection.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Landlord’s Fees</w:t>
      </w:r>
      <w:r>
        <w:rPr>
          <w:rFonts w:ascii="Times New Roman;Times;Serif" w:hAnsi="Times New Roman;Times;Serif"/>
          <w:b w:val="false"/>
          <w:i w:val="false"/>
          <w:caps w:val="false"/>
          <w:smallCaps w:val="false"/>
          <w:sz w:val="20"/>
        </w:rPr>
        <w:t>. Whenever Tenant requests Landlord to take any action not required of it hereunder or give any consent required or permitted under this Lease, Tenant will reimburse Landlord for Landlord’s reasonable, out-of-pocket costs payable to third parties and incurred by Landlord in reviewing the proposed action or consent, including reasonable attorneys’, engineers’ or architects’ fees, within 30 days after Landlord’s delivery to Tenant of a statement of such costs. Tenant will be obligated to make such reimbursement without regard to whether Landlord consents to any such proposed action. Notwithstanding the foregoing, Tenant’s obligations under this subsection shall never exceed $2,500.00 for any single requested action unless Landlord advises Tenant in advance of the estimate of such costs and allows Tenant to first withdraw such request so as to avoid any such reimbursement obligation.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Telecommunications</w:t>
      </w:r>
      <w:r>
        <w:rPr>
          <w:rFonts w:ascii="Times New Roman;Times;Serif" w:hAnsi="Times New Roman;Times;Serif"/>
          <w:b w:val="false"/>
          <w:i w:val="false"/>
          <w:caps w:val="false"/>
          <w:smallCaps w:val="false"/>
          <w:sz w:val="20"/>
        </w:rPr>
        <w:t>. Tenant and its telecommunications companies, including local exchange telecommunications companies and alternative access vendor services companies, shall have no right of access to and within the Building, for the installation and operation of telecommunications systems, including voice, video, data, Internet, and any other services provided over wire, fiber optic, microwave, wireless, and any other transmission systems (“</w:t>
      </w:r>
      <w:r>
        <w:rPr>
          <w:rFonts w:ascii="Times New Roman;Times;Serif" w:hAnsi="Times New Roman;Times;Serif"/>
          <w:b/>
          <w:i w:val="false"/>
          <w:caps w:val="false"/>
          <w:smallCaps w:val="false"/>
          <w:sz w:val="20"/>
          <w:u w:val="single"/>
        </w:rPr>
        <w:t>Telecommunications Services</w:t>
      </w:r>
      <w:r>
        <w:rPr>
          <w:rFonts w:ascii="Times New Roman;Times;Serif" w:hAnsi="Times New Roman;Times;Serif"/>
          <w:b w:val="false"/>
          <w:i w:val="false"/>
          <w:caps w:val="false"/>
          <w:smallCaps w:val="false"/>
          <w:sz w:val="20"/>
        </w:rPr>
        <w:t>”), for part or all of Tenant’s telecommunications within the Building and from the Building to any other location without Landlord’s prior written consent, not to be unreasonably withheld. All providers of Telecommunications Services shall be required to comply with the rules and regulations of the Building, applicable Laws and Landlord’s policies and practices for the Building. Tenant acknowledges that Landlord shall not be required to provide or arrange for any Telecommunications Services and that Landlord shall have no liability to any Tenant Party in connection with the installation, operation or maintenance of Telecommunications Services or any equipment or facilities relating thereto. Tenant, at its cost and for its own account, shall be solely responsible for obtaining all Telecommunications Services.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Tenant acknowledges that the terms and conditions of this Lease are to remain confidential for Landlord’s benefit, and may not be disclosed by Tenant to anyone, by any manner or means, directly or indirectly, without Landlord’s prior written consent; however, Tenant may disclose the terms and conditions of this Lease if required by Law (including without limitation those of the United States Securities and Exchange Commission), or in response to a court order or decision or court order or request of a stock exchange, regulatory agency or other authority, to its attorneys, accountants, employees and existing or prospective financial partners provided same are advised by Tenant of the confidential nature of such terms and conditions. Tenant shall be liable for any disclosures made in violation of this Section by Tenant or by any entity or individual to whom the terms of and conditions of this Lease were disclosed or made available by Tenant. The consent by Landlord to any disclosures shall not be deemed to be a waiver on the part of Landlord of any prohibition against any future disclosure. Notwithstanding anything to the contrary in this Lease, Landlord acknowledges and agrees that Tenant may file this Lease with the U.S. Securities and Exchange Commission (SEC) as an exhibit to a Current Report on Form 8-K or other periodic report pursuant to the Securities Exchange Act of 1934, as amended, and such disclosure shall not constitute a breach of the confidentiality provisions herein; provided, however, that prior to any such filing, Tenant shall provide Landlord with advance written notice and a reasonable opportunity to review the proposed filing and request redactions. Tenant agrees to incorporate Landlord’s requested redactions to the extent permitted by applicable SEC rules and regulations (without a formal confidential treatment request under applicable SEC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Tenant (if a corporation, partnership or other business entity) hereby represents and warrants to Landlord that Tenant is a duly formed and existing entity qualified to do business in the state in which the Premises are located, that Tenant has full right and authority to execute and deliver this Lease, and that each person signing on behalf of Tenant is authorized to do so. Landlord hereby represents and warrants to Tenant that Landlord is a duly formed and existing entity qualified to do business in the state in which the Premises are located, that Landlord has full right and authority to execute and deliver this Lease, and that each person signing on behalf of Landlord is authorized to do so.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Security Service</w:t>
      </w:r>
      <w:r>
        <w:rPr>
          <w:rFonts w:ascii="Times New Roman;Times;Serif" w:hAnsi="Times New Roman;Times;Serif"/>
          <w:b w:val="false"/>
          <w:i w:val="false"/>
          <w:caps w:val="false"/>
          <w:smallCaps w:val="false"/>
          <w:sz w:val="20"/>
        </w:rPr>
        <w:t>. Tenant acknowledges and agrees that, while Landlord may (but shall not be obligated to) patrol the Building or Project, Landlord is not providing any security services with respect to the Premises or Tenant’s Off-Premises Equipment and that Landlord shall not be liable to Tenant for, and Tenant waives any claim against Landlord with respect to, any loss by theft or any other damage suffered or incurred by Tenant in connection with any unauthorized entry into the Premises or any area where Tenant’s Off-Premises Equipment is located or any other breach of security with respect to the Premises or Tenant’s Off-Premises Equipment.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List of Exhibits</w:t>
      </w:r>
      <w:r>
        <w:rPr>
          <w:rFonts w:ascii="Times New Roman;Times;Serif" w:hAnsi="Times New Roman;Times;Serif"/>
          <w:b w:val="false"/>
          <w:i w:val="false"/>
          <w:caps w:val="false"/>
          <w:smallCaps w:val="false"/>
          <w:sz w:val="20"/>
        </w:rPr>
        <w:t>. All exhibits and attachments attached hereto are incorporated herein by this reference.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67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Outline of Premises</w:t>
        <w:br/>
        <w:t>Exhibit B – Description of the Land</w:t>
        <w:br/>
        <w:t>Exhibit C – Building Rules and Regulations</w:t>
        <w:br/>
        <w:t>Exhibit D – Work Letter</w:t>
        <w:br/>
        <w:t>Exhibit E – Form of Confirmation of Commencement Date Letter</w:t>
        <w:br/>
        <w:t>Exhibit F – Form of Tenant Estoppel Certificate</w:t>
        <w:br/>
        <w:t>Exhibit G – Intentionally Omitted</w:t>
        <w:br/>
        <w:t>Exhibit H – Purchase Option</w:t>
        <w:br/>
        <w:t>Exhibit I – Insurance for Construction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Prohibited Persons and Transactions</w:t>
      </w:r>
      <w:r>
        <w:rPr>
          <w:rFonts w:ascii="Times New Roman;Times;Serif" w:hAnsi="Times New Roman;Times;Serif"/>
          <w:b w:val="false"/>
          <w:i w:val="false"/>
          <w:caps w:val="false"/>
          <w:smallCaps w:val="false"/>
          <w:sz w:val="20"/>
        </w:rPr>
        <w:t>. Tenant represents and warrants to Landlord that Tenant is currently in compliance with and shall at all times during the Term (including any extension thereof) remain in compliance with the regulations of the OFAC of the Department of the Treasury (including those named on OFAC’s Specially Designated Nationals and Blocked Persons List) and any statute, executive order (including the September 24, 2001, Executive Order Blocking Property and Prohibiting Transactions with Persons Who Commit, Threaten to Commit or Support Terrorism), or other governmental action relating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Determination of Charges</w:t>
      </w:r>
      <w:r>
        <w:rPr>
          <w:rFonts w:ascii="Times New Roman;Times;Serif" w:hAnsi="Times New Roman;Times;Serif"/>
          <w:b w:val="false"/>
          <w:i w:val="false"/>
          <w:caps w:val="false"/>
          <w:smallCaps w:val="false"/>
          <w:sz w:val="20"/>
        </w:rPr>
        <w:t>. Landlord and Tenant agree that each provision of this Lease for determining charges and amounts payable by Tenant (including provisions regarding Additional Rent and Tenant’s Proportionate Share of Taxes and Insurance Costs) is commercially reasonable and, as to each such charge or amount, constitutes a statement of the amount of the charge or a method by which the charge is to be computed for purposes of Section 93.012 of the Texas Property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No Invasive Testing</w:t>
      </w:r>
      <w:r>
        <w:rPr>
          <w:rFonts w:ascii="Times New Roman;Times;Serif" w:hAnsi="Times New Roman;Times;Serif"/>
          <w:b w:val="false"/>
          <w:i w:val="false"/>
          <w:caps w:val="false"/>
          <w:smallCaps w:val="false"/>
          <w:sz w:val="20"/>
        </w:rPr>
        <w:t>. Tenant shall not undertake, nor shall Tenant permit any Tenant Party to undertake, any invasive investigation, drilling or sampling of the soil or groundwater at the Project without the prior written consent of Landlord, which consent shall be in Landlord’s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Lease may be executed in any number of counterparts, each of which shall be deemed to be an original, and all of such counterparts shall constitute one Lease. To facilitate execution of this Lease, the parties may execute and exchange signature pages by facsimile or via electronic mail (*.pdf or similar file types). The parties further agree that counterparts of this Lease may be signed electronically via Adobe Sign, DocuSign protocol or other electronic platform. All such signatures may be used in the place of original “wet ink” signatures to this Lease and shall have the same legal effect as the physical delivery of an original signature.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27.            </w:t>
      </w:r>
      <w:r>
        <w:rPr>
          <w:rFonts w:ascii="Times New Roman;Times;Serif" w:hAnsi="Times New Roman;Times;Serif"/>
          <w:b w:val="false"/>
          <w:i w:val="false"/>
          <w:caps w:val="false"/>
          <w:smallCaps w:val="false"/>
          <w:sz w:val="20"/>
          <w:u w:val="single"/>
        </w:rPr>
        <w:t>Environmental Requirements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Prohibition against Hazardous Materials</w:t>
      </w:r>
      <w:r>
        <w:rPr>
          <w:rFonts w:ascii="Times New Roman;Times;Serif" w:hAnsi="Times New Roman;Times;Serif"/>
          <w:b w:val="false"/>
          <w:i w:val="false"/>
          <w:caps w:val="false"/>
          <w:smallCaps w:val="false"/>
          <w:sz w:val="20"/>
        </w:rPr>
        <w:t>. Except for Hazardous Materials contained in products used by Tenant in de minimis quantities for ordinary cleaning and office purposes, Tenant shall not permit or cause any party to bring any Hazardous Materials upon the Premises or in the Project or transport, store, use, generate, manufacture, dispose, or release any Hazardous Materials on or from the Premises or the Project without Landlord’s prior written consent. Tenant, at its sole cost and expense, shall operate its business in the Premises in strict compliance with all Environmental Requirements and all requirements of this Lease. Tenant shall complete and certify to disclosure statements as requested by Landlord from time to time relating to Tenant’s transportation, storage, use, generation, manufacture, or release of Hazardous Materials on the Premises or in the Project, and Tenant shall promptly deliver to Landlord a copy of any notice of violation relating to the Premises or the Project of any Environmental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Environmental Requirements</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u w:val="single"/>
        </w:rPr>
        <w:t>Environmental Requirements</w:t>
      </w:r>
      <w:r>
        <w:rPr>
          <w:rFonts w:ascii="Times New Roman;Times;Serif" w:hAnsi="Times New Roman;Times;Serif"/>
          <w:b w:val="false"/>
          <w:i w:val="false"/>
          <w:caps w:val="false"/>
          <w:smallCaps w:val="false"/>
          <w:sz w:val="20"/>
        </w:rPr>
        <w:t xml:space="preserve">” means all Laws regulating or relating to health, safety, or environmental conditions on, under, or about the Premises or the Project or the environment including the following: the Comprehensive Environmental Response, Compensation and Liability Act; the Resource Conservation and Recovery Act; the Clean Air Act; the Clean Water Act; the Toxic Substances Control Act and all state and local counterparts thereto, and any common or civil law obligations including nuisance or trespass, and any other requirements of Section 14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of this Lease. The term “</w:t>
      </w:r>
      <w:r>
        <w:rPr>
          <w:rFonts w:ascii="Times New Roman;Times;Serif" w:hAnsi="Times New Roman;Times;Serif"/>
          <w:b/>
          <w:i w:val="false"/>
          <w:caps w:val="false"/>
          <w:smallCaps w:val="false"/>
          <w:sz w:val="20"/>
          <w:u w:val="single"/>
        </w:rPr>
        <w:t>Hazardous Materials</w:t>
      </w:r>
      <w:r>
        <w:rPr>
          <w:rFonts w:ascii="Times New Roman;Times;Serif" w:hAnsi="Times New Roman;Times;Serif"/>
          <w:b w:val="false"/>
          <w:i w:val="false"/>
          <w:caps w:val="false"/>
          <w:smallCaps w:val="false"/>
          <w:sz w:val="20"/>
        </w:rPr>
        <w:t>” means and includes any substance, material, waste, pollutant, or contaminant that is or could be regulated under any Environmental Requirement or that may adversely affect human health or the environment, including any solid or hazardous waste, hazardous substance, asbestos, petroleum (including crude oil or any fraction thereof, natural gas, synthetic gas, polychlorinated biphenyls (PCBs), and radioactive material). For purposes of Environmental Requirements, to the extent authorized by law, Tenant is and shall be deemed to be the responsible party, including the “owner” and “operator” of Tenant’s “facility” and the “owner” of all Hazardous Materials brought on the Premises or the Project by a Tenant Party and the wastes, by-products, or residues generated, resulting, or produced therefrom.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Removal of Hazardous Materials</w:t>
      </w:r>
      <w:r>
        <w:rPr>
          <w:rFonts w:ascii="Times New Roman;Times;Serif" w:hAnsi="Times New Roman;Times;Serif"/>
          <w:b w:val="false"/>
          <w:i w:val="false"/>
          <w:caps w:val="false"/>
          <w:smallCaps w:val="false"/>
          <w:sz w:val="20"/>
        </w:rPr>
        <w:t>. Tenant, at its sole cost and expense, shall remove all Hazardous Materials stored, disposed of or otherwise released by a Tenant Party onto or from the Premises or the Project, in a manner and to a level satisfactory to Landlord in its reasonable discretion, but in no event to a level and in a manner less than that which complies with all Environmental Requirements and does not limit any future uses of the Premises or the Project or require the recording of any deed restriction or notice regarding the Premises or the Project. Tenant shall perform such work at any time during the period of this Lease upon written request by Landlord or, in the absence of a specific request by Landlord, before Tenant’s right to possession of the Premises terminates or expires. If Tenant fails to perform such work within the time period specified by Landlord or before Tenant’s right to possession terminates or expires (whichever is earlier), Landlord may at its discretion, and without waiving any other remedy available under this Lease or at law or equity (including an action to compel Tenant to perform such work), perform such work at Tenant’s cost. Tenant shall pay all costs incurred by Landlord in performing such work within thirty (30) days after Landlord’s request therefor. Such work performed by Landlord is on behalf of Tenant and Tenant remains the owner, generator, operator, transporter, and/or arranger of the Hazardous Materials stored, disposed of or otherwise released by a Tenant Party onto or from the Premises or the Project for purposes of Environmental Requirements. Tenant agrees not to enter into any agreement with any person, including any governmental authority, regarding the removal of Hazardous Materials that have been disposed of or otherwise released onto or from the Premises or the Project without the written approval of the Landlord.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Tenant’s Indemnity</w:t>
      </w:r>
      <w:r>
        <w:rPr>
          <w:rFonts w:ascii="Times New Roman;Times;Serif" w:hAnsi="Times New Roman;Times;Serif"/>
          <w:b w:val="false"/>
          <w:i w:val="false"/>
          <w:caps w:val="false"/>
          <w:smallCaps w:val="false"/>
          <w:sz w:val="20"/>
        </w:rPr>
        <w:t>. Tenant shall indemnify, defend, and hold Landlord harmless from and against any and all losses (including diminution in value of the Premises or the Project and loss of rental income from the Project), liabilities (INCLUDING ANY STRICT LIABILITY), claims, demands, actions, suits, damages (including punitive damages), expenses (including remediation, removal, repair, corrective action, or cleanup expenses), and costs (including actual attorneys’ fees, consultant fees or expert fees and including removal or management of any asbestos brought into the Premises or the Project or disturbed in breach of the requirements of this Section 27, regardless of whether such removal or management is required by Law) which are brought or recoverable against, or suffered or incurred by Landlord as a result of any release of Hazardous Materials or any breach of the requirements under this Section 27 by a Tenant Party regardless of whether Tenant had knowledge of such noncompliance. The obligations of Tenant under this Section 27 shall survive any expiration or termination of this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Inspections and Tests</w:t>
      </w:r>
      <w:r>
        <w:rPr>
          <w:rFonts w:ascii="Times New Roman;Times;Serif" w:hAnsi="Times New Roman;Times;Serif"/>
          <w:b w:val="false"/>
          <w:i w:val="false"/>
          <w:caps w:val="false"/>
          <w:smallCaps w:val="false"/>
          <w:sz w:val="20"/>
        </w:rPr>
        <w:t>. Landlord shall have access to, and a right to perform inspections and tests of, the Premises to determine Tenant’s compliance with Environmental Requirements, its obligations under this Section 27, or the environmental condition of the Premises. Access shall be granted to Landlord upon Landlord’s prior notice to Tenant and at such times so as to minimize, so far as may be reasonable under the circumstances, any disturbance to Tenant’s operations. Such inspections and tests shall be conducted at Landlord’s expense, unless such inspections or tests reveal that Tenant has not complied with any Environmental Requirement, in which case Tenant shall reimburse Landlord for the reasonable cost of such inspection and tests. Landlord’s receipt of or satisfaction with any environmental assessment in no way waives any rights that Landlord holds against Tenant. Tenant shall promptly notify Landlord of any communication or report that Tenant makes to any governmental authority regarding any possible violation of Environmental Requirements or release or threat of release of any Hazardous Materials onto or from the Premises or the Project. Tenant shall, within five days of receipt thereof, provide Landlord with a copy of any documents or correspondence received from any governmental agency or other party relating to a possible violation of Environmental Requirements or claim or liability associated with the release or threat of release of any Hazardous Materials onto or from the Premises or the Project. Tenant shall not undertake, nor shall Tenant permit any Tenant Party to undertake, any invasive investigation, drilling or sampling of the soil or groundwater at the Premises or the Project without the prior written consent of Landlord, which consent shall in Landlord’s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28.            </w:t>
      </w:r>
      <w:r>
        <w:rPr>
          <w:rFonts w:ascii="Times New Roman;Times;Serif" w:hAnsi="Times New Roman;Times;Serif"/>
          <w:b w:val="false"/>
          <w:i w:val="false"/>
          <w:caps w:val="false"/>
          <w:smallCaps w:val="false"/>
          <w:sz w:val="20"/>
          <w:u w:val="single"/>
        </w:rPr>
        <w:t>Parking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have the exclusive right to use all of the parking spaces associated with the Building. Landlord reserves the right to initiate steps to control the parking utilization through gates, access cards, hang-tags or other means as appropriate. Parking spaces will be available to Tenant without charge during the initial Term. Landlord shall not be responsible for enforcing Tenant’s parking rights against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29.            </w:t>
      </w:r>
      <w:r>
        <w:rPr>
          <w:rFonts w:ascii="Times New Roman;Times;Serif" w:hAnsi="Times New Roman;Times;Serif"/>
          <w:b w:val="false"/>
          <w:i w:val="false"/>
          <w:caps w:val="false"/>
          <w:smallCaps w:val="false"/>
          <w:sz w:val="20"/>
          <w:u w:val="single"/>
        </w:rPr>
        <w:t>Governmental Applications</w:t>
      </w:r>
      <w:r>
        <w:rPr>
          <w:rFonts w:ascii="Times New Roman;Times;Serif" w:hAnsi="Times New Roman;Times;Serif"/>
          <w:b w:val="false"/>
          <w:i w:val="false"/>
          <w:caps w:val="false"/>
          <w:smallCaps w:val="false"/>
          <w:sz w:val="20"/>
        </w:rPr>
        <w:t>. Landlord shall reasonably cooperate with Tenant and execute all applications and forms required under Law for Tenant’s building permit, reasonably assist Tenant with all application filings with the entities having jurisdiction over the facility especially related to application signatures, and reasonably cooperate with Tenant in obtaining any economic incentives, provided the foregoing is at no out-of-pocket cost to Landlord.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30.            </w:t>
      </w:r>
      <w:r>
        <w:rPr>
          <w:rFonts w:ascii="Times New Roman;Times;Serif" w:hAnsi="Times New Roman;Times;Serif"/>
          <w:b w:val="false"/>
          <w:i w:val="false"/>
          <w:caps w:val="false"/>
          <w:smallCaps w:val="false"/>
          <w:sz w:val="20"/>
          <w:u w:val="single"/>
        </w:rPr>
        <w:t>Landlord Termination Option</w:t>
      </w:r>
      <w:r>
        <w:rPr>
          <w:rFonts w:ascii="Times New Roman;Times;Serif" w:hAnsi="Times New Roman;Times;Serif"/>
          <w:b w:val="false"/>
          <w:i w:val="false"/>
          <w:caps w:val="false"/>
          <w:smallCaps w:val="false"/>
          <w:sz w:val="20"/>
        </w:rPr>
        <w:t>. Landlord’s Affiliate, Hightower Phase I Owner, LLC, a Delaware limited liability company, and Tenant are parties to the Lease Agreement dated May 8, 2026, with respect to Building 1 of the Complex; the Lease Agreement dated May 8, 2026, with respect to Building 2 of the Complex; and the Lease Agreement dated May 8, 2026, with respect to Building 3 of the Complex (collectively, the “</w:t>
      </w:r>
      <w:r>
        <w:rPr>
          <w:rFonts w:ascii="Times New Roman;Times;Serif" w:hAnsi="Times New Roman;Times;Serif"/>
          <w:b/>
          <w:i w:val="false"/>
          <w:caps w:val="false"/>
          <w:smallCaps w:val="false"/>
          <w:sz w:val="20"/>
          <w:u w:val="single"/>
        </w:rPr>
        <w:t>Phase I Leases</w:t>
      </w:r>
      <w:r>
        <w:rPr>
          <w:rFonts w:ascii="Times New Roman;Times;Serif" w:hAnsi="Times New Roman;Times;Serif"/>
          <w:b w:val="false"/>
          <w:i w:val="false"/>
          <w:caps w:val="false"/>
          <w:smallCaps w:val="false"/>
          <w:sz w:val="20"/>
        </w:rPr>
        <w:t>”). Under the terms of each of the Phase I Leases, Tenant has the right to purchase Buildings 1, 2, and 3 (collectively, the “</w:t>
      </w:r>
      <w:r>
        <w:rPr>
          <w:rFonts w:ascii="Times New Roman;Times;Serif" w:hAnsi="Times New Roman;Times;Serif"/>
          <w:b/>
          <w:i w:val="false"/>
          <w:caps w:val="false"/>
          <w:smallCaps w:val="false"/>
          <w:sz w:val="20"/>
          <w:u w:val="single"/>
        </w:rPr>
        <w:t>Phase I Buildings</w:t>
      </w:r>
      <w:r>
        <w:rPr>
          <w:rFonts w:ascii="Times New Roman;Times;Serif" w:hAnsi="Times New Roman;Times;Serif"/>
          <w:b w:val="false"/>
          <w:i w:val="false"/>
          <w:caps w:val="false"/>
          <w:smallCaps w:val="false"/>
          <w:sz w:val="20"/>
        </w:rPr>
        <w:t>”) pursuant to the terms of the Phase I Leases. If Tenant fails to timely notify Landlord of Tenant’s election to purchase the Phase I Buildings under the terms of the Phase I Leases, or elects to purchase the Phase I Buildings under the terms of the Phase I Leases and fails to close on the purchase of all of the Phase I Buildings for any reason other than under Section 10.2 of the purchase and sale agreement for the Phase I Buildings due to a default by Landlord, as the seller, then Landlord shall have the option to terminate this Lease by delivering written notice thereof to Tenant within thirty (30) days after such failure occurs. Landlord’s termination option under this Section 30 shall become null and void automatically upon the closing of the sale of the Phase I Buildings to Tenant. In the event of such termination, Landlord shall return to Tenant the Security Deposit and the Prepaid Rent, each to the extent not previously applied to Tenant’s obligations under this Lease, within ten (10) days after the date of such termination, which obligation shall survive termination of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w:t>
      </w:r>
      <w:r>
        <w:rPr>
          <w:rFonts w:ascii="Times New Roman;Times;Serif" w:hAnsi="Times New Roman;Times;Serif"/>
          <w:b w:val="false"/>
          <w:i w:val="false"/>
          <w:caps w:val="false"/>
          <w:smallCaps w:val="false"/>
          <w:sz w:val="20"/>
          <w:u w:val="single"/>
        </w:rPr>
        <w:t>Tenant Termination Option</w:t>
      </w:r>
      <w:r>
        <w:rPr>
          <w:rFonts w:ascii="Times New Roman;Times;Serif" w:hAnsi="Times New Roman;Times;Serif"/>
          <w:b w:val="false"/>
          <w:i w:val="false"/>
          <w:caps w:val="false"/>
          <w:smallCaps w:val="false"/>
          <w:sz w:val="20"/>
        </w:rPr>
        <w:t>. If Tenant elects to terminate one or more Phase I Leases pursuant to Section 7 of Exhibit H of such Phase I Lease, then Tenant shall have the option to terminate this Lease by delivering written notice thereof to Landlord within thirty (30) days after the date Tenant elects to terminate such Phase I Lease. In the event of such termination, Landlord shall return to Tenant the Security Deposit and the Prepaid Rent, each to the extent not previously applied to Tenant’s obligations under this Lease, within ten (10) days after the date of such termination, which obligation shall survive termination of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w:t>
      </w:r>
      <w:r>
        <w:rPr>
          <w:rFonts w:ascii="Times New Roman;Times;Serif" w:hAnsi="Times New Roman;Times;Serif"/>
          <w:b w:val="false"/>
          <w:i w:val="false"/>
          <w:caps w:val="false"/>
          <w:smallCaps w:val="false"/>
          <w:sz w:val="20"/>
          <w:u w:val="single"/>
        </w:rPr>
        <w:t>Solar Panels</w:t>
      </w:r>
      <w:r>
        <w:rPr>
          <w:rFonts w:ascii="Times New Roman;Times;Serif" w:hAnsi="Times New Roman;Times;Serif"/>
          <w:b w:val="false"/>
          <w:i w:val="false"/>
          <w:caps w:val="false"/>
          <w:smallCaps w:val="false"/>
          <w:sz w:val="20"/>
        </w:rPr>
        <w:t>. Tenant may, at Tenant’s sole risk and expense, install, maintain and replace solar panels (including but not limited to, penetrations, ballast, inverters, converters, and cabling; collectively, “</w:t>
      </w:r>
      <w:r>
        <w:rPr>
          <w:rFonts w:ascii="Times New Roman;Times;Serif" w:hAnsi="Times New Roman;Times;Serif"/>
          <w:b/>
          <w:i w:val="false"/>
          <w:caps w:val="false"/>
          <w:smallCaps w:val="false"/>
          <w:sz w:val="20"/>
          <w:u w:val="single"/>
        </w:rPr>
        <w:t>Solar Panels</w:t>
      </w:r>
      <w:r>
        <w:rPr>
          <w:rFonts w:ascii="Times New Roman;Times;Serif" w:hAnsi="Times New Roman;Times;Serif"/>
          <w:b w:val="false"/>
          <w:i w:val="false"/>
          <w:caps w:val="false"/>
          <w:smallCaps w:val="false"/>
          <w:sz w:val="20"/>
        </w:rPr>
        <w:t>”) on the roof of the Building above the Premises, provided that (i) Tenant complies with the terms of this Section 32; (ii) the Solar Panels do not affect the warranty for the Building’s roof; (iii) the Solar Panels do not adversely affect the Building’s Systems or Building’s Structure; and (iv) the plans for the Solar Panels are approved in advance by Landlord, such approval not to be unreasonably withheld, conditioned or delayed, subject to compliance with commercially reasonable recommendations of Landlord’s structural engineer and/or roofing contractor. Before installing any Solar Panels, Tenant shall submit to Landlord for its approval (which shall not be unreasonably withheld, conditioned or delayed provided that such plans and specifications conform with the recommendations of Landlord’s roofing contractor and/or structural engineer, as applicable, and the terms of this Section 32) plans and specifications for Solar Panels which (1) specify in detail the design, location and size of the Solar Panels and (2) are sufficiently detailed to allow for the installation of the Solar Panels in a good and workmanlike manner and in accordance with all Laws. If Landlord approves of such plans, Tenant shall install (in a good and workmanlike manner), maintain and use the Solar Panels in accordance with all Laws and shall obtain all permits required for the installation and operation thereof; copies of all such permits must be submitted to Landlord before Tenant begins to install the Solar Panels. Tenant shall not allow any third party, other than a Permitted Transferee, to use (as opposed to maintain, install and/or service) the Solar Panels, provided that Tenant shall have the right to sell any excess electricity produced from the Solar Panels to third parties (however, in such event, Landlord shall have no liability to such third party in connection with the Solar Panels). Upon request of Landlord, Tenant shall, at its risk and expense, remove all Solar Panels within thirty (30) days after the occurrence of any of the following events: (A) the termination of Tenant’s right to possess the Premises; (B) the termination of this Lease; (C) the expiration of the Term; or (D) if Tenant enters into any sublease for the entire Premises for a material portion of the Term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at least sixty (60) full calendar months) or assigns this Lease in its entirety, except to a Permitted Transferee. If Tenant fails to do so, Landlord may remove the Solar Panels and store or dispose of them in any manner Landlord deems appropriate without liability to Tenant (except for any damages caused by the gross negligence or willful misconduct of Landlord, its employees, agents or contractors); Tenant shall reimburse Landlord for all reasonable costs incurred by Landlord in connection therewith within thirty (30) days after Landlord’s written request therefor. Tenant shall repair any damage to the Building caused by or relating to the Solar Panels, including that which is caused by its installation, maintenance, use, or removal. All work relating to the installation, maintenance and removal of Solar Panels shall, at Tenant’s expense, be coordinated with Landlord’s roofing contractor so as not to affect any warranty for the Building’s roof. For all purposes under this Lease, the Solar Panels shall be deemed to be included within the definition of Tenant’s Off-Premises Equipment. Subject to Landlord’s right to access the roof to perform Landlord’s obligations (or exercise Landlord’s rights) under this Lease, Tenant shall have the exclusive right to use the portions of the roof where the Solar Panels are located. In the event Landlord shall deem it necessary to complete any maintenance, repairs, inspection or replacement of the roof of the Building (including without limitation the roof membrane) (collectively, the “</w:t>
      </w:r>
      <w:r>
        <w:rPr>
          <w:rFonts w:ascii="Times New Roman;Times;Serif" w:hAnsi="Times New Roman;Times;Serif"/>
          <w:b/>
          <w:i w:val="false"/>
          <w:caps w:val="false"/>
          <w:smallCaps w:val="false"/>
          <w:sz w:val="20"/>
          <w:u w:val="single"/>
        </w:rPr>
        <w:t>Landlord Roof Repairs</w:t>
      </w:r>
      <w:r>
        <w:rPr>
          <w:rFonts w:ascii="Times New Roman;Times;Serif" w:hAnsi="Times New Roman;Times;Serif"/>
          <w:b w:val="false"/>
          <w:i w:val="false"/>
          <w:caps w:val="false"/>
          <w:smallCaps w:val="false"/>
          <w:sz w:val="20"/>
        </w:rPr>
        <w:t>”), Landlord shall provide reasonable advance notice to Tenant (but in no case shall such notice be provided less than ten (10) business days prior to the scheduled work of Landlord, except in the event of an emergency) of the Landlord Roof Repairs to be completed and identify the portions of the Solar Panels that will be required to be offline, powered down, removed and/or relocated to complete such Landlord Roof Repairs (each, a “</w:t>
      </w:r>
      <w:r>
        <w:rPr>
          <w:rFonts w:ascii="Times New Roman;Times;Serif" w:hAnsi="Times New Roman;Times;Serif"/>
          <w:b/>
          <w:i w:val="false"/>
          <w:caps w:val="false"/>
          <w:smallCaps w:val="false"/>
          <w:sz w:val="20"/>
          <w:u w:val="single"/>
        </w:rPr>
        <w:t>Roof Maintenance Notice</w:t>
      </w:r>
      <w:r>
        <w:rPr>
          <w:rFonts w:ascii="Times New Roman;Times;Serif" w:hAnsi="Times New Roman;Times;Serif"/>
          <w:b w:val="false"/>
          <w:i w:val="false"/>
          <w:caps w:val="false"/>
          <w:smallCaps w:val="false"/>
          <w:sz w:val="20"/>
        </w:rPr>
        <w:t>”). Upon receipt of a Roof Maintenance Notice, Landlord and Tenant shall promptly work in good faith to create a mutually agreeable plan to address the Solar Panels in connection with such Landlord Roof Repairs, and Tenant shall address the Solar Panels in accordance with such plan.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 NOTHING IN THIS PARAGRAPH SHALL BE CONSTRUED TO DIMINISH THE OBLIGATIONS OF LANDLORD THAT ARE EXPRESSLY SET FORTH ELSEWHERE IN THIS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is executed on the respective dates set forth below, but for reference purposes, this Lease shall be dated as of the date first above written. If the execution date is left blank, this Lease shall be deemed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6144" w:type="dxa"/>
        <w:jc w:val="left"/>
        <w:tblInd w:w="0" w:type="dxa"/>
        <w:tblLayout w:type="fixed"/>
        <w:tblCellMar>
          <w:top w:w="0" w:type="dxa"/>
          <w:left w:w="0" w:type="dxa"/>
          <w:bottom w:w="0" w:type="dxa"/>
          <w:right w:w="0" w:type="dxa"/>
        </w:tblCellMar>
      </w:tblPr>
      <w:tblGrid>
        <w:gridCol w:w="1460"/>
        <w:gridCol w:w="370"/>
        <w:gridCol w:w="370"/>
        <w:gridCol w:w="370"/>
        <w:gridCol w:w="718"/>
        <w:gridCol w:w="2856"/>
      </w:tblGrid>
      <w:tr>
        <w:trPr/>
        <w:tc>
          <w:tcPr>
            <w:tcW w:w="1460" w:type="dxa"/>
            <w:tcBorders/>
            <w:vAlign w:val="center"/>
          </w:tcPr>
          <w:p>
            <w:pPr>
              <w:pStyle w:val="TableContents"/>
              <w:bidi w:val="0"/>
              <w:spacing w:before="0" w:after="283"/>
              <w:jc w:val="left"/>
              <w:rPr/>
            </w:pPr>
            <w:r>
              <w:rPr/>
              <w:t>LANDLORD:</w:t>
            </w:r>
          </w:p>
        </w:tc>
        <w:tc>
          <w:tcPr>
            <w:tcW w:w="37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2856" w:type="dxa"/>
            <w:tcBorders/>
            <w:vAlign w:val="center"/>
          </w:tcPr>
          <w:p>
            <w:pPr>
              <w:pStyle w:val="TableContents"/>
              <w:bidi w:val="0"/>
              <w:spacing w:before="0" w:after="283"/>
              <w:ind w:left="0" w:right="0" w:hanging="0"/>
              <w:jc w:val="left"/>
              <w:rPr/>
            </w:pPr>
            <w:r>
              <w:rPr/>
              <w:t> </w:t>
            </w:r>
          </w:p>
        </w:tc>
      </w:tr>
      <w:tr>
        <w:trPr/>
        <w:tc>
          <w:tcPr>
            <w:tcW w:w="1460" w:type="dxa"/>
            <w:tcBorders/>
            <w:vAlign w:val="center"/>
          </w:tcPr>
          <w:p>
            <w:pPr>
              <w:pStyle w:val="TableContents"/>
              <w:bidi w:val="0"/>
              <w:spacing w:before="0" w:after="283"/>
              <w:ind w:left="0" w:right="0" w:hanging="0"/>
              <w:jc w:val="left"/>
              <w:rPr/>
            </w:pPr>
            <w:r>
              <w:rPr/>
              <w:t> </w:t>
            </w:r>
          </w:p>
        </w:tc>
        <w:tc>
          <w:tcPr>
            <w:tcW w:w="4684" w:type="dxa"/>
            <w:gridSpan w:val="5"/>
            <w:tcBorders/>
            <w:vAlign w:val="center"/>
          </w:tcPr>
          <w:p>
            <w:pPr>
              <w:pStyle w:val="TableContents"/>
              <w:bidi w:val="0"/>
              <w:spacing w:before="0" w:after="283"/>
              <w:ind w:left="0" w:right="0" w:hanging="0"/>
              <w:jc w:val="left"/>
              <w:rPr/>
            </w:pPr>
            <w:r>
              <w:rPr>
                <w:b/>
                <w:caps/>
              </w:rPr>
              <w:t>Hightower Phase II Owner, LLC</w:t>
            </w:r>
            <w:r>
              <w:rPr/>
              <w:t>,</w:t>
            </w:r>
          </w:p>
        </w:tc>
      </w:tr>
      <w:tr>
        <w:trPr/>
        <w:tc>
          <w:tcPr>
            <w:tcW w:w="1460" w:type="dxa"/>
            <w:tcBorders/>
            <w:vAlign w:val="center"/>
          </w:tcPr>
          <w:p>
            <w:pPr>
              <w:pStyle w:val="TableContents"/>
              <w:bidi w:val="0"/>
              <w:spacing w:before="0" w:after="283"/>
              <w:ind w:left="0" w:right="0" w:hanging="0"/>
              <w:jc w:val="left"/>
              <w:rPr>
                <w:sz w:val="4"/>
                <w:szCs w:val="4"/>
              </w:rPr>
            </w:pPr>
            <w:r>
              <w:rPr>
                <w:sz w:val="4"/>
                <w:szCs w:val="4"/>
              </w:rPr>
            </w:r>
          </w:p>
        </w:tc>
        <w:tc>
          <w:tcPr>
            <w:tcW w:w="4684" w:type="dxa"/>
            <w:gridSpan w:val="5"/>
            <w:tcBorders/>
            <w:vAlign w:val="center"/>
          </w:tcPr>
          <w:p>
            <w:pPr>
              <w:pStyle w:val="TableContents"/>
              <w:bidi w:val="0"/>
              <w:spacing w:before="0" w:after="283"/>
              <w:ind w:left="0" w:right="0" w:hanging="0"/>
              <w:jc w:val="left"/>
              <w:rPr/>
            </w:pPr>
            <w:r>
              <w:rPr/>
              <w:t>a Delaware limited liability company</w:t>
            </w:r>
          </w:p>
        </w:tc>
      </w:tr>
      <w:tr>
        <w:trPr/>
        <w:tc>
          <w:tcPr>
            <w:tcW w:w="1460" w:type="dxa"/>
            <w:tcBorders/>
            <w:vAlign w:val="center"/>
          </w:tcPr>
          <w:p>
            <w:pPr>
              <w:pStyle w:val="TableContents"/>
              <w:bidi w:val="0"/>
              <w:spacing w:before="0" w:after="283"/>
              <w:ind w:left="0" w:right="0" w:hanging="0"/>
              <w:jc w:val="left"/>
              <w:rPr/>
            </w:pPr>
            <w:r>
              <w:rPr/>
              <w:t> </w:t>
            </w:r>
          </w:p>
        </w:tc>
        <w:tc>
          <w:tcPr>
            <w:tcW w:w="4684" w:type="dxa"/>
            <w:gridSpan w:val="5"/>
            <w:tcBorders/>
            <w:vAlign w:val="center"/>
          </w:tcPr>
          <w:p>
            <w:pPr>
              <w:pStyle w:val="TableContents"/>
              <w:bidi w:val="0"/>
              <w:spacing w:before="0" w:after="283"/>
              <w:ind w:left="0" w:right="0" w:hanging="0"/>
              <w:jc w:val="left"/>
              <w:rPr/>
            </w:pPr>
            <w:r>
              <w:rPr/>
              <w:t> </w:t>
            </w:r>
          </w:p>
        </w:tc>
      </w:tr>
      <w:tr>
        <w:trPr/>
        <w:tc>
          <w:tcPr>
            <w:tcW w:w="1460" w:type="dxa"/>
            <w:tcBorders/>
            <w:vAlign w:val="center"/>
          </w:tcPr>
          <w:p>
            <w:pPr>
              <w:pStyle w:val="TableContents"/>
              <w:bidi w:val="0"/>
              <w:spacing w:before="0" w:after="283"/>
              <w:ind w:left="0" w:right="0" w:hanging="0"/>
              <w:jc w:val="left"/>
              <w:rPr>
                <w:sz w:val="4"/>
                <w:szCs w:val="4"/>
              </w:rPr>
            </w:pPr>
            <w:r>
              <w:rPr>
                <w:sz w:val="4"/>
                <w:szCs w:val="4"/>
              </w:rPr>
            </w:r>
          </w:p>
        </w:tc>
        <w:tc>
          <w:tcPr>
            <w:tcW w:w="370" w:type="dxa"/>
            <w:tcBorders/>
            <w:vAlign w:val="center"/>
          </w:tcPr>
          <w:p>
            <w:pPr>
              <w:pStyle w:val="TableContents"/>
              <w:bidi w:val="0"/>
              <w:spacing w:before="0" w:after="283"/>
              <w:ind w:left="0" w:right="0" w:hanging="0"/>
              <w:jc w:val="left"/>
              <w:rPr/>
            </w:pPr>
            <w:r>
              <w:rPr/>
              <w:t>By:</w:t>
            </w:r>
          </w:p>
        </w:tc>
        <w:tc>
          <w:tcPr>
            <w:tcW w:w="4314" w:type="dxa"/>
            <w:gridSpan w:val="4"/>
            <w:tcBorders/>
            <w:vAlign w:val="center"/>
          </w:tcPr>
          <w:p>
            <w:pPr>
              <w:pStyle w:val="TableContents"/>
              <w:bidi w:val="0"/>
              <w:spacing w:before="0" w:after="283"/>
              <w:ind w:left="0" w:right="0" w:hanging="0"/>
              <w:jc w:val="left"/>
              <w:rPr/>
            </w:pPr>
            <w:r>
              <w:rPr/>
              <w:t>Hightower Investor Holdings, LLC,</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4314" w:type="dxa"/>
            <w:gridSpan w:val="4"/>
            <w:tcBorders/>
            <w:vAlign w:val="center"/>
          </w:tcPr>
          <w:p>
            <w:pPr>
              <w:pStyle w:val="TableContents"/>
              <w:bidi w:val="0"/>
              <w:spacing w:before="0" w:after="283"/>
              <w:ind w:left="0" w:right="0" w:hanging="0"/>
              <w:jc w:val="left"/>
              <w:rPr/>
            </w:pPr>
            <w:r>
              <w:rPr/>
              <w:t>a Delaware limited liability company.</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4314" w:type="dxa"/>
            <w:gridSpan w:val="4"/>
            <w:tcBorders/>
            <w:vAlign w:val="center"/>
          </w:tcPr>
          <w:p>
            <w:pPr>
              <w:pStyle w:val="TableContents"/>
              <w:bidi w:val="0"/>
              <w:spacing w:before="0" w:after="283"/>
              <w:ind w:left="0" w:right="0" w:hanging="0"/>
              <w:jc w:val="left"/>
              <w:rPr/>
            </w:pPr>
            <w:r>
              <w:rPr/>
              <w:t>its sole member</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4314" w:type="dxa"/>
            <w:gridSpan w:val="4"/>
            <w:tcBorders/>
            <w:vAlign w:val="center"/>
          </w:tcPr>
          <w:p>
            <w:pPr>
              <w:pStyle w:val="TableContents"/>
              <w:bidi w:val="0"/>
              <w:spacing w:before="0" w:after="283"/>
              <w:ind w:left="0" w:right="0" w:hanging="0"/>
              <w:jc w:val="left"/>
              <w:rPr/>
            </w:pPr>
            <w:r>
              <w:rPr/>
              <w:t> </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70" w:type="dxa"/>
            <w:tcBorders/>
            <w:vAlign w:val="center"/>
          </w:tcPr>
          <w:p>
            <w:pPr>
              <w:pStyle w:val="TableContents"/>
              <w:bidi w:val="0"/>
              <w:spacing w:before="0" w:after="283"/>
              <w:ind w:left="0" w:right="0" w:hanging="0"/>
              <w:jc w:val="left"/>
              <w:rPr/>
            </w:pPr>
            <w:r>
              <w:rPr/>
              <w:t>By:</w:t>
            </w:r>
          </w:p>
        </w:tc>
        <w:tc>
          <w:tcPr>
            <w:tcW w:w="3944" w:type="dxa"/>
            <w:gridSpan w:val="3"/>
            <w:tcBorders/>
            <w:vAlign w:val="center"/>
          </w:tcPr>
          <w:p>
            <w:pPr>
              <w:pStyle w:val="TableContents"/>
              <w:bidi w:val="0"/>
              <w:spacing w:before="0" w:after="283"/>
              <w:ind w:left="0" w:right="0" w:hanging="0"/>
              <w:jc w:val="left"/>
              <w:rPr/>
            </w:pPr>
            <w:r>
              <w:rPr/>
              <w:t>CHI Gulf Coast 106 Hightower, L.P.,</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944" w:type="dxa"/>
            <w:gridSpan w:val="3"/>
            <w:tcBorders/>
            <w:vAlign w:val="center"/>
          </w:tcPr>
          <w:p>
            <w:pPr>
              <w:pStyle w:val="TableContents"/>
              <w:bidi w:val="0"/>
              <w:spacing w:before="0" w:after="283"/>
              <w:ind w:left="0" w:right="0" w:hanging="0"/>
              <w:jc w:val="left"/>
              <w:rPr/>
            </w:pPr>
            <w:r>
              <w:rPr/>
              <w:t>a Delaware limited partnership,</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944" w:type="dxa"/>
            <w:gridSpan w:val="3"/>
            <w:tcBorders/>
            <w:vAlign w:val="center"/>
          </w:tcPr>
          <w:p>
            <w:pPr>
              <w:pStyle w:val="TableContents"/>
              <w:bidi w:val="0"/>
              <w:spacing w:before="0" w:after="283"/>
              <w:ind w:left="0" w:right="0" w:hanging="0"/>
              <w:jc w:val="left"/>
              <w:rPr/>
            </w:pPr>
            <w:r>
              <w:rPr/>
              <w:t>its administrative member</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944" w:type="dxa"/>
            <w:gridSpan w:val="3"/>
            <w:tcBorders/>
            <w:vAlign w:val="center"/>
          </w:tcPr>
          <w:p>
            <w:pPr>
              <w:pStyle w:val="TableContents"/>
              <w:bidi w:val="0"/>
              <w:spacing w:before="0" w:after="283"/>
              <w:ind w:left="0" w:right="0" w:hanging="0"/>
              <w:jc w:val="left"/>
              <w:rPr/>
            </w:pPr>
            <w:r>
              <w:rPr/>
              <w:t> </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70" w:type="dxa"/>
            <w:tcBorders/>
            <w:vAlign w:val="center"/>
          </w:tcPr>
          <w:p>
            <w:pPr>
              <w:pStyle w:val="TableContents"/>
              <w:bidi w:val="0"/>
              <w:spacing w:before="0" w:after="283"/>
              <w:ind w:left="0" w:right="0" w:hanging="0"/>
              <w:jc w:val="left"/>
              <w:rPr/>
            </w:pPr>
            <w:r>
              <w:rPr/>
              <w:t>By:</w:t>
            </w:r>
          </w:p>
        </w:tc>
        <w:tc>
          <w:tcPr>
            <w:tcW w:w="3574" w:type="dxa"/>
            <w:gridSpan w:val="2"/>
            <w:tcBorders/>
            <w:vAlign w:val="center"/>
          </w:tcPr>
          <w:p>
            <w:pPr>
              <w:pStyle w:val="TableContents"/>
              <w:bidi w:val="0"/>
              <w:spacing w:before="0" w:after="283"/>
              <w:ind w:left="0" w:right="0" w:hanging="0"/>
              <w:jc w:val="left"/>
              <w:rPr/>
            </w:pPr>
            <w:r>
              <w:rPr/>
              <w:t>CHI LTH GP, L.L.C.,</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574" w:type="dxa"/>
            <w:gridSpan w:val="2"/>
            <w:tcBorders/>
            <w:vAlign w:val="center"/>
          </w:tcPr>
          <w:p>
            <w:pPr>
              <w:pStyle w:val="TableContents"/>
              <w:bidi w:val="0"/>
              <w:spacing w:before="0" w:after="283"/>
              <w:ind w:left="0" w:right="0" w:hanging="0"/>
              <w:jc w:val="left"/>
              <w:rPr/>
            </w:pPr>
            <w:r>
              <w:rPr/>
              <w:t>a Delaware limited liability company,</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3574" w:type="dxa"/>
            <w:gridSpan w:val="2"/>
            <w:tcBorders/>
            <w:vAlign w:val="center"/>
          </w:tcPr>
          <w:p>
            <w:pPr>
              <w:pStyle w:val="TableContents"/>
              <w:bidi w:val="0"/>
              <w:spacing w:before="0" w:after="283"/>
              <w:ind w:left="0" w:right="0" w:hanging="0"/>
              <w:jc w:val="left"/>
              <w:rPr/>
            </w:pPr>
            <w:r>
              <w:rPr/>
              <w:t>its general partner</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718" w:type="dxa"/>
            <w:tcBorders/>
            <w:vAlign w:val="center"/>
          </w:tcPr>
          <w:p>
            <w:pPr>
              <w:pStyle w:val="TableContents"/>
              <w:bidi w:val="0"/>
              <w:spacing w:before="0" w:after="283"/>
              <w:ind w:left="0" w:right="0" w:hanging="0"/>
              <w:jc w:val="left"/>
              <w:rPr/>
            </w:pPr>
            <w:r>
              <w:rPr/>
              <w:t> </w:t>
            </w:r>
          </w:p>
        </w:tc>
        <w:tc>
          <w:tcPr>
            <w:tcW w:w="2856" w:type="dxa"/>
            <w:tcBorders/>
            <w:vAlign w:val="center"/>
          </w:tcPr>
          <w:p>
            <w:pPr>
              <w:pStyle w:val="TableContents"/>
              <w:bidi w:val="0"/>
              <w:spacing w:before="0" w:after="283"/>
              <w:ind w:left="0" w:right="0" w:hanging="0"/>
              <w:jc w:val="left"/>
              <w:rPr/>
            </w:pPr>
            <w:r>
              <w:rPr/>
              <w:t> </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718" w:type="dxa"/>
            <w:tcBorders/>
            <w:vAlign w:val="center"/>
          </w:tcPr>
          <w:p>
            <w:pPr>
              <w:pStyle w:val="TableContents"/>
              <w:bidi w:val="0"/>
              <w:spacing w:before="0" w:after="283"/>
              <w:ind w:left="0" w:right="0" w:hanging="0"/>
              <w:jc w:val="left"/>
              <w:rPr/>
            </w:pPr>
            <w:r>
              <w:rPr/>
              <w:t>By:</w:t>
            </w:r>
          </w:p>
        </w:tc>
        <w:tc>
          <w:tcPr>
            <w:tcW w:w="2856" w:type="dxa"/>
            <w:tcBorders/>
            <w:vAlign w:val="center"/>
          </w:tcPr>
          <w:p>
            <w:pPr>
              <w:pStyle w:val="TableContents"/>
              <w:bidi w:val="0"/>
              <w:spacing w:before="0" w:after="283"/>
              <w:ind w:left="0" w:right="0" w:hanging="0"/>
              <w:jc w:val="left"/>
              <w:rPr>
                <w:b/>
              </w:rPr>
            </w:pPr>
            <w:r>
              <w:rPr>
                <w:b/>
              </w:rPr>
              <w:t>s/ Cory Driskill</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718" w:type="dxa"/>
            <w:tcBorders/>
            <w:vAlign w:val="center"/>
          </w:tcPr>
          <w:p>
            <w:pPr>
              <w:pStyle w:val="TableContents"/>
              <w:bidi w:val="0"/>
              <w:spacing w:before="0" w:after="283"/>
              <w:ind w:left="0" w:right="0" w:hanging="0"/>
              <w:jc w:val="left"/>
              <w:rPr/>
            </w:pPr>
            <w:r>
              <w:rPr/>
              <w:t>Name:</w:t>
            </w:r>
          </w:p>
        </w:tc>
        <w:tc>
          <w:tcPr>
            <w:tcW w:w="2856" w:type="dxa"/>
            <w:tcBorders/>
            <w:vAlign w:val="center"/>
          </w:tcPr>
          <w:p>
            <w:pPr>
              <w:pStyle w:val="TableContents"/>
              <w:bidi w:val="0"/>
              <w:spacing w:before="0" w:after="283"/>
              <w:ind w:left="0" w:right="0" w:hanging="0"/>
              <w:jc w:val="left"/>
              <w:rPr/>
            </w:pPr>
            <w:r>
              <w:rPr/>
              <w:t>Cory Driskill</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718" w:type="dxa"/>
            <w:tcBorders/>
            <w:vAlign w:val="center"/>
          </w:tcPr>
          <w:p>
            <w:pPr>
              <w:pStyle w:val="TableContents"/>
              <w:bidi w:val="0"/>
              <w:spacing w:before="0" w:after="283"/>
              <w:ind w:left="0" w:right="0" w:hanging="0"/>
              <w:jc w:val="left"/>
              <w:rPr/>
            </w:pPr>
            <w:r>
              <w:rPr/>
              <w:t>Title:</w:t>
            </w:r>
          </w:p>
        </w:tc>
        <w:tc>
          <w:tcPr>
            <w:tcW w:w="2856" w:type="dxa"/>
            <w:tcBorders/>
            <w:vAlign w:val="center"/>
          </w:tcPr>
          <w:p>
            <w:pPr>
              <w:pStyle w:val="TableContents"/>
              <w:bidi w:val="0"/>
              <w:spacing w:before="0" w:after="283"/>
              <w:ind w:left="0" w:right="0" w:hanging="0"/>
              <w:jc w:val="left"/>
              <w:rPr/>
            </w:pPr>
            <w:r>
              <w:rPr/>
              <w:t>Vice President</w:t>
            </w:r>
          </w:p>
        </w:tc>
      </w:tr>
      <w:tr>
        <w:trPr/>
        <w:tc>
          <w:tcPr>
            <w:tcW w:w="146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pPr>
            <w:r>
              <w:rPr/>
              <w:t> </w:t>
            </w:r>
          </w:p>
        </w:tc>
        <w:tc>
          <w:tcPr>
            <w:tcW w:w="370" w:type="dxa"/>
            <w:tcBorders/>
            <w:vAlign w:val="center"/>
          </w:tcPr>
          <w:p>
            <w:pPr>
              <w:pStyle w:val="TableContents"/>
              <w:bidi w:val="0"/>
              <w:spacing w:before="0" w:after="283"/>
              <w:ind w:left="0" w:right="0" w:hanging="0"/>
              <w:jc w:val="left"/>
              <w:rPr>
                <w:sz w:val="4"/>
                <w:szCs w:val="4"/>
              </w:rPr>
            </w:pPr>
            <w:r>
              <w:rPr>
                <w:sz w:val="4"/>
                <w:szCs w:val="4"/>
              </w:rPr>
            </w:r>
          </w:p>
        </w:tc>
        <w:tc>
          <w:tcPr>
            <w:tcW w:w="718" w:type="dxa"/>
            <w:tcBorders/>
            <w:vAlign w:val="center"/>
          </w:tcPr>
          <w:p>
            <w:pPr>
              <w:pStyle w:val="TableContents"/>
              <w:bidi w:val="0"/>
              <w:spacing w:before="0" w:after="283"/>
              <w:ind w:left="0" w:right="0" w:hanging="0"/>
              <w:jc w:val="left"/>
              <w:rPr/>
            </w:pPr>
            <w:r>
              <w:rPr/>
              <w:t> </w:t>
            </w:r>
          </w:p>
        </w:tc>
        <w:tc>
          <w:tcPr>
            <w:tcW w:w="2856" w:type="dxa"/>
            <w:tcBorders/>
            <w:vAlign w:val="center"/>
          </w:tcPr>
          <w:p>
            <w:pPr>
              <w:pStyle w:val="TableContents"/>
              <w:bidi w:val="0"/>
              <w:spacing w:before="0" w:after="283"/>
              <w:jc w:val="left"/>
              <w:rPr/>
            </w:pPr>
            <w:r>
              <w:rPr/>
              <w:t>Execution Date: 8/31/2026</w:t>
            </w:r>
          </w:p>
        </w:tc>
      </w:tr>
    </w:tbl>
    <w:p>
      <w:pPr>
        <w:pStyle w:val="TextBody"/>
        <w:bidi w:val="0"/>
        <w:spacing w:before="0" w:after="283"/>
        <w:jc w:val="left"/>
        <w:rPr/>
      </w:pPr>
      <w:r>
        <w:rPr/>
        <w:t> </w:t>
      </w:r>
    </w:p>
    <w:p>
      <w:pPr>
        <w:pStyle w:val="TextBody"/>
        <w:bidi w:val="0"/>
        <w:spacing w:before="0" w:after="283"/>
        <w:jc w:val="left"/>
        <w:rPr/>
      </w:pPr>
      <w:r>
        <w:rPr/>
        <w:t> </w:t>
      </w:r>
    </w:p>
    <w:tbl>
      <w:tblPr>
        <w:tblW w:w="5409" w:type="dxa"/>
        <w:jc w:val="left"/>
        <w:tblInd w:w="0" w:type="dxa"/>
        <w:tblLayout w:type="fixed"/>
        <w:tblCellMar>
          <w:top w:w="0" w:type="dxa"/>
          <w:left w:w="0" w:type="dxa"/>
          <w:bottom w:w="0" w:type="dxa"/>
          <w:right w:w="0" w:type="dxa"/>
        </w:tblCellMar>
      </w:tblPr>
      <w:tblGrid>
        <w:gridCol w:w="1085"/>
        <w:gridCol w:w="1880"/>
        <w:gridCol w:w="2444"/>
      </w:tblGrid>
      <w:tr>
        <w:trPr/>
        <w:tc>
          <w:tcPr>
            <w:tcW w:w="1085" w:type="dxa"/>
            <w:tcBorders/>
            <w:vAlign w:val="center"/>
          </w:tcPr>
          <w:p>
            <w:pPr>
              <w:pStyle w:val="TableContents"/>
              <w:bidi w:val="0"/>
              <w:spacing w:before="0" w:after="283"/>
              <w:jc w:val="left"/>
              <w:rPr/>
            </w:pPr>
            <w:r>
              <w:rPr/>
              <w:t>TENANT:</w:t>
            </w:r>
          </w:p>
        </w:tc>
        <w:tc>
          <w:tcPr>
            <w:tcW w:w="4324" w:type="dxa"/>
            <w:gridSpan w:val="2"/>
            <w:tcBorders/>
            <w:vAlign w:val="center"/>
          </w:tcPr>
          <w:p>
            <w:pPr>
              <w:pStyle w:val="TableContents"/>
              <w:bidi w:val="0"/>
              <w:spacing w:before="0" w:after="283"/>
              <w:jc w:val="left"/>
              <w:rPr/>
            </w:pPr>
            <w:r>
              <w:rPr>
                <w:b/>
              </w:rPr>
              <w:t>APPLIED OPTOELECTRONICS, INC.</w:t>
            </w:r>
            <w:r>
              <w:rPr/>
              <w:t>,</w:t>
            </w:r>
          </w:p>
        </w:tc>
      </w:tr>
      <w:tr>
        <w:trPr/>
        <w:tc>
          <w:tcPr>
            <w:tcW w:w="108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pPr>
            <w:r>
              <w:rPr/>
              <w:t>a Delaware corporation</w:t>
            </w:r>
          </w:p>
        </w:tc>
      </w:tr>
      <w:tr>
        <w:trPr/>
        <w:tc>
          <w:tcPr>
            <w:tcW w:w="10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2444"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By:</w:t>
            </w:r>
          </w:p>
        </w:tc>
        <w:tc>
          <w:tcPr>
            <w:tcW w:w="2444" w:type="dxa"/>
            <w:tcBorders/>
            <w:vAlign w:val="center"/>
          </w:tcPr>
          <w:p>
            <w:pPr>
              <w:pStyle w:val="TableContents"/>
              <w:bidi w:val="0"/>
              <w:spacing w:before="0" w:after="283"/>
              <w:jc w:val="left"/>
              <w:rPr>
                <w:b/>
              </w:rPr>
            </w:pPr>
            <w:r>
              <w:rPr>
                <w:b/>
              </w:rPr>
              <w:t>s/ Fred Chang</w:t>
            </w:r>
          </w:p>
        </w:tc>
      </w:tr>
      <w:tr>
        <w:trPr/>
        <w:tc>
          <w:tcPr>
            <w:tcW w:w="10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Name:</w:t>
            </w:r>
          </w:p>
        </w:tc>
        <w:tc>
          <w:tcPr>
            <w:tcW w:w="2444" w:type="dxa"/>
            <w:tcBorders/>
            <w:vAlign w:val="center"/>
          </w:tcPr>
          <w:p>
            <w:pPr>
              <w:pStyle w:val="TableContents"/>
              <w:bidi w:val="0"/>
              <w:spacing w:before="0" w:after="283"/>
              <w:jc w:val="left"/>
              <w:rPr/>
            </w:pPr>
            <w:r>
              <w:rPr/>
              <w:t>Fred Chang</w:t>
            </w:r>
          </w:p>
        </w:tc>
      </w:tr>
      <w:tr>
        <w:trPr/>
        <w:tc>
          <w:tcPr>
            <w:tcW w:w="10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Title:</w:t>
            </w:r>
          </w:p>
        </w:tc>
        <w:tc>
          <w:tcPr>
            <w:tcW w:w="2444" w:type="dxa"/>
            <w:tcBorders/>
            <w:vAlign w:val="center"/>
          </w:tcPr>
          <w:p>
            <w:pPr>
              <w:pStyle w:val="TableContents"/>
              <w:bidi w:val="0"/>
              <w:spacing w:before="0" w:after="283"/>
              <w:jc w:val="left"/>
              <w:rPr/>
            </w:pPr>
            <w:r>
              <w:rPr/>
              <w:t>SVP</w:t>
            </w:r>
          </w:p>
        </w:tc>
      </w:tr>
      <w:tr>
        <w:trPr/>
        <w:tc>
          <w:tcPr>
            <w:tcW w:w="108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pPr>
            <w:r>
              <w:rPr/>
              <w:t>Execution Date: 8/31/2026</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49492</Words>
  <Characters>265309</Characters>
  <CharactersWithSpaces>317955</CharactersWithSpaces>
  <Paragraphs>3159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