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9" w:lineRule="exact"/>
        <w:rPr>
          <w:sz w:val="24"/>
          <w:szCs w:val="24"/>
          <w:color w:val="auto"/>
        </w:rPr>
      </w:pPr>
    </w:p>
    <w:p>
      <w:pPr>
        <w:ind w:left="4100" w:right="2980" w:hanging="4092"/>
        <w:spacing w:after="0" w:line="521" w:lineRule="auto"/>
        <w:tabs>
          <w:tab w:leader="none" w:pos="35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rPr>
      </w:pP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1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080" w:type="dxa"/>
            <w:vAlign w:val="bottom"/>
          </w:tcPr>
          <w:p>
            <w:pPr>
              <w:ind w:left="29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76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19"/>
        </w:trPr>
        <w:tc>
          <w:tcPr>
            <w:tcW w:w="8960" w:type="dxa"/>
            <w:vAlign w:val="bottom"/>
            <w:gridSpan w:val="6"/>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Commission File Number: 001-36083</w:t>
            </w:r>
          </w:p>
        </w:tc>
      </w:tr>
      <w:tr>
        <w:trPr>
          <w:trHeight w:val="395"/>
        </w:trPr>
        <w:tc>
          <w:tcPr>
            <w:tcW w:w="5900" w:type="dxa"/>
            <w:vAlign w:val="bottom"/>
            <w:gridSpan w:val="3"/>
          </w:tcPr>
          <w:p>
            <w:pPr>
              <w:jc w:val="center"/>
              <w:ind w:left="3799"/>
              <w:spacing w:after="0"/>
              <w:rPr>
                <w:sz w:val="20"/>
                <w:szCs w:val="20"/>
                <w:color w:val="auto"/>
              </w:rPr>
            </w:pPr>
            <w:r>
              <w:rPr>
                <w:rFonts w:ascii="Times New Roman" w:cs="Times New Roman" w:eastAsia="Times New Roman" w:hAnsi="Times New Roman"/>
                <w:sz w:val="16"/>
                <w:szCs w:val="16"/>
                <w:b w:val="1"/>
                <w:bCs w:val="1"/>
                <w:color w:val="auto"/>
              </w:rPr>
              <w:t>Applied Optoelectronics,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8960" w:type="dxa"/>
            <w:vAlign w:val="bottom"/>
            <w:gridSpan w:val="6"/>
          </w:tcPr>
          <w:p>
            <w:pPr>
              <w:ind w:left="30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03"/>
        </w:trPr>
        <w:tc>
          <w:tcPr>
            <w:tcW w:w="5900" w:type="dxa"/>
            <w:vAlign w:val="bottom"/>
            <w:gridSpan w:val="3"/>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76-0533927</w:t>
            </w:r>
          </w:p>
        </w:tc>
      </w:tr>
      <w:tr>
        <w:trPr>
          <w:trHeight w:val="203"/>
        </w:trPr>
        <w:tc>
          <w:tcPr>
            <w:tcW w:w="5900" w:type="dxa"/>
            <w:vAlign w:val="bottom"/>
            <w:gridSpan w:val="3"/>
          </w:tcPr>
          <w:p>
            <w:pPr>
              <w:jc w:val="center"/>
              <w:ind w:right="172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200" w:type="dxa"/>
            <w:vAlign w:val="bottom"/>
          </w:tcPr>
          <w:p>
            <w:pPr>
              <w:spacing w:after="0"/>
              <w:rPr>
                <w:sz w:val="17"/>
                <w:szCs w:val="17"/>
                <w:color w:val="auto"/>
              </w:rPr>
            </w:pPr>
          </w:p>
        </w:tc>
        <w:tc>
          <w:tcPr>
            <w:tcW w:w="28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03"/>
        </w:trPr>
        <w:tc>
          <w:tcPr>
            <w:tcW w:w="5900" w:type="dxa"/>
            <w:vAlign w:val="bottom"/>
            <w:gridSpan w:val="3"/>
          </w:tcPr>
          <w:p>
            <w:pPr>
              <w:jc w:val="center"/>
              <w:ind w:left="3779"/>
              <w:spacing w:after="0"/>
              <w:rPr>
                <w:sz w:val="20"/>
                <w:szCs w:val="20"/>
                <w:color w:val="auto"/>
              </w:rPr>
            </w:pPr>
            <w:r>
              <w:rPr>
                <w:rFonts w:ascii="Times New Roman" w:cs="Times New Roman" w:eastAsia="Times New Roman" w:hAnsi="Times New Roman"/>
                <w:sz w:val="16"/>
                <w:szCs w:val="16"/>
                <w:b w:val="1"/>
                <w:bCs w:val="1"/>
                <w:color w:val="auto"/>
              </w:rPr>
              <w:t>13139 Jess Pirtle Blvd.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2"/>
        </w:trPr>
        <w:tc>
          <w:tcPr>
            <w:tcW w:w="5900" w:type="dxa"/>
            <w:vAlign w:val="bottom"/>
            <w:gridSpan w:val="3"/>
          </w:tcPr>
          <w:p>
            <w:pPr>
              <w:jc w:val="center"/>
              <w:ind w:left="3839"/>
              <w:spacing w:after="0"/>
              <w:rPr>
                <w:sz w:val="20"/>
                <w:szCs w:val="20"/>
                <w:color w:val="auto"/>
              </w:rPr>
            </w:pPr>
            <w:r>
              <w:rPr>
                <w:rFonts w:ascii="Times New Roman" w:cs="Times New Roman" w:eastAsia="Times New Roman" w:hAnsi="Times New Roman"/>
                <w:sz w:val="16"/>
                <w:szCs w:val="16"/>
                <w:b w:val="1"/>
                <w:bCs w:val="1"/>
                <w:color w:val="auto"/>
              </w:rPr>
              <w:t>Sugar Land, TX 77478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11" w:lineRule="exact"/>
        <w:rPr>
          <w:sz w:val="24"/>
          <w:szCs w:val="24"/>
          <w:color w:val="auto"/>
        </w:rPr>
      </w:pPr>
    </w:p>
    <w:p>
      <w:pPr>
        <w:ind w:left="5500" w:hanging="382"/>
        <w:spacing w:after="0"/>
        <w:tabs>
          <w:tab w:leader="none" w:pos="55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295-1800</w:t>
      </w:r>
    </w:p>
    <w:p>
      <w:pPr>
        <w:spacing w:after="0" w:line="28" w:lineRule="exact"/>
        <w:rPr>
          <w:rFonts w:ascii="Times New Roman" w:cs="Times New Roman" w:eastAsia="Times New Roman" w:hAnsi="Times New Roman"/>
          <w:sz w:val="16"/>
          <w:szCs w:val="16"/>
          <w:b w:val="1"/>
          <w:bCs w:val="1"/>
          <w:color w:val="auto"/>
        </w:rPr>
      </w:pPr>
    </w:p>
    <w:p>
      <w:pPr>
        <w:ind w:left="4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(Registrant’s telephone number)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6"/>
                <w:szCs w:val="16"/>
                <w:color w:val="auto"/>
              </w:rPr>
            </w:pPr>
          </w:p>
        </w:tc>
        <w:tc>
          <w:tcPr>
            <w:tcW w:w="5100" w:type="dxa"/>
            <w:vAlign w:val="bottom"/>
          </w:tcPr>
          <w:p>
            <w:pPr>
              <w:spacing w:after="0"/>
              <w:rPr>
                <w:sz w:val="16"/>
                <w:szCs w:val="16"/>
                <w:color w:val="auto"/>
              </w:rPr>
            </w:pPr>
          </w:p>
        </w:tc>
      </w:tr>
      <w:tr>
        <w:trPr>
          <w:trHeight w:val="223"/>
        </w:trPr>
        <w:tc>
          <w:tcPr>
            <w:tcW w:w="4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Trading Symbol(s)</w:t>
            </w:r>
          </w:p>
        </w:tc>
        <w:tc>
          <w:tcPr>
            <w:tcW w:w="510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6"/>
                <w:szCs w:val="16"/>
                <w:color w:val="auto"/>
              </w:rPr>
              <w:t>Trading Name of each exchange on which registered</w:t>
            </w:r>
          </w:p>
        </w:tc>
      </w:tr>
      <w:tr>
        <w:trPr>
          <w:trHeight w:val="210"/>
        </w:trPr>
        <w:tc>
          <w:tcPr>
            <w:tcW w:w="42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94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AAOI</w:t>
            </w:r>
          </w:p>
        </w:tc>
        <w:tc>
          <w:tcPr>
            <w:tcW w:w="510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8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85" w:lineRule="exact"/>
        <w:rPr>
          <w:sz w:val="24"/>
          <w:szCs w:val="24"/>
          <w:color w:val="auto"/>
        </w:rPr>
      </w:pPr>
    </w:p>
    <w:p>
      <w:pPr>
        <w:ind w:left="400" w:right="1720"/>
        <w:spacing w:after="0" w:line="33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of 1933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300" w:firstLine="38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2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74" w:lineRule="exact"/>
        <w:rPr>
          <w:sz w:val="24"/>
          <w:szCs w:val="24"/>
          <w:color w:val="auto"/>
        </w:rPr>
      </w:pPr>
    </w:p>
    <w:p>
      <w:pPr>
        <w:ind w:right="220" w:firstLine="4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ectPr>
          <w:pgSz w:w="11900" w:h="16838" w:orient="portrait"/>
          <w:cols w:equalWidth="0" w:num="1">
            <w:col w:w="11240"/>
          </w:cols>
          <w:pgMar w:left="320" w:top="688" w:right="339" w:bottom="0" w:gutter="0" w:footer="0" w:header="0"/>
        </w:sectPr>
      </w:pPr>
    </w:p>
    <w:p>
      <w:pPr>
        <w:spacing w:after="0" w:line="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1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line="160" w:lineRule="exact"/>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0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020" w:type="dxa"/>
            <w:vAlign w:val="bottom"/>
          </w:tcPr>
          <w:p>
            <w:pPr>
              <w:spacing w:after="0"/>
              <w:rPr>
                <w:sz w:val="23"/>
                <w:szCs w:val="23"/>
                <w:color w:val="auto"/>
              </w:rPr>
            </w:pPr>
          </w:p>
        </w:tc>
        <w:tc>
          <w:tcPr>
            <w:tcW w:w="3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sectPr>
          <w:pgSz w:w="11900" w:h="16838" w:orient="portrait"/>
          <w:cols w:equalWidth="0" w:num="2">
            <w:col w:w="2540" w:space="720"/>
            <w:col w:w="7980"/>
          </w:cols>
          <w:pgMar w:left="320" w:top="688" w:right="339" w:bottom="0" w:gutter="0" w:footer="0" w:header="0"/>
          <w:type w:val="continuous"/>
        </w:sectPr>
      </w:pPr>
    </w:p>
    <w:p>
      <w:pPr>
        <w:ind w:right="280" w:firstLine="39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ind w:right="16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4"/>
          <w:szCs w:val="24"/>
          <w:color w:val="auto"/>
        </w:rPr>
      </w:pPr>
    </w:p>
    <w:p>
      <w:pPr>
        <w:ind w:right="160" w:firstLine="38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33" w:lineRule="exact"/>
        <w:rPr>
          <w:sz w:val="24"/>
          <w:szCs w:val="24"/>
          <w:color w:val="auto"/>
        </w:rPr>
      </w:pPr>
    </w:p>
    <w:p>
      <w:pPr>
        <w:ind w:left="40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ind w:right="120" w:firstLine="389"/>
        <w:spacing w:after="0" w:line="275" w:lineRule="auto"/>
        <w:rPr>
          <w:sz w:val="20"/>
          <w:szCs w:val="20"/>
          <w:color w:val="auto"/>
        </w:rPr>
      </w:pPr>
      <w:r>
        <w:rPr>
          <w:rFonts w:ascii="Times New Roman" w:cs="Times New Roman" w:eastAsia="Times New Roman" w:hAnsi="Times New Roman"/>
          <w:sz w:val="16"/>
          <w:szCs w:val="16"/>
          <w:color w:val="auto"/>
        </w:rPr>
        <w:t>As of June 30, 2023, the aggregate market value of the common stock held by non-affiliates of the Registrant was $169,814,245 based upon the closing sales price of the Registrant’s common stock as reported on the NASDAQ Global Markets on June 30, 2023 of $5.96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6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February 20, 2024, the Registrant had 38,398,085 outstanding shares of Common Stock.</w:t>
      </w:r>
    </w:p>
    <w:p>
      <w:pPr>
        <w:sectPr>
          <w:pgSz w:w="11900" w:h="16838" w:orient="portrait"/>
          <w:cols w:equalWidth="0" w:num="1">
            <w:col w:w="11240"/>
          </w:cols>
          <w:pgMar w:left="320" w:top="688" w:right="339" w:bottom="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1" w:lineRule="exact"/>
        <w:rPr>
          <w:sz w:val="20"/>
          <w:szCs w:val="20"/>
          <w:color w:val="auto"/>
        </w:rPr>
      </w:pPr>
    </w:p>
    <w:p>
      <w:pPr>
        <w:ind w:firstLine="389"/>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Registrant’s 2024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6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9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1.</w:t>
            </w:r>
          </w:p>
        </w:tc>
        <w:tc>
          <w:tcPr>
            <w:tcW w:w="600" w:type="dxa"/>
            <w:vAlign w:val="bottom"/>
            <w:gridSpan w:val="4"/>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w:t>
            </w:r>
          </w:p>
        </w:tc>
        <w:tc>
          <w:tcPr>
            <w:tcW w:w="10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1A.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13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1B.</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1C.</w:t>
            </w:r>
          </w:p>
        </w:tc>
        <w:tc>
          <w:tcPr>
            <w:tcW w:w="440" w:type="dxa"/>
            <w:vAlign w:val="bottom"/>
            <w:gridSpan w:val="2"/>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6"/>
          </w:tcPr>
          <w:p>
            <w:pPr>
              <w:spacing w:after="0"/>
              <w:rPr>
                <w:sz w:val="24"/>
                <w:szCs w:val="24"/>
                <w:color w:val="auto"/>
              </w:rPr>
            </w:pPr>
          </w:p>
        </w:tc>
        <w:tc>
          <w:tcPr>
            <w:tcW w:w="6840" w:type="dxa"/>
            <w:vAlign w:val="bottom"/>
            <w:gridSpan w:val="1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2.</w:t>
            </w:r>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3"/>
          </w:tcPr>
          <w:p>
            <w:pPr>
              <w:spacing w:after="0"/>
              <w:rPr>
                <w:sz w:val="24"/>
                <w:szCs w:val="24"/>
                <w:color w:val="auto"/>
              </w:rPr>
            </w:pPr>
          </w:p>
        </w:tc>
        <w:tc>
          <w:tcPr>
            <w:tcW w:w="7860" w:type="dxa"/>
            <w:vAlign w:val="bottom"/>
            <w:gridSpan w:val="18"/>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3.</w:t>
            </w:r>
          </w:p>
        </w:tc>
        <w:tc>
          <w:tcPr>
            <w:tcW w:w="600" w:type="dxa"/>
            <w:vAlign w:val="bottom"/>
            <w:gridSpan w:val="4"/>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560" w:type="dxa"/>
            <w:vAlign w:val="bottom"/>
            <w:gridSpan w:val="17"/>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4.</w:t>
            </w:r>
          </w:p>
        </w:tc>
        <w:tc>
          <w:tcPr>
            <w:tcW w:w="600" w:type="dxa"/>
            <w:vAlign w:val="bottom"/>
            <w:gridSpan w:val="4"/>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Mine Safety Disclosure</w:t>
            </w:r>
          </w:p>
        </w:tc>
        <w:tc>
          <w:tcPr>
            <w:tcW w:w="7180" w:type="dxa"/>
            <w:vAlign w:val="bottom"/>
            <w:gridSpan w:val="15"/>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5.</w:t>
            </w:r>
          </w:p>
        </w:tc>
        <w:tc>
          <w:tcPr>
            <w:tcW w:w="600" w:type="dxa"/>
            <w:vAlign w:val="bottom"/>
            <w:gridSpan w:val="4"/>
          </w:tcPr>
          <w:p>
            <w:pPr>
              <w:spacing w:after="0"/>
              <w:rPr>
                <w:sz w:val="24"/>
                <w:szCs w:val="24"/>
                <w:color w:val="auto"/>
              </w:rPr>
            </w:pPr>
          </w:p>
        </w:tc>
        <w:tc>
          <w:tcPr>
            <w:tcW w:w="80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6.</w:t>
            </w:r>
          </w:p>
        </w:tc>
        <w:tc>
          <w:tcPr>
            <w:tcW w:w="600" w:type="dxa"/>
            <w:vAlign w:val="bottom"/>
            <w:gridSpan w:val="4"/>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19"/>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7.</w:t>
            </w:r>
          </w:p>
        </w:tc>
        <w:tc>
          <w:tcPr>
            <w:tcW w:w="600" w:type="dxa"/>
            <w:vAlign w:val="bottom"/>
            <w:gridSpan w:val="4"/>
          </w:tcPr>
          <w:p>
            <w:pPr>
              <w:spacing w:after="0"/>
              <w:rPr>
                <w:sz w:val="24"/>
                <w:szCs w:val="24"/>
                <w:color w:val="auto"/>
              </w:rPr>
            </w:pPr>
          </w:p>
        </w:tc>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420" w:type="dxa"/>
            <w:vAlign w:val="bottom"/>
            <w:gridSpan w:val="4"/>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7A.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8.</w:t>
            </w:r>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3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580" w:type="dxa"/>
            <w:vAlign w:val="bottom"/>
            <w:gridSpan w:val="7"/>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42</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2"/>
              </w:rPr>
              <w:t>Item 9.</w:t>
            </w:r>
          </w:p>
        </w:tc>
        <w:tc>
          <w:tcPr>
            <w:tcW w:w="600" w:type="dxa"/>
            <w:vAlign w:val="bottom"/>
            <w:gridSpan w:val="4"/>
          </w:tcPr>
          <w:p>
            <w:pPr>
              <w:spacing w:after="0"/>
              <w:rPr>
                <w:sz w:val="24"/>
                <w:szCs w:val="24"/>
                <w:color w:val="auto"/>
              </w:rPr>
            </w:pPr>
          </w:p>
        </w:tc>
        <w:tc>
          <w:tcPr>
            <w:tcW w:w="64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400" w:type="dxa"/>
            <w:vAlign w:val="bottom"/>
            <w:gridSpan w:val="3"/>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42</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0"/>
              </w:rPr>
              <w:t>Item 9A.</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42</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1"/>
              </w:rPr>
              <w:t>Item 9B.</w:t>
            </w:r>
          </w:p>
        </w:tc>
        <w:tc>
          <w:tcPr>
            <w:tcW w:w="4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4"/>
                <w:szCs w:val="24"/>
                <w:color w:val="auto"/>
              </w:rPr>
            </w:pPr>
          </w:p>
        </w:tc>
        <w:tc>
          <w:tcPr>
            <w:tcW w:w="7120" w:type="dxa"/>
            <w:vAlign w:val="bottom"/>
            <w:gridSpan w:val="14"/>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45</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5"/>
              </w:rPr>
              <w:t>Item 9C</w:t>
            </w:r>
          </w:p>
        </w:tc>
        <w:tc>
          <w:tcPr>
            <w:tcW w:w="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9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980" w:type="dxa"/>
            <w:vAlign w:val="bottom"/>
            <w:gridSpan w:val="6"/>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45</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Part III</w:t>
            </w:r>
          </w:p>
        </w:tc>
        <w:tc>
          <w:tcPr>
            <w:tcW w:w="5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10.</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11.</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12.</w:t>
            </w:r>
          </w:p>
        </w:tc>
        <w:tc>
          <w:tcPr>
            <w:tcW w:w="440" w:type="dxa"/>
            <w:vAlign w:val="bottom"/>
            <w:gridSpan w:val="2"/>
          </w:tcPr>
          <w:p>
            <w:pPr>
              <w:spacing w:after="0"/>
              <w:rPr>
                <w:sz w:val="24"/>
                <w:szCs w:val="24"/>
                <w:color w:val="auto"/>
              </w:rPr>
            </w:pPr>
          </w:p>
        </w:tc>
        <w:tc>
          <w:tcPr>
            <w:tcW w:w="7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13.</w:t>
            </w:r>
          </w:p>
        </w:tc>
        <w:tc>
          <w:tcPr>
            <w:tcW w:w="440" w:type="dxa"/>
            <w:vAlign w:val="bottom"/>
            <w:gridSpan w:val="2"/>
          </w:tcPr>
          <w:p>
            <w:pPr>
              <w:spacing w:after="0"/>
              <w:rPr>
                <w:sz w:val="24"/>
                <w:szCs w:val="24"/>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24"/>
                <w:szCs w:val="24"/>
                <w:color w:val="auto"/>
              </w:rPr>
            </w:pPr>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14.</w:t>
            </w:r>
          </w:p>
        </w:tc>
        <w:tc>
          <w:tcPr>
            <w:tcW w:w="440" w:type="dxa"/>
            <w:vAlign w:val="bottom"/>
            <w:gridSpan w:val="2"/>
          </w:tcPr>
          <w:p>
            <w:pPr>
              <w:spacing w:after="0"/>
              <w:rPr>
                <w:sz w:val="24"/>
                <w:szCs w:val="24"/>
                <w:color w:val="auto"/>
              </w:rPr>
            </w:pPr>
          </w:p>
        </w:tc>
        <w:tc>
          <w:tcPr>
            <w:tcW w:w="5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420" w:type="dxa"/>
            <w:vAlign w:val="bottom"/>
            <w:gridSpan w:val="5"/>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46</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Part IV</w:t>
            </w:r>
          </w:p>
        </w:tc>
        <w:tc>
          <w:tcPr>
            <w:tcW w:w="5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47</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15.</w:t>
            </w:r>
          </w:p>
        </w:tc>
        <w:tc>
          <w:tcPr>
            <w:tcW w:w="440" w:type="dxa"/>
            <w:vAlign w:val="bottom"/>
            <w:gridSpan w:val="2"/>
          </w:tcPr>
          <w:p>
            <w:pPr>
              <w:spacing w:after="0"/>
              <w:rPr>
                <w:sz w:val="24"/>
                <w:szCs w:val="24"/>
                <w:color w:val="auto"/>
              </w:rPr>
            </w:pP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 Financial Statements Schedules</w:t>
            </w: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47</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Item 16.</w:t>
            </w:r>
          </w:p>
        </w:tc>
        <w:tc>
          <w:tcPr>
            <w:tcW w:w="44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Form 10-K Summary</w:t>
            </w:r>
          </w:p>
        </w:tc>
        <w:tc>
          <w:tcPr>
            <w:tcW w:w="1400" w:type="dxa"/>
            <w:vAlign w:val="bottom"/>
            <w:gridSpan w:val="6"/>
          </w:tcPr>
          <w:p>
            <w:pPr>
              <w:spacing w:after="0"/>
              <w:rPr>
                <w:sz w:val="24"/>
                <w:szCs w:val="24"/>
                <w:color w:val="auto"/>
              </w:rPr>
            </w:pPr>
          </w:p>
        </w:tc>
        <w:tc>
          <w:tcPr>
            <w:tcW w:w="5920" w:type="dxa"/>
            <w:vAlign w:val="bottom"/>
            <w:gridSpan w:val="10"/>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47</w:t>
            </w:r>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0000EE"/>
                <w:w w:val="99"/>
              </w:rPr>
              <w:t>52</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21" w:right="499" w:bottom="1440" w:gutter="0" w:footer="0" w:header="0"/>
        </w:sectPr>
      </w:pPr>
    </w:p>
    <w:p>
      <w:pPr>
        <w:spacing w:after="0" w:line="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8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designing products for our customers, we generally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0"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The four end markets we target are all driven by significant bandwidth demand fueled by the growth of network-connected devices, video traffic, cloud computing and online social networking. To address this increased bandwidth demand, CATV and telecom service providers are competing directly against each other by providing bundles of voice, video and data services to their subscribers and investing to enhance the capacity, reliability and capability of their networks. Our internet data center market is also experiencing substantial growth as hyperscale data center operators build and upgrade their infrastructure to support artificial intelligence ("AI") applications which are compute and bandwidth intensive. As a result of these trends, fiber-optic networking technology is becoming essential in all four of our target markets, as it is often the only economical way to deliver the desired bandwidth.</w:t>
      </w:r>
    </w:p>
    <w:p>
      <w:pPr>
        <w:spacing w:after="0" w:line="173" w:lineRule="exact"/>
        <w:rPr>
          <w:sz w:val="20"/>
          <w:szCs w:val="20"/>
          <w:color w:val="auto"/>
        </w:rPr>
      </w:pPr>
    </w:p>
    <w:p>
      <w:pPr>
        <w:ind w:left="160" w:right="120" w:firstLine="648"/>
        <w:spacing w:after="0" w:line="254" w:lineRule="auto"/>
        <w:rPr>
          <w:sz w:val="20"/>
          <w:szCs w:val="20"/>
          <w:color w:val="auto"/>
        </w:rPr>
      </w:pPr>
      <w:r>
        <w:rPr>
          <w:rFonts w:ascii="Times New Roman" w:cs="Times New Roman" w:eastAsia="Times New Roman" w:hAnsi="Times New Roman"/>
          <w:sz w:val="18"/>
          <w:szCs w:val="18"/>
          <w:color w:val="auto"/>
        </w:rPr>
        <w:t>The internet data center market is currently our largest and fastest-growing market. Our customers in 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 The rapid adoption of AI is fueling a new wave of investment by hyperscale data center operators, as AI computing is very compute and bandwidth intensive.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CATV market is our second largest and the most established market,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who have continued to outsource both the design and manufacturing of this equipment. In 2023, we began offering many of our CATV products directly to CATV multiple system operator ("MSO") customers, under the newly-created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w:t>
      </w:r>
    </w:p>
    <w:p>
      <w:pPr>
        <w:spacing w:after="0" w:line="192" w:lineRule="exact"/>
        <w:rPr>
          <w:sz w:val="20"/>
          <w:szCs w:val="20"/>
          <w:color w:val="auto"/>
        </w:rPr>
      </w:pPr>
    </w:p>
    <w:p>
      <w:pPr>
        <w:ind w:right="40" w:firstLine="683"/>
        <w:spacing w:after="0" w:line="255" w:lineRule="auto"/>
        <w:rPr>
          <w:sz w:val="20"/>
          <w:szCs w:val="20"/>
          <w:color w:val="auto"/>
        </w:rPr>
      </w:pPr>
      <w:r>
        <w:rPr>
          <w:rFonts w:ascii="Times New Roman" w:cs="Times New Roman" w:eastAsia="Times New Roman" w:hAnsi="Times New Roman"/>
          <w:sz w:val="18"/>
          <w:szCs w:val="18"/>
          <w:color w:val="auto"/>
        </w:rPr>
        <w:t>As the complexity of CATV networks has increased over the years, equipment vendors, many of whom are our customers, have been under pressure to supply a wider variety of increasingly complex equipment to CATV multiple system operators (“MSOs”). In order to meet these demands, many equipment vendors have looked to engage with suppliers like us who have the capability to design and manufacture various network equipment or subassemblies, rather than always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2023, 2022 and 2021, our revenue was $217.6 million, $222.8 million, and $211.6 million and our gross margin was 27.1%, 15.1%, and 17.8%, respectively. In the years ended December 31, 2023, 2022 and 2021, we had net loss of $56 million, $66.4 million, and $54.2 million, respectively.</w:t>
      </w:r>
    </w:p>
    <w:p>
      <w:pPr>
        <w:ind w:right="300"/>
        <w:spacing w:after="0" w:line="260" w:lineRule="auto"/>
        <w:rPr>
          <w:sz w:val="20"/>
          <w:szCs w:val="20"/>
          <w:color w:val="auto"/>
        </w:rPr>
      </w:pPr>
      <w:r>
        <w:rPr>
          <w:rFonts w:ascii="Times New Roman" w:cs="Times New Roman" w:eastAsia="Times New Roman" w:hAnsi="Times New Roman"/>
          <w:sz w:val="18"/>
          <w:szCs w:val="18"/>
          <w:color w:val="auto"/>
        </w:rPr>
        <w:t>At December 31, 2023 and 2022, our accumulated deficits were $265.1 million and $209.1 million, respectively. In 2023, we earned 64.9% of our total revenue from the internet data center market and 27.5% of our total revenue from the CATV market.</w:t>
      </w:r>
    </w:p>
    <w:p>
      <w:pPr>
        <w:spacing w:after="0" w:line="18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In 2023, our key customers in the internet data center market included Microsoft, a U.S. based large data center operator, and a China based datacenter equipment manufacturer. In 2023, 2022 and 2021, Microsoft accounted for 46.6%, 18.4% and 14.1% of our revenue, a U.S. based large data center operator accounted for 8.8%, 5.9%, and 8.3% of our revenue, and a China based manufacturer accounted for 3.3%, 1.2%, and 1.2% of our revenue, respectively. In 2023, our key customers in the CATV market included ATX, Digicomm and a U.S. based large CATV equipment provider. In 2023, 2022, and 2021, ATX accounted for 15.6%, 47.3%, and 25.6% of our revenue, Digicomm accounted for 11.3%, 0%, and 0% of our revenue, and a U.S. based large CATV equipment provider accounted for 1.3%, 1.7%, and 3.3% of our revenue, respectively.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2023, our four target markets, internet data center, CATV, telecom and FTTH, experienced a significant growth in bandwidth consumption and the corresponding need for network infrastructure improvement to support this growth.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prevailing trends in our target markets include:</w:t>
      </w:r>
    </w:p>
    <w:p>
      <w:pPr>
        <w:spacing w:after="0" w:line="221" w:lineRule="exact"/>
        <w:rPr>
          <w:sz w:val="20"/>
          <w:szCs w:val="20"/>
          <w:color w:val="auto"/>
        </w:rPr>
      </w:pPr>
    </w:p>
    <w:p>
      <w:pPr>
        <w:ind w:left="980" w:right="40" w:hanging="324"/>
        <w:spacing w:after="0" w:line="251" w:lineRule="auto"/>
        <w:tabs>
          <w:tab w:leader="none" w:pos="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Trends in the Internet Data Center Market. </w:t>
      </w:r>
      <w:r>
        <w:rPr>
          <w:rFonts w:ascii="Times New Roman" w:cs="Times New Roman" w:eastAsia="Times New Roman" w:hAnsi="Times New Roman"/>
          <w:sz w:val="18"/>
          <w:szCs w:val="18"/>
          <w:color w:val="auto"/>
        </w:rPr>
        <w:t>To support the substantial increase in bandwidth consumption, internet data center operators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the scale of their internet data centers and deploying infrastructure capable of higher data transmission rates. As a result, there is an ongoing transition from the use of copper cable, typically at speeds of up to 1 gigabit per second ("Gbps"), to optical fiber as a transport medium, typically providing speeds from 10 Gbps to 800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 In recent years, supply chain disruptions caused by the pandemic and other factors have become increasingly concerning to our customers. As a result, we believe that our ability to manufacture lasers and other data center products in the US represents a competitive advantage compared with many of our competitors who have most or all of their production outside the US. Hyperscale data center operators have consistently sought and deployed the most advanced technologies to support the compute and bandwidth needs within their facilities, driving the growth of optical networking within data centers. These operators have adopted more open internet data center architectures and have designed their own networking equipment, both of which use a mix of systems and components from a variety of vendors. We have benefited from these trends over the past several years, and expected to continue to benefit from them. Recently the hyperscale data center operators have begun to build and upgrade their data centers to support AI, offering us a new growth opportunity. The leading edge AI applications require significantly more compute capacity and bandwidth, driving the need for faster (400Gbps and higher) and innovative optical networking solutions to support the intra-data center connectivity needs.</w:t>
      </w:r>
    </w:p>
    <w:p>
      <w:pPr>
        <w:spacing w:after="0" w:line="207" w:lineRule="exact"/>
        <w:rPr>
          <w:rFonts w:ascii="MS PGothic" w:cs="MS PGothic" w:eastAsia="MS PGothic" w:hAnsi="MS PGothic"/>
          <w:sz w:val="18"/>
          <w:szCs w:val="18"/>
          <w:color w:val="auto"/>
        </w:rPr>
      </w:pPr>
    </w:p>
    <w:p>
      <w:pPr>
        <w:ind w:left="980" w:hanging="324"/>
        <w:spacing w:after="0" w:line="230" w:lineRule="auto"/>
        <w:tabs>
          <w:tab w:leader="none" w:pos="980" w:val="left"/>
        </w:tabs>
        <w:numPr>
          <w:ilvl w:val="0"/>
          <w:numId w:val="4"/>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i w:val="1"/>
          <w:iCs w:val="1"/>
          <w:color w:val="auto"/>
        </w:rPr>
        <w:t xml:space="preserve">Trends in the CATV Market. </w:t>
      </w:r>
      <w:r>
        <w:rPr>
          <w:rFonts w:ascii="Times New Roman" w:cs="Times New Roman" w:eastAsia="Times New Roman" w:hAnsi="Times New Roman"/>
          <w:sz w:val="18"/>
          <w:szCs w:val="18"/>
          <w:color w:val="auto"/>
        </w:rPr>
        <w:t>Beginning over two decades ago, CATV service providers have invested extensively to support high speed, two-way communications over their networks and we expect that they will continue to do so. In North America, CATV service providers have most recently upgraded their networks with technologies like DOCSIS 3.1, which enables them to offer high speed internet connections to their customers. In order to increase available bandwidth for their customers beyond the bandwidth possible with DOCSIS 3.1, cable MSOs have supported the development of DOCSIS 4.0, which is primarily aimed at increasing the amount of bandwidth available to offer to customers, and also to making the distribution of bandwidth between "forward-path" (i.e. from the MSO office to the customer) and "return-path" (i.e. from the customer to the MSO office) more flexible. In part, enabling the flexible deployment of bandwidth between forward-path and return-path is an effort by MSOs to enable their networks to more effectively scale with consumer demand trends in the future. MSOs like Comcast and Charter have announced plans to spend billions of dollars over the next few years to upgrade to DOCSIS 4.0 network equipment. As one of the early developers of DOCSIS 4.0 equipment, we believe that this represents a significant opportunity for sales of CATV equipment in the next few years.</w:t>
      </w:r>
    </w:p>
    <w:p>
      <w:pPr>
        <w:spacing w:after="0" w:line="196" w:lineRule="exact"/>
        <w:rPr>
          <w:rFonts w:ascii="MS PGothic" w:cs="MS PGothic" w:eastAsia="MS PGothic" w:hAnsi="MS PGothic"/>
          <w:sz w:val="43"/>
          <w:szCs w:val="43"/>
          <w:color w:val="auto"/>
          <w:vertAlign w:val="subscript"/>
        </w:rPr>
      </w:pPr>
    </w:p>
    <w:p>
      <w:pPr>
        <w:ind w:left="980" w:right="20" w:hanging="324"/>
        <w:spacing w:after="0" w:line="220" w:lineRule="auto"/>
        <w:tabs>
          <w:tab w:leader="none" w:pos="980" w:val="left"/>
        </w:tabs>
        <w:numPr>
          <w:ilvl w:val="0"/>
          <w:numId w:val="4"/>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i w:val="1"/>
          <w:iCs w:val="1"/>
          <w:color w:val="auto"/>
        </w:rPr>
        <w:t>Trends in the Telecom Market.</w:t>
      </w:r>
      <w:r>
        <w:rPr>
          <w:rFonts w:ascii="Times New Roman" w:cs="Times New Roman" w:eastAsia="Times New Roman" w:hAnsi="Times New Roman"/>
          <w:sz w:val="18"/>
          <w:szCs w:val="18"/>
          <w:color w:val="auto"/>
        </w:rPr>
        <w:t>The telecom market is composed of customers who deploy wireline optical networks, other than Passive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Optical 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w:t>
      </w:r>
    </w:p>
    <w:p>
      <w:pPr>
        <w:spacing w:after="0" w:line="195" w:lineRule="exact"/>
        <w:rPr>
          <w:rFonts w:ascii="MS PGothic" w:cs="MS PGothic" w:eastAsia="MS PGothic" w:hAnsi="MS PGothic"/>
          <w:sz w:val="43"/>
          <w:szCs w:val="43"/>
          <w:color w:val="auto"/>
          <w:vertAlign w:val="subscript"/>
        </w:rPr>
      </w:pPr>
    </w:p>
    <w:p>
      <w:pPr>
        <w:ind w:left="980" w:right="60" w:hanging="324"/>
        <w:spacing w:after="0" w:line="255" w:lineRule="auto"/>
        <w:tabs>
          <w:tab w:leader="none" w:pos="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Trends in the FTTH Market. </w:t>
      </w:r>
      <w:r>
        <w:rPr>
          <w:rFonts w:ascii="Times New Roman" w:cs="Times New Roman" w:eastAsia="Times New Roman" w:hAnsi="Times New Roman"/>
          <w:sz w:val="18"/>
          <w:szCs w:val="18"/>
          <w:color w:val="auto"/>
        </w:rPr>
        <w:t>The FTTH market generally refers to the PONs that telecom service providers deploy. The most commonly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Another approach is XGS-PON, which offers 10 Gbps over a single fiber strand. We also see opportunities for 10 Gbps Ethernet Passive Optical Network ("EPON") and higher data rate PON networks in the future. Also, we have seen trends towards cable television MSOs beginning to deploy PON networks. We see opportunities with these customers particularly given our knowledge and experience in CATV.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addressing the challenges in our target markets, we provide the following benefits to our customers:</w:t>
      </w:r>
    </w:p>
    <w:p>
      <w:pPr>
        <w:spacing w:after="0" w:line="221" w:lineRule="exact"/>
        <w:rPr>
          <w:sz w:val="20"/>
          <w:szCs w:val="20"/>
          <w:color w:val="auto"/>
        </w:rPr>
      </w:pPr>
    </w:p>
    <w:p>
      <w:pPr>
        <w:jc w:val="both"/>
        <w:ind w:left="980" w:right="40" w:hanging="324"/>
        <w:spacing w:after="0" w:line="268" w:lineRule="auto"/>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Enable customers to deliver innovative products. </w:t>
      </w:r>
      <w:r>
        <w:rPr>
          <w:rFonts w:ascii="Times New Roman" w:cs="Times New Roman" w:eastAsia="Times New Roman" w:hAnsi="Times New Roman"/>
          <w:sz w:val="18"/>
          <w:szCs w:val="18"/>
          <w:color w:val="auto"/>
        </w:rPr>
        <w:t>We leverage our extensive expertise in high-speed optical, mixed-signal semiconductor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mechanical engineering, and MOCVD and our proprietary MBE laser fabrication process to deliver technologically advanced products to our customers.</w:t>
      </w:r>
    </w:p>
    <w:p>
      <w:pPr>
        <w:spacing w:after="0" w:line="170" w:lineRule="exact"/>
        <w:rPr>
          <w:rFonts w:ascii="MS PGothic" w:cs="MS PGothic" w:eastAsia="MS PGothic" w:hAnsi="MS PGothic"/>
          <w:sz w:val="18"/>
          <w:szCs w:val="18"/>
          <w:color w:val="auto"/>
        </w:rPr>
      </w:pPr>
    </w:p>
    <w:p>
      <w:pPr>
        <w:ind w:left="980" w:right="20" w:hanging="324"/>
        <w:spacing w:after="0" w:line="286" w:lineRule="auto"/>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Enhance efficiency and cost effectiveness of our customers’ supply chains. </w:t>
      </w:r>
      <w:r>
        <w:rPr>
          <w:rFonts w:ascii="Times New Roman" w:cs="Times New Roman" w:eastAsia="Times New Roman" w:hAnsi="Times New Roman"/>
          <w:sz w:val="18"/>
          <w:szCs w:val="18"/>
          <w:color w:val="auto"/>
        </w:rPr>
        <w:t>We design and sell products at the level of integration desired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customer, from components to turn-key equipment, providing our customers a dependable, cost-effective and simplified supply chain.</w:t>
      </w:r>
    </w:p>
    <w:p>
      <w:pPr>
        <w:spacing w:after="0" w:line="154" w:lineRule="exact"/>
        <w:rPr>
          <w:rFonts w:ascii="MS PGothic" w:cs="MS PGothic" w:eastAsia="MS PGothic" w:hAnsi="MS PGothic"/>
          <w:sz w:val="18"/>
          <w:szCs w:val="18"/>
          <w:color w:val="auto"/>
        </w:rPr>
      </w:pPr>
    </w:p>
    <w:p>
      <w:pPr>
        <w:ind w:left="980" w:right="80" w:hanging="324"/>
        <w:spacing w:after="0" w:line="262" w:lineRule="auto"/>
        <w:tabs>
          <w:tab w:leader="none" w:pos="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Deliver high quality, reliable products in high volume. </w:t>
      </w:r>
      <w:r>
        <w:rPr>
          <w:rFonts w:ascii="Times New Roman" w:cs="Times New Roman" w:eastAsia="Times New Roman" w:hAnsi="Times New Roman"/>
          <w:sz w:val="18"/>
          <w:szCs w:val="18"/>
          <w:color w:val="auto"/>
        </w:rPr>
        <w:t>As a vertically integrated supplier, we are able to monitor and maintain quality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ectPr>
          <w:pgSz w:w="11900" w:h="16838" w:orient="portrait"/>
          <w:cols w:equalWidth="0" w:num="1">
            <w:col w:w="11240"/>
          </w:cols>
          <w:pgMar w:left="320" w:top="121" w:right="339" w:bottom="0" w:gutter="0" w:footer="0" w:header="0"/>
        </w:sectPr>
      </w:pPr>
    </w:p>
    <w:bookmarkStart w:id="6" w:name="page7"/>
    <w:bookmarkEnd w:id="6"/>
    <w:p>
      <w:pPr>
        <w:ind w:left="324" w:hanging="324"/>
        <w:spacing w:after="0" w:line="317" w:lineRule="auto"/>
        <w:tabs>
          <w:tab w:leader="none" w:pos="324"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i w:val="1"/>
          <w:iCs w:val="1"/>
          <w:color w:val="auto"/>
        </w:rPr>
        <w:t xml:space="preserve">Provide sophisticated design solutions to our customers. </w:t>
      </w:r>
      <w:r>
        <w:rPr>
          <w:rFonts w:ascii="Times New Roman" w:cs="Times New Roman" w:eastAsia="Times New Roman" w:hAnsi="Times New Roman"/>
          <w:sz w:val="17"/>
          <w:szCs w:val="17"/>
          <w:color w:val="auto"/>
        </w:rPr>
        <w:t>We believe our in-house expertise in both analog and digital optical engineering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enables us to design comprehensive solutions that meet many of the different network architectures and protocols used by our customers.</w:t>
      </w:r>
    </w:p>
    <w:p>
      <w:pPr>
        <w:spacing w:after="0" w:line="136"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4"/>
          </w:cols>
          <w:pgMar w:left="976" w:top="333"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key competitive strengths include the following:</w:t>
      </w:r>
    </w:p>
    <w:p>
      <w:pPr>
        <w:spacing w:after="0" w:line="221" w:lineRule="exact"/>
        <w:rPr>
          <w:sz w:val="20"/>
          <w:szCs w:val="20"/>
          <w:color w:val="auto"/>
        </w:rPr>
      </w:pPr>
    </w:p>
    <w:p>
      <w:pPr>
        <w:ind w:left="980" w:right="780" w:hanging="324"/>
        <w:spacing w:after="0" w:line="286"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technological expertise and track record of innovation. </w:t>
      </w:r>
      <w:r>
        <w:rPr>
          <w:rFonts w:ascii="Times New Roman" w:cs="Times New Roman" w:eastAsia="Times New Roman" w:hAnsi="Times New Roman"/>
          <w:sz w:val="18"/>
          <w:szCs w:val="18"/>
          <w:color w:val="auto"/>
        </w:rPr>
        <w:t>We continue to develop innovative products by leveraging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technological expertise, including our proprietary MBE and MOCVD laser fabrication process.</w:t>
      </w:r>
    </w:p>
    <w:p>
      <w:pPr>
        <w:spacing w:after="0" w:line="154" w:lineRule="exact"/>
        <w:rPr>
          <w:rFonts w:ascii="MS PGothic" w:cs="MS PGothic" w:eastAsia="MS PGothic" w:hAnsi="MS PGothic"/>
          <w:sz w:val="18"/>
          <w:szCs w:val="18"/>
          <w:color w:val="auto"/>
        </w:rPr>
      </w:pPr>
    </w:p>
    <w:p>
      <w:pPr>
        <w:ind w:left="980" w:right="80" w:hanging="324"/>
        <w:spacing w:after="0" w:line="262"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Innovative light engine design and manufacturing. </w:t>
      </w:r>
      <w:r>
        <w:rPr>
          <w:rFonts w:ascii="Times New Roman" w:cs="Times New Roman" w:eastAsia="Times New Roman" w:hAnsi="Times New Roman"/>
          <w:sz w:val="18"/>
          <w:szCs w:val="18"/>
          <w:color w:val="auto"/>
        </w:rPr>
        <w:t>High-speed data center interconnect transceivers increasingly rely on multiple parallel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p>
      <w:pPr>
        <w:spacing w:after="0" w:line="176" w:lineRule="exact"/>
        <w:rPr>
          <w:rFonts w:ascii="MS PGothic" w:cs="MS PGothic" w:eastAsia="MS PGothic" w:hAnsi="MS PGothic"/>
          <w:sz w:val="18"/>
          <w:szCs w:val="18"/>
          <w:color w:val="auto"/>
        </w:rPr>
      </w:pPr>
    </w:p>
    <w:p>
      <w:pPr>
        <w:ind w:left="980" w:right="180" w:hanging="324"/>
        <w:spacing w:after="0" w:line="268"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Proven system design capabilities. </w:t>
      </w:r>
      <w:r>
        <w:rPr>
          <w:rFonts w:ascii="Times New Roman" w:cs="Times New Roman" w:eastAsia="Times New Roman" w:hAnsi="Times New Roman"/>
          <w:sz w:val="18"/>
          <w:szCs w:val="18"/>
          <w:color w:val="auto"/>
        </w:rPr>
        <w:t>We have extensive expertise and proven design capabilities in high-speed optical, mixed-signal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semiconductor and mechanical engineering, which we believe position us to take advantage of the continuing shift to outsourced design and manufacturing among CATV equipment vendors.</w:t>
      </w:r>
    </w:p>
    <w:p>
      <w:pPr>
        <w:spacing w:after="0" w:line="170" w:lineRule="exact"/>
        <w:rPr>
          <w:rFonts w:ascii="MS PGothic" w:cs="MS PGothic" w:eastAsia="MS PGothic" w:hAnsi="MS PGothic"/>
          <w:sz w:val="18"/>
          <w:szCs w:val="18"/>
          <w:color w:val="auto"/>
        </w:rPr>
      </w:pPr>
    </w:p>
    <w:p>
      <w:pPr>
        <w:ind w:left="980" w:right="100" w:hanging="324"/>
        <w:spacing w:after="0" w:line="268"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Industry-leading position in the CATV market. </w:t>
      </w:r>
      <w:r>
        <w:rPr>
          <w:rFonts w:ascii="Times New Roman" w:cs="Times New Roman" w:eastAsia="Times New Roman" w:hAnsi="Times New Roman"/>
          <w:sz w:val="18"/>
          <w:szCs w:val="18"/>
          <w:color w:val="auto"/>
        </w:rPr>
        <w:t>We continue to be awarded new design and manufacturing opportunities for CATV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0" w:lineRule="exact"/>
        <w:rPr>
          <w:rFonts w:ascii="MS PGothic" w:cs="MS PGothic" w:eastAsia="MS PGothic" w:hAnsi="MS PGothic"/>
          <w:sz w:val="18"/>
          <w:szCs w:val="18"/>
          <w:color w:val="auto"/>
        </w:rPr>
      </w:pPr>
    </w:p>
    <w:p>
      <w:pPr>
        <w:ind w:left="980" w:right="240" w:hanging="324"/>
        <w:spacing w:after="0" w:line="262" w:lineRule="auto"/>
        <w:tabs>
          <w:tab w:leader="none" w:pos="9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Vertically integrated, geographically distributed manufacturing model. </w:t>
      </w:r>
      <w:r>
        <w:rPr>
          <w:rFonts w:ascii="Times New Roman" w:cs="Times New Roman" w:eastAsia="Times New Roman" w:hAnsi="Times New Roman"/>
          <w:sz w:val="18"/>
          <w:szCs w:val="18"/>
          <w:color w:val="auto"/>
        </w:rPr>
        <w:t>Our vertically integrated design and manufacturing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seek to be the leading global provider of optical components, modules and equipment for each of our four target markets: internet data centers,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CATV, telecom and FTTH. Our strategy includes the following key elements:</w:t>
      </w:r>
    </w:p>
    <w:p>
      <w:pPr>
        <w:spacing w:after="0" w:line="203" w:lineRule="exact"/>
        <w:rPr>
          <w:sz w:val="20"/>
          <w:szCs w:val="20"/>
          <w:color w:val="auto"/>
        </w:rPr>
      </w:pPr>
    </w:p>
    <w:p>
      <w:pPr>
        <w:jc w:val="both"/>
        <w:ind w:left="980" w:right="24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Continue to penetrate the internet data center market. </w:t>
      </w:r>
      <w:r>
        <w:rPr>
          <w:rFonts w:ascii="Times New Roman" w:cs="Times New Roman" w:eastAsia="Times New Roman" w:hAnsi="Times New Roman"/>
          <w:sz w:val="18"/>
          <w:szCs w:val="18"/>
          <w:color w:val="auto"/>
        </w:rPr>
        <w:t>In the internet data center market, we primarily target internet data center operators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have adopted an open system architecture—one in which the optical connectivity solutions can be provided by a different vendor than the vendor which provides their servers and switches.</w:t>
      </w:r>
    </w:p>
    <w:p>
      <w:pPr>
        <w:spacing w:after="0" w:line="170" w:lineRule="exact"/>
        <w:rPr>
          <w:rFonts w:ascii="MS PGothic" w:cs="MS PGothic" w:eastAsia="MS PGothic" w:hAnsi="MS PGothic"/>
          <w:sz w:val="18"/>
          <w:szCs w:val="18"/>
          <w:color w:val="auto"/>
        </w:rPr>
      </w:pPr>
    </w:p>
    <w:p>
      <w:pPr>
        <w:ind w:left="98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Extend our leadership in CATV networking. </w:t>
      </w:r>
      <w:r>
        <w:rPr>
          <w:rFonts w:ascii="Times New Roman" w:cs="Times New Roman" w:eastAsia="Times New Roman" w:hAnsi="Times New Roman"/>
          <w:sz w:val="18"/>
          <w:szCs w:val="18"/>
          <w:color w:val="auto"/>
        </w:rPr>
        <w:t>We intend to add to our product portfolio in the CATV market following our recent launch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own branded products to sell directly to MSOs, which we believe offers us further opportunity to enhance our presence as a supplier in the CATV market.</w:t>
      </w:r>
    </w:p>
    <w:p>
      <w:pPr>
        <w:spacing w:after="0" w:line="170" w:lineRule="exact"/>
        <w:rPr>
          <w:rFonts w:ascii="MS PGothic" w:cs="MS PGothic" w:eastAsia="MS PGothic" w:hAnsi="MS PGothic"/>
          <w:sz w:val="18"/>
          <w:szCs w:val="18"/>
          <w:color w:val="auto"/>
        </w:rPr>
      </w:pPr>
    </w:p>
    <w:p>
      <w:pPr>
        <w:ind w:left="980" w:right="6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Continue to invest in our capabilities and infrastructure. </w:t>
      </w:r>
      <w:r>
        <w:rPr>
          <w:rFonts w:ascii="Times New Roman" w:cs="Times New Roman" w:eastAsia="Times New Roman" w:hAnsi="Times New Roman"/>
          <w:sz w:val="18"/>
          <w:szCs w:val="18"/>
          <w:color w:val="auto"/>
        </w:rPr>
        <w:t>We intend to continue to invest in new products, new technology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infrastructure and facilities to maintain and strengthen our competitive position. We engage in an active research and development program to develop new products and enhance existing products.</w:t>
      </w:r>
    </w:p>
    <w:p>
      <w:pPr>
        <w:spacing w:after="0" w:line="170" w:lineRule="exact"/>
        <w:rPr>
          <w:rFonts w:ascii="MS PGothic" w:cs="MS PGothic" w:eastAsia="MS PGothic" w:hAnsi="MS PGothic"/>
          <w:sz w:val="18"/>
          <w:szCs w:val="18"/>
          <w:color w:val="auto"/>
        </w:rPr>
      </w:pPr>
    </w:p>
    <w:p>
      <w:pPr>
        <w:ind w:left="980" w:right="4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Selectively pursue other opportunities that leverage our existing expertise. </w:t>
      </w:r>
      <w:r>
        <w:rPr>
          <w:rFonts w:ascii="Times New Roman" w:cs="Times New Roman" w:eastAsia="Times New Roman" w:hAnsi="Times New Roman"/>
          <w:sz w:val="18"/>
          <w:szCs w:val="18"/>
          <w:color w:val="auto"/>
        </w:rPr>
        <w:t>Our expertise in designing and manufacturing outdoor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0" w:lineRule="exact"/>
        <w:rPr>
          <w:rFonts w:ascii="MS PGothic" w:cs="MS PGothic" w:eastAsia="MS PGothic" w:hAnsi="MS PGothic"/>
          <w:sz w:val="18"/>
          <w:szCs w:val="18"/>
          <w:color w:val="auto"/>
        </w:rPr>
      </w:pPr>
    </w:p>
    <w:p>
      <w:pPr>
        <w:ind w:left="980" w:right="200" w:hanging="324"/>
        <w:spacing w:after="0" w:line="268" w:lineRule="auto"/>
        <w:tabs>
          <w:tab w:leader="none" w:pos="98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Pursue complementary acquisition and strategic alliance opportunities. </w:t>
      </w:r>
      <w:r>
        <w:rPr>
          <w:rFonts w:ascii="Times New Roman" w:cs="Times New Roman" w:eastAsia="Times New Roman" w:hAnsi="Times New Roman"/>
          <w:sz w:val="18"/>
          <w:szCs w:val="18"/>
          <w:color w:val="auto"/>
        </w:rPr>
        <w:t>We evaluate and selectively pursue acquisition opportunities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alliances that we believe will enhance or complement our current product offerings, augment our technology roadmap, or diversify our revenue base.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58" w:lineRule="exact"/>
        <w:rPr>
          <w:sz w:val="20"/>
          <w:szCs w:val="20"/>
          <w:color w:val="auto"/>
        </w:rPr>
      </w:pPr>
    </w:p>
    <w:p>
      <w:pPr>
        <w:ind w:left="980" w:hanging="324"/>
        <w:spacing w:after="0" w:line="253"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Differentiated semiconductor laser manufacturing. </w:t>
      </w:r>
      <w:r>
        <w:rPr>
          <w:rFonts w:ascii="Times New Roman" w:cs="Times New Roman" w:eastAsia="Times New Roman" w:hAnsi="Times New Roman"/>
          <w:sz w:val="18"/>
          <w:szCs w:val="18"/>
          <w:color w:val="auto"/>
        </w:rPr>
        <w:t>We use a combination of MBE and MOCVD processes in the fabrication of our lasers.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87" w:lineRule="exact"/>
        <w:rPr>
          <w:rFonts w:ascii="MS PGothic" w:cs="MS PGothic" w:eastAsia="MS PGothic" w:hAnsi="MS PGothic"/>
          <w:sz w:val="18"/>
          <w:szCs w:val="18"/>
          <w:color w:val="auto"/>
        </w:rPr>
      </w:pPr>
    </w:p>
    <w:p>
      <w:pPr>
        <w:ind w:left="980" w:right="140" w:hanging="324"/>
        <w:spacing w:after="0" w:line="259"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Laser enhancement technology. </w:t>
      </w:r>
      <w:r>
        <w:rPr>
          <w:rFonts w:ascii="Times New Roman" w:cs="Times New Roman" w:eastAsia="Times New Roman" w:hAnsi="Times New Roman"/>
          <w:sz w:val="18"/>
          <w:szCs w:val="18"/>
          <w:color w:val="auto"/>
        </w:rPr>
        <w:t>Certain properties of the semiconductor lasers predominantly used in traditional communications devices,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79" w:lineRule="exact"/>
        <w:rPr>
          <w:rFonts w:ascii="MS PGothic" w:cs="MS PGothic" w:eastAsia="MS PGothic" w:hAnsi="MS PGothic"/>
          <w:sz w:val="18"/>
          <w:szCs w:val="18"/>
          <w:color w:val="auto"/>
        </w:rPr>
      </w:pPr>
    </w:p>
    <w:p>
      <w:pPr>
        <w:ind w:left="980" w:hanging="324"/>
        <w:spacing w:after="0" w:line="254"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Optical hybrid-integration technology. </w:t>
      </w:r>
      <w:r>
        <w:rPr>
          <w:rFonts w:ascii="Times New Roman" w:cs="Times New Roman" w:eastAsia="Times New Roman" w:hAnsi="Times New Roman"/>
          <w:sz w:val="18"/>
          <w:szCs w:val="18"/>
          <w:color w:val="auto"/>
        </w:rPr>
        <w:t>Reducing the size, power consumption and complexity of optical devices is essential for achieving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92" w:lineRule="exact"/>
        <w:rPr>
          <w:rFonts w:ascii="MS PGothic" w:cs="MS PGothic" w:eastAsia="MS PGothic" w:hAnsi="MS PGothic"/>
          <w:sz w:val="18"/>
          <w:szCs w:val="18"/>
          <w:color w:val="auto"/>
        </w:rPr>
      </w:pPr>
    </w:p>
    <w:p>
      <w:pPr>
        <w:ind w:left="980" w:right="40"/>
        <w:spacing w:after="0" w:line="255"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84" w:lineRule="exact"/>
        <w:rPr>
          <w:rFonts w:ascii="MS PGothic" w:cs="MS PGothic" w:eastAsia="MS PGothic" w:hAnsi="MS PGothic"/>
          <w:sz w:val="18"/>
          <w:szCs w:val="18"/>
          <w:color w:val="auto"/>
        </w:rPr>
      </w:pPr>
    </w:p>
    <w:p>
      <w:pPr>
        <w:ind w:left="980" w:hanging="324"/>
        <w:spacing w:after="0" w:line="254" w:lineRule="auto"/>
        <w:tabs>
          <w:tab w:leader="none" w:pos="98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Mixed-signal design. </w:t>
      </w:r>
      <w:r>
        <w:rPr>
          <w:rFonts w:ascii="Times New Roman" w:cs="Times New Roman" w:eastAsia="Times New Roman" w:hAnsi="Times New Roman"/>
          <w:sz w:val="18"/>
          <w:szCs w:val="18"/>
          <w:color w:val="auto"/>
        </w:rPr>
        <w:t>As CATV providers continue to evolve from primarily broadcast-video content providers to a mixture of HD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ectPr>
          <w:pgSz w:w="11900" w:h="16838" w:orient="portrait"/>
          <w:cols w:equalWidth="0" w:num="1">
            <w:col w:w="11220"/>
          </w:cols>
          <w:pgMar w:left="320" w:top="121" w:right="35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 we had a total of 233 employees working in the R&amp;D department, including nine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owned a total of 176 U.S. issued patents and 150 patents issued in China and Taiwan, plus a number of pending U.S. and foreign/international patent applications. Our issued U.S. and foreign patents will expire between 2024 and 2043. While our patents are an important element of our success, our business as a whole is not dependent on any one patent or group of patents. We do not anticipate any material effect on our business due to any patents expiring in 2024, and we continue to obtain new patents through our ongoing research and development.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patents and patent applications covers several different technology families including:</w:t>
      </w:r>
    </w:p>
    <w:p>
      <w:pPr>
        <w:spacing w:after="0" w:line="29" w:lineRule="exact"/>
        <w:rPr>
          <w:sz w:val="20"/>
          <w:szCs w:val="20"/>
          <w:color w:val="auto"/>
        </w:rPr>
      </w:pPr>
    </w:p>
    <w:p>
      <w:pPr>
        <w:ind w:left="980" w:hanging="324"/>
        <w:spacing w:after="0"/>
        <w:tabs>
          <w:tab w:leader="none" w:pos="980" w:val="left"/>
        </w:tabs>
        <w:numPr>
          <w:ilvl w:val="0"/>
          <w:numId w:val="10"/>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laser structure and design;</w:t>
      </w:r>
    </w:p>
    <w:p>
      <w:pPr>
        <w:spacing w:after="0" w:line="84" w:lineRule="exact"/>
        <w:rPr>
          <w:rFonts w:ascii="MS PGothic" w:cs="MS PGothic" w:eastAsia="MS PGothic" w:hAnsi="MS PGothic"/>
          <w:sz w:val="43"/>
          <w:szCs w:val="43"/>
          <w:color w:val="auto"/>
          <w:vertAlign w:val="subscript"/>
        </w:rPr>
      </w:pPr>
    </w:p>
    <w:p>
      <w:pPr>
        <w:ind w:left="980" w:hanging="324"/>
        <w:spacing w:after="0" w:line="216" w:lineRule="auto"/>
        <w:tabs>
          <w:tab w:leader="none" w:pos="980" w:val="left"/>
        </w:tabs>
        <w:numPr>
          <w:ilvl w:val="0"/>
          <w:numId w:val="10"/>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optical signal conditioning and laser control;</w:t>
      </w:r>
    </w:p>
    <w:p>
      <w:pPr>
        <w:spacing w:after="0" w:line="239"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laser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photodiode and optical receiver design and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device and module designs;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device packaging equipment and techniques;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optical network enhancements; and</w:t>
      </w:r>
    </w:p>
    <w:p>
      <w:pPr>
        <w:spacing w:after="0" w:line="252" w:lineRule="exact"/>
        <w:rPr>
          <w:sz w:val="20"/>
          <w:szCs w:val="20"/>
          <w:color w:val="auto"/>
        </w:rPr>
      </w:pPr>
    </w:p>
    <w:p>
      <w:pPr>
        <w:ind w:left="400"/>
        <w:spacing w:after="0"/>
        <w:tabs>
          <w:tab w:leader="none" w:pos="600" w:val="left"/>
        </w:tabs>
        <w:rPr>
          <w:sz w:val="20"/>
          <w:szCs w:val="20"/>
          <w:color w:val="auto"/>
        </w:rPr>
      </w:pPr>
      <w:r>
        <w:rPr>
          <w:rFonts w:ascii="Times New Roman" w:cs="Times New Roman" w:eastAsia="Times New Roman" w:hAnsi="Times New Roman"/>
          <w:sz w:val="18"/>
          <w:szCs w:val="18"/>
          <w:color w:val="auto"/>
        </w:rPr>
        <w:t>-</w:t>
        <w:tab/>
        <w:t xml:space="preserve">CATV networking technologies.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have registered the trademarks APPLIED OPTOELECTRONICS, INC., AOI, and we have filed for registration of trademark for Quantum Bandwidth with the U.S. Patent and Trademark Office on the Principal Register. These marks are also registered in, or have applications for registration pending in, various foreign trademark offices.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internet data center market, and CATV outdoor equipment (at the node). Each manufacturing facility conducts testing on the components, modules or subsystems it manufactures and each facility is certified to ISO 9001:2015 and ISO 14001:2015.</w:t>
      </w:r>
    </w:p>
    <w:p>
      <w:pPr>
        <w:sectPr>
          <w:pgSz w:w="11900" w:h="16838" w:orient="portrait"/>
          <w:cols w:equalWidth="0" w:num="1">
            <w:col w:w="11220"/>
          </w:cols>
          <w:pgMar w:left="320" w:top="121" w:right="359" w:bottom="848"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8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Raw Materials</w:t>
      </w:r>
    </w:p>
    <w:p>
      <w:pPr>
        <w:spacing w:after="0" w:line="229" w:lineRule="exact"/>
        <w:rPr>
          <w:sz w:val="20"/>
          <w:szCs w:val="20"/>
          <w:color w:val="auto"/>
        </w:rPr>
      </w:pPr>
    </w:p>
    <w:p>
      <w:pPr>
        <w:jc w:val="both"/>
        <w:ind w:right="180" w:firstLine="648"/>
        <w:spacing w:after="0" w:line="272" w:lineRule="auto"/>
        <w:rPr>
          <w:sz w:val="20"/>
          <w:szCs w:val="20"/>
          <w:color w:val="auto"/>
        </w:rPr>
      </w:pPr>
      <w:r>
        <w:rPr>
          <w:rFonts w:ascii="Times New Roman" w:cs="Times New Roman" w:eastAsia="Times New Roman" w:hAnsi="Times New Roman"/>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8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internet data center operators, CATV, telecom equipment manufacturers, and internet service providers. We generally employ a direct sales model in North America and in the rest of the world we use both direct and indirect sales channels. In 2023, 2022 and 2021, we obtained 88.6%, 99.6%, and 98.01%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last five years, we have taken several actions to increase the diversity of our customer base. These actions include hiring sales staff to improve our ability to serve new customers and the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the three customers who contributed most to our data center revenue were Microsoft, a U.S. based large data center operator and a China based manufacturer. In 2023, our three largest CATV customers were ATX, Digicomm and a U.S. based large CATV equipment provider. In 2023, revenue from the internet data center market, CATV market, telecom market, FTTH market and other markets provided 64.9%, 27.5%, 6.4%, 0.0% and 1.2% of our revenue, respectively, compared to 34.6%, 53%, 11.1%, 0.1% and 1.2%, respectively, in 2022.</w:t>
      </w:r>
    </w:p>
    <w:p>
      <w:pPr>
        <w:spacing w:after="0" w:line="18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support our sales efforts by attendance at industry trade shows (virtually and in person), technical conferences and other promotional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are aimed at attracting new customers and enhancing our existing customer relationships.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Finisar Corporation who was acquired by II-VI Incorporated, Foxconn Interconnect Technology Ltd., InnoLight Technology (Suzhou) Ltd., Intel Corporation, Lumentum Holdings, Inc., Mitsubishi, Molex, LLC, Source Photonics, Inc. and Sumitomo Electric Industries, Ltd.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of internally manufactured components;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product breadth and functionality;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timing and pace of new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breadth of customer base;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technological expertise;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reliability of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product pricing;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manufacturing efficiency.</w:t>
      </w:r>
    </w:p>
    <w:p>
      <w:pPr>
        <w:spacing w:after="0" w:line="2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Operations—Seasonality,” regarding seasonality of certain of the Company’s products.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2,149 full-time employees, of which 37 held Ph.D. degrees in a science or engineering field. Of our employees, 330 are located in the U.S., 464 are located in Taiwan and 1,355 are located in China.</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 Development and Career Planning</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In the past, we have conducted confidential surveys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Safety</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 In response to the COVID-19 pandemic, we implemented significant changes that we determined were in the best interest of our employees and which comply with government orders in all the states and countries where we operate. In an effort to keep our employees safe and to maintain operations during the COVID-19 pandemic, we have implemented a number of new health-related measures including, the requirement to wear company provided face-masks at all times while on company property, implemented temperature taking protocols, increased hygiene, cleaning and sanitizing procedures at all Company sites, implemented social-distancing, implemented restrictions on visitors to our facilities, limiting in-person meetings and other gatherings.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Wellness</w:t>
      </w:r>
    </w:p>
    <w:p>
      <w:pPr>
        <w:spacing w:after="0" w:line="22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To date, costs and accruals incurred to comply with these governmental regulations have not been material to our capital expenditures, results of operations, and competitive position.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ectPr>
          <w:pgSz w:w="11900" w:h="16838" w:orient="portrait"/>
          <w:cols w:equalWidth="0" w:num="1">
            <w:col w:w="11220"/>
          </w:cols>
          <w:pgMar w:left="320" w:top="121" w:right="359" w:bottom="1440" w:gutter="0" w:footer="0" w:header="0"/>
        </w:sectPr>
      </w:pP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maintaining compliance with all environmental laws applicable to our operations, products, and services and to reducing our environmental impact across our business. Our operations and many of our products are subject to various federal, state, local, and foreign regulations that have been adopted with respect to the environment, such as the Directive on the Restriction of the Use of Certain Hazardous Substances in Electrical and Electronic Equipment; Registration, Evaluation, Authorization, and Restriction of Chemicals; and Substances of Concern In Products, regulations adopted by the European Union, or EU.</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Over and above our commitment to compliance with all environmental laws, we have further committed ourselves to the following environment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w:t>
      </w:r>
    </w:p>
    <w:p>
      <w:pPr>
        <w:spacing w:after="0" w:line="207" w:lineRule="exact"/>
        <w:rPr>
          <w:sz w:val="20"/>
          <w:szCs w:val="20"/>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at least 20% of the energy used in our operations from renewable sources</w:t>
      </w:r>
    </w:p>
    <w:p>
      <w:pPr>
        <w:spacing w:after="0" w:line="36"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recycle waste materials including paper, electronic components, glass and batteries</w:t>
      </w:r>
    </w:p>
    <w:p>
      <w:pPr>
        <w:spacing w:after="0" w:line="36"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generation of hazardous waste by at least 10% over the five year period beginning in 2021</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meet these goals, we maintain an Integrated Environmental and Safety Management System.</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 and Sustainability</w:t>
      </w:r>
    </w:p>
    <w:p>
      <w:pPr>
        <w:spacing w:after="0" w:line="22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are spreading initiatives that aim to drive sustainability and reduce our environmental impact. In addition, we continue to focus on the efficiency of our technology, including but not limited to using light sensors and dimming technology that control brightness and exploring alternative energy 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Export Controls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primarily classified under Export Control Classification Numbers (ECCN) 5A991, 6A995, and EAR99. Export Control Classification requirements are dependent upon an item’s technical characteristics, the destination, the end-use, the end-user, and the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concerning regulatory compliance and a discussion of the risks associated with governmental regulations that may materially impact us is described more fully under the heading “Risk Factors”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13139 Jess Pirtle Blvd., Sugar Land, TX 77478, and our telephone number is (281) 295-1800. Our website address is www.ao-inc.com. Information contained on our website is not incorporated by reference into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ectPr>
          <w:pgSz w:w="11900" w:h="16838" w:orient="portrait"/>
          <w:cols w:equalWidth="0" w:num="1">
            <w:col w:w="11220"/>
          </w:cols>
          <w:pgMar w:left="320" w:top="121" w:right="359" w:bottom="312"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31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6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For each year ended 2023, 2022 and 2021, our top ten customers represented 92.7%, 87.2%, and 84.7% of our revenue, respectively. In 2023, Microsoft represented 46.6% of our revenue, ATX represented 15.6% of our revenue, and Digicomm represented 11.3%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3"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ectPr>
          <w:pgSz w:w="11900" w:h="16838" w:orient="portrait"/>
          <w:cols w:equalWidth="0" w:num="1">
            <w:col w:w="11220"/>
          </w:cols>
          <w:pgMar w:left="320" w:top="121" w:right="35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adoption cycles impact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each of our markets, technology standards influence customer purchasing patterns and vendor selection. Network operators deploy the next generation of technology at different times, and typically reduce or stop their purchase of the trailing generation of equipment in advance of their deployment of the next generation. Our revenue from sales of the trailing generation products may fall rapidly, or at an uneven rate, and the prices at which we can sell the trailing generation products may decline. If we do not effectively manage our inventory, we may have an excess of inventory that we may not be able to participate in vendor selection processes of operators and their equipment providers for the next generation of technology deployment, which would reduce our future revenue potential.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We may also experience delays in production, typically in February, during the Lunar New Year holiday when our facilities in China and Taiwan are closed.</w:t>
      </w:r>
    </w:p>
    <w:p>
      <w:pPr>
        <w:spacing w:after="0" w:line="1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1,772 of our employees as of December 31, 2023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gain or loss of key customers;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seasonality of certain of our products and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increases in costs or expenses, including rising inflation or other changes in macroeconomic conditions;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loss of key employees;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MS PGothic" w:cs="MS PGothic" w:eastAsia="MS PGothic" w:hAnsi="MS PGothic"/>
          <w:sz w:val="18"/>
          <w:szCs w:val="18"/>
          <w:color w:val="auto"/>
        </w:rPr>
      </w:pPr>
    </w:p>
    <w:p>
      <w:pPr>
        <w:ind w:left="980" w:right="520" w:hanging="324"/>
        <w:spacing w:after="0" w:line="266" w:lineRule="auto"/>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 and</w:t>
      </w:r>
    </w:p>
    <w:p>
      <w:pPr>
        <w:spacing w:after="0" w:line="175" w:lineRule="exact"/>
        <w:rPr>
          <w:rFonts w:ascii="MS PGothic" w:cs="MS PGothic" w:eastAsia="MS PGothic" w:hAnsi="MS PGothic"/>
          <w:sz w:val="18"/>
          <w:szCs w:val="18"/>
          <w:color w:val="auto"/>
        </w:rPr>
      </w:pPr>
    </w:p>
    <w:p>
      <w:pPr>
        <w:ind w:left="980" w:right="20" w:hanging="324"/>
        <w:spacing w:after="0" w:line="282" w:lineRule="auto"/>
        <w:tabs>
          <w:tab w:leader="none" w:pos="98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trade-related government actions that impose barriers or restrictions that would impact our ability to sell or ship products to Huawei or other customers.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implement our business plan, we also intend to hire additional employees in expanding areas of our business.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Epidemic diseases, such as COVID-19, or the perception of their effects, could have a material adverse effect on our business, financial condition, results of operation, or cash flows.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Outbreaks of epidemic, pandemic, or contagious diseases, such as the recent COVID-19 or, historically, the Ebola virus, Middle East Respiratory Syndrome, Severe Acute Respiratory Syndrome, or the H1N1 virus, could result in business disruptions.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spread of COVID-19 has previously impacted our supply chain operations through restrictions, reduced capacity and shutdown of business activities by suppliers whom we rely on for sourcing components and materials and third-party partners whom we rely on for manufacturing, warehousing and logistics services. Any disruption resulting from similar events on a larger scale or over a prolonged period could cause significant delays in supply of needed components, which would likely have a negative impact on our business, results of operations, and our financial condition.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2023, we had U.S. accumulated net operating loss carryforwards, or NOLs, of approximately $112 million, federal and state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credits (“R&amp;D credits”) of $10.9 million, business interest expense carryforwards of $26 million and foreign tax credits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$4.6 million for U.S. federal income tax purposes. Our ability to use our net operating losses, or NOLs, to offset future taxable income may be subject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limitations which could subject our business to higher tax liability. We may be limited in the portion of NOL carryforwards that we can use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to offset taxable income for U.S. federal and state income tax purposes, and federal tax credits to offset federal tax liabilities. Sections 382 and 383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Internal Revenue Code of 1986, as amended, limit the use of NOLs and tax credits after a cumulative change in corporate ownership of more than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 occurs within a three-year period. The statutes place a formula limit on how much NOLs and tax credits a corporation can use in a tax year after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 in ownership. Avoiding an ownership change is generally beyond our control. Although the ownership changes we experienced in the past would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have prevented us from using all NOLs and tax credits accumulated before such ownership changes, assuming we were otherwise able to do so,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could experience another ownership change that might limit our use of NOLs and tax credits in the future. Under the Tax Cuts and Jobs Act of 2017, or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 NOLs from tax years that began after December 31, 2017 do not expire, but NOLs from tax years that began before January 1, 2018 expire after 20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years. Further, under the Tax Act, although the treatment of tax losses generated in taxable years ending before December 31, 2017 has generally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changed, tax losses generated in taxable years beginning after December 31, 2017 may offset no more than 80% of taxable income annually. Accordingly,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we generate NOLs after the tax year ended December 31, 2017, we might have to pay more federal income taxes in a subsequent year as a result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80% taxable income limitation than we would have had to pay under the law in effect before the Tax Act. Also, any foreign NOLs (for example NOLs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China and Taiwan jurisdictions) are subject to different NOL expirations, generally shorter than in the US.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future results of operations may be subject to volatility as a result of exposure to fluctuations in currency exchange </w:t>
      </w:r>
      <w:r>
        <w:rPr>
          <w:rFonts w:ascii="Times New Roman" w:cs="Times New Roman" w:eastAsia="Times New Roman" w:hAnsi="Times New Roman"/>
          <w:sz w:val="21"/>
          <w:szCs w:val="21"/>
          <w:b w:val="1"/>
          <w:bCs w:val="1"/>
          <w:i w:val="1"/>
          <w:iCs w:val="1"/>
          <w:color w:val="auto"/>
        </w:rPr>
        <w:t>rates.</w:t>
      </w:r>
    </w:p>
    <w:p>
      <w:pPr>
        <w:spacing w:after="0" w:line="233" w:lineRule="exact"/>
        <w:rPr>
          <w:sz w:val="20"/>
          <w:szCs w:val="20"/>
          <w:color w:val="auto"/>
        </w:rPr>
      </w:pPr>
    </w:p>
    <w:p>
      <w:pPr>
        <w:ind w:left="60"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left="60" w:right="60" w:firstLine="648"/>
        <w:spacing w:after="0" w:line="274" w:lineRule="auto"/>
        <w:rPr>
          <w:sz w:val="20"/>
          <w:szCs w:val="20"/>
          <w:color w:val="auto"/>
        </w:rPr>
      </w:pPr>
      <w:r>
        <w:rPr>
          <w:rFonts w:ascii="Times New Roman" w:cs="Times New Roman" w:eastAsia="Times New Roman" w:hAnsi="Times New Roman"/>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3" w:lineRule="exact"/>
        <w:rPr>
          <w:sz w:val="20"/>
          <w:szCs w:val="20"/>
          <w:color w:val="auto"/>
        </w:rPr>
      </w:pPr>
    </w:p>
    <w:p>
      <w:pPr>
        <w:jc w:val="both"/>
        <w:ind w:left="60" w:right="22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left="60" w:right="34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1040" w:hanging="324"/>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52" w:lineRule="exact"/>
        <w:rPr>
          <w:rFonts w:ascii="MS PGothic" w:cs="MS PGothic" w:eastAsia="MS PGothic" w:hAnsi="MS PGothic"/>
          <w:sz w:val="18"/>
          <w:szCs w:val="18"/>
          <w:color w:val="auto"/>
        </w:rPr>
      </w:pPr>
    </w:p>
    <w:p>
      <w:pPr>
        <w:ind w:left="1040" w:hanging="324"/>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252" w:lineRule="exact"/>
        <w:rPr>
          <w:rFonts w:ascii="MS PGothic" w:cs="MS PGothic" w:eastAsia="MS PGothic" w:hAnsi="MS PGothic"/>
          <w:sz w:val="18"/>
          <w:szCs w:val="18"/>
          <w:color w:val="auto"/>
        </w:rPr>
      </w:pPr>
    </w:p>
    <w:p>
      <w:pPr>
        <w:ind w:left="1040" w:hanging="324"/>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252" w:lineRule="exact"/>
        <w:rPr>
          <w:rFonts w:ascii="MS PGothic" w:cs="MS PGothic" w:eastAsia="MS PGothic" w:hAnsi="MS PGothic"/>
          <w:sz w:val="18"/>
          <w:szCs w:val="18"/>
          <w:color w:val="auto"/>
        </w:rPr>
      </w:pPr>
    </w:p>
    <w:p>
      <w:pPr>
        <w:ind w:left="1040" w:right="940" w:hanging="324"/>
        <w:spacing w:after="0" w:line="282" w:lineRule="auto"/>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161" w:lineRule="exact"/>
        <w:rPr>
          <w:rFonts w:ascii="MS PGothic" w:cs="MS PGothic" w:eastAsia="MS PGothic" w:hAnsi="MS PGothic"/>
          <w:sz w:val="18"/>
          <w:szCs w:val="18"/>
          <w:color w:val="auto"/>
        </w:rPr>
      </w:pPr>
    </w:p>
    <w:p>
      <w:pPr>
        <w:ind w:left="1040" w:hanging="324"/>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252" w:lineRule="exact"/>
        <w:rPr>
          <w:rFonts w:ascii="MS PGothic" w:cs="MS PGothic" w:eastAsia="MS PGothic" w:hAnsi="MS PGothic"/>
          <w:sz w:val="18"/>
          <w:szCs w:val="18"/>
          <w:color w:val="auto"/>
        </w:rPr>
      </w:pPr>
    </w:p>
    <w:p>
      <w:pPr>
        <w:ind w:left="1040" w:hanging="324"/>
        <w:spacing w:after="0"/>
        <w:tabs>
          <w:tab w:leader="none" w:pos="104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52" w:lineRule="exact"/>
        <w:rPr>
          <w:sz w:val="20"/>
          <w:szCs w:val="20"/>
          <w:color w:val="auto"/>
        </w:rPr>
      </w:pPr>
    </w:p>
    <w:p>
      <w:pPr>
        <w:ind w:left="60" w:right="280" w:firstLine="648"/>
        <w:spacing w:after="0" w:line="261"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divestitures may adversely affect our financial condition and results of operations.</w:t>
      </w:r>
    </w:p>
    <w:p>
      <w:pPr>
        <w:spacing w:after="0" w:line="229" w:lineRule="exact"/>
        <w:rPr>
          <w:sz w:val="20"/>
          <w:szCs w:val="20"/>
          <w:color w:val="auto"/>
        </w:rPr>
      </w:pPr>
    </w:p>
    <w:p>
      <w:pPr>
        <w:ind w:left="60" w:right="140" w:firstLine="648"/>
        <w:spacing w:after="0" w:line="256" w:lineRule="auto"/>
        <w:rPr>
          <w:sz w:val="20"/>
          <w:szCs w:val="20"/>
          <w:color w:val="auto"/>
        </w:rPr>
      </w:pPr>
      <w:r>
        <w:rPr>
          <w:rFonts w:ascii="Times New Roman" w:cs="Times New Roman" w:eastAsia="Times New Roman" w:hAnsi="Times New Roman"/>
          <w:sz w:val="18"/>
          <w:szCs w:val="18"/>
          <w:color w:val="auto"/>
        </w:rPr>
        <w:t>We frequently evaluate our portfolio of products and may consider divestitures or exits of businesses that we no longer believe to be an appropriate strategic fit. Divestitures may adversely impact our results if we are unable to offset the dilutive impacts from the loss of revenue associated with the divested products or businesses, or mitigate overhead costs allocated to those businesses. Furthermore, the divestitures could adversely affect our ongoing business operations, including by enhancing our competitors' positions or reducing customer confidence in our ongoing brand and products. The inability to effectively and efficiently manage divestitures with the results we expect or in the timeframe we anticipate could adversely affect our financial condition and results of operations.</w:t>
      </w:r>
    </w:p>
    <w:p>
      <w:pPr>
        <w:sectPr>
          <w:pgSz w:w="11900" w:h="16838" w:orient="portrait"/>
          <w:cols w:equalWidth="0" w:num="1">
            <w:col w:w="11300"/>
          </w:cols>
          <w:pgMar w:left="260" w:top="121" w:right="339" w:bottom="447" w:gutter="0" w:footer="0" w:header="0"/>
        </w:sectPr>
      </w:pP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447"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operations in the U.S., China and Taiwan could be subject to significant risk of natural disasters, including earthquakes, hurricanes, typhoons, flooding and tornadoes, as well as other catastrophic events, such as epidemics, cyberattacks,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cyberattack,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BIS regulates the export of most commercial items and "dual-use" goods that may have both commercial and military applications. Our products are primarily classified under Export Control Classification Numbers (ECCN) 5A991, 6A995, and EAR99. Export Control Classification requirements are dependent upon an item’s technical characteristics and dictate the licensing requirements and permissible destination, end-use, end-users, and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and end-users could be restricted, which could adversely affect our business, financial condition, and results of operations.</w:t>
      </w:r>
    </w:p>
    <w:p>
      <w:pPr>
        <w:spacing w:after="0" w:line="192" w:lineRule="exact"/>
        <w:rPr>
          <w:sz w:val="20"/>
          <w:szCs w:val="20"/>
          <w:color w:val="auto"/>
        </w:rPr>
      </w:pPr>
    </w:p>
    <w:p>
      <w:pPr>
        <w:jc w:val="both"/>
        <w:ind w:right="460" w:firstLine="648"/>
        <w:spacing w:after="0" w:line="261" w:lineRule="auto"/>
        <w:rPr>
          <w:sz w:val="20"/>
          <w:szCs w:val="20"/>
          <w:color w:val="auto"/>
        </w:rPr>
      </w:pPr>
      <w:r>
        <w:rPr>
          <w:rFonts w:ascii="Times New Roman" w:cs="Times New Roman" w:eastAsia="Times New Roman" w:hAnsi="Times New Roman"/>
          <w:sz w:val="18"/>
          <w:szCs w:val="18"/>
          <w:color w:val="auto"/>
        </w:rPr>
        <w:t>Furthermore, new policy priorities may lead to additional or new import risks affecting the flow of our products into the U.S.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cases, our business and the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as a result of shareholder activism.</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59"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We have been, and in the future may be, subject to legal actions in the ordinary course of our operations, both domestically and internationally. In addition, we are currently subject to claims in an arbitration proceeding relating to the termination of the Divestiture Agreement with Yuhan Optoelectronic Technology (Shanghai) Co., Ltd., as noted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There can be no assurances as to the favorable outcome of any litigation, arbitration or administrative action. In addition it can be costly to defend such matters and these costs could negatively impact our financial results. Any litigation, arbitration, or other administrative action could result in substantial costs and divert our management’s attention from other business concerns, which could seriously harm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Future Financing</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5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 we had approximately $114.9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2026 Notes;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2026 Notes, and our cash needs may increase in the future. In addition, our existing credit facilities in Asia,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credit facilities with Shanghai Pudong Development Bank Co., Ltd ("SPD") and China Zheshang Bank Co., Ltd. ("CZB") in China. Our loan agreements governing our long-term debt obligations in Asia contain certain financial and operating covenants that limit our management’s discretion with respect to certain business matters. Among other things, these covenants restrict our ability to incur additional debt, create liens or other encumbrances, change the nature of our business, sell or otherwise dispose of assets and merge or consolidate with other entities. In addition, the Indenture governing the 2026 Notes contains covenants that limit our ability and the ability of our subsidiaries to, among other things: (i) incur or guarantee additional indebtedness or issue disqualified stock; and (ii) create or incur liens.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credit facilities with SPD and CZB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expansion of research and development;</w:t>
      </w:r>
    </w:p>
    <w:p>
      <w:pPr>
        <w:spacing w:after="0" w:line="252" w:lineRule="exact"/>
        <w:rPr>
          <w:rFonts w:ascii="MS PGothic" w:cs="MS PGothic" w:eastAsia="MS PGothic" w:hAnsi="MS PGothic"/>
          <w:sz w:val="18"/>
          <w:szCs w:val="18"/>
          <w:color w:val="auto"/>
        </w:rPr>
      </w:pPr>
    </w:p>
    <w:p>
      <w:pPr>
        <w:ind w:left="660" w:right="7140" w:hanging="4"/>
        <w:spacing w:after="0" w:line="477" w:lineRule="auto"/>
        <w:tabs>
          <w:tab w:leader="none" w:pos="984"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expansion of manufacturing capabilities; - payment of any outstanding indebtedness;</w:t>
      </w:r>
    </w:p>
    <w:p>
      <w:pPr>
        <w:spacing w:after="0" w:line="41"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Breaches and Network Infrastructures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8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International Trade and Operations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regarding China, may materially and adversely impact our business and operating results.</w:t>
      </w:r>
    </w:p>
    <w:p>
      <w:pPr>
        <w:spacing w:after="0" w:line="15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U.S. government has made statements and taken certain actions that have led and may lead to further changes to U.S. and international trade policies, including imposing additional tariffs on certain products manufactured in China. Since the beginning of 2018, there has been increasing rhetoric, in some cases coupled with legislative, administrative, or executive action, from several U.S. and foreign leaders regarding the possibility of instituting tariffs on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U.S. Tariffs on China Imports.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Despite rapid changes to U.S. import laws and applicable duties, the U.S. Tariffs on Chinese Imports remain in place, and the Company faces a variety of import-related risk. Because of the political nature of many actions, 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Furthermore, the implementation of trade tariffs both globally and between the U.S. and China specifically carries the risk of negatively impacting China’s overall economic condition, which could negatively affect our business. Bilateral tariffs could cause a decrease in the sales of our products to customers located in China or other customers selling to Chinese end users.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ability to export U.S.-made products is primarily subject to the regulatory supervision of the Bureau of Industry and Security (BIS) of the U.S. Department of Commerce. Because the Company's focus on telecommunications products is a priority trade issue for BIS, the Company actively monitors licensing and export policy for our products.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Significant changes to existing international trade agreements could also lead to sourcing or logistics disruption resulting from import delays or the imposition of increased tariffs on our sourcing partners. For example, the Chinese government could require the use of local suppliers, compel companies that do business in China to partner with local companies, and otherwise provide additional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operations.</w:t>
      </w:r>
    </w:p>
    <w:p>
      <w:pPr>
        <w:sectPr>
          <w:pgSz w:w="11900" w:h="16838" w:orient="portrait"/>
          <w:cols w:equalWidth="0" w:num="1">
            <w:col w:w="11240"/>
          </w:cols>
          <w:pgMar w:left="320" w:top="121"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2023, 2022 and 2021, 27.7%, 18.5%, and 22.7% of our revenue, respectively, was derived from sales outside of North America. In addition, a significant portion of our manufacturing operations are based in Ningbo, China, and Taipei, Taiwan.</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Trade-related government actions by the U.S., China or other countries that impose barriers or restrictions that would impact our ability to sell or ship products to customers or potential customers may have a negative impact on our financial condition and operations. We cannot predict the actions government entities may take in this context and we may be unable to quickly or effectively react to government actions that restrict our ability to sell to certain customers or those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revenue and operations are subject to several material risks, including:</w:t>
      </w:r>
    </w:p>
    <w:p>
      <w:pPr>
        <w:spacing w:after="0" w:line="20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9" w:lineRule="exact"/>
        <w:rPr>
          <w:sz w:val="20"/>
          <w:szCs w:val="20"/>
          <w:color w:val="auto"/>
        </w:rPr>
      </w:pPr>
    </w:p>
    <w:p>
      <w:pPr>
        <w:ind w:left="980" w:hanging="324"/>
        <w:spacing w:after="0"/>
        <w:tabs>
          <w:tab w:leader="none" w:pos="980" w:val="left"/>
        </w:tabs>
        <w:numPr>
          <w:ilvl w:val="0"/>
          <w:numId w:val="19"/>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38"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52" w:lineRule="exact"/>
        <w:rPr>
          <w:rFonts w:ascii="MS PGothic" w:cs="MS PGothic" w:eastAsia="MS PGothic" w:hAnsi="MS PGothic"/>
          <w:sz w:val="18"/>
          <w:szCs w:val="18"/>
          <w:color w:val="auto"/>
        </w:rPr>
      </w:pPr>
    </w:p>
    <w:p>
      <w:pPr>
        <w:ind w:left="980" w:right="3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foreign and U.S. taxation issues and international trade barriers, including the adoption or expansion of governmental trade tariffs, export controls, and fluctuating changes to end-use and end-user rules;</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252" w:lineRule="exact"/>
        <w:rPr>
          <w:rFonts w:ascii="MS PGothic" w:cs="MS PGothic" w:eastAsia="MS PGothic" w:hAnsi="MS PGothic"/>
          <w:sz w:val="18"/>
          <w:szCs w:val="18"/>
          <w:color w:val="auto"/>
        </w:rPr>
      </w:pPr>
    </w:p>
    <w:p>
      <w:pPr>
        <w:ind w:left="980" w:right="20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foreign economies including the impact of recessionary environments and inflation in the United States and other economies where we do business;</w:t>
      </w:r>
    </w:p>
    <w:p>
      <w:pPr>
        <w:spacing w:after="0" w:line="161" w:lineRule="exact"/>
        <w:rPr>
          <w:rFonts w:ascii="MS PGothic" w:cs="MS PGothic" w:eastAsia="MS PGothic" w:hAnsi="MS PGothic"/>
          <w:sz w:val="18"/>
          <w:szCs w:val="18"/>
          <w:color w:val="auto"/>
        </w:rPr>
      </w:pPr>
    </w:p>
    <w:p>
      <w:pPr>
        <w:ind w:left="980" w:right="4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fluctuations in the value of foreign currencies and interest rates, including the impact of recessionary environments and inflation in the United States and other economies where we do business;</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trade and travel restrictions;</w:t>
      </w:r>
    </w:p>
    <w:p>
      <w:pPr>
        <w:spacing w:after="0" w:line="252" w:lineRule="exact"/>
        <w:rPr>
          <w:rFonts w:ascii="MS PGothic" w:cs="MS PGothic" w:eastAsia="MS PGothic" w:hAnsi="MS PGothic"/>
          <w:sz w:val="18"/>
          <w:szCs w:val="18"/>
          <w:color w:val="auto"/>
        </w:rPr>
      </w:pPr>
    </w:p>
    <w:p>
      <w:pPr>
        <w:ind w:left="980" w:right="4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MS PGothic" w:cs="MS PGothic" w:eastAsia="MS PGothic" w:hAnsi="MS PGothic"/>
          <w:sz w:val="18"/>
          <w:szCs w:val="18"/>
          <w:color w:val="auto"/>
        </w:rPr>
      </w:pPr>
    </w:p>
    <w:p>
      <w:pPr>
        <w:ind w:left="980" w:hanging="324"/>
        <w:spacing w:after="0" w:line="282" w:lineRule="auto"/>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 various modifications by the BIS to export policy; and</w:t>
      </w:r>
    </w:p>
    <w:p>
      <w:pPr>
        <w:spacing w:after="0" w:line="161"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we currently operate or may operate in the future.</w:t>
      </w:r>
    </w:p>
    <w:p>
      <w:pPr>
        <w:spacing w:after="0" w:line="25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plants, and equipment is located in China and Taiwan. We expect to make further investments in Asia in the future. Therefore, our business, financial condition, results of operations and prospects are subject to economic, political, legal, and social events and developments in Asia. Factors affecting military, political or economic conditions between China and Taiwan could have a material adverse effect on our financial condition and results of operations, as well as the market price and the liquidity of our common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are critical to our success. A total of $43.3 million, $51.3 million, and $97.7 million or 19.9%, 23.0%, and 46.2%, of our revenue in the years ended December 31, 2023, 2022 and 2021 was attributable to our product manufactured at our plant in China, respectively. Additionally, a substantial portion of our property, plant and equipment, 43.0%, 42.2%, and 42.2% as of December 31, 2023, 2022 and 2021,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7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ectPr>
          <w:pgSz w:w="11900" w:h="16838" w:orient="portrait"/>
          <w:cols w:equalWidth="0" w:num="1">
            <w:col w:w="11220"/>
          </w:cols>
          <w:pgMar w:left="320" w:top="121" w:right="35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Divestiture in the PRC</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our proposed sale of our China manufacturing facilities and claims asserted by the intended purchaser could materially adversely affect our business, financial condition, and results of operations.</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2022, AOI and Prime World International Holdings Ltd. (the "Seller") entered into a definitive agreement (the "Purchase Agreement") with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On September 12, 2023, we delivered a notice of termination to the Purchaser to terminate the Purchase Agreement as a result of the Purchaser's failure to satisfy certain of its material obligations under the Purchase Agreement. In doing so, we also asserted the right to recover a break-up fee from the Purchaser. On December 22, 2023, the Purchaser filed for arbitration in Hong Kong with the Hong Kong International Arbitration Centre disputing the validity of our termination notice and seeking specific performance with respect to the transaction contemplated by the Purchase Agreement, which would in any case remain subject to regulatory approvals. A hearing has not been set for the arbitration and we are not able to predict the outcome of this dispute with certainty at this time. However, any costs, damages or other losses we might incur in connection with the arbitration, as well as any injunction or other equitable remedy we may be subject to, could adversely affect our operations and financial conditions, divert management’s attention and seriously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7" w:lineRule="exact"/>
        <w:rPr>
          <w:sz w:val="20"/>
          <w:szCs w:val="20"/>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substantial monetary damages; or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ectPr>
          <w:pgSz w:w="11900" w:h="16838" w:orient="portrait"/>
          <w:cols w:equalWidth="0" w:num="1">
            <w:col w:w="11240"/>
          </w:cols>
          <w:pgMar w:left="320" w:top="121" w:right="339" w:bottom="0" w:gutter="0" w:footer="0" w:header="0"/>
        </w:sectPr>
      </w:pPr>
    </w:p>
    <w:bookmarkStart w:id="29" w:name="page30"/>
    <w:bookmarkEnd w:id="29"/>
    <w:p>
      <w:pPr>
        <w:ind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have been and may become the target of this type of litigation in the future.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3" w:lineRule="exact"/>
        <w:rPr>
          <w:sz w:val="20"/>
          <w:szCs w:val="20"/>
          <w:color w:val="auto"/>
        </w:rPr>
      </w:pPr>
    </w:p>
    <w:p>
      <w:pPr>
        <w:ind w:left="980" w:hanging="324"/>
        <w:spacing w:after="0"/>
        <w:tabs>
          <w:tab w:leader="none" w:pos="980" w:val="left"/>
        </w:tabs>
        <w:numPr>
          <w:ilvl w:val="0"/>
          <w:numId w:val="2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providing for a classified board of directors with staggered, three-year terms;</w:t>
      </w:r>
    </w:p>
    <w:p>
      <w:pPr>
        <w:spacing w:after="0" w:line="84" w:lineRule="exact"/>
        <w:rPr>
          <w:rFonts w:ascii="MS PGothic" w:cs="MS PGothic" w:eastAsia="MS PGothic" w:hAnsi="MS PGothic"/>
          <w:sz w:val="43"/>
          <w:szCs w:val="43"/>
          <w:color w:val="auto"/>
          <w:vertAlign w:val="subscript"/>
        </w:rPr>
      </w:pPr>
    </w:p>
    <w:p>
      <w:pPr>
        <w:ind w:left="980" w:hanging="324"/>
        <w:spacing w:after="0" w:line="216" w:lineRule="auto"/>
        <w:tabs>
          <w:tab w:leader="none" w:pos="980" w:val="left"/>
        </w:tabs>
        <w:numPr>
          <w:ilvl w:val="0"/>
          <w:numId w:val="2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not providing for cumulative voting in the election of directors;</w:t>
      </w:r>
    </w:p>
    <w:p>
      <w:pPr>
        <w:spacing w:after="0" w:line="239" w:lineRule="exact"/>
        <w:rPr>
          <w:rFonts w:ascii="MS PGothic" w:cs="MS PGothic" w:eastAsia="MS PGothic" w:hAnsi="MS PGothic"/>
          <w:sz w:val="43"/>
          <w:szCs w:val="43"/>
          <w:color w:val="auto"/>
          <w:vertAlign w:val="subscript"/>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52" w:lineRule="exact"/>
        <w:rPr>
          <w:rFonts w:ascii="MS PGothic" w:cs="MS PGothic" w:eastAsia="MS PGothic" w:hAnsi="MS PGothic"/>
          <w:sz w:val="18"/>
          <w:szCs w:val="18"/>
          <w:color w:val="auto"/>
        </w:rPr>
      </w:pPr>
    </w:p>
    <w:p>
      <w:pPr>
        <w:ind w:left="980" w:right="140" w:hanging="324"/>
        <w:spacing w:after="0" w:line="282" w:lineRule="auto"/>
        <w:tabs>
          <w:tab w:leader="none" w:pos="98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62"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firstLine="657"/>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Cyber criminals are becoming more sophisticated and effective every day.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(the "Board") and our management are actively involved in the oversight of risk management program, of which cybersecurity represents an important component. As described in more detail below, we have established policies, standards, processes and practices for assessing, identifying, and managing material risks from cybersecurity threats. We have devoted financial and personnel resources to implement and maintain security measures to meet regulatory requirements and customer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Our Risk Factors include further detail about the material cybersecurity risks we face and have faced in the past. We can provide no assurance that there will not be incidents in the future or that they will not materially affect us, including our business strategy, results of operations,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policies, standards, processes and practices for assessing, identifying, and managing material risks from cybersecurity threats are integrated into our overall risk management. Our cybersecurity program in particular focuses on the following key areas: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risks are identified and addressed through a cross-functional approach. Key security, risk, and compliance stakeholders meet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229"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Technical Safeguards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comprehensive incident response and recovery plans and continue to evaluate the effectiveness of those plans. Our incident response and recovery plans address — and guide our employees, management and the Board on — our response to a cybersecurity incident.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229"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Our policies require our employees to contribute to our data security efforts. We provide awareness training to our employees to help identify, avoid and mitigate cybersecurity threats. Our employees participate annually in required training, including spear phishing and other awareness training.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and Management Oversight</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Our Board oversees our management of cybersecurity risk. They receive regular reports from management about the prevention, detection, mitigation, and remediation of cybersecurity incidents, including material security risks and information security vulnerabilities.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general manager and MIS director have primary responsibility for assessing and managing material cybersecurity risks. They meet to review security performance metrics, identify security risks, and assess the status of approved security enhancements. They also consider and make recommendations on security policies and procedures, security service requirements, and risk mitigation strategies.</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MIS director has served in various roles in information technology and information security for over 20 years. Our general manager has over 20 years of experience managing risks, including risks arising from cybersecurity threats.</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58" w:lineRule="exact"/>
        <w:rPr>
          <w:sz w:val="20"/>
          <w:szCs w:val="20"/>
          <w:color w:val="auto"/>
        </w:rPr>
      </w:pPr>
    </w:p>
    <w:p>
      <w:pPr>
        <w:ind w:left="2200"/>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t>Owned or Lease</w:t>
      </w:r>
      <w:r>
        <w:rPr>
          <w:sz w:val="20"/>
          <w:szCs w:val="20"/>
          <w:color w:val="auto"/>
        </w:rPr>
        <w:tab/>
      </w:r>
      <w:r>
        <w:rPr>
          <w:rFonts w:ascii="Times New Roman" w:cs="Times New Roman" w:eastAsia="Times New Roman" w:hAnsi="Times New Roman"/>
          <w:sz w:val="18"/>
          <w:szCs w:val="18"/>
          <w:b w:val="1"/>
          <w:bCs w:val="1"/>
          <w:color w:val="auto"/>
        </w:rPr>
        <w:t>Approximate</w:t>
      </w:r>
    </w:p>
    <w:p>
      <w:pPr>
        <w:sectPr>
          <w:pgSz w:w="11900" w:h="16838" w:orient="portrait"/>
          <w:cols w:equalWidth="0" w:num="1">
            <w:col w:w="11180"/>
          </w:cols>
          <w:pgMar w:left="320" w:top="121" w:right="39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Use</w:t>
            </w: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Sugar Land, Texas</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Owned </w:t>
            </w:r>
            <w:r>
              <w:rPr>
                <w:rFonts w:ascii="Times New Roman" w:cs="Times New Roman" w:eastAsia="Times New Roman" w:hAnsi="Times New Roman"/>
                <w:sz w:val="24"/>
                <w:szCs w:val="24"/>
                <w:color w:val="auto"/>
                <w:vertAlign w:val="superscript"/>
              </w:rPr>
              <w:t>(1)</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139,450</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Duluth, Georgia</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 (2)</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10,459</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Sales, research and development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Ningbo, China</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Owned (3)</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458,849</w:t>
            </w: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Taipei, Taiwan</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2029 (4)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268,797</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sales, manufacturing, 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65"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laser chips (utilizing our MBE and MOCVD process), subassemblies and components in our Sugar Land, Texas facility.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320" w:right="80" w:hanging="272"/>
        <w:spacing w:after="0" w:line="282" w:lineRule="auto"/>
        <w:tabs>
          <w:tab w:leader="none" w:pos="3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Georgia facility, we have sales and research and development for CATV market, and the lease covering the 2,932 square feet facility will expire October 31, 2024 and the lease covering the 7,527 square feet will expire December 31, 2025.</w:t>
      </w:r>
    </w:p>
    <w:p>
      <w:pPr>
        <w:spacing w:after="0" w:line="200" w:lineRule="exact"/>
        <w:rPr>
          <w:sz w:val="20"/>
          <w:szCs w:val="20"/>
          <w:color w:val="auto"/>
        </w:rPr>
      </w:pPr>
    </w:p>
    <w:p>
      <w:pPr>
        <w:spacing w:after="0" w:line="218" w:lineRule="exact"/>
        <w:rPr>
          <w:sz w:val="20"/>
          <w:szCs w:val="20"/>
          <w:color w:val="auto"/>
        </w:rPr>
      </w:pPr>
    </w:p>
    <w:p>
      <w:pPr>
        <w:ind w:left="240" w:right="20" w:hanging="232"/>
        <w:spacing w:after="0" w:line="256"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China facility, we manufacture certain more labor intensive components and optical equipment systems, such as optical subassemblies and transceivers for the CATV transmitters (at the headend), CATV outdoor equipment (at the node) and internet data center market.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The land use rights for the second real property expire on December 28, 2067.</w:t>
      </w:r>
    </w:p>
    <w:p>
      <w:pPr>
        <w:spacing w:after="0" w:line="187" w:lineRule="exact"/>
        <w:rPr>
          <w:rFonts w:ascii="Times New Roman" w:cs="Times New Roman" w:eastAsia="Times New Roman" w:hAnsi="Times New Roman"/>
          <w:sz w:val="18"/>
          <w:szCs w:val="18"/>
          <w:color w:val="auto"/>
        </w:rPr>
      </w:pPr>
    </w:p>
    <w:p>
      <w:pPr>
        <w:ind w:left="240" w:right="120" w:hanging="232"/>
        <w:spacing w:after="0" w:line="266"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The lease covering the Taiwan facility commenced on June 1, 2014 and expires on May 31, 2029.</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T "Contingencies" included in Part II, Item 8 of this Form 10-K, is incorporated herein by reference. For an additional discussion of certain risks associated with legal proceedings, see "Risk Factors" above.</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September 26, 2013, our common stock began to trade on the NASDAQ Global Market under the symbol “AAOI”. Prior to that time, there was no public market for our common stock. As of February 20, 2024 there were 35 holders of record of our common stock (not including beneficial holders of our common stock holding in street name).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equity compensation plan information refer to Item 12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 This section generally discusses the results of our operations for the year ended December 31, 2023 compared to the year ended December 31, 2022. For a discussion of the year ended December 31, 2022 compared to the year ended December 31, 2021, please refer to Part II, Item 7, "Management's Discussion and Analysis of Financial Condition and Results of Operations" in our Annual Report on Form 10-K for the year ended December 31, 2022, as amended.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2023, 2022 and 2021, our revenue was $217.6 million, $222.8 million, and $211.6 million, and our gross margin was 27.1%, 15.1%, and 17.8%, respectively. We have grown our annual revenue at a compound annual growth rate, or CAGR, of 10.7% between 2013 and 2023. In the years ended December 31, 2023, 2022 and 2021, we had net loss of $56.0 million, $66.4 million, and $54.2 million, respectively. At December 31, 2023 and 2022, our accumulated deficit was $265.1 million and $209.1 million, respectively. In 2023, we earned 64.9% of our total revenue from the internet data center market and 27.5% of our total revenue from the CATV market.</w:t>
      </w:r>
    </w:p>
    <w:p>
      <w:pPr>
        <w:spacing w:after="0" w:line="18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sell our products to leading OEMs in the CATV, telecom, and FTTH markets as well as internet data center operators and CATV MSOs. In 2023, revenue from the internet data center market, CATV market, telecom market and FTTH markets provided 64.9%, 27.5%, 6.4%, and 0.0% of our revenue, respectively, compared to 34.6%, 53%, 11.1%, and 0.1% of our 2022 revenue, respectively. In 2023, our key customers in the internet data center market included Microsoft, a U.S. based large data center operator, and a China based datacenter equipment manufacturer. In 2023, 2022, and 2021, Microsoft accounted for 46.6%, 18.4%, and 14.1% of our revenue, a U.S. based large data center operator accounted for 8.8%, 5.9% and 8.3% of our revenue and China based manufacture accounted for 3.3%, 1.2% and 1.2% of our revenue, respectively. In 2023, our key customers in the CATV market included ATX, Digicomm and a U.S. based large CATV equipment provider. In 2023, 2022, and 2021, ATX accounted for 15.6%, 47.3%,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25.6% of our revenue, Digicomm accounted for 11.3%, 0%, and 0% of our revenue, and a U.S. based large CATV equipment provider accounted for 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and 3.3% of our revenue, respectively.</w:t>
      </w:r>
    </w:p>
    <w:p>
      <w:pPr>
        <w:sectPr>
          <w:pgSz w:w="11900" w:h="16838" w:orient="portrait"/>
          <w:cols w:equalWidth="0" w:num="1">
            <w:col w:w="11200"/>
          </w:cols>
          <w:pgMar w:left="320" w:top="121" w:right="379" w:bottom="177" w:gutter="0" w:footer="0" w:header="0"/>
        </w:sect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77"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2023, our decrease of revenue of 2.3% over the prior-year was driven primarily by decreased demand in the CATV market, which we believe is due to reductions in purchasing of older generation DOCSIS 3.1 equipment, which was nearly offset by increased demand for our internet</w:t>
      </w:r>
    </w:p>
    <w:p>
      <w:pPr>
        <w:ind w:right="180"/>
        <w:spacing w:after="0" w:line="253" w:lineRule="auto"/>
        <w:rPr>
          <w:sz w:val="20"/>
          <w:szCs w:val="20"/>
          <w:color w:val="auto"/>
        </w:rPr>
      </w:pPr>
      <w:r>
        <w:rPr>
          <w:rFonts w:ascii="Times New Roman" w:cs="Times New Roman" w:eastAsia="Times New Roman" w:hAnsi="Times New Roman"/>
          <w:sz w:val="18"/>
          <w:szCs w:val="18"/>
          <w:color w:val="auto"/>
        </w:rPr>
        <w:t>datacenter products, which we believe is arising from demand for products necessary for new datacenter construction along with datacenter upgrades to enable new technologies like Artificial Intelligence (AI). Based on customer forecasts and order backlog we believe that this elevated datacenter demand will likely continue into 2024. We also believe that sales in our CATV market will increase in 2024 as a result of DOCSIS 4.0 products which we plan to release in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continued sales of our 40 Gbps and 100 Gbps products in 2024, and we expect that sales of 400 Gbps products will likely exceed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100 Gbps products later in 2024. However, quarter-to-quarter results may show considerable variability as is usual in a period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Similar to revenue, our gross margins can fluctuate materially depending on a variety of factors including average selling price changes,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mix, global supply chain situation, raw material cost reduction or increase, manufacturing utilization rate and changes in manufacturing efficiency.</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along with CATV MSOs.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2023, 2022 and 2021, we had 6, 12, and 20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Termination of the Divestiture Agreement with Yuhan Optoelectronic Technology (Shanghai) Co., Ltd.</w:t>
      </w:r>
    </w:p>
    <w:p>
      <w:pPr>
        <w:spacing w:after="0" w:line="229" w:lineRule="exact"/>
        <w:rPr>
          <w:sz w:val="20"/>
          <w:szCs w:val="20"/>
          <w:color w:val="auto"/>
        </w:rPr>
      </w:pPr>
    </w:p>
    <w:p>
      <w:pPr>
        <w:ind w:right="20" w:firstLine="810"/>
        <w:spacing w:after="0" w:line="253" w:lineRule="auto"/>
        <w:rPr>
          <w:sz w:val="20"/>
          <w:szCs w:val="20"/>
          <w:color w:val="auto"/>
        </w:rPr>
      </w:pPr>
      <w:r>
        <w:rPr>
          <w:rFonts w:ascii="Times New Roman" w:cs="Times New Roman" w:eastAsia="Times New Roman" w:hAnsi="Times New Roman"/>
          <w:sz w:val="18"/>
          <w:szCs w:val="18"/>
          <w:color w:val="auto"/>
        </w:rPr>
        <w:t>On September 15, 2022, the Company and Prime World International Holdings Ltd. (the "Seller") entered into the Purchase Agreement with Yuhan Optoelectronic Technology (Shanghai) Co., Ltd. (the "Purchaser") for the sale of the manufacturing facilities in the People's Republic of China and certain assets related to its transceiver business and multi-channel optical sub-assembly products. On September 12, 2023, we delivered a notice of termination to the Purchaser to terminate the Purchase Agreement as a result of the Purchaser's failure to satisfy certain of its material obligations under the Purchase Agreement. In doing so, we also asserted the right to recover a break-up fee from the Purchaser. On December 22, 2023, the Purchaser filed for arbitration in Hong Kong with the Hong Kong International Arbitration Centre disputing the validity of our termination notice and seeking specific performance with respect to the transactions contemplated by the Purchase Agreement, which would in any case remain subject to regulatory approvals. We filed our response on January 22, 2024, generally denying the Purchaser’s allegations and asserting certain counterclaims. A hearing for the arbitration has not been set. While we do not believe the Purchaser’s claims have merit, we are not able to determine the outcome of this dispute or the likelihood or amount of our loss or recovery, if any, arising from this matter. For more information regarding this dispute, see Note T "Contingencies" included in Part II, Item 8 of this Form 10-K.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Increasing Consumer Demand for Bandwidth. </w:t>
      </w:r>
      <w:r>
        <w:rPr>
          <w:rFonts w:ascii="Times New Roman" w:cs="Times New Roman" w:eastAsia="Times New Roman" w:hAnsi="Times New Roman"/>
          <w:sz w:val="17"/>
          <w:szCs w:val="17"/>
          <w:color w:val="auto"/>
        </w:rPr>
        <w:t>Bandwidth demand in all of our target markets is driving service provider investment in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5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Pricing, Product Cost and Margins. </w:t>
      </w:r>
      <w:r>
        <w:rPr>
          <w:rFonts w:ascii="Times New Roman" w:cs="Times New Roman" w:eastAsia="Times New Roman" w:hAnsi="Times New Roman"/>
          <w:sz w:val="18"/>
          <w:szCs w:val="18"/>
          <w:color w:val="auto"/>
        </w:rPr>
        <w:t>Our products are sold in a highly competitive marketplace, and in many cases our products are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75" w:lineRule="exact"/>
        <w:rPr>
          <w:sz w:val="20"/>
          <w:szCs w:val="20"/>
          <w:color w:val="auto"/>
        </w:rPr>
      </w:pPr>
    </w:p>
    <w:p>
      <w:pPr>
        <w:ind w:left="1300" w:right="440" w:hanging="320"/>
        <w:spacing w:after="0" w:line="266" w:lineRule="auto"/>
        <w:tabs>
          <w:tab w:leader="none" w:pos="13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75" w:lineRule="exact"/>
        <w:rPr>
          <w:rFonts w:ascii="MS PGothic" w:cs="MS PGothic" w:eastAsia="MS PGothic" w:hAnsi="MS PGothic"/>
          <w:sz w:val="18"/>
          <w:szCs w:val="18"/>
          <w:color w:val="auto"/>
        </w:rPr>
      </w:pPr>
    </w:p>
    <w:p>
      <w:pPr>
        <w:ind w:left="1300" w:right="160" w:hanging="320"/>
        <w:spacing w:after="0" w:line="261" w:lineRule="auto"/>
        <w:tabs>
          <w:tab w:leader="none" w:pos="13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79" w:lineRule="exact"/>
        <w:rPr>
          <w:rFonts w:ascii="MS PGothic" w:cs="MS PGothic" w:eastAsia="MS PGothic" w:hAnsi="MS PGothic"/>
          <w:sz w:val="18"/>
          <w:szCs w:val="18"/>
          <w:color w:val="auto"/>
        </w:rPr>
      </w:pPr>
    </w:p>
    <w:p>
      <w:pPr>
        <w:ind w:left="1300" w:hanging="320"/>
        <w:spacing w:after="0" w:line="258" w:lineRule="auto"/>
        <w:tabs>
          <w:tab w:leader="none" w:pos="13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Customer Concentration within End Markets. </w:t>
      </w:r>
      <w:r>
        <w:rPr>
          <w:rFonts w:ascii="Times New Roman" w:cs="Times New Roman" w:eastAsia="Times New Roman" w:hAnsi="Times New Roman"/>
          <w:sz w:val="18"/>
          <w:szCs w:val="18"/>
          <w:color w:val="auto"/>
        </w:rPr>
        <w:t>Historically, our revenue has been significantly concentrated within the data center market,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starting from 2021, our revenue tends to be split primarily between CATV market and data center market. Moreover, within these markets, revenue tends to be concentrated among a small number of customers. In the last couple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three customers and two customers that accounted for more than 10% of our revenue in 2023 and 2022, respectively.</w:t>
      </w:r>
    </w:p>
    <w:p>
      <w:pPr>
        <w:spacing w:after="0" w:line="18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We invest heavily to develop new and innovative products. The majority of our research and development expense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Financial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2023, 2022 and 2021, as well as the corresponding percentage of our total revenue for each period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118,169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94,266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97,461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13,831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222,818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211,565</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2022 and 2021, our top ten customers represented 92.7%, 87.2%, and 84.7% of our revenue, respectively.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2023, 19.9% of our total revenue was manufactured at our China-based subsidiary, with $3.8 million denominated in RMB and 66% of our total revenue was from products manufactured at our Taiwan-based facility, with no revenue denominated in NT dollars. We expect a similar portion of our sales to be denominated in foreign currencies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especially during the initial phase of the production.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8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We manufacture products in three of our four facilities located in the U.S., Taiwan and China. Generally, laser chips and optical components are manufactured in our Sugar Land facility, and optical components, subassemblies and optical equipment are manufactured in our Taiwan and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15.1% and 27.1%,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including share-based compensation for our sales and marketing personnel, as well as travel and trade show expenses, shipping and tariff expenses, sales commissions and the allocation of overall corporate services and facility costs. We sell our products to customers who either incorporate our products into their own products, use them in their own infrastructure,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2023, 2022 and 2021. Additionally, we pay commissions to third parties on certain product lines and identified customers, which also amounted to less than one percent of our revenue in 2023, 2022 and 2021.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primarily made up of government subsidized income, extinguishment of debt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2023, 2022 and 2021 our effective tax rate was 0%.</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three-year period. Global renewed its national high-tech enterprise certificate in 2011, 2014, 2017, 2020, and 2023 extending its three-year tax preferential status through December 2026.</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years ended December 31, 2023 and 2022, we had $0.2 million and $0.2 million, respectively, of unrecognized tax benefits related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recognized for which we do not meet the more likely than not threshold.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additional information regarding income taxes in Note O, included in Part II, Item 8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uncertain whether the demand for our internet data center, CATV, telecom and FTTH products is seasonal, as our sales data does not indicate a significant trend with respect to these products. We began to manufacture a meaningful quantity of CATV and internet data center products in our Ningbo, China factory in 2017 and 2020, respectively.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2023, 2022, and 2021, the percentage of employees in our China factory who resigned or were terminated during Q1, relative to the average number of employees during the quarter was 53.8%, 66.1%, and 35.9%, respectively. We believe that the turnover in 2022 was higher than usual due to the COVID-19 pandemic which caused travel restrictions, additional health check requirements, and a lengthy shutdown of operations in Ningbo. As a result of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w:t>
      </w:r>
    </w:p>
    <w:p>
      <w:pPr>
        <w:spacing w:after="0" w:line="194"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as a percentage of our revenue for those periods. The period-to-period comparison of our financial results is not necessarily indicative of our financial results to be achieved in future periods.</w:t>
      </w:r>
    </w:p>
    <w:p>
      <w:pPr>
        <w:spacing w:after="0" w:line="15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6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7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6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9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2023 and 2022 (in thousands, except percentages):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118,169</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(58,227)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77,094</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217,646</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(5,172)</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Revenue decreased by $5.2 million or 2.3% from 2022 to 2023. The decrease was driven primarily by decreased demand in the CATV market, which we believe is due to reductions in purchasing of older generation DOCSIS 3.1 equipment, which was nearly offset by increased demand for our internet datacenter products, arising from demand for products necessary for new datacenter construction along with datacenter upgrades to enable new technologies like Artificial Intelligence (AI). Based on customer forecasts and order backlog we believe that this elevated datacenter demand will likely continue into 2024. We also believe that sales in our CATV market will increase in 2024 as a result of DOCSIS 4.0 products which we plan to release in 2024.</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years ended December 31, 2023 and 2022, our top ten customers represented 92.7% and 87.2%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189,191</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84.9%  $</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(30,466)</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58,921</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33,627</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25,294</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Cost of goods sold decreased by $30.5 million, or 16.1%, from 2022 to 2023, primarily due to a 24% decrease from direct material costs. The increase in gross margin for the year ended December 31, 2023 compared to the same period ended December 31, 2022 was primarily the result of our change in business strategy from selling non-branded products through channel partners to selling branded products directly to MSOs in our CATV segment, along with some price increases and changes in the mix of products in our datacenter segment and new sales to Microsoft for non-recurring engineering ("NRE") costs associated with product development projects for their next-generation datacenter optics.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86"/>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36,244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9,723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46,658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92,625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$0.27 million, or 0.7% from 2022 to 2023. Research and development costs consist of R&amp;D work orders, R&amp;D material usage and other project related costs related to 100 Gbps, 200/400 Gbps data center products, DOCSIS 4.0 capable CATV products, including 1.8 GHz-capable amplifier products, and other new product development, and depreciation expense resulting from R&amp;D equipment investments. These decreases were primarily due to less R&amp;D work orders, less depreciation expense and less indirect materials usage, offset by higher R&amp;D wage expenses due to a combination of increased headcount and salary increases.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$1.3 million, or 13.8%, from 2022 to 2023. These increases were primarily due to more sales effort for our Quantum Bandwidth™ products, offset by less commission expense in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$6.6 million, or 14.1%, from 2022 to 2023. These increases were primarily due to the higher professional service fees and share-based compensation expense, offset by less depreciation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27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thousands,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(9,428)</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(6,319)</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387.2%</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(14,690)</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(7,398)</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(7,292)</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by $0.5 million, or 383.3% from 2022 to 2023. The increase was primarily due to higher savings balance and higher savings rate in 2023, compared with 2022.</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increased by $3.1 million, or 49.2% from 2022 to 2023. The increase was primarily due to the higher interest rates in 2023, and termination of the CIT loan agreement in November, 2023.</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Other expense increased by $4.7 million, or 387.2% from 2022 to 2023. This increase was primarily due to the debt extinguishment cost relating to the 2024 Notes, which is non cash expense related to issuance of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5980" w:type="dxa"/>
            <w:vAlign w:val="bottom"/>
          </w:tcPr>
          <w:p>
            <w:pPr>
              <w:spacing w:after="0"/>
              <w:rPr>
                <w:sz w:val="18"/>
                <w:szCs w:val="18"/>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1"/>
              </w:rPr>
              <w:t>except percentages)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income tax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recorded no federal tax expense for the years ended December 31, 2023 and December 31, 2022. The income tax expense in the years ended December 31, 2023 and December 31, 2022 was primarily related to the state tax provision and the recording of a valuation allowance on our deferred tax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$22.5 million of unused borrowing capacity from all of our loan agreements. As of December 31, 2023, our cash, cash equivalents, restricted cash and short-term investments totaled $55.1 million. Cash and cash equivalents are held for working capital purposes and are invested primarily in money market or time deposit funds.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Pursuant to Rule 415(a)(6) under the Securities Act, the securities registered pursuant to this registration statement include unsold securities previously registered for sale pursuant to our previously filed Registration Statement on Form S-3, which became effective on January 9, 2020.</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March 24, 2023, we entered into an Equity Distribution Agreement (the "Agreement") with Raymond James &amp; Associates (the "Sales Agent") pursuant to which the Company may issue and sell shares of the Company’s common stock, par value $0.001 per share (the "Shares") having an aggregate offering price of up to $35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provides that the Sales Agent will be entitled to compensation of up to 2% of the gross sales price of the Shares sold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 from time to time. The Company has also agreed to reimburse the Sales Agent for certain specified expenses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Shares under state blue sky laws and any filing with, and clearance of the offering by, the Financial Industry Regulatory Authority Inc.,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exceed $10,000 in the aggregate, and any associated application fees incurred. Additionally, if the Agreement is terminated under certain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fails to sell a minimum amount of the Shares as set forth in the Agreement, then the Company has agreed to reimburse the Sales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reasonable out-of-pocket expenses, including the reasonable fees and disbursements of counsel incurred by the Sales Agent, up to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in the aggregate. The Company agreed to indemnify the Sales Agent against certain liabilities, including liabilities under the Securities Act,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payments that the Sales Agent may be required to make because of any of those liabilities.</w:t>
      </w:r>
    </w:p>
    <w:p>
      <w:pPr>
        <w:spacing w:after="0" w:line="20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12, 2023, we entered into Amendment No. 1 to the Agreement with the Sales Agent, to increase the aggregate offering price from $35 million to $70 million. In November, 2023, we completed sales under the ATM Offering.</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details of the shares of common stock sold through the ATM Offering through December 31, 2023 are as follows (in thousands, except shares and weighted average per share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Average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Distribution Agent</w:t>
            </w:r>
          </w:p>
        </w:tc>
        <w:tc>
          <w:tcPr>
            <w:tcW w:w="140" w:type="dxa"/>
            <w:vAlign w:val="bottom"/>
          </w:tcPr>
          <w:p>
            <w:pPr>
              <w:spacing w:after="0"/>
              <w:rPr>
                <w:sz w:val="20"/>
                <w:szCs w:val="20"/>
                <w:color w:val="auto"/>
              </w:rPr>
            </w:pPr>
          </w:p>
        </w:tc>
        <w:tc>
          <w:tcPr>
            <w:tcW w:w="18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Sold</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Agent</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 2023</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 2023</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 2023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 2023</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3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Offering</w:t>
      </w:r>
    </w:p>
    <w:p>
      <w:pPr>
        <w:spacing w:after="0" w:line="227"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bearing interest at a rate of 5% per year maturing on March 15, 2024 (the "2024 Notes"), unless earlier repurchased, redeemed or converted in accordance with their terms.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December 5, 2023, the Company issued approximately $80.2 million aggregate principal amount of 5.250% convertible senior notes due 2026</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and on the same day consummated various separate, privately negotiated exchange agreements with certain holders of its 2024 Notes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exchange or repurchase approximately $80.2 million principal amount of the 2024 Notes for aggregate consideration consisting of approximately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$81.1 million in cash, which included accrued interest on the 2024 Notes, and approximately 466,368 shares of the Company's common stock, par value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$0.001 per share. Also refer to Note L “Convertible Senior Notes” to the consolidated financial statements for further discussion of the 2026 Notes.</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2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(14,022)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(11,644)</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(14,761)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(10,546)</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14,087</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21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19,510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2023, net cash used in operating activities was $7.9 million. Net cash used in operating activities consisted of our net loss of $56.0 million, after the exclusion of non-cash items of $42.1 million, a decrease in accounts receivable from our customers of $14.5 million and a decrease in our inventory of $6.8 million, contributing to the cash increases. These cash increases were offset by a decrease in accounts payable of $15.0 million and a decrease in unearned revenue of $2.5 million.</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2022, net cash used in operating activities was $14.0 million. Net cash used in operating activities consisted of our net loss of $66.4 million, after the exclusion of non-cash items of $40.5 million, an increase in accounts receivable from our customers of $12.7 million and an increase in other current assets of $2.4 million. These cash decreases were offset by a decrease of notes receivable of $7.8 million, decrease in inventory of $1.2 million, increase in accounts payable to our vendors of $13.0 million and increase in accrued liability of $5.3 million.</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2021, net cash used in operating activities was $11.6 million. Net cash used in operating activities consisted of our net loss of $54.2 million, after the exclusion of non-cash items of $36.6 million, an increase in accounts and notes receivable from our customers of $14.6 million and a decrease in accrued liabilities of $3.1 million. These cash decreases were offset by a decrease in inventory of $15.8 million and increase in accounts payable to our vendors of $7.1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net cash used in investing activities was $14.8 million. The majority of the cash was used for CapEx spending of $14.3 million.</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2022, net cash used in investing activities was $3.8 million. The net cash used consisted of spending on purchase and prepaid of additional property, plant and equipment of $3.7 million and purchase of intangible assets of $0.5 million.</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2021, net cash used in investing activities was $10.5 million. The net cash used consisted of spending on purchase and prepaid of additional property, plant and equipment of $10.2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have historically consisted primarily of proceeds from the issuance of common stock and arrangements with various commercial lenders.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2023, our financing activities provided $40.6 million in cash. This increase in cash was primarily due to $69.0 million of net proceeds from our ATM Offering, $76.1 million from the 2026 Notes, offset by the repayment of 2024 Notes amounting to $80.2 million and repayment of line of credit borrowings of $34.2 million.</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2022, our financing activities provided $10.8 million in cash. This increase in cash was due to $12.2 million of net proceeds from line of credit borrowing, $5.1 million of net proceeds from bank acceptance payable and $1.2 million of net proceeds from our ATM Offering. These activities were offset by $7.3 million debt repayment and $0.5 million related to tax withholding associated with employee share-based compensation.</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2021, our financing activities provided $14.1 million in cash. This increase in cash was due to $15.4 million of net proceeds from our ATM Offering. These activities were offset by $0.3 million net repayments to acceptances payable and bank debt, and $1.0 million related to tax withholding associated with employee share-based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 the U.S., we entered a Loan Security and Guarantee Agreement with CIT Northbridge Credit, LLC in November 2022. The line of credit contained financial covenants that may limit the amount and types of debt that we may incur. In November 2023, we terminated the loan agreement with CIT Northbridge Credit, LLC.</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China, we have a revolving line of credit with Shanghai Pudong Development Bank Co., Ltd and a credit facility with China Zheshang Bank Co., Ltd. for our China subsidiary, Global.</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of December 31, 2023 , we had $22.5 million of unused borrowing capacity.</w:t>
      </w:r>
    </w:p>
    <w:p>
      <w:pPr>
        <w:spacing w:after="0" w:line="225" w:lineRule="exact"/>
        <w:rPr>
          <w:sz w:val="20"/>
          <w:szCs w:val="20"/>
          <w:color w:val="auto"/>
        </w:rPr>
      </w:pPr>
    </w:p>
    <w:p>
      <w:pPr>
        <w:ind w:left="20" w:right="820" w:firstLine="648"/>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$80.2 million of 5.250% convertible senior notes due 2026. The 2026 Notes will mature on December 15, 2026, unless earlier repurchased, redeemed or converted in accordance with their terms.</w:t>
      </w:r>
    </w:p>
    <w:p>
      <w:pPr>
        <w:spacing w:after="0" w:line="162" w:lineRule="exact"/>
        <w:rPr>
          <w:sz w:val="20"/>
          <w:szCs w:val="20"/>
          <w:color w:val="auto"/>
        </w:rPr>
      </w:pPr>
    </w:p>
    <w:p>
      <w:pPr>
        <w:ind w:left="20" w:right="720" w:firstLine="648"/>
        <w:spacing w:after="0" w:line="282" w:lineRule="auto"/>
        <w:rPr>
          <w:sz w:val="20"/>
          <w:szCs w:val="20"/>
          <w:color w:val="auto"/>
        </w:rPr>
      </w:pPr>
      <w:r>
        <w:rPr>
          <w:rFonts w:ascii="Times New Roman" w:cs="Times New Roman" w:eastAsia="Times New Roman" w:hAnsi="Times New Roman"/>
          <w:sz w:val="18"/>
          <w:szCs w:val="18"/>
          <w:color w:val="auto"/>
        </w:rPr>
        <w:t>See Note K “Notes Payable and Long-term Debt” and Note L “Convertible Senior Notes” of our Consolidated Financial Statements for a description of our notes payable and long-term debt and convertible senior notes.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China factory construction</w:t>
      </w:r>
    </w:p>
    <w:p>
      <w:pPr>
        <w:spacing w:after="0" w:line="227" w:lineRule="exact"/>
        <w:rPr>
          <w:sz w:val="20"/>
          <w:szCs w:val="20"/>
          <w:color w:val="auto"/>
        </w:rPr>
      </w:pPr>
    </w:p>
    <w:p>
      <w:pPr>
        <w:ind w:left="20" w:right="220" w:firstLine="648"/>
        <w:spacing w:after="0" w:line="255" w:lineRule="auto"/>
        <w:rPr>
          <w:sz w:val="20"/>
          <w:szCs w:val="20"/>
          <w:color w:val="auto"/>
        </w:rPr>
      </w:pPr>
      <w:r>
        <w:rPr>
          <w:rFonts w:ascii="Times New Roman" w:cs="Times New Roman" w:eastAsia="Times New Roman" w:hAnsi="Times New Roman"/>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December 31, 2023,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second half of 2024 after the construction is completed for the building interior. Property will be transferred from construction in progress to building and improvement at that time.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20" w:right="40" w:firstLine="648"/>
        <w:spacing w:after="0" w:line="254" w:lineRule="auto"/>
        <w:rPr>
          <w:sz w:val="20"/>
          <w:szCs w:val="20"/>
          <w:color w:val="auto"/>
        </w:rPr>
      </w:pPr>
      <w:r>
        <w:rPr>
          <w:rFonts w:ascii="Times New Roman" w:cs="Times New Roman" w:eastAsia="Times New Roman" w:hAnsi="Times New Roman"/>
          <w:sz w:val="18"/>
          <w:szCs w:val="18"/>
          <w:color w:val="auto"/>
        </w:rPr>
        <w:t>We have outstanding notes payable with varying maturities. As of December 31, 2023, our notes payable had an amount of $23.2 million, and the entire balance is due within 12 months. Further information regarding our notes payable is provided in Note K Notes Payable and Long-Term Debt in the Notes to Consolidated Financial Statements in this Form 10-K. We also have a fixed-rate convertible senior note. As of December 31, 2023, our 2026 Note had an aggregate principle amount of $80.2 million and future interest payments associated with our 2026 Notes totaled $12.6 million. Further information regarding our convertible senior notes is provided in Note L – Convertible Senior Notes in the Notes to Consolidated Financial Statements in this Form 10-K. In addition, we have operating and financing leases for certain property and equipment with an expected term at the commencement date of more than 12 months. As of December 31, 2023, the future minimum payments required under these leases totaled $6.4 million, with $1.3 million payable within 12 months. Further information regarding our leases is provided in Note D – Leases to Consolidated Financial Statements in this Form 10-K.</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The annual inflation rate in the US came down to 3.4% in 2023. Even though the inflation has slowed from the peak, it remained well above the Federal Reserve's objective of 2%. The annual inflation rate in Taiwan came down to 2.7% in 2023 from 2.95% in 2022.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However, there is no guarantee that we may increase selling prices or reduce costs to fully mitigate the effect of inflation on our costs, which may adversely impact our sales margins and profitability.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including meaningful asset grouping, expectations for future revenue, and disposal value for the asset(s).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2023, 2022 and 2021.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2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Inventories are stated at the lower of cost (average-cost method) or net realizable value. Work in process and finished goods includes materials, labor and allocated overhead. We assess the valuation of our inventory on a periodic basis and provide an allowance for the value of estimated excess and obsolete inventory based on estimates of future demand. Inventory reserves are recorded to account for the excess and obsolete inventory combined with the lower of cost or net realizable value assessments. To develop the reserve, we developed certain percentages that determine the extent of inventory reserve adjustments based on the age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spacing w:after="0" w:line="17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recorded excess and obsolete inventory reserve charges of $8.7 million, $4.9 million, and $3.9 million, respectively. For the years December 2023, 2022 and 2021, the direct inventory write-offs related to scrap, discontinued products and damaged inventories were $10.6 million, $10.4 million, and $16.8 million, respectively.</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an accounting policy to record a reserve for inventory encompassing the value of excess or obsolete items combined with the lower of cost or net reliable value.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 We consider these factors to be subjective because there can be no certainty that past trends will continue and our future expectations cannot be known with certainty. If past trends in demand, for example, change, then this could materially change the values used in our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the basis of this evaluation, as of December 31, 2023, a valuation allowance of $78.1 million has been recorded related to deferred tax assets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w:t>
      </w:r>
    </w:p>
    <w:p>
      <w:pPr>
        <w:spacing w:after="0" w:line="18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additional information regarding income taxes in Note O of our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ectPr>
          <w:pgSz w:w="11900" w:h="16838" w:orient="portrait"/>
          <w:cols w:equalWidth="0" w:num="1">
            <w:col w:w="11220"/>
          </w:cols>
          <w:pgMar w:left="320" w:top="121" w:right="35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See Note B of our Consolidated Financial Statements for a description of recent accounting pronouncements.</w:t>
      </w:r>
    </w:p>
    <w:p>
      <w:pPr>
        <w:sectPr>
          <w:pgSz w:w="11900" w:h="16838" w:orient="portrait"/>
          <w:cols w:equalWidth="0" w:num="1">
            <w:col w:w="9479"/>
          </w:cols>
          <w:pgMar w:left="980" w:top="121" w:right="1440" w:bottom="1440" w:gutter="0" w:footer="0" w:header="0"/>
        </w:sectPr>
      </w:pP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could be exposed to interest rate risk, should we incur debt that had a floating interest rate. As of December 31, 2023, all debts bore a fixed interest rate and therefore did not generate interest rate risk. As of December 31, 2023, we had not hedged our interest rate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a portion of the year ending ending December 31, 2023, we did have certain loans that bore floating interest rates. With respect to our interest expense for the year ended December 31, 2023 an increase of 1.0% in each of our interest rates would have resulted in an increase of $0.2 million in our interest expense for such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approximately $0.7 million of exchange gain arising from foreign currency transactions and re-measurement of monetary assets and liabilities dominated in non-functional currency on the balance sheet date.</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1.8% of our revenue was denominated in RMB and none of our revenue was denominated in NT dollars. In the year ended December 31, 2023, 22% of our operating expenses were denominated in RMB and 16.7% of our operating expenses were 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2023, our operating expenses would have had been higher by $0.4 million.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held the U.S. dollar denominated liabilities net of assets of approximately $11.4 million in our China subsidiary and $16.2 million in our Taiwan branch. With respect to these U.S. dollar denominated net assets as of December 31, 2023, if exchange rates of RMB and NT dollars for U.S. dollars were 1% higher during the year ended December 31, 2023, our other operating expenses would have been reduced by $48K. Any significant revaluation of the RMB and NT dollars may materially and adversely affect the cash flows, revenues, and net income (loss) as reported in U.S. dollars.</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beginning on page F-1 of this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2023. Based upon that evaluation, our Chief Executive Officer and Chief Financial Officer concluded that, as of the end of the period covered in this Form 10-K, our disclosure controls and procedures were effective.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5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5"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w:t>
      </w:r>
    </w:p>
    <w:p>
      <w:pPr>
        <w:spacing w:after="0" w:line="9"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2023.</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2023.</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5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Applied Optoelectronics, Inc. (a Delaware corporation) and subsidiaries (the “Company”) as of December 31, 2023, based on criteria established in the 2013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Integrated Framework</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Integrated Framework</w:t>
      </w:r>
      <w:r>
        <w:rPr>
          <w:rFonts w:ascii="Times New Roman" w:cs="Times New Roman" w:eastAsia="Times New Roman" w:hAnsi="Times New Roman"/>
          <w:sz w:val="17"/>
          <w:szCs w:val="17"/>
          <w:color w:val="auto"/>
        </w:rPr>
        <w:t xml:space="preserve"> issued by COSO.</w:t>
      </w:r>
    </w:p>
    <w:p>
      <w:pPr>
        <w:spacing w:after="0" w:line="1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2023, and our report dated February 23,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adoption or termination of contracts, instructions or written plans for the purchase or sale of our securities by our Section 16 offers and directors for the three months ended December 31, 2023, each of which is intended to satisfy the affirmative defense conditions of Rule 10b5-1(c) under the Exchange Act ("Rule 10b5-1 Plan"),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18"/>
                <w:szCs w:val="18"/>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Action </w:t>
            </w:r>
          </w:p>
        </w:tc>
        <w:tc>
          <w:tcPr>
            <w:tcW w:w="60" w:type="dxa"/>
            <w:vAlign w:val="bottom"/>
          </w:tcPr>
          <w:p>
            <w:pPr>
              <w:spacing w:after="0"/>
              <w:rPr>
                <w:sz w:val="18"/>
                <w:szCs w:val="18"/>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Adopted </w:t>
            </w:r>
          </w:p>
        </w:tc>
        <w:tc>
          <w:tcPr>
            <w:tcW w:w="60" w:type="dxa"/>
            <w:vAlign w:val="bottom"/>
          </w:tcPr>
          <w:p>
            <w:pPr>
              <w:spacing w:after="0"/>
              <w:rPr>
                <w:sz w:val="18"/>
                <w:szCs w:val="18"/>
                <w:color w:val="auto"/>
              </w:rPr>
            </w:pPr>
          </w:p>
        </w:tc>
        <w:tc>
          <w:tcPr>
            <w:tcW w:w="1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Expiration Date </w:t>
            </w:r>
          </w:p>
        </w:tc>
        <w:tc>
          <w:tcPr>
            <w:tcW w:w="6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of Securities to</w:t>
            </w:r>
          </w:p>
        </w:tc>
        <w:tc>
          <w:tcPr>
            <w:tcW w:w="0" w:type="dxa"/>
            <w:vAlign w:val="bottom"/>
          </w:tcPr>
          <w:p>
            <w:pPr>
              <w:spacing w:after="0"/>
              <w:rPr>
                <w:sz w:val="1"/>
                <w:szCs w:val="1"/>
                <w:color w:val="auto"/>
              </w:rPr>
            </w:pPr>
          </w:p>
        </w:tc>
      </w:tr>
      <w:tr>
        <w:trPr>
          <w:trHeight w:val="130"/>
        </w:trPr>
        <w:tc>
          <w:tcPr>
            <w:tcW w:w="1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Purchased/Sold</w:t>
            </w: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2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Chih-Hsiang</w:t>
            </w:r>
          </w:p>
        </w:tc>
        <w:tc>
          <w:tcPr>
            <w:tcW w:w="6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CEO</w:t>
            </w:r>
          </w:p>
        </w:tc>
        <w:tc>
          <w:tcPr>
            <w:tcW w:w="4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12/14/2023</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3/15/2025</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126"/>
        </w:trPr>
        <w:tc>
          <w:tcPr>
            <w:tcW w:w="1800" w:type="dxa"/>
            <w:vAlign w:val="bottom"/>
            <w:vMerge w:val="restart"/>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(Thompson) Lin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w:t>
            </w:r>
            <w:r>
              <w:rPr>
                <w:rFonts w:ascii="Times New Roman" w:cs="Times New Roman" w:eastAsia="Times New Roman" w:hAnsi="Times New Roman"/>
                <w:sz w:val="25"/>
                <w:szCs w:val="25"/>
                <w:color w:val="auto"/>
                <w:vertAlign w:val="superscript"/>
              </w:rPr>
              <w:t xml:space="preserve">) </w:t>
            </w:r>
          </w:p>
        </w:tc>
        <w:tc>
          <w:tcPr>
            <w:tcW w:w="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Stefan Murry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25"/>
                <w:szCs w:val="25"/>
                <w:color w:val="auto"/>
                <w:vertAlign w:val="superscript"/>
              </w:rPr>
              <w:t>)</w:t>
            </w: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CFO</w:t>
            </w:r>
          </w:p>
        </w:tc>
        <w:tc>
          <w:tcPr>
            <w:tcW w:w="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12/14/2023</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Hung-Lun (Fred) Chang</w:t>
            </w:r>
          </w:p>
        </w:tc>
        <w:tc>
          <w:tcPr>
            <w:tcW w:w="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SVP/North America</w:t>
            </w:r>
          </w:p>
        </w:tc>
        <w:tc>
          <w:tcPr>
            <w:tcW w:w="4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12/14/2023</w:t>
            </w: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1/31/2025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rPr>
              <w:t>18,195</w:t>
            </w:r>
          </w:p>
        </w:tc>
        <w:tc>
          <w:tcPr>
            <w:tcW w:w="0" w:type="dxa"/>
            <w:vAlign w:val="bottom"/>
          </w:tcPr>
          <w:p>
            <w:pPr>
              <w:spacing w:after="0"/>
              <w:rPr>
                <w:sz w:val="1"/>
                <w:szCs w:val="1"/>
                <w:color w:val="auto"/>
              </w:rPr>
            </w:pPr>
          </w:p>
        </w:tc>
      </w:tr>
      <w:tr>
        <w:trPr>
          <w:trHeight w:val="126"/>
        </w:trPr>
        <w:tc>
          <w:tcPr>
            <w:tcW w:w="18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w:t>
            </w:r>
          </w:p>
        </w:tc>
        <w:tc>
          <w:tcPr>
            <w:tcW w:w="6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General Manager</w:t>
            </w:r>
          </w:p>
        </w:tc>
        <w:tc>
          <w:tcPr>
            <w:tcW w:w="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David Kuo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29"/>
                <w:szCs w:val="29"/>
                <w:color w:val="auto"/>
                <w:vertAlign w:val="superscript"/>
              </w:rPr>
              <w:t>)</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SVP/CLO</w:t>
            </w:r>
          </w:p>
        </w:tc>
        <w:tc>
          <w:tcPr>
            <w:tcW w:w="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12/14/2023</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2/28/2025</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80" w:right="160" w:hanging="258"/>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Chih-Hsiang (Thompson) Lin, our CEO, entered into a Rule 10b5-1 Plan on December 14, 2023. Mr. Lin's plan provides for the potential sale of 60,000 shares of the Company's common stock. The Plan expires on March 15, 2025, or upon the earlier of completion of all authorized transactions under the plan.</w:t>
      </w:r>
    </w:p>
    <w:p>
      <w:pPr>
        <w:spacing w:after="0" w:line="175" w:lineRule="exact"/>
        <w:rPr>
          <w:rFonts w:ascii="Times New Roman" w:cs="Times New Roman" w:eastAsia="Times New Roman" w:hAnsi="Times New Roman"/>
          <w:sz w:val="18"/>
          <w:szCs w:val="18"/>
          <w:color w:val="auto"/>
        </w:rPr>
      </w:pPr>
    </w:p>
    <w:p>
      <w:pPr>
        <w:jc w:val="both"/>
        <w:ind w:left="380" w:right="160" w:hanging="258"/>
        <w:spacing w:after="0" w:line="312" w:lineRule="auto"/>
        <w:tabs>
          <w:tab w:leader="none" w:pos="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Stefan Murry, our CFO, entered into a Rule 10b5-1 Plan on December 14, 2023. Mr. Murry's plan provides for the potential sale of 12,000 shares of the Company's common stock. The Plan expires on October 31, 2024, or upon the earlier of completion of all authorized transactions under the plan.</w:t>
      </w:r>
    </w:p>
    <w:p>
      <w:pPr>
        <w:spacing w:after="0" w:line="139" w:lineRule="exact"/>
        <w:rPr>
          <w:rFonts w:ascii="Times New Roman" w:cs="Times New Roman" w:eastAsia="Times New Roman" w:hAnsi="Times New Roman"/>
          <w:sz w:val="17"/>
          <w:szCs w:val="17"/>
          <w:color w:val="auto"/>
        </w:rPr>
      </w:pPr>
    </w:p>
    <w:p>
      <w:pPr>
        <w:ind w:left="380" w:right="20" w:hanging="258"/>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Hung-Lun (Fred) Chang, our Senior Vice President and North America General Manager, entered into a Rule 10b5-1 Plan on December 14, 2023. Mr. Chang's plan provides for the potential sale of up to 18,195 shares of the Company's common stock. The plan expires January 31, 2025, or upon the earlier of the completion of all authorized transactions under the plan.</w:t>
      </w:r>
    </w:p>
    <w:p>
      <w:pPr>
        <w:spacing w:after="0" w:line="175" w:lineRule="exact"/>
        <w:rPr>
          <w:rFonts w:ascii="Times New Roman" w:cs="Times New Roman" w:eastAsia="Times New Roman" w:hAnsi="Times New Roman"/>
          <w:sz w:val="18"/>
          <w:szCs w:val="18"/>
          <w:color w:val="auto"/>
        </w:rPr>
      </w:pPr>
    </w:p>
    <w:p>
      <w:pPr>
        <w:jc w:val="both"/>
        <w:ind w:left="380" w:right="220" w:hanging="258"/>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Kuo, our Senior Vice President and Chief Legal Officer, entered into a Rule 10b5-1 Plan on December 14, 2023. Mr. Kuo's plan provides for the potential sale of up to 40,000 shares of the Company's common stock. The plan expires February 28, 2025, or upon the earlier completion of all authorized transactions under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2024 Annual Meeting of Stockholders to be filed with the Securities and Exchange Commission and is incorporated herein by reference.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Code of Ethics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2023.</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2024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2024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2024 Annual Meeting of Stockholders to be filed with the Securities and Exchange Commission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with respect to our 2024 Annual Meeting of Stockholders to be filed with the Securities and Exchange Commission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(a)(1) The consolidated financial statements are listed on the Index to Consolidated Financial Statements to this Form 10-K beginning on page 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(a)(3) Exhibits. See the Exhibit immediately following Item 16. Form 10-K Summary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2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17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40" w:type="dxa"/>
            <w:vAlign w:val="bottom"/>
            <w:gridSpan w:val="3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194"/>
        </w:trPr>
        <w:tc>
          <w:tcPr>
            <w:tcW w:w="1280" w:type="dxa"/>
            <w:vAlign w:val="bottom"/>
          </w:tcPr>
          <w:p>
            <w:pPr>
              <w:spacing w:after="0"/>
              <w:rPr>
                <w:sz w:val="16"/>
                <w:szCs w:val="16"/>
                <w:color w:val="auto"/>
              </w:rPr>
            </w:pPr>
          </w:p>
        </w:tc>
        <w:tc>
          <w:tcPr>
            <w:tcW w:w="4780" w:type="dxa"/>
            <w:vAlign w:val="bottom"/>
            <w:gridSpan w:val="37"/>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hyperlink r:id="rId60">
              <w:r>
                <w:rPr>
                  <w:rFonts w:ascii="Times New Roman" w:cs="Times New Roman" w:eastAsia="Times New Roman" w:hAnsi="Times New Roman"/>
                  <w:sz w:val="18"/>
                  <w:szCs w:val="18"/>
                  <w:color w:val="0000EE"/>
                </w:rPr>
                <w:t>Agreement for the Sale and Purchase of a New Company</w:t>
              </w:r>
            </w:hyperlink>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ind w:left="170"/>
              <w:spacing w:after="0" w:line="194" w:lineRule="exact"/>
              <w:rPr>
                <w:sz w:val="20"/>
                <w:szCs w:val="20"/>
                <w:color w:val="auto"/>
              </w:rPr>
            </w:pPr>
            <w:r>
              <w:rPr>
                <w:rFonts w:ascii="Times New Roman" w:cs="Times New Roman" w:eastAsia="Times New Roman" w:hAnsi="Times New Roman"/>
                <w:sz w:val="18"/>
                <w:szCs w:val="18"/>
                <w:color w:val="auto"/>
                <w:w w:val="99"/>
              </w:rPr>
              <w:t>September 15, 2022</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to Be Established in Hong Kong Special Administrative</w:t>
              </w:r>
            </w:hyperlink>
          </w:p>
        </w:tc>
        <w:tc>
          <w:tcPr>
            <w:tcW w:w="80" w:type="dxa"/>
            <w:vAlign w:val="bottom"/>
            <w:tcBorders>
              <w:top w:val="single" w:sz="8" w:color="0000EE"/>
            </w:tcBorders>
            <w:gridSpan w:val="3"/>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00" w:type="dxa"/>
            <w:vAlign w:val="bottom"/>
            <w:gridSpan w:val="3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Region of The People's Republic of China, dated as of</w:t>
              </w:r>
            </w:hyperlink>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September 15, 2022, by and between Prime World</w:t>
              </w:r>
            </w:hyperlink>
          </w:p>
        </w:tc>
        <w:tc>
          <w:tcPr>
            <w:tcW w:w="260" w:type="dxa"/>
            <w:vAlign w:val="bottom"/>
            <w:tcBorders>
              <w:top w:val="single" w:sz="8" w:color="0000EE"/>
            </w:tcBorders>
            <w:gridSpan w:val="8"/>
          </w:tcPr>
          <w:p>
            <w:pPr>
              <w:spacing w:after="0"/>
              <w:rPr>
                <w:sz w:val="17"/>
                <w:szCs w:val="17"/>
                <w:color w:val="auto"/>
              </w:rPr>
            </w:pPr>
          </w:p>
        </w:tc>
        <w:tc>
          <w:tcPr>
            <w:tcW w:w="4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International Holdings Ltd., Applied Optoelectronics,</w:t>
              </w:r>
            </w:hyperlink>
          </w:p>
        </w:tc>
        <w:tc>
          <w:tcPr>
            <w:tcW w:w="4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Inc. and Yuhan Optoelectronics Technology (Shanghai)</w:t>
              </w:r>
            </w:hyperlink>
          </w:p>
        </w:tc>
        <w:tc>
          <w:tcPr>
            <w:tcW w:w="3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3"/>
              </w:rPr>
            </w:pPr>
            <w:hyperlink r:id="rId60">
              <w:r>
                <w:rPr>
                  <w:rFonts w:ascii="Times New Roman" w:cs="Times New Roman" w:eastAsia="Times New Roman" w:hAnsi="Times New Roman"/>
                  <w:sz w:val="18"/>
                  <w:szCs w:val="18"/>
                  <w:color w:val="0000EE"/>
                  <w:w w:val="93"/>
                </w:rPr>
                <w:t>Co., Ltd.</w:t>
              </w:r>
            </w:hyperlink>
          </w:p>
        </w:tc>
        <w:tc>
          <w:tcPr>
            <w:tcW w:w="3680" w:type="dxa"/>
            <w:vAlign w:val="bottom"/>
            <w:gridSpan w:val="33"/>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4300" w:type="dxa"/>
            <w:vAlign w:val="bottom"/>
            <w:gridSpan w:val="36"/>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Certificate of Incorporation of</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November 14,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the registrant, as currently in effect</w:t>
              </w:r>
            </w:hyperlink>
          </w:p>
        </w:tc>
        <w:tc>
          <w:tcPr>
            <w:tcW w:w="1360" w:type="dxa"/>
            <w:vAlign w:val="bottom"/>
            <w:tcBorders>
              <w:top w:val="single" w:sz="8" w:color="0000EE"/>
            </w:tcBorders>
            <w:gridSpan w:val="14"/>
          </w:tcPr>
          <w:p>
            <w:pPr>
              <w:spacing w:after="0"/>
              <w:rPr>
                <w:sz w:val="17"/>
                <w:szCs w:val="17"/>
                <w:color w:val="auto"/>
              </w:rPr>
            </w:pPr>
          </w:p>
        </w:tc>
        <w:tc>
          <w:tcPr>
            <w:tcW w:w="4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40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Certificate of Amendment to the Amended and Restated</w:t>
              </w:r>
            </w:hyperlink>
          </w:p>
        </w:tc>
        <w:tc>
          <w:tcPr>
            <w:tcW w:w="24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September 7, 2023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Certificate of Incorporation of Applied Optoelectronics,</w:t>
              </w:r>
            </w:hyperlink>
          </w:p>
        </w:tc>
        <w:tc>
          <w:tcPr>
            <w:tcW w:w="28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r:id="rId62">
              <w:r>
                <w:rPr>
                  <w:rFonts w:ascii="Times New Roman" w:cs="Times New Roman" w:eastAsia="Times New Roman" w:hAnsi="Times New Roman"/>
                  <w:sz w:val="18"/>
                  <w:szCs w:val="18"/>
                  <w:color w:val="0000EE"/>
                  <w:w w:val="87"/>
                </w:rPr>
                <w:t>Inc.</w:t>
              </w:r>
            </w:hyperlink>
          </w:p>
        </w:tc>
        <w:tc>
          <w:tcPr>
            <w:tcW w:w="4040" w:type="dxa"/>
            <w:vAlign w:val="bottom"/>
            <w:gridSpan w:val="35"/>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3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Amended and Restated Bylaws of the registrant, as</w:t>
              </w:r>
            </w:hyperlink>
          </w:p>
        </w:tc>
        <w:tc>
          <w:tcPr>
            <w:tcW w:w="640" w:type="dxa"/>
            <w:vAlign w:val="bottom"/>
            <w:gridSpan w:val="15"/>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November 14,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00" w:type="dxa"/>
            <w:vAlign w:val="bottom"/>
            <w:gridSpan w:val="3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currently in effect</w:t>
              </w:r>
            </w:hyperlink>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760" w:type="dxa"/>
            <w:vAlign w:val="bottom"/>
            <w:tcBorders>
              <w:right w:val="single" w:sz="8" w:color="0000EE"/>
            </w:tcBorders>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Common Stock Specimen</w:t>
              </w:r>
            </w:hyperlink>
          </w:p>
        </w:tc>
        <w:tc>
          <w:tcPr>
            <w:tcW w:w="2440" w:type="dxa"/>
            <w:vAlign w:val="bottom"/>
            <w:gridSpan w:val="28"/>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November 14, 2016</w:t>
            </w: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hyperlink r:id="rId65">
              <w:r>
                <w:rPr>
                  <w:rFonts w:ascii="Times New Roman" w:cs="Times New Roman" w:eastAsia="Times New Roman" w:hAnsi="Times New Roman"/>
                  <w:sz w:val="18"/>
                  <w:szCs w:val="18"/>
                  <w:color w:val="0000EE"/>
                </w:rPr>
                <w:t>Indenture,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highlight w:val="white"/>
                </w:rPr>
                <w:t>dated as of March 5, 2019 between Applied</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March 5, 2019</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Optoelectronics, Inc. and Wells Fargo Bank, National</w:t>
              </w:r>
            </w:hyperlink>
          </w:p>
        </w:tc>
        <w:tc>
          <w:tcPr>
            <w:tcW w:w="60" w:type="dxa"/>
            <w:vAlign w:val="bottom"/>
            <w:tcBorders>
              <w:top w:val="single" w:sz="8" w:color="0000EE"/>
            </w:tcBorders>
            <w:gridSpan w:val="3"/>
          </w:tcPr>
          <w:p>
            <w:pPr>
              <w:spacing w:after="0"/>
              <w:rPr>
                <w:sz w:val="17"/>
                <w:szCs w:val="17"/>
                <w:color w:val="auto"/>
              </w:rPr>
            </w:pPr>
          </w:p>
        </w:tc>
        <w:tc>
          <w:tcPr>
            <w:tcW w:w="4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Association, as trustee, paying agent, and conversion</w:t>
              </w:r>
            </w:hyperlink>
          </w:p>
        </w:tc>
        <w:tc>
          <w:tcPr>
            <w:tcW w:w="50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2"/>
              </w:rPr>
            </w:pPr>
            <w:hyperlink r:id="rId65">
              <w:r>
                <w:rPr>
                  <w:rFonts w:ascii="Times New Roman" w:cs="Times New Roman" w:eastAsia="Times New Roman" w:hAnsi="Times New Roman"/>
                  <w:sz w:val="18"/>
                  <w:szCs w:val="18"/>
                  <w:color w:val="0000EE"/>
                  <w:w w:val="92"/>
                </w:rPr>
                <w:t>agent</w:t>
              </w:r>
            </w:hyperlink>
          </w:p>
        </w:tc>
        <w:tc>
          <w:tcPr>
            <w:tcW w:w="3920" w:type="dxa"/>
            <w:vAlign w:val="bottom"/>
            <w:gridSpan w:val="34"/>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65">
              <w:r>
                <w:rPr>
                  <w:rFonts w:ascii="Times New Roman" w:cs="Times New Roman" w:eastAsia="Times New Roman" w:hAnsi="Times New Roman"/>
                  <w:sz w:val="18"/>
                  <w:szCs w:val="18"/>
                  <w:color w:val="0000EE"/>
                </w:rPr>
                <w:t>Form of Note representing the Company’s 5.00%</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March 5, 2019</w:t>
            </w: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Convertible Senior Notes due 2024 (included as Exhibit</w:t>
              </w:r>
            </w:hyperlink>
          </w:p>
        </w:tc>
        <w:tc>
          <w:tcPr>
            <w:tcW w:w="2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65">
              <w:r>
                <w:rPr>
                  <w:rFonts w:ascii="Times New Roman" w:cs="Times New Roman" w:eastAsia="Times New Roman" w:hAnsi="Times New Roman"/>
                  <w:sz w:val="18"/>
                  <w:szCs w:val="18"/>
                  <w:color w:val="0000EE"/>
                  <w:w w:val="97"/>
                </w:rPr>
                <w:t>A to the Indenture)</w:t>
              </w:r>
            </w:hyperlink>
          </w:p>
        </w:tc>
        <w:tc>
          <w:tcPr>
            <w:tcW w:w="2940" w:type="dxa"/>
            <w:vAlign w:val="bottom"/>
            <w:gridSpan w:val="30"/>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hyperlink r:id="rId66">
              <w:r>
                <w:rPr>
                  <w:rFonts w:ascii="Times New Roman" w:cs="Times New Roman" w:eastAsia="Times New Roman" w:hAnsi="Times New Roman"/>
                  <w:sz w:val="18"/>
                  <w:szCs w:val="18"/>
                  <w:color w:val="0000EE"/>
                </w:rPr>
                <w:t>Indenture, dated as of December 5, 2023, between</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December 5, 2023</w:t>
            </w: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Applied Optoelectronics, Inc. and Computershare Trust</w:t>
              </w:r>
            </w:hyperlink>
          </w:p>
        </w:tc>
        <w:tc>
          <w:tcPr>
            <w:tcW w:w="3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00" w:type="dxa"/>
            <w:vAlign w:val="bottom"/>
            <w:gridSpan w:val="3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Company, N.A., as Trustee</w:t>
              </w:r>
            </w:hyperlink>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hyperlink r:id="rId67">
              <w:r>
                <w:rPr>
                  <w:rFonts w:ascii="Times New Roman" w:cs="Times New Roman" w:eastAsia="Times New Roman" w:hAnsi="Times New Roman"/>
                  <w:sz w:val="18"/>
                  <w:szCs w:val="18"/>
                  <w:color w:val="0000EE"/>
                </w:rPr>
                <w:t>Form of 5.250% Convertible Senior Note due 2026</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December 5, 2023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(included as an exhibit to Exhibit 4.1)</w:t>
              </w:r>
            </w:hyperlink>
          </w:p>
        </w:tc>
        <w:tc>
          <w:tcPr>
            <w:tcW w:w="62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4.6   </w:t>
            </w:r>
            <w:hyperlink r:id="rId68">
              <w:r>
                <w:rPr>
                  <w:rFonts w:ascii="Times New Roman" w:cs="Times New Roman" w:eastAsia="Times New Roman" w:hAnsi="Times New Roman"/>
                  <w:sz w:val="18"/>
                  <w:szCs w:val="18"/>
                  <w:color w:val="0000EE"/>
                </w:rPr>
                <w:t>First Supplemental Indenture, dated as of December 5,</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December 5, 2023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2023, between Applied Optoelectronics, Inc. and</w:t>
              </w:r>
            </w:hyperlink>
          </w:p>
        </w:tc>
        <w:tc>
          <w:tcPr>
            <w:tcW w:w="3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Computershare Trust Company, N.A., as Trustee</w:t>
              </w:r>
            </w:hyperlink>
          </w:p>
        </w:tc>
        <w:tc>
          <w:tcPr>
            <w:tcW w:w="76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4780" w:type="dxa"/>
            <w:vAlign w:val="bottom"/>
            <w:gridSpan w:val="37"/>
          </w:tcPr>
          <w:p>
            <w:pPr>
              <w:ind w:left="2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color w:val="0782C1"/>
              </w:rPr>
              <w:t>Description of Company's Common Stock</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17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4300" w:type="dxa"/>
            <w:vAlign w:val="bottom"/>
            <w:gridSpan w:val="3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Indemnification Agreement between the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13,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registrant each of its Directors and certain of its</w:t>
              </w:r>
            </w:hyperlink>
          </w:p>
        </w:tc>
        <w:tc>
          <w:tcPr>
            <w:tcW w:w="76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Executive Officers</w:t>
              </w:r>
            </w:hyperlink>
          </w:p>
        </w:tc>
        <w:tc>
          <w:tcPr>
            <w:tcW w:w="90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760" w:type="dxa"/>
            <w:vAlign w:val="bottom"/>
            <w:tcBorders>
              <w:right w:val="single" w:sz="8" w:color="0000EE"/>
            </w:tcBorders>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36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Amended and Restated 2013 Equity Incentive Plan</w:t>
              </w:r>
            </w:hyperlink>
          </w:p>
        </w:tc>
        <w:tc>
          <w:tcPr>
            <w:tcW w:w="640" w:type="dxa"/>
            <w:vAlign w:val="bottom"/>
            <w:gridSpan w:val="15"/>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March 9, 2017</w:t>
            </w: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10.2.1†</w:t>
            </w:r>
          </w:p>
        </w:tc>
        <w:tc>
          <w:tcPr>
            <w:tcW w:w="40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Form of Restricted Stock Award Agreement under 2013</w:t>
              </w:r>
            </w:hyperlink>
          </w:p>
        </w:tc>
        <w:tc>
          <w:tcPr>
            <w:tcW w:w="280" w:type="dxa"/>
            <w:vAlign w:val="bottom"/>
            <w:gridSpan w:val="4"/>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13,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Equity Incentive Plan</w:t>
              </w:r>
            </w:hyperlink>
          </w:p>
        </w:tc>
        <w:tc>
          <w:tcPr>
            <w:tcW w:w="276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10.2.2†</w:t>
            </w:r>
          </w:p>
        </w:tc>
        <w:tc>
          <w:tcPr>
            <w:tcW w:w="39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Form of Restricted Stock Unit Award Agreement under</w:t>
              </w:r>
            </w:hyperlink>
          </w:p>
        </w:tc>
        <w:tc>
          <w:tcPr>
            <w:tcW w:w="320" w:type="dxa"/>
            <w:vAlign w:val="bottom"/>
            <w:gridSpan w:val="6"/>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13,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2013 Equity Incentive Plan</w:t>
              </w:r>
            </w:hyperlink>
          </w:p>
        </w:tc>
        <w:tc>
          <w:tcPr>
            <w:tcW w:w="236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10.2.3†</w:t>
            </w:r>
          </w:p>
        </w:tc>
        <w:tc>
          <w:tcPr>
            <w:tcW w:w="4300" w:type="dxa"/>
            <w:vAlign w:val="bottom"/>
            <w:gridSpan w:val="36"/>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Stock Appreciation Right Award Agreement</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10.6.3</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13,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under 2013 Equity Incentive Plan</w:t>
              </w:r>
            </w:hyperlink>
          </w:p>
        </w:tc>
        <w:tc>
          <w:tcPr>
            <w:tcW w:w="1400" w:type="dxa"/>
            <w:vAlign w:val="bottom"/>
            <w:tcBorders>
              <w:top w:val="single" w:sz="8" w:color="0000EE"/>
            </w:tcBorders>
            <w:gridSpan w:val="13"/>
          </w:tcPr>
          <w:p>
            <w:pPr>
              <w:spacing w:after="0"/>
              <w:rPr>
                <w:sz w:val="17"/>
                <w:szCs w:val="17"/>
                <w:color w:val="auto"/>
              </w:rPr>
            </w:pPr>
          </w:p>
        </w:tc>
        <w:tc>
          <w:tcPr>
            <w:tcW w:w="50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10.2.4†</w:t>
            </w:r>
          </w:p>
        </w:tc>
        <w:tc>
          <w:tcPr>
            <w:tcW w:w="4300" w:type="dxa"/>
            <w:vAlign w:val="bottom"/>
            <w:gridSpan w:val="36"/>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Notice of Stock Option Award and Stock Option</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10.6.4</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13, 2013</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Award Agreement under 2013 Equity Incentive Plan</w:t>
              </w:r>
            </w:hyperlink>
          </w:p>
        </w:tc>
        <w:tc>
          <w:tcPr>
            <w:tcW w:w="340" w:type="dxa"/>
            <w:vAlign w:val="bottom"/>
            <w:tcBorders>
              <w:top w:val="single" w:sz="8" w:color="0000EE"/>
            </w:tcBorders>
            <w:gridSpan w:val="1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1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2021 Stock Incentive Plan</w:t>
              </w:r>
            </w:hyperlink>
          </w:p>
        </w:tc>
        <w:tc>
          <w:tcPr>
            <w:tcW w:w="2380" w:type="dxa"/>
            <w:vAlign w:val="bottom"/>
            <w:gridSpan w:val="27"/>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5, 2021</w:t>
            </w: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10.4.1†</w:t>
            </w:r>
          </w:p>
        </w:tc>
        <w:tc>
          <w:tcPr>
            <w:tcW w:w="39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of Restricted Stock Unit Award Agreement under</w:t>
              </w:r>
            </w:hyperlink>
          </w:p>
        </w:tc>
        <w:tc>
          <w:tcPr>
            <w:tcW w:w="320" w:type="dxa"/>
            <w:vAlign w:val="bottom"/>
            <w:gridSpan w:val="6"/>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5, 2021</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76">
              <w:r>
                <w:rPr>
                  <w:rFonts w:ascii="Times New Roman" w:cs="Times New Roman" w:eastAsia="Times New Roman" w:hAnsi="Times New Roman"/>
                  <w:sz w:val="18"/>
                  <w:szCs w:val="18"/>
                  <w:color w:val="0000EE"/>
                  <w:w w:val="97"/>
                </w:rPr>
                <w:t>2021 Equity Incentive Plan</w:t>
              </w:r>
            </w:hyperlink>
          </w:p>
        </w:tc>
        <w:tc>
          <w:tcPr>
            <w:tcW w:w="236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12"/>
        </w:trPr>
        <w:tc>
          <w:tcPr>
            <w:tcW w:w="1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10.4.2†</w:t>
            </w:r>
          </w:p>
        </w:tc>
        <w:tc>
          <w:tcPr>
            <w:tcW w:w="36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Form of Performance Restricted Stock Unit Award</w:t>
              </w:r>
            </w:hyperlink>
          </w:p>
        </w:tc>
        <w:tc>
          <w:tcPr>
            <w:tcW w:w="660" w:type="dxa"/>
            <w:vAlign w:val="bottom"/>
            <w:gridSpan w:val="16"/>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August 5, 2021</w:t>
            </w:r>
          </w:p>
        </w:tc>
      </w:tr>
      <w:tr>
        <w:trPr>
          <w:trHeight w:val="196"/>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Agreement under 2021 Equity Incentive Plan</w:t>
              </w:r>
            </w:hyperlink>
          </w:p>
        </w:tc>
        <w:tc>
          <w:tcPr>
            <w:tcW w:w="1060" w:type="dxa"/>
            <w:vAlign w:val="bottom"/>
            <w:gridSpan w:val="21"/>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40"/>
          </w:cols>
          <w:pgMar w:left="320" w:top="108" w:right="539" w:bottom="0" w:gutter="0" w:footer="0" w:header="0"/>
        </w:sectPr>
      </w:pP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 w:right="539"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79">
        <w:r>
          <w:rPr>
            <w:rFonts w:ascii="Times New Roman" w:cs="Times New Roman" w:eastAsia="Times New Roman" w:hAnsi="Times New Roman"/>
            <w:sz w:val="18"/>
            <w:szCs w:val="18"/>
            <w:u w:val="single" w:color="auto"/>
            <w:color w:val="0000EE"/>
          </w:rPr>
          <w:t>Applied Optoelectronic, Inc. 2023 Equity Incentive Plan</w:t>
        </w:r>
      </w:hyperlink>
    </w:p>
    <w:p>
      <w:pPr>
        <w:spacing w:after="0" w:line="207" w:lineRule="exact"/>
        <w:rPr>
          <w:sz w:val="20"/>
          <w:szCs w:val="20"/>
          <w:color w:val="auto"/>
        </w:rPr>
      </w:pPr>
    </w:p>
    <w:p>
      <w:pPr>
        <w:ind w:left="1320" w:hanging="543"/>
        <w:spacing w:after="0" w:line="261"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w:t>
      </w:r>
      <w:hyperlink r:id="rId80">
        <w:r>
          <w:rPr>
            <w:rFonts w:ascii="Times New Roman" w:cs="Times New Roman" w:eastAsia="Times New Roman" w:hAnsi="Times New Roman"/>
            <w:sz w:val="18"/>
            <w:szCs w:val="18"/>
            <w:u w:val="single" w:color="auto"/>
            <w:color w:val="0000EE"/>
          </w:rPr>
          <w:t>Amended and Restated Employment Agreement regarding</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Change of Control or Separation of Service between the</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registrant and Chih-Hsiang (Thompson) Lin, dated April 16,</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2013</w:t>
        </w:r>
      </w:hyperlink>
    </w:p>
    <w:p>
      <w:pPr>
        <w:spacing w:after="0" w:line="180" w:lineRule="exact"/>
        <w:rPr>
          <w:rFonts w:ascii="Times New Roman" w:cs="Times New Roman" w:eastAsia="Times New Roman" w:hAnsi="Times New Roman"/>
          <w:sz w:val="18"/>
          <w:szCs w:val="18"/>
          <w:u w:val="single" w:color="auto"/>
          <w:color w:val="0000EE"/>
        </w:rPr>
      </w:pPr>
    </w:p>
    <w:p>
      <w:pPr>
        <w:jc w:val="cente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81">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6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Applied Optoelectronics, Inc. and Stefan J. Murry</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82">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40"/>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Applied Optoelectronics, Inc. and Mr. Joshua Yeh</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10.9†  </w:t>
      </w:r>
      <w:hyperlink r:id="rId83">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40"/>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Applied Optoelectronics, Inc. and Dr. Fred Chang</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84">
        <w:r>
          <w:rPr>
            <w:rFonts w:ascii="Times New Roman" w:cs="Times New Roman" w:eastAsia="Times New Roman" w:hAnsi="Times New Roman"/>
            <w:sz w:val="18"/>
            <w:szCs w:val="18"/>
            <w:u w:val="single" w:color="auto"/>
            <w:color w:val="0000EE"/>
          </w:rPr>
          <w:t>Employment Agreement, dated August 5, 2016,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44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Applied Optoelectronics, Inc. and David C. Kuo</w:t>
        </w:r>
      </w:hyperlink>
    </w:p>
    <w:p>
      <w:pPr>
        <w:spacing w:after="0" w:line="207" w:lineRule="exact"/>
        <w:rPr>
          <w:rFonts w:ascii="Times New Roman" w:cs="Times New Roman" w:eastAsia="Times New Roman" w:hAnsi="Times New Roman"/>
          <w:sz w:val="18"/>
          <w:szCs w:val="18"/>
          <w:u w:val="single" w:color="auto"/>
          <w:color w:val="0000EE"/>
        </w:rPr>
      </w:pPr>
    </w:p>
    <w:p>
      <w:pPr>
        <w:jc w:val="center"/>
        <w:ind w:left="480"/>
        <w:spacing w:after="0"/>
        <w:tabs>
          <w:tab w:leader="none" w:pos="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85">
        <w:r>
          <w:rPr>
            <w:rFonts w:ascii="Times New Roman" w:cs="Times New Roman" w:eastAsia="Times New Roman" w:hAnsi="Times New Roman"/>
            <w:sz w:val="17"/>
            <w:szCs w:val="17"/>
            <w:u w:val="single" w:color="auto"/>
            <w:color w:val="0000EE"/>
          </w:rPr>
          <w:t>Supply Agreement, effective November 8, 2017, between</w:t>
        </w:r>
      </w:hyperlink>
    </w:p>
    <w:p>
      <w:pPr>
        <w:spacing w:after="0" w:line="27" w:lineRule="exact"/>
        <w:rPr>
          <w:rFonts w:ascii="Times New Roman" w:cs="Times New Roman" w:eastAsia="Times New Roman" w:hAnsi="Times New Roman"/>
          <w:sz w:val="18"/>
          <w:szCs w:val="18"/>
          <w:u w:val="single" w:color="auto"/>
          <w:color w:val="0000EE"/>
        </w:rPr>
      </w:pPr>
    </w:p>
    <w:p>
      <w:pPr>
        <w:jc w:val="center"/>
        <w:ind w:left="50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Applied Optoelectronics, Inc. and Facebook, Inc.</w:t>
        </w:r>
      </w:hyperlink>
    </w:p>
    <w:p>
      <w:pPr>
        <w:spacing w:after="0" w:line="207" w:lineRule="exact"/>
        <w:rPr>
          <w:rFonts w:ascii="Times New Roman" w:cs="Times New Roman" w:eastAsia="Times New Roman" w:hAnsi="Times New Roman"/>
          <w:sz w:val="18"/>
          <w:szCs w:val="18"/>
          <w:u w:val="single" w:color="auto"/>
          <w:color w:val="0000EE"/>
        </w:rPr>
      </w:pPr>
    </w:p>
    <w:p>
      <w:pPr>
        <w:ind w:left="1320" w:right="180" w:hanging="633"/>
        <w:spacing w:after="0" w:line="312" w:lineRule="auto"/>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86">
        <w:r>
          <w:rPr>
            <w:rFonts w:ascii="Times New Roman" w:cs="Times New Roman" w:eastAsia="Times New Roman" w:hAnsi="Times New Roman"/>
            <w:sz w:val="17"/>
            <w:szCs w:val="17"/>
            <w:u w:val="single" w:color="auto"/>
            <w:color w:val="0000EE"/>
          </w:rPr>
          <w:t>Master Purchase Agreement, effective January 2, 2018,</w:t>
        </w:r>
      </w:hyperlink>
      <w:r>
        <w:rPr>
          <w:rFonts w:ascii="Times New Roman" w:cs="Times New Roman" w:eastAsia="Times New Roman" w:hAnsi="Times New Roman"/>
          <w:sz w:val="17"/>
          <w:szCs w:val="17"/>
          <w:u w:val="single" w:color="auto"/>
          <w:color w:val="0000EE"/>
        </w:rPr>
        <w:t xml:space="preserve"> </w:t>
      </w:r>
      <w:hyperlink r:id="rId86">
        <w:r>
          <w:rPr>
            <w:rFonts w:ascii="Times New Roman" w:cs="Times New Roman" w:eastAsia="Times New Roman" w:hAnsi="Times New Roman"/>
            <w:sz w:val="17"/>
            <w:szCs w:val="17"/>
            <w:u w:val="single" w:color="auto"/>
            <w:color w:val="0000EE"/>
          </w:rPr>
          <w:t>between Applied Optoelectronics, Inc. and Facebook, Inc.</w:t>
        </w:r>
      </w:hyperlink>
    </w:p>
    <w:p>
      <w:pPr>
        <w:spacing w:after="0" w:line="140" w:lineRule="exact"/>
        <w:rPr>
          <w:sz w:val="20"/>
          <w:szCs w:val="20"/>
          <w:color w:val="auto"/>
        </w:rPr>
      </w:pPr>
    </w:p>
    <w:p>
      <w:pPr>
        <w:ind w:left="1320" w:right="260" w:hanging="633"/>
        <w:spacing w:after="0" w:line="289" w:lineRule="auto"/>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87">
        <w:r>
          <w:rPr>
            <w:rFonts w:ascii="Times New Roman" w:cs="Times New Roman" w:eastAsia="Times New Roman" w:hAnsi="Times New Roman"/>
            <w:sz w:val="17"/>
            <w:szCs w:val="17"/>
            <w:u w:val="single" w:color="auto"/>
            <w:color w:val="0000EE"/>
          </w:rPr>
          <w:t>Translation of Lease Agreement between Global</w:t>
        </w:r>
      </w:hyperlink>
      <w:r>
        <w:rPr>
          <w:rFonts w:ascii="Times New Roman" w:cs="Times New Roman" w:eastAsia="Times New Roman" w:hAnsi="Times New Roman"/>
          <w:sz w:val="17"/>
          <w:szCs w:val="17"/>
          <w:u w:val="single" w:color="auto"/>
          <w:color w:val="0000EE"/>
        </w:rPr>
        <w:t xml:space="preserve"> </w:t>
      </w:r>
      <w:hyperlink r:id="rId87">
        <w:r>
          <w:rPr>
            <w:rFonts w:ascii="Times New Roman" w:cs="Times New Roman" w:eastAsia="Times New Roman" w:hAnsi="Times New Roman"/>
            <w:sz w:val="17"/>
            <w:szCs w:val="17"/>
            <w:u w:val="single" w:color="auto"/>
            <w:color w:val="0000EE"/>
          </w:rPr>
          <w:t>Technology, Inc. and the People’s Republic of China in</w:t>
        </w:r>
      </w:hyperlink>
      <w:r>
        <w:rPr>
          <w:rFonts w:ascii="Times New Roman" w:cs="Times New Roman" w:eastAsia="Times New Roman" w:hAnsi="Times New Roman"/>
          <w:sz w:val="17"/>
          <w:szCs w:val="17"/>
          <w:u w:val="single" w:color="auto"/>
          <w:color w:val="0000EE"/>
        </w:rPr>
        <w:t xml:space="preserve"> </w:t>
      </w:r>
      <w:hyperlink r:id="rId87">
        <w:r>
          <w:rPr>
            <w:rFonts w:ascii="Times New Roman" w:cs="Times New Roman" w:eastAsia="Times New Roman" w:hAnsi="Times New Roman"/>
            <w:sz w:val="17"/>
            <w:szCs w:val="17"/>
            <w:u w:val="single" w:color="auto"/>
            <w:color w:val="0000EE"/>
          </w:rPr>
          <w:t>Zhejiang Province, Ningbo City, Land Resources Bureau</w:t>
        </w:r>
      </w:hyperlink>
    </w:p>
    <w:p>
      <w:pPr>
        <w:spacing w:after="0" w:line="158" w:lineRule="exact"/>
        <w:rPr>
          <w:rFonts w:ascii="Times New Roman" w:cs="Times New Roman" w:eastAsia="Times New Roman" w:hAnsi="Times New Roman"/>
          <w:sz w:val="17"/>
          <w:szCs w:val="17"/>
          <w:u w:val="single" w:color="auto"/>
          <w:color w:val="0000EE"/>
        </w:rPr>
      </w:pPr>
    </w:p>
    <w:p>
      <w:pPr>
        <w:ind w:left="1320" w:right="60" w:hanging="768"/>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10.13.1</w:t>
      </w:r>
      <w:r>
        <w:rPr>
          <w:sz w:val="20"/>
          <w:szCs w:val="20"/>
          <w:color w:val="auto"/>
        </w:rPr>
        <w:tab/>
      </w:r>
      <w:hyperlink r:id="rId88">
        <w:r>
          <w:rPr>
            <w:rFonts w:ascii="Times New Roman" w:cs="Times New Roman" w:eastAsia="Times New Roman" w:hAnsi="Times New Roman"/>
            <w:sz w:val="18"/>
            <w:szCs w:val="18"/>
            <w:u w:val="single" w:color="auto"/>
            <w:color w:val="0000EE"/>
          </w:rPr>
          <w:t>Translation of Investment and Construction Agreement</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between Global Technology, Inc. and the People’s Republic</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of China in Zhejiang Province, Ningbo City, Land</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Resources Bureau</w:t>
        </w:r>
      </w:hyperlink>
    </w:p>
    <w:p>
      <w:pPr>
        <w:spacing w:after="0" w:line="180" w:lineRule="exact"/>
        <w:rPr>
          <w:rFonts w:ascii="Times New Roman" w:cs="Times New Roman" w:eastAsia="Times New Roman" w:hAnsi="Times New Roman"/>
          <w:sz w:val="18"/>
          <w:szCs w:val="18"/>
          <w:u w:val="single" w:color="auto"/>
          <w:color w:val="0000EE"/>
        </w:rPr>
      </w:pPr>
    </w:p>
    <w:p>
      <w:pPr>
        <w:ind w:left="1320" w:right="2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89">
        <w:r>
          <w:rPr>
            <w:rFonts w:ascii="Times New Roman" w:cs="Times New Roman" w:eastAsia="Times New Roman" w:hAnsi="Times New Roman"/>
            <w:sz w:val="18"/>
            <w:szCs w:val="18"/>
            <w:u w:val="single" w:color="auto"/>
            <w:color w:val="0000EE"/>
          </w:rPr>
          <w:t>Translation of Construction Agreement between Global</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Technology, Inc. and Zhejiang Xinyu Construction Group</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Co., Ltd. dated February 8,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20" w:right="6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0">
        <w:r>
          <w:rPr>
            <w:rFonts w:ascii="Times New Roman" w:cs="Times New Roman" w:eastAsia="Times New Roman" w:hAnsi="Times New Roman"/>
            <w:sz w:val="18"/>
            <w:szCs w:val="18"/>
            <w:u w:val="single" w:color="auto"/>
            <w:color w:val="0000EE"/>
          </w:rPr>
          <w:t>First Amendment to Lease, dated October 8, 2018, between</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Applied Optoelectronics, Inc. and GIG VAOI Breckinridge,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LLC.</w:t>
        </w:r>
      </w:hyperlink>
    </w:p>
    <w:p>
      <w:pPr>
        <w:spacing w:after="0" w:line="176" w:lineRule="exact"/>
        <w:rPr>
          <w:rFonts w:ascii="Times New Roman" w:cs="Times New Roman" w:eastAsia="Times New Roman" w:hAnsi="Times New Roman"/>
          <w:sz w:val="18"/>
          <w:szCs w:val="18"/>
          <w:u w:val="single" w:color="auto"/>
          <w:color w:val="0000EE"/>
        </w:rPr>
      </w:pPr>
    </w:p>
    <w:p>
      <w:pPr>
        <w:ind w:left="1320" w:right="1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1">
        <w:r>
          <w:rPr>
            <w:rFonts w:ascii="Times New Roman" w:cs="Times New Roman" w:eastAsia="Times New Roman" w:hAnsi="Times New Roman"/>
            <w:sz w:val="18"/>
            <w:szCs w:val="18"/>
            <w:u w:val="single" w:color="auto"/>
            <w:color w:val="0000EE"/>
          </w:rPr>
          <w:t>Purchase Agreement, dated as of February 28, 2019 by and</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among Applied Optoelectronics, Inc., Raymond James &amp;</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Associates, Inc. and Cowen and Company, LLC</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2">
        <w:r>
          <w:rPr>
            <w:rFonts w:ascii="Times New Roman" w:cs="Times New Roman" w:eastAsia="Times New Roman" w:hAnsi="Times New Roman"/>
            <w:sz w:val="18"/>
            <w:szCs w:val="18"/>
            <w:u w:val="single" w:color="auto"/>
            <w:color w:val="0000EE"/>
          </w:rPr>
          <w:t>Translation of the Working Capital Loan Contract, between</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Global Technology, Inc. and Shanghai Pudong Development</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Bank Co., Ltd., dated April 30, 2019</w:t>
        </w:r>
      </w:hyperlink>
    </w:p>
    <w:p>
      <w:pPr>
        <w:spacing w:after="0" w:line="176" w:lineRule="exact"/>
        <w:rPr>
          <w:rFonts w:ascii="Times New Roman" w:cs="Times New Roman" w:eastAsia="Times New Roman" w:hAnsi="Times New Roman"/>
          <w:sz w:val="18"/>
          <w:szCs w:val="18"/>
          <w:u w:val="single" w:color="auto"/>
          <w:color w:val="0000EE"/>
        </w:rPr>
      </w:pPr>
    </w:p>
    <w:p>
      <w:pPr>
        <w:ind w:left="1320" w:hanging="633"/>
        <w:spacing w:after="0" w:line="289" w:lineRule="auto"/>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93">
        <w:r>
          <w:rPr>
            <w:rFonts w:ascii="Times New Roman" w:cs="Times New Roman" w:eastAsia="Times New Roman" w:hAnsi="Times New Roman"/>
            <w:sz w:val="17"/>
            <w:szCs w:val="17"/>
            <w:u w:val="single" w:color="auto"/>
            <w:color w:val="0000EE"/>
          </w:rPr>
          <w:t>Translation of the Working Capital Loan Contract (RMB</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30,000,000), between Global Technology, Inc. and Shanghai</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Pudong Development Bank Co., Ltd., dated May 7, 2019</w:t>
        </w:r>
      </w:hyperlink>
    </w:p>
    <w:p>
      <w:pPr>
        <w:spacing w:after="0" w:line="158" w:lineRule="exact"/>
        <w:rPr>
          <w:rFonts w:ascii="Times New Roman" w:cs="Times New Roman" w:eastAsia="Times New Roman" w:hAnsi="Times New Roman"/>
          <w:sz w:val="17"/>
          <w:szCs w:val="17"/>
          <w:u w:val="single" w:color="auto"/>
          <w:color w:val="0000EE"/>
        </w:rPr>
      </w:pPr>
    </w:p>
    <w:p>
      <w:pPr>
        <w:ind w:left="1320" w:right="100" w:hanging="768"/>
        <w:spacing w:after="0" w:line="289" w:lineRule="auto"/>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10.18.1</w:t>
      </w:r>
      <w:r>
        <w:rPr>
          <w:sz w:val="20"/>
          <w:szCs w:val="20"/>
          <w:color w:val="auto"/>
        </w:rPr>
        <w:tab/>
      </w:r>
      <w:hyperlink r:id="rId94">
        <w:r>
          <w:rPr>
            <w:rFonts w:ascii="Times New Roman" w:cs="Times New Roman" w:eastAsia="Times New Roman" w:hAnsi="Times New Roman"/>
            <w:sz w:val="17"/>
            <w:szCs w:val="17"/>
            <w:u w:val="single" w:color="auto"/>
            <w:color w:val="0000EE"/>
          </w:rPr>
          <w:t>Translation of the Working Capital Loan Contract (USD</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2,000,000), between Global Technology, Inc. and Shanghai</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Pudong Development Bank Co., Ltd., dated May 8, 2019</w:t>
        </w:r>
      </w:hyperlink>
    </w:p>
    <w:p>
      <w:pPr>
        <w:spacing w:after="0" w:line="158" w:lineRule="exact"/>
        <w:rPr>
          <w:rFonts w:ascii="Times New Roman" w:cs="Times New Roman" w:eastAsia="Times New Roman" w:hAnsi="Times New Roman"/>
          <w:sz w:val="17"/>
          <w:szCs w:val="17"/>
          <w:u w:val="single" w:color="auto"/>
          <w:color w:val="0000EE"/>
        </w:rPr>
      </w:pPr>
    </w:p>
    <w:p>
      <w:pPr>
        <w:ind w:left="1320" w:right="14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95">
        <w:r>
          <w:rPr>
            <w:rFonts w:ascii="Times New Roman" w:cs="Times New Roman" w:eastAsia="Times New Roman" w:hAnsi="Times New Roman"/>
            <w:sz w:val="18"/>
            <w:szCs w:val="18"/>
            <w:u w:val="single" w:color="auto"/>
            <w:color w:val="0000EE"/>
          </w:rPr>
          <w:t>Translation of the Financing Credit Line Agreement, dated</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May 24, 2019, between Global Technology, Inc. and</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Shanghai Pudong Development Bank Co., Ltd.</w:t>
        </w:r>
      </w:hyperlink>
    </w:p>
    <w:p>
      <w:pPr>
        <w:spacing w:after="0" w:line="176" w:lineRule="exact"/>
        <w:rPr>
          <w:rFonts w:ascii="Times New Roman" w:cs="Times New Roman" w:eastAsia="Times New Roman" w:hAnsi="Times New Roman"/>
          <w:sz w:val="18"/>
          <w:szCs w:val="18"/>
          <w:u w:val="single" w:color="auto"/>
          <w:color w:val="0000EE"/>
        </w:rPr>
      </w:pPr>
    </w:p>
    <w:p>
      <w:pPr>
        <w:ind w:left="1320" w:right="100" w:hanging="768"/>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10.19.1</w:t>
      </w:r>
      <w:r>
        <w:rPr>
          <w:sz w:val="20"/>
          <w:szCs w:val="20"/>
          <w:color w:val="auto"/>
        </w:rPr>
        <w:tab/>
      </w:r>
      <w:hyperlink r:id="rId96">
        <w:r>
          <w:rPr>
            <w:rFonts w:ascii="Times New Roman" w:cs="Times New Roman" w:eastAsia="Times New Roman" w:hAnsi="Times New Roman"/>
            <w:sz w:val="18"/>
            <w:szCs w:val="18"/>
            <w:u w:val="single" w:color="auto"/>
            <w:color w:val="0000EE"/>
          </w:rPr>
          <w:t>Translation of the Maximum Mortgage Contract (Security</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Agreement), dated May 24, 2019, between Global</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Technology, Inc. and Shanghai Pudong Development Bank</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Co., Ltd.</w:t>
        </w:r>
      </w:hyperlink>
    </w:p>
    <w:p>
      <w:pPr>
        <w:spacing w:after="0" w:line="180" w:lineRule="exact"/>
        <w:rPr>
          <w:rFonts w:ascii="Times New Roman" w:cs="Times New Roman" w:eastAsia="Times New Roman" w:hAnsi="Times New Roman"/>
          <w:sz w:val="18"/>
          <w:szCs w:val="18"/>
          <w:u w:val="single" w:color="auto"/>
          <w:color w:val="0000EE"/>
        </w:rPr>
      </w:pPr>
    </w:p>
    <w:p>
      <w:pPr>
        <w:ind w:left="1320" w:right="26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97">
        <w:r>
          <w:rPr>
            <w:rFonts w:ascii="Times New Roman" w:cs="Times New Roman" w:eastAsia="Times New Roman" w:hAnsi="Times New Roman"/>
            <w:sz w:val="18"/>
            <w:szCs w:val="18"/>
            <w:u w:val="single" w:color="auto"/>
            <w:color w:val="0000EE"/>
          </w:rPr>
          <w:t>Second Amendment to Lease, dated November 11, 2019,</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between Applied Optoelectronics, Inc. and ROIB2</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Breckinridge, LLC.</w:t>
        </w:r>
      </w:hyperlink>
    </w:p>
    <w:p>
      <w:pPr>
        <w:spacing w:after="0" w:line="176" w:lineRule="exact"/>
        <w:rPr>
          <w:rFonts w:ascii="Times New Roman" w:cs="Times New Roman" w:eastAsia="Times New Roman" w:hAnsi="Times New Roman"/>
          <w:sz w:val="18"/>
          <w:szCs w:val="18"/>
          <w:u w:val="single" w:color="auto"/>
          <w:color w:val="0000EE"/>
        </w:rPr>
      </w:pPr>
    </w:p>
    <w:p>
      <w:pPr>
        <w:ind w:left="680"/>
        <w:spacing w:after="0"/>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98">
        <w:r>
          <w:rPr>
            <w:rFonts w:ascii="Times New Roman" w:cs="Times New Roman" w:eastAsia="Times New Roman" w:hAnsi="Times New Roman"/>
            <w:sz w:val="18"/>
            <w:szCs w:val="18"/>
            <w:u w:val="single" w:color="auto"/>
            <w:color w:val="0000EE"/>
          </w:rPr>
          <w:t>Paycheck Protection Program Loan Promissory Note, dated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1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November 9, 2023</w:t>
            </w:r>
          </w:p>
        </w:tc>
      </w:tr>
      <w:tr>
        <w:trPr>
          <w:trHeight w:val="432"/>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r>
        <w:trPr>
          <w:trHeight w:val="1080"/>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10-Q/A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10-Q/A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10-Q/A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648"/>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24, 2018</w:t>
            </w:r>
          </w:p>
        </w:tc>
      </w:tr>
      <w:tr>
        <w:trPr>
          <w:trHeight w:val="648"/>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21, 2018</w:t>
            </w:r>
          </w:p>
        </w:tc>
      </w:tr>
      <w:tr>
        <w:trPr>
          <w:trHeight w:val="648"/>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864"/>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February 28, 2018</w:t>
            </w:r>
          </w:p>
        </w:tc>
      </w:tr>
      <w:tr>
        <w:trPr>
          <w:trHeight w:val="1080"/>
        </w:trPr>
        <w:tc>
          <w:tcPr>
            <w:tcW w:w="7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May 8, 2018</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October 12, 2018</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March 5,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May 6,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13,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13,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31,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May 31, 2019</w:t>
            </w:r>
          </w:p>
        </w:tc>
      </w:tr>
      <w:tr>
        <w:trPr>
          <w:trHeight w:val="1080"/>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November 18, 2019</w:t>
            </w:r>
          </w:p>
        </w:tc>
      </w:tr>
      <w:tr>
        <w:trPr>
          <w:trHeight w:val="864"/>
        </w:trPr>
        <w:tc>
          <w:tcPr>
            <w:tcW w:w="7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April 22, 2020</w:t>
            </w:r>
          </w:p>
        </w:tc>
      </w:tr>
    </w:tbl>
    <w:p>
      <w:pPr>
        <w:sectPr>
          <w:pgSz w:w="11900" w:h="16838" w:orient="portrait"/>
          <w:cols w:equalWidth="0" w:num="2">
            <w:col w:w="5680" w:space="380"/>
            <w:col w:w="4940"/>
          </w:cols>
          <w:pgMar w:left="320" w:top="121" w:right="579" w:bottom="0" w:gutter="0" w:footer="0" w:header="0"/>
        </w:sectPr>
      </w:pPr>
    </w:p>
    <w:bookmarkStart w:id="56" w:name="page57"/>
    <w:bookmarkEnd w:id="56"/>
    <w:p>
      <w:pPr>
        <w:ind w:left="20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April 17, 2020, executed by Applied Optoelectronics, Inc.</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jc w:val="both"/>
        <w:ind w:left="1320" w:right="80" w:hanging="633"/>
        <w:spacing w:after="0" w:line="255"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0">
        <w:r>
          <w:rPr>
            <w:rFonts w:ascii="Times New Roman" w:cs="Times New Roman" w:eastAsia="Times New Roman" w:hAnsi="Times New Roman"/>
            <w:sz w:val="18"/>
            <w:szCs w:val="18"/>
            <w:u w:val="single" w:color="auto"/>
            <w:color w:val="0000EE"/>
          </w:rPr>
          <w:t>Translation of the Maximum Loan Contract between Global</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June 7, 2022.</w:t>
        </w:r>
      </w:hyperlink>
    </w:p>
    <w:p>
      <w:pPr>
        <w:spacing w:after="0" w:line="186" w:lineRule="exact"/>
        <w:rPr>
          <w:rFonts w:ascii="Times New Roman" w:cs="Times New Roman" w:eastAsia="Times New Roman" w:hAnsi="Times New Roman"/>
          <w:sz w:val="18"/>
          <w:szCs w:val="18"/>
          <w:u w:val="single" w:color="auto"/>
          <w:color w:val="0000EE"/>
        </w:rPr>
      </w:pPr>
    </w:p>
    <w:p>
      <w:pPr>
        <w:ind w:left="1320" w:right="240" w:hanging="768"/>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10.22.1</w:t>
      </w:r>
      <w:r>
        <w:rPr>
          <w:sz w:val="20"/>
          <w:szCs w:val="20"/>
          <w:color w:val="auto"/>
        </w:rPr>
        <w:tab/>
      </w:r>
      <w:hyperlink r:id="rId101">
        <w:r>
          <w:rPr>
            <w:rFonts w:ascii="Times New Roman" w:cs="Times New Roman" w:eastAsia="Times New Roman" w:hAnsi="Times New Roman"/>
            <w:sz w:val="18"/>
            <w:szCs w:val="18"/>
            <w:u w:val="single" w:color="auto"/>
            <w:color w:val="0000EE"/>
          </w:rPr>
          <w:t>Translation of the Maximum Mortgage Contract, between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Global Technology, Inc. and China Zheshang Bank Co.,</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Ltd., dated June 7, 2022.</w:t>
        </w:r>
      </w:hyperlink>
    </w:p>
    <w:p>
      <w:pPr>
        <w:spacing w:after="0" w:line="176" w:lineRule="exact"/>
        <w:rPr>
          <w:rFonts w:ascii="Times New Roman" w:cs="Times New Roman" w:eastAsia="Times New Roman" w:hAnsi="Times New Roman"/>
          <w:sz w:val="18"/>
          <w:szCs w:val="18"/>
          <w:u w:val="single" w:color="auto"/>
          <w:color w:val="0000EE"/>
        </w:rPr>
      </w:pPr>
    </w:p>
    <w:p>
      <w:pPr>
        <w:ind w:left="1320" w:right="60" w:hanging="633"/>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02">
        <w:r>
          <w:rPr>
            <w:rFonts w:ascii="Times New Roman" w:cs="Times New Roman" w:eastAsia="Times New Roman" w:hAnsi="Times New Roman"/>
            <w:sz w:val="18"/>
            <w:szCs w:val="18"/>
            <w:u w:val="single" w:color="auto"/>
            <w:color w:val="0000EE"/>
          </w:rPr>
          <w:t>Form of Trademark License Agreement, by and among</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Applied Optoelectronics, Inc., and Global Technology Co.,</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Ltd., and Yuhan Optoelectronic Technology (Shanghai) Co.,</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Ltd.</w:t>
        </w:r>
      </w:hyperlink>
    </w:p>
    <w:p>
      <w:pPr>
        <w:spacing w:after="0" w:line="180" w:lineRule="exact"/>
        <w:rPr>
          <w:rFonts w:ascii="Times New Roman" w:cs="Times New Roman" w:eastAsia="Times New Roman" w:hAnsi="Times New Roman"/>
          <w:sz w:val="18"/>
          <w:szCs w:val="18"/>
          <w:u w:val="single" w:color="auto"/>
          <w:color w:val="0000EE"/>
        </w:rPr>
      </w:pPr>
    </w:p>
    <w:p>
      <w:pPr>
        <w:ind w:left="1320" w:right="60" w:hanging="768"/>
        <w:spacing w:after="0" w:line="261"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10.23.1</w:t>
      </w:r>
      <w:r>
        <w:rPr>
          <w:sz w:val="20"/>
          <w:szCs w:val="20"/>
          <w:color w:val="auto"/>
        </w:rPr>
        <w:tab/>
      </w:r>
      <w:hyperlink r:id="rId103">
        <w:r>
          <w:rPr>
            <w:rFonts w:ascii="Times New Roman" w:cs="Times New Roman" w:eastAsia="Times New Roman" w:hAnsi="Times New Roman"/>
            <w:sz w:val="18"/>
            <w:szCs w:val="18"/>
            <w:u w:val="single" w:color="auto"/>
            <w:color w:val="0000EE"/>
          </w:rPr>
          <w:t>Form of Technology Cross-License Agreement, by and</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among Applied Optoelectronics, Inc., Global Technology</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Co., Ltd., and Yuhan Optoelectronic Technology (Shanghai)</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Co., Ltd.</w:t>
        </w:r>
      </w:hyperlink>
    </w:p>
    <w:p>
      <w:pPr>
        <w:spacing w:after="0" w:line="180" w:lineRule="exact"/>
        <w:rPr>
          <w:rFonts w:ascii="Times New Roman" w:cs="Times New Roman" w:eastAsia="Times New Roman" w:hAnsi="Times New Roman"/>
          <w:sz w:val="18"/>
          <w:szCs w:val="18"/>
          <w:u w:val="single" w:color="auto"/>
          <w:color w:val="0000EE"/>
        </w:rPr>
      </w:pPr>
    </w:p>
    <w:p>
      <w:pPr>
        <w:ind w:left="1320" w:right="360" w:hanging="768"/>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10.23.2** </w:t>
      </w:r>
      <w:hyperlink r:id="rId104">
        <w:r>
          <w:rPr>
            <w:rFonts w:ascii="Times New Roman" w:cs="Times New Roman" w:eastAsia="Times New Roman" w:hAnsi="Times New Roman"/>
            <w:sz w:val="18"/>
            <w:szCs w:val="18"/>
            <w:u w:val="single" w:color="auto"/>
            <w:color w:val="0000EE"/>
          </w:rPr>
          <w:t>Form of Product Supply Agreement, by and between</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Applied Optoelectronics, Inc. and Yuhan Optoelectronic</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Technology (Shanghai) Co., Ltd.</w:t>
        </w:r>
      </w:hyperlink>
    </w:p>
    <w:p>
      <w:pPr>
        <w:spacing w:after="0" w:line="176" w:lineRule="exact"/>
        <w:rPr>
          <w:rFonts w:ascii="Times New Roman" w:cs="Times New Roman" w:eastAsia="Times New Roman" w:hAnsi="Times New Roman"/>
          <w:sz w:val="18"/>
          <w:szCs w:val="18"/>
          <w:color w:val="auto"/>
        </w:rPr>
      </w:pPr>
    </w:p>
    <w:p>
      <w:pPr>
        <w:jc w:val="both"/>
        <w:ind w:left="1320" w:right="80" w:hanging="768"/>
        <w:spacing w:after="0" w:line="289"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10.23.3** </w:t>
      </w:r>
      <w:hyperlink r:id="rId105">
        <w:r>
          <w:rPr>
            <w:rFonts w:ascii="Times New Roman" w:cs="Times New Roman" w:eastAsia="Times New Roman" w:hAnsi="Times New Roman"/>
            <w:sz w:val="17"/>
            <w:szCs w:val="17"/>
            <w:u w:val="single" w:color="auto"/>
            <w:color w:val="0000EE"/>
          </w:rPr>
          <w:t>Form of Contract Manufacturing Agreement, by and among</w:t>
        </w:r>
      </w:hyperlink>
      <w:r>
        <w:rPr>
          <w:rFonts w:ascii="Times New Roman" w:cs="Times New Roman" w:eastAsia="Times New Roman" w:hAnsi="Times New Roman"/>
          <w:sz w:val="17"/>
          <w:szCs w:val="17"/>
          <w:color w:val="auto"/>
        </w:rPr>
        <w:t xml:space="preserve"> </w:t>
      </w:r>
      <w:hyperlink r:id="rId105">
        <w:r>
          <w:rPr>
            <w:rFonts w:ascii="Times New Roman" w:cs="Times New Roman" w:eastAsia="Times New Roman" w:hAnsi="Times New Roman"/>
            <w:sz w:val="17"/>
            <w:szCs w:val="17"/>
            <w:u w:val="single" w:color="auto"/>
            <w:color w:val="0000EE"/>
          </w:rPr>
          <w:t>Applied Optoelectronics, Inc., Global Technology Co., Ltd.,</w:t>
        </w:r>
      </w:hyperlink>
      <w:r>
        <w:rPr>
          <w:rFonts w:ascii="Times New Roman" w:cs="Times New Roman" w:eastAsia="Times New Roman" w:hAnsi="Times New Roman"/>
          <w:sz w:val="17"/>
          <w:szCs w:val="17"/>
          <w:u w:val="single" w:color="auto"/>
          <w:color w:val="0000EE"/>
        </w:rPr>
        <w:t xml:space="preserve"> </w:t>
      </w:r>
      <w:hyperlink r:id="rId105">
        <w:r>
          <w:rPr>
            <w:rFonts w:ascii="Times New Roman" w:cs="Times New Roman" w:eastAsia="Times New Roman" w:hAnsi="Times New Roman"/>
            <w:sz w:val="17"/>
            <w:szCs w:val="17"/>
            <w:u w:val="single" w:color="auto"/>
            <w:color w:val="0000EE"/>
          </w:rPr>
          <w:t>and Yuhan Optoelectronic Technology (Shanghai) Co., Ltd.</w:t>
        </w:r>
      </w:hyperlink>
    </w:p>
    <w:p>
      <w:pPr>
        <w:spacing w:after="0" w:line="158" w:lineRule="exact"/>
        <w:rPr>
          <w:rFonts w:ascii="Times New Roman" w:cs="Times New Roman" w:eastAsia="Times New Roman" w:hAnsi="Times New Roman"/>
          <w:sz w:val="17"/>
          <w:szCs w:val="17"/>
          <w:color w:val="auto"/>
        </w:rPr>
      </w:pPr>
    </w:p>
    <w:p>
      <w:pPr>
        <w:ind w:left="1320" w:right="18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06">
        <w:r>
          <w:rPr>
            <w:rFonts w:ascii="Times New Roman" w:cs="Times New Roman" w:eastAsia="Times New Roman" w:hAnsi="Times New Roman"/>
            <w:sz w:val="18"/>
            <w:szCs w:val="18"/>
            <w:u w:val="single" w:color="auto"/>
            <w:color w:val="0000EE"/>
          </w:rPr>
          <w:t>Loan Security and Guarantee Agreement, dated November</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16, 2022, between Applied Optoelectronics, Inc. and CIT</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Northbridge Credit, LLC.</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18"/>
          <w:szCs w:val="18"/>
          <w:color w:val="0000EE"/>
        </w:rPr>
        <w:tab/>
      </w:r>
      <w:hyperlink r:id="rId107">
        <w:r>
          <w:rPr>
            <w:rFonts w:ascii="Times New Roman" w:cs="Times New Roman" w:eastAsia="Times New Roman" w:hAnsi="Times New Roman"/>
            <w:sz w:val="18"/>
            <w:szCs w:val="18"/>
            <w:color w:val="0000EE"/>
          </w:rPr>
          <w:t>Statement of Work No. 1 – Foundry between Applied</w:t>
        </w:r>
      </w:hyperlink>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Optoelectronics, Inc. and Microsoft Corporation, effective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December 16, 2022</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836295</wp:posOffset>
            </wp:positionH>
            <wp:positionV relativeFrom="paragraph">
              <wp:posOffset>-313055</wp:posOffset>
            </wp:positionV>
            <wp:extent cx="24498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8">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0000EE"/>
        </w:rPr>
      </w:pPr>
    </w:p>
    <w:p>
      <w:pPr>
        <w:ind w:left="1320" w:right="100" w:hanging="768"/>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10.25.1</w:t>
      </w:r>
      <w:r>
        <w:rPr>
          <w:sz w:val="20"/>
          <w:szCs w:val="20"/>
          <w:color w:val="auto"/>
        </w:rPr>
        <w:tab/>
      </w:r>
      <w:hyperlink r:id="rId107">
        <w:r>
          <w:rPr>
            <w:rFonts w:ascii="Times New Roman" w:cs="Times New Roman" w:eastAsia="Times New Roman" w:hAnsi="Times New Roman"/>
            <w:sz w:val="18"/>
            <w:szCs w:val="18"/>
            <w:u w:val="single" w:color="auto"/>
            <w:color w:val="0000EE"/>
          </w:rPr>
          <w:t>Microsoft Corporation Purchase Order Terms &amp; Conditions</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(included as Appendix C to Exhibit 10.1)</w:t>
        </w:r>
      </w:hyperlink>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42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10,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10,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September 15, 2022</w:t>
            </w:r>
          </w:p>
        </w:tc>
      </w:tr>
      <w:tr>
        <w:trPr>
          <w:trHeight w:val="1080"/>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September 15, 2022</w:t>
            </w:r>
          </w:p>
        </w:tc>
      </w:tr>
      <w:tr>
        <w:trPr>
          <w:trHeight w:val="1080"/>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September 15,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September 15,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November 21, 2022</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May 3, 2023</w:t>
            </w:r>
          </w:p>
        </w:tc>
      </w:tr>
      <w:tr>
        <w:trPr>
          <w:trHeight w:val="864"/>
        </w:trPr>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001-36083</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May 3, 2023</w:t>
            </w:r>
          </w:p>
        </w:tc>
      </w:tr>
    </w:tbl>
    <w:p>
      <w:pPr>
        <w:sectPr>
          <w:pgSz w:w="11900" w:h="16838" w:orient="portrait"/>
          <w:cols w:equalWidth="0" w:num="2">
            <w:col w:w="5720" w:space="340"/>
            <w:col w:w="4960"/>
          </w:cols>
          <w:pgMar w:left="320" w:top="121" w:right="559" w:bottom="1440" w:gutter="0" w:footer="0" w:header="0"/>
        </w:sectPr>
      </w:pPr>
    </w:p>
    <w:bookmarkStart w:id="58" w:name="page59"/>
    <w:bookmarkEnd w:id="58"/>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31" w:lineRule="exact"/>
        <w:rPr>
          <w:sz w:val="20"/>
          <w:szCs w:val="20"/>
          <w:color w:val="auto"/>
        </w:rPr>
      </w:pPr>
    </w:p>
    <w:p>
      <w:pPr>
        <w:ind w:left="1320" w:right="240" w:hanging="633"/>
        <w:spacing w:after="0" w:line="255"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0">
        <w:r>
          <w:rPr>
            <w:rFonts w:ascii="Times New Roman" w:cs="Times New Roman" w:eastAsia="Times New Roman" w:hAnsi="Times New Roman"/>
            <w:sz w:val="18"/>
            <w:szCs w:val="18"/>
            <w:u w:val="single" w:color="auto"/>
            <w:color w:val="0000EE"/>
          </w:rPr>
          <w:t>Third Amendment to Lease, dated June 9, 2023, between</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Applied Optoelectronics, Inc. and Albany Road-Breck</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Exchange LLC</w:t>
        </w:r>
      </w:hyperlink>
    </w:p>
    <w:p>
      <w:pPr>
        <w:spacing w:after="0" w:line="186" w:lineRule="exact"/>
        <w:rPr>
          <w:rFonts w:ascii="Times New Roman" w:cs="Times New Roman" w:eastAsia="Times New Roman" w:hAnsi="Times New Roman"/>
          <w:sz w:val="18"/>
          <w:szCs w:val="18"/>
          <w:u w:val="single" w:color="auto"/>
          <w:color w:val="0000EE"/>
        </w:rPr>
      </w:pPr>
    </w:p>
    <w:p>
      <w:pPr>
        <w:jc w:val="both"/>
        <w:ind w:left="1320" w:right="10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18"/>
          <w:szCs w:val="18"/>
          <w:color w:val="0000EE"/>
        </w:rPr>
        <w:tab/>
      </w:r>
      <w:hyperlink r:id="rId111">
        <w:r>
          <w:rPr>
            <w:rFonts w:ascii="Times New Roman" w:cs="Times New Roman" w:eastAsia="Times New Roman" w:hAnsi="Times New Roman"/>
            <w:sz w:val="18"/>
            <w:szCs w:val="18"/>
            <w:color w:val="0000EE"/>
          </w:rPr>
          <w:t>Statement of Work No. 2 – Design and Assembly, between</w:t>
        </w:r>
      </w:hyperlink>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Applied Optoelectronics, Inc. and Microsoft Corporation,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effective June 21, 2023</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836295</wp:posOffset>
            </wp:positionH>
            <wp:positionV relativeFrom="paragraph">
              <wp:posOffset>-313055</wp:posOffset>
            </wp:positionV>
            <wp:extent cx="2689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2">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0000EE"/>
        </w:rPr>
      </w:pPr>
    </w:p>
    <w:p>
      <w:pPr>
        <w:ind w:left="1320" w:right="40" w:hanging="768"/>
        <w:spacing w:after="0" w:line="282"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10.27.1</w:t>
      </w:r>
      <w:r>
        <w:rPr>
          <w:sz w:val="20"/>
          <w:szCs w:val="20"/>
          <w:color w:val="auto"/>
        </w:rPr>
        <w:tab/>
      </w:r>
      <w:hyperlink r:id="rId111">
        <w:r>
          <w:rPr>
            <w:rFonts w:ascii="Times New Roman" w:cs="Times New Roman" w:eastAsia="Times New Roman" w:hAnsi="Times New Roman"/>
            <w:sz w:val="18"/>
            <w:szCs w:val="18"/>
            <w:u w:val="single" w:color="auto"/>
            <w:color w:val="0000EE"/>
          </w:rPr>
          <w:t>Microsoft Corporation Purchase Order Terms &amp; Conditions</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(included as Appendix J to Exhibit 10.1)</w:t>
        </w:r>
      </w:hyperlink>
    </w:p>
    <w:p>
      <w:pPr>
        <w:spacing w:after="0" w:line="162" w:lineRule="exact"/>
        <w:rPr>
          <w:sz w:val="20"/>
          <w:szCs w:val="20"/>
          <w:color w:val="auto"/>
        </w:rPr>
      </w:pPr>
    </w:p>
    <w:p>
      <w:pPr>
        <w:ind w:left="1320" w:right="2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3">
        <w:r>
          <w:rPr>
            <w:rFonts w:ascii="Times New Roman" w:cs="Times New Roman" w:eastAsia="Times New Roman" w:hAnsi="Times New Roman"/>
            <w:sz w:val="18"/>
            <w:szCs w:val="18"/>
            <w:u w:val="single" w:color="auto"/>
            <w:color w:val="0000EE"/>
          </w:rPr>
          <w:t>Form of Exchange Agreement, dated as of November 30,</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2023, between Applied Optoelectronics, Inc. and the</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applicable Noteholders</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20" w:right="220" w:hanging="633"/>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10.29** </w:t>
      </w:r>
      <w:hyperlink r:id="rId114">
        <w:r>
          <w:rPr>
            <w:rFonts w:ascii="Times New Roman" w:cs="Times New Roman" w:eastAsia="Times New Roman" w:hAnsi="Times New Roman"/>
            <w:sz w:val="18"/>
            <w:szCs w:val="18"/>
            <w:u w:val="single" w:color="auto"/>
            <w:color w:val="0000EE"/>
          </w:rPr>
          <w:t>Purchase Agreement, dated as of November 30, 2023, by</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and between Applied Optoelectronics, Inc. and Raymond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James &amp; Associates, Inc.</w:t>
        </w:r>
      </w:hyperlink>
    </w:p>
    <w:p>
      <w:pPr>
        <w:spacing w:after="0" w:line="176" w:lineRule="exact"/>
        <w:rPr>
          <w:rFonts w:ascii="Times New Roman" w:cs="Times New Roman" w:eastAsia="Times New Roman" w:hAnsi="Times New Roman"/>
          <w:sz w:val="18"/>
          <w:szCs w:val="18"/>
          <w:color w:val="auto"/>
        </w:rPr>
      </w:pPr>
    </w:p>
    <w:p>
      <w:pPr>
        <w:ind w:left="1320" w:right="20" w:hanging="633"/>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5">
        <w:r>
          <w:rPr>
            <w:rFonts w:ascii="Times New Roman" w:cs="Times New Roman" w:eastAsia="Times New Roman" w:hAnsi="Times New Roman"/>
            <w:sz w:val="18"/>
            <w:szCs w:val="18"/>
            <w:u w:val="single" w:color="auto"/>
            <w:color w:val="0000EE"/>
          </w:rPr>
          <w:t>Translation of the Asset Pool Agreement, between Global</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December 21, 2023</w:t>
        </w:r>
      </w:hyperlink>
    </w:p>
    <w:p>
      <w:pPr>
        <w:spacing w:after="0" w:line="176" w:lineRule="exact"/>
        <w:rPr>
          <w:rFonts w:ascii="Times New Roman" w:cs="Times New Roman" w:eastAsia="Times New Roman" w:hAnsi="Times New Roman"/>
          <w:sz w:val="18"/>
          <w:szCs w:val="18"/>
          <w:u w:val="single" w:color="auto"/>
          <w:color w:val="0000EE"/>
        </w:rPr>
      </w:pPr>
    </w:p>
    <w:p>
      <w:pPr>
        <w:ind w:left="1320" w:right="20" w:hanging="768"/>
        <w:spacing w:after="0" w:line="266" w:lineRule="auto"/>
        <w:tabs>
          <w:tab w:leader="none" w:pos="13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10.30.1</w:t>
      </w:r>
      <w:r>
        <w:rPr>
          <w:sz w:val="20"/>
          <w:szCs w:val="20"/>
          <w:color w:val="auto"/>
        </w:rPr>
        <w:tab/>
      </w:r>
      <w:hyperlink r:id="rId116">
        <w:r>
          <w:rPr>
            <w:rFonts w:ascii="Times New Roman" w:cs="Times New Roman" w:eastAsia="Times New Roman" w:hAnsi="Times New Roman"/>
            <w:sz w:val="18"/>
            <w:szCs w:val="18"/>
            <w:u w:val="single" w:color="auto"/>
            <w:color w:val="0000EE"/>
          </w:rPr>
          <w:t>Translation of the Pledge Contract, between Global</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Technology, Inc. and China Zheshang Bank Co., Ltd., dated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December 21, 2023</w:t>
        </w:r>
      </w:hyperlink>
    </w:p>
    <w:p>
      <w:pPr>
        <w:spacing w:after="0" w:line="176" w:lineRule="exact"/>
        <w:rPr>
          <w:rFonts w:ascii="Times New Roman" w:cs="Times New Roman" w:eastAsia="Times New Roman" w:hAnsi="Times New Roman"/>
          <w:sz w:val="18"/>
          <w:szCs w:val="18"/>
          <w:u w:val="single" w:color="auto"/>
          <w:color w:val="0000EE"/>
        </w:rPr>
      </w:pPr>
    </w:p>
    <w:p>
      <w:pPr>
        <w:ind w:left="780"/>
        <w:spacing w:after="0"/>
        <w:tabs>
          <w:tab w:leader="none" w:pos="13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17">
        <w:r>
          <w:rPr>
            <w:rFonts w:ascii="Times New Roman" w:cs="Times New Roman" w:eastAsia="Times New Roman" w:hAnsi="Times New Roman"/>
            <w:sz w:val="17"/>
            <w:szCs w:val="17"/>
            <w:u w:val="single" w:color="auto"/>
            <w:color w:val="0000EE"/>
          </w:rPr>
          <w:t>Subsidiaries of the registrant</w:t>
        </w:r>
      </w:hyperlink>
    </w:p>
    <w:p>
      <w:pPr>
        <w:spacing w:after="0" w:line="225" w:lineRule="exact"/>
        <w:rPr>
          <w:rFonts w:ascii="Times New Roman" w:cs="Times New Roman" w:eastAsia="Times New Roman" w:hAnsi="Times New Roman"/>
          <w:sz w:val="18"/>
          <w:szCs w:val="18"/>
          <w:u w:val="single" w:color="auto"/>
          <w:color w:val="0000EE"/>
        </w:rPr>
      </w:pPr>
    </w:p>
    <w:p>
      <w:pPr>
        <w:ind w:left="7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EE"/>
        </w:rPr>
        <w:t>Consent of Grant Thornton LLP</w:t>
      </w:r>
    </w:p>
    <w:p>
      <w:pPr>
        <w:spacing w:after="0" w:line="225" w:lineRule="exact"/>
        <w:rPr>
          <w:rFonts w:ascii="Times New Roman" w:cs="Times New Roman" w:eastAsia="Times New Roman" w:hAnsi="Times New Roman"/>
          <w:sz w:val="18"/>
          <w:szCs w:val="18"/>
          <w:u w:val="single" w:color="auto"/>
          <w:color w:val="0000EE"/>
        </w:rPr>
      </w:pPr>
    </w:p>
    <w:p>
      <w:pPr>
        <w:ind w:left="1320" w:right="260" w:hanging="543"/>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(see the signature page in this Annual Report on Form 10-K).</w:t>
      </w:r>
    </w:p>
    <w:p>
      <w:pPr>
        <w:spacing w:after="0" w:line="162" w:lineRule="exact"/>
        <w:rPr>
          <w:rFonts w:ascii="Times New Roman" w:cs="Times New Roman" w:eastAsia="Times New Roman" w:hAnsi="Times New Roman"/>
          <w:sz w:val="18"/>
          <w:szCs w:val="18"/>
          <w:u w:val="single" w:color="auto"/>
          <w:color w:val="0000EE"/>
        </w:rPr>
      </w:pPr>
    </w:p>
    <w:p>
      <w:pPr>
        <w:ind w:left="1320" w:right="20" w:hanging="543"/>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Principal Executive Officer Required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Rule 13a-14(a) and 15d-14(a) of the Securities Exchange Act of 1934, as amended, as adopted pursuant to Section 302 of The Sarbanes-Oxley Act of 2002.</w:t>
      </w:r>
    </w:p>
    <w:p>
      <w:pPr>
        <w:spacing w:after="0" w:line="180" w:lineRule="exact"/>
        <w:rPr>
          <w:rFonts w:ascii="Times New Roman" w:cs="Times New Roman" w:eastAsia="Times New Roman" w:hAnsi="Times New Roman"/>
          <w:sz w:val="18"/>
          <w:szCs w:val="18"/>
          <w:u w:val="single" w:color="auto"/>
          <w:color w:val="0000EE"/>
        </w:rPr>
      </w:pPr>
    </w:p>
    <w:p>
      <w:pPr>
        <w:ind w:left="1320" w:right="60" w:hanging="543"/>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Principal Financial Officer Required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Rule 13a-14(a) and 15d-14(a) of the Securities Exchange Act of 1934, as amended, as adopted pursuant to Section 302 of The Sarbanes-Oxley Act of 2002.</w:t>
      </w:r>
    </w:p>
    <w:p>
      <w:pPr>
        <w:spacing w:after="0" w:line="180" w:lineRule="exact"/>
        <w:rPr>
          <w:rFonts w:ascii="Times New Roman" w:cs="Times New Roman" w:eastAsia="Times New Roman" w:hAnsi="Times New Roman"/>
          <w:sz w:val="18"/>
          <w:szCs w:val="18"/>
          <w:u w:val="single" w:color="auto"/>
          <w:color w:val="0000EE"/>
        </w:rPr>
      </w:pPr>
    </w:p>
    <w:p>
      <w:pPr>
        <w:ind w:left="1320" w:right="80" w:hanging="543"/>
        <w:spacing w:after="0" w:line="25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Principal Executive Officer and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Financial Officer Required Under Rule 13a-14(a) and 15d-14(a) of the Securities Exchange Act of 1934, as amended, and 18 U.S.C. §1350 as adopted pursuant to Section 906 of The Sarbanes-Oxley Act of 2002.</w:t>
      </w:r>
    </w:p>
    <w:p>
      <w:pPr>
        <w:spacing w:after="0" w:line="183" w:lineRule="exact"/>
        <w:rPr>
          <w:rFonts w:ascii="Times New Roman" w:cs="Times New Roman" w:eastAsia="Times New Roman" w:hAnsi="Times New Roman"/>
          <w:sz w:val="18"/>
          <w:szCs w:val="18"/>
          <w:u w:val="single" w:color="auto"/>
          <w:color w:val="0000EE"/>
        </w:rPr>
      </w:pPr>
    </w:p>
    <w:p>
      <w:pPr>
        <w:ind w:left="90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color w:val="0782C1"/>
        </w:rPr>
        <w:t>Compensation Recovery Policy</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836295</wp:posOffset>
            </wp:positionH>
            <wp:positionV relativeFrom="paragraph">
              <wp:posOffset>-7620</wp:posOffset>
            </wp:positionV>
            <wp:extent cx="1447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8">
                      <a:extLst>
                        <a:ext uri="{28A0092B-C50C-407E-A947-70E740481C1C}"/>
                      </a:extLst>
                    </a:blip>
                    <a:srcRect/>
                    <a:stretch>
                      <a:fillRect/>
                    </a:stretch>
                  </pic:blipFill>
                  <pic:spPr bwMode="auto">
                    <a:xfrm>
                      <a:off x="0" y="0"/>
                      <a:ext cx="1447165" cy="889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tbl>
      <w:tblPr>
        <w:tblLayout w:type="fixed"/>
        <w:tblInd w:w="420" w:type="dxa"/>
        <w:tblCellMar>
          <w:top w:w="0" w:type="dxa"/>
          <w:left w:w="0" w:type="dxa"/>
          <w:bottom w:w="0" w:type="dxa"/>
          <w:right w:w="0" w:type="dxa"/>
        </w:tblCellMar>
      </w:tblPr>
      <w:tr>
        <w:trPr>
          <w:trHeight w:val="234"/>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101.INS</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101.SCH</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4"/>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101.CAL</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101.DEF</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101.LAB</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98" w:lineRule="exact"/>
        <w:rPr>
          <w:rFonts w:ascii="Times New Roman" w:cs="Times New Roman" w:eastAsia="Times New Roman" w:hAnsi="Times New Roman"/>
          <w:sz w:val="18"/>
          <w:szCs w:val="18"/>
          <w:u w:val="single" w:color="auto"/>
          <w:color w:val="0000EE"/>
        </w:rPr>
      </w:pPr>
    </w:p>
    <w:p>
      <w:pPr>
        <w:ind w:left="1320" w:hanging="502"/>
        <w:spacing w:after="0" w:line="282" w:lineRule="auto"/>
        <w:tabs>
          <w:tab w:leader="none" w:pos="13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1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20"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2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0"/>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72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3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14,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21,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June 21, 2023</w:t>
            </w:r>
          </w:p>
        </w:tc>
      </w:tr>
      <w:tr>
        <w:trPr>
          <w:trHeight w:val="648"/>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1,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5,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27, 2023</w:t>
            </w:r>
          </w:p>
        </w:tc>
      </w:tr>
      <w:tr>
        <w:trPr>
          <w:trHeight w:val="86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001-36083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December 27, 2023</w:t>
            </w:r>
          </w:p>
        </w:tc>
      </w:tr>
      <w:tr>
        <w:trPr>
          <w:trHeight w:val="864"/>
        </w:trPr>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333-190591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August 13, 2013</w:t>
            </w:r>
          </w:p>
        </w:tc>
      </w:tr>
    </w:tbl>
    <w:p>
      <w:pPr>
        <w:sectPr>
          <w:pgSz w:w="11900" w:h="16850" w:orient="portrait"/>
          <w:cols w:equalWidth="0" w:num="2">
            <w:col w:w="5660" w:space="440"/>
            <w:col w:w="4900"/>
          </w:cols>
          <w:pgMar w:left="320" w:top="121" w:right="579" w:bottom="0" w:gutter="0" w:footer="0" w:header="0"/>
        </w:sectPr>
      </w:pPr>
    </w:p>
    <w:bookmarkStart w:id="59" w:name="page60"/>
    <w:bookmarkEnd w:id="59"/>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has been granted for portions of this document.</w:t>
      </w:r>
    </w:p>
    <w:p>
      <w:pPr>
        <w:spacing w:after="0" w:line="20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and Exchange Act of 1934, the registrant has duly caused this Form 10-K to be signed on its behalf by the undersigned, thereunto duly authorized.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CHIH-HSIANG (THOMPSON) LIN</w:t>
            </w:r>
          </w:p>
        </w:tc>
      </w:tr>
      <w:tr>
        <w:trPr>
          <w:trHeight w:val="189"/>
        </w:trPr>
        <w:tc>
          <w:tcPr>
            <w:tcW w:w="320" w:type="dxa"/>
            <w:vAlign w:val="bottom"/>
          </w:tcPr>
          <w:p>
            <w:pPr>
              <w:spacing w:after="0"/>
              <w:rPr>
                <w:sz w:val="16"/>
                <w:szCs w:val="16"/>
                <w:color w:val="auto"/>
              </w:rPr>
            </w:pPr>
          </w:p>
        </w:tc>
        <w:tc>
          <w:tcPr>
            <w:tcW w:w="5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CHIH-HSIANG (THOMPSON) LIN,</w:t>
            </w:r>
          </w:p>
        </w:tc>
      </w:tr>
      <w:tr>
        <w:trPr>
          <w:trHeight w:val="216"/>
        </w:trPr>
        <w:tc>
          <w:tcPr>
            <w:tcW w:w="3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and</w:t>
            </w:r>
          </w:p>
        </w:tc>
      </w:tr>
      <w:tr>
        <w:trPr>
          <w:trHeight w:val="236"/>
        </w:trPr>
        <w:tc>
          <w:tcPr>
            <w:tcW w:w="3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r>
    </w:tbl>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158" w:lineRule="exact"/>
        <w:rPr>
          <w:sz w:val="20"/>
          <w:szCs w:val="20"/>
          <w:color w:val="auto"/>
        </w:rPr>
      </w:pPr>
    </w:p>
    <w:p>
      <w:pPr>
        <w:ind w:left="244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CHIH-HSIANG (THOMPSON) LIN,</w:t>
      </w:r>
    </w:p>
    <w:p>
      <w:pPr>
        <w:spacing w:after="0" w:line="23" w:lineRule="exact"/>
        <w:rPr>
          <w:sz w:val="20"/>
          <w:szCs w:val="20"/>
          <w:color w:val="auto"/>
        </w:rPr>
      </w:pPr>
    </w:p>
    <w:p>
      <w:pPr>
        <w:jc w:val="center"/>
        <w:ind w:right="720"/>
        <w:spacing w:after="0"/>
        <w:tabs>
          <w:tab w:leader="none" w:pos="3540" w:val="left"/>
        </w:tabs>
        <w:rPr>
          <w:sz w:val="20"/>
          <w:szCs w:val="20"/>
          <w:color w:val="auto"/>
        </w:rPr>
      </w:pPr>
      <w:r>
        <w:rPr>
          <w:rFonts w:ascii="Times New Roman" w:cs="Times New Roman" w:eastAsia="Times New Roman" w:hAnsi="Times New Roman"/>
          <w:sz w:val="18"/>
          <w:szCs w:val="18"/>
          <w:i w:val="1"/>
          <w:iCs w:val="1"/>
          <w:color w:val="auto"/>
        </w:rPr>
        <w:t>President, Chief Executive Officer and</w:t>
      </w:r>
      <w:r>
        <w:rPr>
          <w:sz w:val="20"/>
          <w:szCs w:val="20"/>
          <w:color w:val="auto"/>
        </w:rPr>
        <w:tab/>
      </w:r>
      <w:r>
        <w:rPr>
          <w:rFonts w:ascii="Times New Roman" w:cs="Times New Roman" w:eastAsia="Times New Roman" w:hAnsi="Times New Roman"/>
          <w:sz w:val="18"/>
          <w:szCs w:val="18"/>
          <w:color w:val="auto"/>
        </w:rPr>
        <w:t>February 23, 2024</w:t>
      </w:r>
    </w:p>
    <w:p>
      <w:pPr>
        <w:spacing w:after="0" w:line="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STEFAN J. MURRY,</w:t>
      </w:r>
    </w:p>
    <w:p>
      <w:pPr>
        <w:spacing w:after="0" w:line="23" w:lineRule="exact"/>
        <w:rPr>
          <w:sz w:val="20"/>
          <w:szCs w:val="20"/>
          <w:color w:val="auto"/>
        </w:rPr>
      </w:pPr>
    </w:p>
    <w:p>
      <w:pPr>
        <w:ind w:left="1700" w:right="2140" w:firstLine="27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Chief Financial Officer </w:t>
      </w:r>
      <w:r>
        <w:rPr>
          <w:rFonts w:ascii="Times New Roman" w:cs="Times New Roman" w:eastAsia="Times New Roman" w:hAnsi="Times New Roman"/>
          <w:sz w:val="18"/>
          <w:szCs w:val="18"/>
          <w:color w:val="auto"/>
        </w:rPr>
        <w:t>February 23, 2024</w:t>
      </w:r>
      <w:r>
        <w:rPr>
          <w:rFonts w:ascii="Times New Roman" w:cs="Times New Roman" w:eastAsia="Times New Roman" w:hAnsi="Times New Roman"/>
          <w:sz w:val="18"/>
          <w:szCs w:val="18"/>
          <w:i w:val="1"/>
          <w:iCs w:val="1"/>
          <w:color w:val="auto"/>
        </w:rPr>
        <w:t xml:space="preserve"> (principal financial officer and</w:t>
      </w:r>
    </w:p>
    <w:p>
      <w:pPr>
        <w:spacing w:after="0" w:line="2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3" w:lineRule="exact"/>
        <w:rPr>
          <w:sz w:val="20"/>
          <w:szCs w:val="20"/>
          <w:color w:val="auto"/>
        </w:rPr>
      </w:pPr>
    </w:p>
    <w:p>
      <w:pPr>
        <w:ind w:left="2440"/>
        <w:spacing w:after="0"/>
        <w:tabs>
          <w:tab w:leader="none" w:pos="82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2080"/>
        <w:spacing w:after="0"/>
        <w:tabs>
          <w:tab w:leader="none" w:pos="7740" w:val="left"/>
        </w:tabs>
        <w:rPr>
          <w:sz w:val="20"/>
          <w:szCs w:val="20"/>
          <w:color w:val="auto"/>
        </w:rPr>
      </w:pPr>
      <w:r>
        <w:rPr>
          <w:rFonts w:ascii="Times New Roman" w:cs="Times New Roman" w:eastAsia="Times New Roman" w:hAnsi="Times New Roman"/>
          <w:sz w:val="18"/>
          <w:szCs w:val="18"/>
          <w:color w:val="auto"/>
        </w:rPr>
        <w:t>WILLIAM H. YEH,</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960"/>
        <w:spacing w:after="0"/>
        <w:tabs>
          <w:tab w:leader="none" w:pos="7740" w:val="left"/>
        </w:tabs>
        <w:rPr>
          <w:sz w:val="20"/>
          <w:szCs w:val="20"/>
          <w:color w:val="auto"/>
        </w:rPr>
      </w:pPr>
      <w:r>
        <w:rPr>
          <w:rFonts w:ascii="Times New Roman" w:cs="Times New Roman" w:eastAsia="Times New Roman" w:hAnsi="Times New Roman"/>
          <w:sz w:val="18"/>
          <w:szCs w:val="18"/>
          <w:color w:val="auto"/>
        </w:rPr>
        <w:t>RICHARD B. BLACK,</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240"/>
        <w:spacing w:after="0"/>
        <w:tabs>
          <w:tab w:leader="none" w:pos="7740" w:val="left"/>
        </w:tabs>
        <w:rPr>
          <w:sz w:val="20"/>
          <w:szCs w:val="20"/>
          <w:color w:val="auto"/>
        </w:rPr>
      </w:pPr>
      <w:r>
        <w:rPr>
          <w:rFonts w:ascii="Times New Roman" w:cs="Times New Roman" w:eastAsia="Times New Roman" w:hAnsi="Times New Roman"/>
          <w:sz w:val="18"/>
          <w:szCs w:val="18"/>
          <w:color w:val="auto"/>
        </w:rPr>
        <w:t>CHE-WEI LIN,</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CYNTHIA (CINDY)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580"/>
        <w:spacing w:after="0"/>
        <w:tabs>
          <w:tab w:leader="none" w:pos="7740" w:val="left"/>
        </w:tabs>
        <w:rPr>
          <w:sz w:val="20"/>
          <w:szCs w:val="20"/>
          <w:color w:val="auto"/>
        </w:rPr>
      </w:pPr>
      <w:r>
        <w:rPr>
          <w:rFonts w:ascii="Times New Roman" w:cs="Times New Roman" w:eastAsia="Times New Roman" w:hAnsi="Times New Roman"/>
          <w:sz w:val="18"/>
          <w:szCs w:val="18"/>
          <w:color w:val="auto"/>
        </w:rPr>
        <w:t>CYNTHIA (CINDY) DELANEY,</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 ELIZABETH LOBOA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960"/>
        <w:spacing w:after="0"/>
        <w:tabs>
          <w:tab w:leader="none" w:pos="7740" w:val="left"/>
        </w:tabs>
        <w:rPr>
          <w:sz w:val="20"/>
          <w:szCs w:val="20"/>
          <w:color w:val="auto"/>
        </w:rPr>
      </w:pPr>
      <w:r>
        <w:rPr>
          <w:rFonts w:ascii="Times New Roman" w:cs="Times New Roman" w:eastAsia="Times New Roman" w:hAnsi="Times New Roman"/>
          <w:sz w:val="18"/>
          <w:szCs w:val="18"/>
          <w:color w:val="auto"/>
        </w:rPr>
        <w:t>ELIZABETH LOBOA,</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820"/>
        <w:spacing w:after="0"/>
        <w:tabs>
          <w:tab w:leader="none" w:pos="7740" w:val="left"/>
        </w:tabs>
        <w:rPr>
          <w:sz w:val="20"/>
          <w:szCs w:val="20"/>
          <w:color w:val="auto"/>
        </w:rPr>
      </w:pPr>
      <w:r>
        <w:rPr>
          <w:rFonts w:ascii="Times New Roman" w:cs="Times New Roman" w:eastAsia="Times New Roman" w:hAnsi="Times New Roman"/>
          <w:sz w:val="18"/>
          <w:szCs w:val="18"/>
          <w:color w:val="auto"/>
        </w:rPr>
        <w:t>MIN-CHU (MIKE) CHEN,</w:t>
      </w:r>
      <w:r>
        <w:rPr>
          <w:sz w:val="20"/>
          <w:szCs w:val="20"/>
          <w:color w:val="auto"/>
        </w:rPr>
        <w:tab/>
      </w:r>
      <w:r>
        <w:rPr>
          <w:rFonts w:ascii="Times New Roman" w:cs="Times New Roman" w:eastAsia="Times New Roman" w:hAnsi="Times New Roman"/>
          <w:sz w:val="18"/>
          <w:szCs w:val="18"/>
          <w:color w:val="auto"/>
        </w:rPr>
        <w:t>February 23, 2024</w:t>
      </w:r>
    </w:p>
    <w:p>
      <w:pPr>
        <w:spacing w:after="0" w:line="2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Director</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385"/>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highlight w:val="white"/>
              </w:rPr>
              <w:t>(PCAOB ID Number 248)</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F-2</w:t>
            </w: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gridSpan w:val="5"/>
          </w:tcPr>
          <w:p>
            <w:pPr>
              <w:spacing w:after="0"/>
              <w:rPr>
                <w:sz w:val="24"/>
                <w:szCs w:val="24"/>
                <w:color w:val="auto"/>
              </w:rPr>
            </w:pPr>
          </w:p>
        </w:tc>
        <w:tc>
          <w:tcPr>
            <w:tcW w:w="6460" w:type="dxa"/>
            <w:vAlign w:val="bottom"/>
            <w:gridSpan w:val="2"/>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2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(Loss)</w:t>
            </w:r>
          </w:p>
        </w:tc>
        <w:tc>
          <w:tcPr>
            <w:tcW w:w="64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3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700" w:type="dxa"/>
            <w:vAlign w:val="bottom"/>
            <w:gridSpan w:val="2"/>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80" w:type="dxa"/>
            <w:vAlign w:val="bottom"/>
            <w:gridSpan w:val="2"/>
          </w:tcPr>
          <w:p>
            <w:pPr>
              <w:spacing w:after="0"/>
              <w:rPr>
                <w:sz w:val="24"/>
                <w:szCs w:val="24"/>
                <w:color w:val="auto"/>
              </w:rPr>
            </w:pPr>
          </w:p>
        </w:tc>
        <w:tc>
          <w:tcPr>
            <w:tcW w:w="7120" w:type="dxa"/>
            <w:vAlign w:val="bottom"/>
            <w:gridSpan w:val="3"/>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F-8</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F-9</w:t>
            </w:r>
          </w:p>
        </w:tc>
      </w:tr>
      <w:tr>
        <w:trPr>
          <w:trHeight w:val="466"/>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1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Optoelectronics, Inc.</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left="160" w:right="1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Applied Optoelectronics, Inc. (a Delaware corporation) and subsidiaries (the “Company”) as of December 31, 2023 and 2022, the related consolidated statements of operations, comprehensive income (loss), changes in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90" w:lineRule="exact"/>
        <w:rPr>
          <w:sz w:val="20"/>
          <w:szCs w:val="20"/>
          <w:color w:val="auto"/>
        </w:rPr>
      </w:pPr>
    </w:p>
    <w:p>
      <w:pPr>
        <w:ind w:left="160"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23, 2024 expressed an unqualified opinion.</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1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Inventory Reserve</w:t>
      </w:r>
    </w:p>
    <w:p>
      <w:pPr>
        <w:spacing w:after="0" w:line="29" w:lineRule="exact"/>
        <w:rPr>
          <w:sz w:val="20"/>
          <w:szCs w:val="20"/>
          <w:color w:val="auto"/>
        </w:rPr>
      </w:pPr>
    </w:p>
    <w:p>
      <w:pPr>
        <w:ind w:left="160" w:right="60"/>
        <w:spacing w:after="0" w:line="250" w:lineRule="auto"/>
        <w:rPr>
          <w:sz w:val="20"/>
          <w:szCs w:val="20"/>
          <w:color w:val="auto"/>
        </w:rPr>
      </w:pPr>
      <w:r>
        <w:rPr>
          <w:rFonts w:ascii="Times New Roman" w:cs="Times New Roman" w:eastAsia="Times New Roman" w:hAnsi="Times New Roman"/>
          <w:sz w:val="18"/>
          <w:szCs w:val="18"/>
          <w:color w:val="auto"/>
        </w:rPr>
        <w:t>As described further in Note B to the financial statements, the Company assesses the valuation of its inventory on a periodic basis and provides a reserve based on several factors including products’ life span and management’s estimates of future demand. We identified the accounting for the inventory reserve as a critical audit matter.</w:t>
      </w:r>
    </w:p>
    <w:p>
      <w:pPr>
        <w:spacing w:after="0" w:line="1" w:lineRule="exact"/>
        <w:rPr>
          <w:sz w:val="20"/>
          <w:szCs w:val="20"/>
          <w:color w:val="auto"/>
        </w:rPr>
      </w:pPr>
    </w:p>
    <w:p>
      <w:pPr>
        <w:ind w:left="160" w:right="240"/>
        <w:spacing w:after="0" w:line="250" w:lineRule="auto"/>
        <w:rPr>
          <w:sz w:val="20"/>
          <w:szCs w:val="20"/>
          <w:color w:val="auto"/>
        </w:rPr>
      </w:pPr>
      <w:r>
        <w:rPr>
          <w:rFonts w:ascii="Times New Roman" w:cs="Times New Roman" w:eastAsia="Times New Roman" w:hAnsi="Times New Roman"/>
          <w:sz w:val="18"/>
          <w:szCs w:val="18"/>
          <w:color w:val="auto"/>
        </w:rPr>
        <w:t>The principal considerations for our determination that accounting for the inventory reserve is a critical audit matter are the judgments and estimates associated with management’s determination of inventory reserve adjustments, due to the nature of the inputs and assumptions used in the process and that the reserve is subject to estimation uncertainty and requires auditor subjectivity in evaluating reasonableness. Management developed certain percentages that determine the extent of inventory reserves based on the age and quantity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audit procedures related to the accounting for the inventory reserve included the following:</w:t>
      </w:r>
    </w:p>
    <w:p>
      <w:pPr>
        <w:spacing w:after="0" w:line="207" w:lineRule="exact"/>
        <w:rPr>
          <w:sz w:val="20"/>
          <w:szCs w:val="20"/>
          <w:color w:val="auto"/>
        </w:rPr>
      </w:pPr>
    </w:p>
    <w:p>
      <w:pPr>
        <w:ind w:left="940" w:hanging="325"/>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qualifications and competence of management and evaluated the methodologies used to determine the inventory reserve;</w:t>
      </w:r>
    </w:p>
    <w:p>
      <w:pPr>
        <w:spacing w:after="0" w:line="27" w:lineRule="exact"/>
        <w:rPr>
          <w:rFonts w:ascii="Times New Roman" w:cs="Times New Roman" w:eastAsia="Times New Roman" w:hAnsi="Times New Roman"/>
          <w:sz w:val="18"/>
          <w:szCs w:val="18"/>
          <w:color w:val="auto"/>
        </w:rPr>
      </w:pPr>
    </w:p>
    <w:p>
      <w:pPr>
        <w:ind w:left="940" w:right="40" w:hanging="325"/>
        <w:spacing w:after="0" w:line="250"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related to the accounting for the inventory reserve, including controls relating to management’s development of the reserve; and</w:t>
      </w:r>
    </w:p>
    <w:p>
      <w:pPr>
        <w:ind w:left="940" w:right="240" w:hanging="325"/>
        <w:spacing w:after="0" w:line="250" w:lineRule="auto"/>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the underlying inventory aging report and agreed the balances to the general ledger to test for completeness and performed the following:</w:t>
      </w: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unit price and agreed such unit price to inventory details;</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inventory items to re-age;</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underlying source of information and the mathematical accuracy of the calculation used in the inventory reserve; and</w:t>
      </w:r>
    </w:p>
    <w:p>
      <w:pPr>
        <w:spacing w:after="0" w:line="9" w:lineRule="exact"/>
        <w:rPr>
          <w:rFonts w:ascii="Times New Roman" w:cs="Times New Roman" w:eastAsia="Times New Roman" w:hAnsi="Times New Roman"/>
          <w:sz w:val="18"/>
          <w:szCs w:val="18"/>
          <w:color w:val="auto"/>
        </w:rPr>
      </w:pPr>
    </w:p>
    <w:p>
      <w:pPr>
        <w:ind w:left="1260" w:hanging="334"/>
        <w:spacing w:after="0"/>
        <w:tabs>
          <w:tab w:leader="none" w:pos="12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sensitivity of the inputs utilized in the reserve calculation.</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9" w:lineRule="exact"/>
        <w:rPr>
          <w:sz w:val="20"/>
          <w:szCs w:val="20"/>
          <w:color w:val="auto"/>
        </w:rPr>
      </w:pPr>
    </w:p>
    <w:p>
      <w:pPr>
        <w:ind w:left="160" w:right="20"/>
        <w:spacing w:after="0" w:line="250" w:lineRule="auto"/>
        <w:rPr>
          <w:sz w:val="20"/>
          <w:szCs w:val="20"/>
          <w:color w:val="auto"/>
        </w:rPr>
      </w:pPr>
      <w:r>
        <w:rPr>
          <w:rFonts w:ascii="Times New Roman" w:cs="Times New Roman" w:eastAsia="Times New Roman" w:hAnsi="Times New Roman"/>
          <w:sz w:val="18"/>
          <w:szCs w:val="18"/>
          <w:color w:val="auto"/>
        </w:rPr>
        <w:t>As described further in Note B to the financial statements, the Company accounts for impairment of long-lived assets in accordance with ASC 360, Property, Plant and Equipment (“ASC 360”). Long-lived assets consist primarily of property, plant and equipment, right-of-use assets and intangible assets.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group. If assets are determined not to be recoverable, the Company performs an analysis of the fair value of the asset group and will recognize an impairment loss when the fair value is less than the carrying amounts of such assets. The undiscounted future net cash flows, and any subsequent fair value determination, are based on assumptions and projections that require subjective judgments. We identified the long-lived assets impairment assessment and cash flow analysis as a critical audit matter.</w:t>
      </w:r>
    </w:p>
    <w:p>
      <w:pPr>
        <w:spacing w:after="0" w:line="4" w:lineRule="exact"/>
        <w:rPr>
          <w:sz w:val="20"/>
          <w:szCs w:val="20"/>
          <w:color w:val="auto"/>
        </w:rPr>
      </w:pPr>
    </w:p>
    <w:p>
      <w:pPr>
        <w:ind w:left="160" w:right="440"/>
        <w:spacing w:after="0" w:line="290" w:lineRule="auto"/>
        <w:rPr>
          <w:sz w:val="20"/>
          <w:szCs w:val="20"/>
          <w:color w:val="auto"/>
        </w:rPr>
      </w:pPr>
      <w:r>
        <w:rPr>
          <w:rFonts w:ascii="Times New Roman" w:cs="Times New Roman" w:eastAsia="Times New Roman" w:hAnsi="Times New Roman"/>
          <w:sz w:val="17"/>
          <w:szCs w:val="17"/>
          <w:color w:val="auto"/>
        </w:rPr>
        <w:t>The principal consideration for our determination that the long-lived assets impairment assessment and cash flow analysis represents a critical audit matter is the judgments and assumptions associated with management’s determination of the recoverability of the long-lived assets including any</w:t>
      </w:r>
    </w:p>
    <w:p>
      <w:pPr>
        <w:sectPr>
          <w:pgSz w:w="11900" w:h="16838" w:orient="portrait"/>
          <w:cols w:equalWidth="0" w:num="1">
            <w:col w:w="11220"/>
          </w:cols>
          <w:pgMar w:left="320" w:top="121" w:right="359" w:bottom="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t>subsequent fair value assessments. Auditing the undiscounted future net cash flows involved a high degree of subjectivity, auditor judgment and audit effort in evaluating management’s significant assumptions primarily due to the sensitivity of the underlying significant assumptions used in the cash flow analysis. The Company used an undiscounted cash flow model to assess the recoverability of the long-lived assets, which included assumptions such as revenue growth rates, operating expenses, earnings before interest, taxes, depreciation, and amortization (“EBITDA”) margins, capital expenditures, asset grouping, forecast period and future sales values. These significant assumptions are forward looking and could be affected by future economic and market conditions.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assessment of long-lived asset impairment and cash flow analysis included the following:</w:t>
      </w:r>
    </w:p>
    <w:p>
      <w:pPr>
        <w:spacing w:after="0" w:line="207" w:lineRule="exact"/>
        <w:rPr>
          <w:sz w:val="20"/>
          <w:szCs w:val="20"/>
          <w:color w:val="auto"/>
        </w:rPr>
      </w:pPr>
    </w:p>
    <w:p>
      <w:pPr>
        <w:ind w:left="780" w:right="160" w:hanging="325"/>
        <w:spacing w:after="0" w:line="261"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qualifications and competence of management and evaluated the methodologies used in the impairment assessment of long-lived assets;</w:t>
      </w:r>
    </w:p>
    <w:p>
      <w:pPr>
        <w:ind w:left="780" w:right="100" w:hanging="325"/>
        <w:spacing w:after="0" w:line="250"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key controls related to the accounting for possible impairment, including controls relating to management’s development of forecasts for revenue growth rates, operating expenses, EBITDA margins, capital expenditures, asset grouping, forecast period and future sales values;</w:t>
      </w:r>
    </w:p>
    <w:p>
      <w:pPr>
        <w:spacing w:after="0" w:line="1" w:lineRule="exact"/>
        <w:rPr>
          <w:rFonts w:ascii="Times New Roman" w:cs="Times New Roman" w:eastAsia="Times New Roman" w:hAnsi="Times New Roman"/>
          <w:sz w:val="18"/>
          <w:szCs w:val="18"/>
          <w:color w:val="auto"/>
        </w:rPr>
      </w:pPr>
    </w:p>
    <w:p>
      <w:pPr>
        <w:ind w:left="780" w:right="100" w:hanging="325"/>
        <w:spacing w:after="0" w:line="250"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assumptions, including testing of underlying source information and the mathematical accuracy of the calculations, used within the undiscounted cash flow models to estimate the recoverability of long-lived assets, which included assumptions such as revenue growth rates, operating expenses, EBITDA margins, capital expenditures, asset grouping, forecast period and future sales values;</w:t>
      </w:r>
    </w:p>
    <w:p>
      <w:pPr>
        <w:spacing w:after="0" w:line="1"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Company’s ability to forecast future cash flows by reviewing actual results compared to amounts previously forecasted; and</w:t>
      </w:r>
    </w:p>
    <w:p>
      <w:pPr>
        <w:spacing w:after="0" w:line="9" w:lineRule="exact"/>
        <w:rPr>
          <w:rFonts w:ascii="Times New Roman" w:cs="Times New Roman" w:eastAsia="Times New Roman" w:hAnsi="Times New Roman"/>
          <w:sz w:val="18"/>
          <w:szCs w:val="18"/>
          <w:color w:val="auto"/>
        </w:rPr>
      </w:pPr>
    </w:p>
    <w:p>
      <w:pPr>
        <w:ind w:left="780" w:hanging="325"/>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sensitivity of the undiscounted cash flows utilized in the recoverability test.</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the par value)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45,366</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24,685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 of allowance of $3 and $28,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61,175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receivable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79,679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172,605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183,164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200,317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210,184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right of use asset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389,186</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408,263</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32,892</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lease liability - operating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liability - financing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57,074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convertible notes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76,233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liability - operating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174,317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at $0.001 par value; no shares issued and outstanding at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80,000 shares authorized at $0.001 par value; 38,148 and 28,622 shares issued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2023 and December 31, 2022,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478,972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(209,068)</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50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217,646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222,818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211,565</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158,725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189,191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173,850</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58,921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33,627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37,715</w:t>
            </w:r>
          </w:p>
        </w:tc>
      </w:tr>
      <w:tr>
        <w:trPr>
          <w:trHeight w:val="210"/>
        </w:trPr>
        <w:tc>
          <w:tcPr>
            <w:tcW w:w="2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41,220</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11,069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10,899</w:t>
            </w: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42,362</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100,270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94,481</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(56,766)</w:t>
            </w:r>
          </w:p>
        </w:tc>
      </w:tr>
      <w:tr>
        <w:trPr>
          <w:trHeight w:val="209"/>
        </w:trPr>
        <w:tc>
          <w:tcPr>
            <w:tcW w:w="29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(9,428)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(5,620)</w:t>
            </w: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(5,871)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8,156</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(14,690)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(56,039)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(54,160)</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(56,048)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(66,397)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(54,162)</w:t>
            </w:r>
          </w:p>
        </w:tc>
      </w:tr>
      <w:tr>
        <w:trPr>
          <w:trHeight w:val="197"/>
        </w:trPr>
        <w:tc>
          <w:tcPr>
            <w:tcW w:w="296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3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2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31,944,259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27,846,387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26,912,141</w:t>
            </w:r>
          </w:p>
        </w:tc>
      </w:tr>
      <w:tr>
        <w:trPr>
          <w:trHeight w:val="234"/>
        </w:trPr>
        <w:tc>
          <w:tcPr>
            <w:tcW w:w="2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31,944,259</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27,846,387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26,912,141</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5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0" w:type="dxa"/>
            <w:vAlign w:val="bottom"/>
            <w:gridSpan w:val="2"/>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(56,048)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(66,397)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(54,162)</w:t>
            </w: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Gain/(Loss) on foreign currency translation adjustment</w:t>
            </w: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4,381</w:t>
            </w:r>
          </w:p>
        </w:tc>
      </w:tr>
      <w:tr>
        <w:trPr>
          <w:trHeight w:val="20"/>
        </w:trPr>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2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(57,256)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(80,285)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(49,781)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1"/>
          </w:tcPr>
          <w:p>
            <w:pPr>
              <w:ind w:left="60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0" w:type="dxa"/>
            <w:vAlign w:val="bottom"/>
            <w:gridSpan w:val="1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11"/>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Years ended December 2021, 2022 and 2023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4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Borders>
              <w:top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2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354,685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11,690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(88,509)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277,891</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15,288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15,289</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(54,162)</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381,143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16,071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(142,671)</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254,570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(13,888)</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(66,397)</w:t>
            </w: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391,526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(209,068)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184,670</w:t>
            </w:r>
          </w:p>
        </w:tc>
        <w:tc>
          <w:tcPr>
            <w:tcW w:w="0" w:type="dxa"/>
            <w:vAlign w:val="bottom"/>
          </w:tcPr>
          <w:p>
            <w:pPr>
              <w:spacing w:after="0"/>
              <w:rPr>
                <w:sz w:val="1"/>
                <w:szCs w:val="1"/>
                <w:color w:val="auto"/>
              </w:rPr>
            </w:pPr>
          </w:p>
        </w:tc>
      </w:tr>
      <w:tr>
        <w:trPr>
          <w:trHeight w:val="178"/>
        </w:trPr>
        <w:tc>
          <w:tcPr>
            <w:tcW w:w="2060" w:type="dxa"/>
            <w:vAlign w:val="bottom"/>
            <w:tcBorders>
              <w:top w:val="single" w:sz="8" w:color="CCEEFF"/>
            </w:tcBorders>
            <w:gridSpan w:val="2"/>
          </w:tcPr>
          <w:p>
            <w:pPr>
              <w:spacing w:after="0" w:line="178" w:lineRule="exact"/>
              <w:rPr>
                <w:sz w:val="20"/>
                <w:szCs w:val="20"/>
                <w:color w:val="auto"/>
              </w:rPr>
            </w:pPr>
            <w:r>
              <w:rPr>
                <w:rFonts w:ascii="Times New Roman" w:cs="Times New Roman" w:eastAsia="Times New Roman" w:hAnsi="Times New Roman"/>
                <w:sz w:val="18"/>
                <w:szCs w:val="18"/>
                <w:color w:val="auto"/>
              </w:rPr>
              <w:t>Public offering of</w:t>
            </w: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net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76,498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76,506</w:t>
            </w:r>
          </w:p>
        </w:tc>
        <w:tc>
          <w:tcPr>
            <w:tcW w:w="0" w:type="dxa"/>
            <w:vAlign w:val="bottom"/>
          </w:tcPr>
          <w:p>
            <w:pPr>
              <w:spacing w:after="0"/>
              <w:rPr>
                <w:sz w:val="1"/>
                <w:szCs w:val="1"/>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(56,048)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478,972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(265,116)</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214,869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960" w:type="dxa"/>
            <w:vAlign w:val="bottom"/>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(66,397)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(54,162)</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of bad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Lower of cost or net realizable value reserve adjustment to inventory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3,889</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20,427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25,371</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12,121</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for extinguishment of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Extinguishment of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(6,229)</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13,128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(7,020)</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receivable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(7,585)</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income tax</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15,786</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(14,953)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income taxes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(11,644)</w:t>
            </w:r>
          </w:p>
        </w:tc>
      </w:tr>
      <w:tr>
        <w:trPr>
          <w:trHeight w:val="209"/>
        </w:trPr>
        <w:tc>
          <w:tcPr>
            <w:tcW w:w="6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(7,981)</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prepaid for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(10,546)</w:t>
            </w:r>
          </w:p>
        </w:tc>
      </w:tr>
      <w:tr>
        <w:trPr>
          <w:trHeight w:val="209"/>
        </w:trPr>
        <w:tc>
          <w:tcPr>
            <w:tcW w:w="6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 borrowings, net of debt issuance costs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57,626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122,935</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line of credit borrowings, net of debt issuance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(91,791)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(111,287)</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57,057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24,622</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(32,465)</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senior notes, net of debt issuance costs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83,661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financing lease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62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of tax withholding on behalf of employees related to share-based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(956)</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common stock offering,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68,984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15,397</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14,087</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(8,979)</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35,587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50,115</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55,097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35,587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41,136</w:t>
            </w:r>
          </w:p>
        </w:tc>
      </w:tr>
      <w:tr>
        <w:trPr>
          <w:trHeight w:val="197"/>
        </w:trPr>
        <w:tc>
          <w:tcPr>
            <w:tcW w:w="624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(received) for:</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8,098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4,899</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accounts payable related to property and equipment additions</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(4,027)</w:t>
            </w:r>
          </w:p>
        </w:tc>
      </w:tr>
      <w:tr>
        <w:trPr>
          <w:trHeight w:val="198"/>
        </w:trPr>
        <w:tc>
          <w:tcPr>
            <w:tcW w:w="62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change in deposits and prepaid for equipment related to property 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additions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068"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A—ORGANIZATION AND OPERATIONS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B—SUMMARY OF SIGNIFICANT ACCOUNTING POLICIES</w:t>
      </w:r>
    </w:p>
    <w:p>
      <w:pPr>
        <w:spacing w:after="0" w:line="22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7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8"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 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8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76"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18"/>
          <w:szCs w:val="18"/>
          <w:color w:val="auto"/>
        </w:rPr>
        <w:t>Level 3—Inputs that are not observable from objective sources, such as management’s internally developed assumptions used in pricing an asset or liability.</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Assets and liabilities that are required to be fair valued on a recurring basis include money market funds, marketable securities, equity instruments and contingent consideration.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Money market funds are valued with Level 1 inputs, using quoted market prices, and are included in cash and cash equivalents on the Company’s consolidated balance sheets.</w:t>
      </w:r>
    </w:p>
    <w:p>
      <w:pPr>
        <w:spacing w:after="0" w:line="16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ninety days or less from the date of purchase to be cash equivalents. Cash in foreign accounts was approximately $17.7 million and $17.5 million at December 31, 2023 and 2022, respectively.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2023, approximately $36.8 million of U.S. deposits were not covered by FDIC insurance. The Company has not experienced any losses and believes it is not exposed to any significant risk with such accounts.</w:t>
      </w:r>
    </w:p>
    <w:p>
      <w:pPr>
        <w:spacing w:after="0" w:line="17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Cash/Compensating Balances</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includes guarantee deposits for customs duties and compensating balances associated with credit facilities.</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Receivable/Allowance for Doubtful Accounts</w:t>
      </w:r>
    </w:p>
    <w:p>
      <w:pPr>
        <w:spacing w:after="0" w:line="22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74"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Credit Risk and Significant Customers</w:t>
      </w:r>
    </w:p>
    <w:p>
      <w:pPr>
        <w:spacing w:after="0" w:line="22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62"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2023, 2022 and 2021, its top five customers represented 85.6%,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78.2%, and 67% of its revenue, respectively. In 2023, Microsoft, ATX and Digicomm represented 46.6%, 15.6% and 11.3% of its revenue, respectively.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ATX and Microsoft represented 47.3% and 18.4% of its revenue.</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five largest receivable balances for customers represented an aggregate of 75.4% and 86.9% of total accounts receivable at December 31, 2023 and 2022, respectively. As of December 31, 2023, Digicomm represented 35.2% of total accounts receivable and ATX represented 21.4% of total accounts receivable. As of December 31, 2022, ATX represented 64.9% of total accounts receivable, respectively. No other customer represented greater than ten percent of revenue in 2023 or 2022 had greater than ten percent of total accounts receivable at December 31, 2023 or 2022.</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(average-cost method) or net realizable value. Work in process and finished goods includes materials, labor and allocated overhead. The Company assesses the valuation of its inventory on a periodic basis and provides write-offs for the value of estimated excess and obsolete inventory based on estimates of future demand. Inventory reserves are recorded to account for the excess and obsolete inventory combined with the lower of cost or net realizable value assessments. To develop the reserve, the Company developed certain percentages that determine the extent of inventory reserve adjustments based on the age of the inventory. Such percentages were determined through analysis of the inventory to determine each product's lifespan, a review historical write-offs or scrapped inventory, and an assessment by product engineers of the possibility of obsolescence for each product.</w:t>
      </w:r>
    </w:p>
    <w:p>
      <w:pPr>
        <w:spacing w:after="0" w:line="18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Useful lives (in years)</w:t>
            </w:r>
          </w:p>
        </w:tc>
      </w:tr>
      <w:tr>
        <w:trPr>
          <w:trHeight w:val="209"/>
        </w:trPr>
        <w:tc>
          <w:tcPr>
            <w:tcW w:w="5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20 - 42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w:t>
            </w: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w:t>
            </w: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w:t>
            </w: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w:t>
            </w: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spacing w:after="0"/>
              <w:rPr>
                <w:sz w:val="17"/>
                <w:szCs w:val="17"/>
                <w:color w:val="auto"/>
              </w:rPr>
            </w:pPr>
          </w:p>
        </w:tc>
        <w:tc>
          <w:tcPr>
            <w:tcW w:w="58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shorter of the life of the applicable lease or the useful life of the</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improvement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5</w:t>
            </w: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7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of intellectual property that is stated at cost less accumulated amortization. As of December 31, 2023, the Company had 326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Assets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Accounting Standards Codification (“ASC”)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 (“ASC 360”). Long-lived assets consist primarily of property, plant and equipment, right-of-use assets and intangible assets.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2023, 2022 or 2021.</w:t>
      </w:r>
    </w:p>
    <w:p>
      <w:pPr>
        <w:spacing w:after="0" w:line="190"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Comprehensive Income (Loss)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(“ASC 220”) establishes rules for reporting and display of comprehensive income (loss) and its components.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220 requires that unrealized gains and losses on the Company’s foreign currency translation adjustments be included in comprehensive income (loss).</w:t>
      </w:r>
    </w:p>
    <w:p>
      <w:pPr>
        <w:spacing w:after="0" w:line="20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Share-based Compensation</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7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derives revenue from the manufacture and sale of fiber optic networking products. Revenue recognition follows the criteria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Specifically, the Company recognizes revenue when obligations under the terms of a contract with its customer are satisfied; generally this occurs with the transfer of control of products or services at point of time or over times. When the Company receives payments and its obligations to customers are not satisfied, the Company will recognize the payment as Unearned Revenue from customers.</w:t>
      </w:r>
    </w:p>
    <w:p>
      <w:pPr>
        <w:spacing w:after="0" w:line="17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2023 and 2022, the amount of accrued warranty was $0.25 million and $0.1 million, respectively. Changes in products warranty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7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0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warranty</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17.</w:t>
            </w:r>
          </w:p>
        </w:tc>
        <w:tc>
          <w:tcPr>
            <w:tcW w:w="7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Advertising Costs</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75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operations as incurred and amounted to approximately $0.8 million, $0.8 million, and $0.1 million for the years ended December 31, 2023,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The Company receives reimbursement for certain development costs, which offset with expense up to the reimbursable amount.</w:t>
      </w:r>
    </w:p>
    <w:p>
      <w:pPr>
        <w:spacing w:after="0" w:line="160"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jc w:val="both"/>
        <w:ind w:right="58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spacing w:after="0" w:line="16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8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80" w:lineRule="exact"/>
        <w:rPr>
          <w:sz w:val="20"/>
          <w:szCs w:val="20"/>
          <w:color w:val="auto"/>
        </w:rPr>
      </w:pPr>
    </w:p>
    <w:p>
      <w:pPr>
        <w:jc w:val="both"/>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0"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Intangible Low-taxed Income Provisions ("GILTI")</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One of the base broadening provisions of the U.S. Tax Cuts and Jobs Act of 2017 (“the 2017 Act”) is the global intangible low-taxed income provisions ("GILTI"). In accordance with guidance issued by the FASB staff, the Company has adopted an accounting policy to treat any GILTI inclusions as a period cost if and when incurred. Thus, for the fiscal years ended December 31, 2023, December 31, 2022, and December 31, 2021, deferred taxes were computed without consideration of the possible future impact of the GILTI provisions, and any current year impact was recorded as a part of the current portion of income tax expense.</w:t>
      </w:r>
    </w:p>
    <w:p>
      <w:pPr>
        <w:spacing w:after="0" w:line="18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w:t>
      </w:r>
    </w:p>
    <w:p>
      <w:pPr>
        <w:spacing w:after="0" w:line="223" w:lineRule="exact"/>
        <w:rPr>
          <w:rFonts w:ascii="Times New Roman" w:cs="Times New Roman" w:eastAsia="Times New Roman" w:hAnsi="Times New Roman"/>
          <w:sz w:val="18"/>
          <w:szCs w:val="18"/>
          <w:color w:val="auto"/>
        </w:rPr>
      </w:pPr>
    </w:p>
    <w:p>
      <w:pPr>
        <w:ind w:left="660" w:right="6340"/>
        <w:spacing w:after="0" w:line="5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Recent Accounting Pronouncements Adopted in 2023 </w:t>
      </w:r>
      <w:r>
        <w:rPr>
          <w:rFonts w:ascii="Times New Roman" w:cs="Times New Roman" w:eastAsia="Times New Roman" w:hAnsi="Times New Roman"/>
          <w:sz w:val="18"/>
          <w:szCs w:val="18"/>
          <w:color w:val="auto"/>
        </w:rPr>
        <w:t>There was no accounting pronouncement adopted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 Yet to be Adopted</w:t>
      </w:r>
    </w:p>
    <w:p>
      <w:pPr>
        <w:spacing w:after="0" w:line="229" w:lineRule="exact"/>
        <w:rPr>
          <w:sz w:val="20"/>
          <w:szCs w:val="20"/>
          <w:color w:val="auto"/>
        </w:rPr>
      </w:pPr>
    </w:p>
    <w:p>
      <w:pPr>
        <w:jc w:val="both"/>
        <w:ind w:left="160" w:firstLine="486"/>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December 15, 2024, with early adoption permitted. The adoption is expected to enhance the Company's Notes to the Consolidated Financial Statements. The Company is currently evaluating the impact the new standard will have on its financial statements and related disclosure.</w:t>
      </w:r>
    </w:p>
    <w:p>
      <w:pPr>
        <w:spacing w:after="0" w:line="183" w:lineRule="exact"/>
        <w:rPr>
          <w:sz w:val="20"/>
          <w:szCs w:val="20"/>
          <w:color w:val="auto"/>
        </w:rPr>
      </w:pPr>
    </w:p>
    <w:p>
      <w:pPr>
        <w:jc w:val="both"/>
        <w:ind w:left="160"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the Company to expand the breadth and frequency of segment disclosures to include additional information about significant segment expenses, the chief operating decision maker (CODM) and other items, and also require the annual disclosures on an interim basis. This guidance is effective for annual periods beginning after December 15, 2023, with early adoption permitted. The Company is currently evaluating the impact the new standard will have on its financial statements and related disclosure.</w:t>
      </w:r>
    </w:p>
    <w:p>
      <w:pPr>
        <w:spacing w:after="0" w:line="183" w:lineRule="exact"/>
        <w:rPr>
          <w:sz w:val="20"/>
          <w:szCs w:val="20"/>
          <w:color w:val="auto"/>
        </w:rPr>
      </w:pPr>
    </w:p>
    <w:p>
      <w:pPr>
        <w:jc w:val="both"/>
        <w:ind w:left="160" w:firstLine="486"/>
        <w:spacing w:after="0" w:line="257" w:lineRule="auto"/>
        <w:rPr>
          <w:sz w:val="20"/>
          <w:szCs w:val="20"/>
          <w:color w:val="auto"/>
        </w:rPr>
      </w:pPr>
      <w:r>
        <w:rPr>
          <w:rFonts w:ascii="Times New Roman" w:cs="Times New Roman" w:eastAsia="Times New Roman" w:hAnsi="Times New Roman"/>
          <w:sz w:val="18"/>
          <w:szCs w:val="18"/>
          <w:color w:val="auto"/>
        </w:rPr>
        <w:t>In October 2023, the FASB issued ASU 2023-06 "Codification Amendments in Response to the SEC’s Disclosure Update and Simplification Initiative", which amends U.S. GAAP to include 14 disclosure requirements that are currently required under SEC Regulation S-X or Regulation S-K. Each amendment will be effective on the date on which the SEC removes the related disclosure requirement from SEC Regulation S-X or Regulation S-</w:t>
      </w:r>
    </w:p>
    <w:p>
      <w:pPr>
        <w:spacing w:after="0" w:line="1" w:lineRule="exact"/>
        <w:rPr>
          <w:sz w:val="20"/>
          <w:szCs w:val="20"/>
          <w:color w:val="auto"/>
        </w:rPr>
      </w:pPr>
    </w:p>
    <w:p>
      <w:pPr>
        <w:ind w:left="160" w:hanging="8"/>
        <w:spacing w:after="0" w:line="260" w:lineRule="auto"/>
        <w:tabs>
          <w:tab w:leader="none" w:pos="4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evaluated the new standard and determined that it will have no material impact on its financial statements or disclosures since the Company is already subject to the relevant SEC disclosure requirements.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Company derives revenue from the manufacture and sale of fiber optic networking products.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 Identify the contract with a customer</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 Identify the performance obligations in the contract</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 Determine the transaction price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for each performance obligation. The Company determines standalone selling price based on the price at which the performance obligation is sold separately.</w:t>
      </w:r>
    </w:p>
    <w:p>
      <w:pPr>
        <w:spacing w:after="0" w:line="18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 cases where there is no directly observable stand alone selling price, allowable estimation methods are used. For example for contracts involving non-recurring engineering, an expected cost plus margin approach has typically been adopted to estimate the standalone selling price.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 Recognize revenue when or as the Company satisfies a performance obligation</w:t>
      </w:r>
      <w:r>
        <w:rPr>
          <w:sz w:val="1"/>
          <w:szCs w:val="1"/>
          <w:color w:val="auto"/>
        </w:rPr>
        <w:drawing>
          <wp:inline distT="0" distB="0" distL="0" distR="0">
            <wp:extent cx="34290"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product sales, the Company generally satisfies performance obligations at a point in time, most often upon shipment of a product to the customer or delivery of the product to the customer. In the case of such point in time satisfaction of a performance obligation, revenue is recognized based on the transaction price at the time the related performance obligation is satisfied.</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service obligations, the Company generally recognizes revenue over time. The most common type of service obligation encountered by the Company is an arrangement involving non-recurring engineering in which service revenue is typically recognized over time under either the time and material practical expedient, as the Company has a right to consideration from a customer, in an amount that corresponds directly with the value to the customer of the Company's performance completed to date, or under the output method, for example using contract-specific milestones or other objective measures of progress.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As of December 31, 2023, and 2022, the Company had Unearned Revenue of $1.8 million and $3 million, respectively. The following table reflects the changes in Unearned Revenue in our consolidated financial statements for the periods indicated (in thousands). The remaining $1.8 million will be expected to be recognized as revenue gradually in 2024, depending on the customer's request.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beginning of period</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Unearned Revenue</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end of period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Revenue is classified based on the location of where the product is manufactured. For additional information on the disaggregated revenues by geographical region, see Note R, "Segments and Geographic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118,169</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94,266</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141,213</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77,094</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97,461</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FTTH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217,646</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222,818</w:t>
            </w:r>
          </w:p>
        </w:tc>
        <w:tc>
          <w:tcPr>
            <w:tcW w:w="1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211,565</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243"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43"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LEASES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76"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Lease expense is included under general and administrative expenses and was $1.2 million, $1.2 million, and $1.3 million, respectively, for the years ended December 31, 2023, 2022 and 2021, respectively. The Components of lease expense were as follows for the periods indicated (in thousands):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expense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expense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lease liabilities are as follows for the future one-year periods ending December 31,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w:t>
            </w:r>
          </w:p>
        </w:tc>
        <w:tc>
          <w:tcPr>
            <w:tcW w:w="124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1,307</w:t>
            </w:r>
          </w:p>
        </w:tc>
        <w:tc>
          <w:tcPr>
            <w:tcW w:w="12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1,307</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1,106</w:t>
            </w:r>
          </w:p>
        </w:tc>
        <w:tc>
          <w:tcPr>
            <w:tcW w:w="1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1,092</w:t>
            </w:r>
          </w:p>
        </w:tc>
        <w:tc>
          <w:tcPr>
            <w:tcW w:w="12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1,093</w:t>
            </w:r>
          </w:p>
        </w:tc>
        <w:tc>
          <w:tcPr>
            <w:tcW w:w="1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r>
      <w:tr>
        <w:trPr>
          <w:trHeight w:val="20"/>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6,391</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(516)</w:t>
            </w:r>
          </w:p>
        </w:tc>
        <w:tc>
          <w:tcPr>
            <w:tcW w:w="12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5,875</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operating leases</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 - financing leases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16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3.21%</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financing leases</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4"/>
              </w:rPr>
              <w:t>5.00%</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financing lease</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financing lease</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459"/>
        </w:trPr>
        <w:tc>
          <w:tcPr>
            <w:tcW w:w="1120" w:type="dxa"/>
            <w:vAlign w:val="bottom"/>
          </w:tcPr>
          <w:p>
            <w:pPr>
              <w:spacing w:after="0"/>
              <w:rPr>
                <w:sz w:val="24"/>
                <w:szCs w:val="24"/>
                <w:color w:val="auto"/>
              </w:rPr>
            </w:pPr>
          </w:p>
        </w:tc>
        <w:tc>
          <w:tcPr>
            <w:tcW w:w="56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F- 16</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E—CASH, CASH EQUIVALENTS AND RESTRICTED CASH</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 that sum to the total of the same such amounts in the statement of cash flows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Restricted cash includes guarantee deposits for customs duties, China government subsidy fund, and compensating balances associated with certain credit facilities. As of December 31, 2023 and 2022, there was $6.5 million and $8.7 million of restricted cash required for bank acceptance notes issued to vendors, respectively. There was $2.5 million and $1.1 million certificate of deposit with original maturity of 90 days or less associated with credit facilities with a bank in China as of December 31, 2023 and 2022 respectively. There was $0.7 million and $1.0 million guarantee deposits for customs duties as of December 31, 2023 and December 31,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F—EARNINGS PER SHARE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 In periods with net losses, normally dilutive shares become anti-dilutive. Therefore, basic and dilutive earnings per share are the same.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(56,048)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(66,397)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(54,162)</w:t>
            </w: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26,912</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options and restricted stock units</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26,912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7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diluted net loss per share as their effect would have been antidilutive (in thousands):</w:t>
      </w:r>
    </w:p>
    <w:p>
      <w:pPr>
        <w:spacing w:after="0" w:line="15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for convertible senior notes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7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800" w:type="dxa"/>
            <w:vAlign w:val="bottom"/>
            <w:gridSpan w:val="2"/>
          </w:tcPr>
          <w:p>
            <w:pPr>
              <w:ind w:left="4860"/>
              <w:spacing w:after="0"/>
              <w:rPr>
                <w:sz w:val="20"/>
                <w:szCs w:val="20"/>
                <w:color w:val="auto"/>
              </w:rPr>
            </w:pPr>
            <w:r>
              <w:rPr>
                <w:rFonts w:ascii="Times New Roman" w:cs="Times New Roman" w:eastAsia="Times New Roman" w:hAnsi="Times New Roman"/>
                <w:sz w:val="18"/>
                <w:szCs w:val="18"/>
                <w:color w:val="auto"/>
              </w:rPr>
              <w:t>F- 17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2023 and 2022, inventories consisted of the following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Work in process and sub-assemblies</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Allowance for Inventory</w:t>
      </w:r>
    </w:p>
    <w:p>
      <w:pPr>
        <w:spacing w:after="0" w:line="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191"/>
        </w:trPr>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22,128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25,732</w:t>
            </w:r>
          </w:p>
        </w:tc>
        <w:tc>
          <w:tcPr>
            <w:tcW w:w="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39,563</w:t>
            </w:r>
          </w:p>
        </w:tc>
      </w:tr>
      <w:tr>
        <w:trPr>
          <w:trHeight w:val="216"/>
        </w:trPr>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22,452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26,794</w:t>
            </w:r>
          </w:p>
        </w:tc>
      </w:tr>
      <w:tr>
        <w:trPr>
          <w:trHeight w:val="234"/>
        </w:trPr>
        <w:tc>
          <w:tcPr>
            <w:tcW w:w="34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(14,506)</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63,866</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79,679</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-3945890</wp:posOffset>
            </wp:positionH>
            <wp:positionV relativeFrom="paragraph">
              <wp:posOffset>-719455</wp:posOffset>
            </wp:positionV>
            <wp:extent cx="60604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-445135</wp:posOffset>
            </wp:positionV>
            <wp:extent cx="60604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-162560</wp:posOffset>
            </wp:positionV>
            <wp:extent cx="606044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For the years 2023, 2022 and 2021, the inventory reserve adjustment expensed for inventory was $8.7 million, $4.9 million, and $3.9 million, respectively. For the years December 31, 2023, 2022 and 2021, the direct inventory write-offs related to scrap, discontinued products, and damaged inventories were $10.6 million, $10.4 million, and $16.8 million,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H—PROPERTY, PLANT AND EQUIPMENT</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356,168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(177,519)</w:t>
            </w:r>
          </w:p>
        </w:tc>
      </w:tr>
      <w:tr>
        <w:trPr>
          <w:trHeight w:val="210"/>
        </w:trPr>
        <w:tc>
          <w:tcPr>
            <w:tcW w:w="8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30,434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200,317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210,184</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depreciation expense of property, plant and equipment was $19.7 million, $22.6 million, and $24.8 million, respectively. For the years December 31, 2023, 2022 and 2021, the capitalized interest was $0 million, $0.2 million, and $0.9 million, respectively.</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the Company concluded that its continued loss history constitutes a triggering event as described in ASC 360-10-35-21,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performed a recoverability test and concluded that future undiscounted cash flows exceed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Company’s long-lived assets and therefore no impairment charge was recorded.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9,502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9,640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6"/>
                <w:szCs w:val="16"/>
                <w:color w:val="auto"/>
              </w:rPr>
            </w:pPr>
          </w:p>
        </w:tc>
      </w:tr>
      <w:tr>
        <w:trPr>
          <w:trHeight w:val="238"/>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8,994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9,050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3,699</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2022 and 2021, amortization expense for intangible assets, included in general and administrative expenses on the income statement, was $0.7 million, $0.6 million and $0.5 million, respectively. The remaining weighted average amortization period for intangible assets is approximately six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At December 31, 2023, future amortization expense for intangible assets is estimated to be (in thousands):</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J—FAIR VALUE OF FINANCIAL INSTRUMENTS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45,366</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9,731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55,316</w:t>
            </w:r>
          </w:p>
        </w:tc>
      </w:tr>
      <w:tr>
        <w:trPr>
          <w:trHeight w:val="196"/>
        </w:trPr>
        <w:tc>
          <w:tcPr>
            <w:tcW w:w="37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15,482</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76,519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76,519</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92,001</w:t>
            </w:r>
          </w:p>
        </w:tc>
      </w:tr>
      <w:tr>
        <w:trPr>
          <w:trHeight w:val="413"/>
        </w:trPr>
        <w:tc>
          <w:tcPr>
            <w:tcW w:w="374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ind w:left="1700"/>
              <w:spacing w:after="0"/>
              <w:rPr>
                <w:sz w:val="20"/>
                <w:szCs w:val="20"/>
                <w:color w:val="auto"/>
              </w:rPr>
            </w:pPr>
            <w:r>
              <w:rPr>
                <w:rFonts w:ascii="Times New Roman" w:cs="Times New Roman" w:eastAsia="Times New Roman" w:hAnsi="Times New Roman"/>
                <w:sz w:val="18"/>
                <w:szCs w:val="18"/>
                <w:color w:val="auto"/>
              </w:rPr>
              <w:t>F- 19</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as of December 31, 2022(in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 (Level</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35,926</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58,314</w:t>
            </w: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91"/>
        </w:trPr>
        <w:tc>
          <w:tcPr>
            <w:tcW w:w="8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Revolving line of credit with a U.S. bank up to $27.8 million with interest at 8.984%, maturing the earlier of</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either 12/14/2023 or 11/16/2025 if the convertible debt remained in effect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8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$19.04 million with interest from 4.57% to 6.12%, maturing</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24, 2024</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13,102</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with a China bank up to $26.65 million with interest of 4.45% to 6.6%, maturing June 6, 2027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20,140</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58,242</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r>
      <w:tr>
        <w:trPr>
          <w:trHeight w:val="210"/>
        </w:trPr>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57,074</w:t>
            </w:r>
          </w:p>
        </w:tc>
        <w:tc>
          <w:tcPr>
            <w:tcW w:w="100" w:type="dxa"/>
            <w:vAlign w:val="bottom"/>
            <w:tcBorders>
              <w:top w:val="single" w:sz="8" w:color="CCEEFF"/>
            </w:tcBorders>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(57,074)</w:t>
            </w:r>
          </w:p>
        </w:tc>
      </w:tr>
      <w:tr>
        <w:trPr>
          <w:trHeight w:val="210"/>
        </w:trPr>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12,337</w:t>
            </w:r>
          </w:p>
        </w:tc>
      </w:tr>
    </w:tbl>
    <w:p>
      <w:pPr>
        <w:spacing w:after="0" w:line="198" w:lineRule="exact"/>
        <w:rPr>
          <w:sz w:val="20"/>
          <w:szCs w:val="20"/>
          <w:color w:val="auto"/>
        </w:rPr>
      </w:pPr>
    </w:p>
    <w:p>
      <w:pPr>
        <w:ind w:left="5440" w:right="1580" w:hanging="4775"/>
        <w:spacing w:after="0" w:line="532" w:lineRule="auto"/>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December 31, 2023. 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November 16, 2022, the Company entered into a Loan Security and Guarantee Agreement (the “Credit Facility”) with CIT Northbridge Credit, LLC, as agent for secured parties. The Credit Facility provided the Company with a three-year, $27.78 million revolving line of credit. Borrowings under the Credit Facility were to be used to repay senior debt with Truist Bank and for working capital needs, capital expenditures, and other corporate purposes. The Company's obligations under the Credit Facility were secured by the Company's inventory, accounts receivable, instruments, equipment, intellectual property, and all business assets with the exception of real estate and all foreign assets. Borrowings were to bear interest at a rate equal to the Secured Overnight Financing Rate (SOFR) plus 3.75%, while monthly average usage was less than 50% of the Credit Facility, otherwise SOFR plus 4.75%. The Credit Facility was to become due at the earlier date of either November 16, 2025 or 91 days prior to the maturity of the 2024 Notes. On August 16, 2023, the Company delivered a termination notice to CIT to terminate the Credit Facility. As a result of the Company's delivery of such termination notice, the Credit Facility was terminated effective as of November 17, 2023 and was fully repaid.</w:t>
      </w:r>
    </w:p>
    <w:p>
      <w:pPr>
        <w:spacing w:after="0" w:line="18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December 31, 2023, $12.6 million was outstanding under the SPD Credit Line and the outstanding balance of bank acceptance notes issued to vendors was $12.5 million.</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June 7, 2022, the Company's China Subsidiary, Global, entered a security agreement with China Zheshang Bank in Ningbo City, China ("CZB") for a five-year credit line agreement, totaling 200,000,000 RMB (the "¥200M Credit Facility"), or approximately $29.9 million. Global may draw upon the ¥200M Credit Facility between June 7, 2022 and June 6, 2027 (" ¥200M Credit Period"). During the ¥200M Credit Period, Global may request to draw upon the ¥200M Credit Facility on an as-needed basis; however, draws under the ¥200M Credit Facility may 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¥200M Credit Facility will be secured by real property owned by Global and mortgaged to CZB under the terms of the Real Estate Security Agreement. On December 21, 2023, Global entered into an asset pool business cooperation agreement ("Asset Pool Agreement") and an asset pool pledge contract ("Pledge Contract") (referred to collectively as the Pledge Asset Line"), with CZB, which supplements the existing ¥200M Credit Facility. The Pledge Asset Line does not constitute a new credit line or an increase to the existing credit limits. Global may draw upon the Pledge Asset Line between December 21, 2023 and December 21, 2025 ("Asset Pool Period"). During the Asset Pool Period, Global may request to draw upon the Pledge Asset Line on an as-needed bases; however, amount of available credit under the Pledge Asset Line and approval of each draw may 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not limited to, deposit receipts, domestic accounts receivable and electronic commercial paper. As of December 31, 2023, $10.6 million was outstanding under the ¥200M Credit Facility and the outstanding balance of bank acceptance notes issued to vendors was $2.9 million.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and December 31, 2022, the Company had $22.5 million and $13.3 million of unused borrowing capacity, respectively.</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there was $9.7 million and $9.9 million of restricted cash, investments or security deposits associated with the loan facilities,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L—CONVERTIBLE SENIOR NOTES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5, 2019, the Company issued $80.5 million of 5% convertible senior notes due 2024 (the “2024 Notes”). On December 5, 2023, the Company issued approximately $80.2 million aggregate principal amount of 5.250% convertible senior notes due 2026 (the "2026 Notes"), and on the same day consummated various separate, privately negotiated exchange agreements with certain holders of its 2024 Notes to exchange or repurchase approximately $80.2 million principal amount of the 2024 Notes for aggregate consideration consisting of approximately $81.1 million in cash, which included accrued interest on the 2024 Notes, and approximately 466,368 shares of the Company's common stock, par value $0.001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2026 Notes were issued pursuant to an Indenture, dated as of December 5, 2023, (the "Indenture"), between the Company and Computershare Trust Company, N.A., as trustee. The 2026 Notes will bear interest at a rate of 5.250% per year and will pay interest semi-annually in arrears on June 15 and December 15 of each year, beginning on June 15, 2024. The 2026 Notes will mature on December 15, 2026, unless earlier converted, redeemed or repurchased in accordance with their terms.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the 2026 Notes for the periods indicated (in thousands):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80,214</w:t>
            </w:r>
          </w:p>
        </w:tc>
      </w:tr>
      <w:tr>
        <w:trPr>
          <w:trHeight w:val="216"/>
        </w:trPr>
        <w:tc>
          <w:tcPr>
            <w:tcW w:w="4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(3,981)</w:t>
            </w:r>
          </w:p>
        </w:tc>
      </w:tr>
      <w:tr>
        <w:trPr>
          <w:trHeight w:val="20"/>
        </w:trPr>
        <w:tc>
          <w:tcPr>
            <w:tcW w:w="4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76,233</w:t>
            </w:r>
          </w:p>
        </w:tc>
      </w:tr>
      <w:tr>
        <w:trPr>
          <w:trHeight w:val="20"/>
        </w:trPr>
        <w:tc>
          <w:tcPr>
            <w:tcW w:w="46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rate for the 2026 Notes is 65.6276 shares of the Company’s common stock per $1,000 principal amount of the 2026 Notes (which is equivalent to a conversion price of approximately $15.24 per share of the Company’s common stock, representing a premium of approximately 15% over the last reported sale price of the Company’s common stock on November 30, 2023 of $13.25 per share), subject to adjustment. Before September 15, 2026, holders of the 2026 Notes will have the right to convert their 2026 Notes only upon the occurrence of certain events. From and after September 15, 2026, holders of the 2026 Notes may convert their 2026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Initially there are no guarantors of the 2026 Notes, but the 2026 Notes will be fully and unconditionally guaranteed, on a senior, unsecured basis by certain of the Company’s future domestic subsidiaries. The 2026 Notes are the Company’s senior, unsecured obligations and are equal in right of payment with existing and future senior, unsecured indebtedness, senior in right of payment to the Company’s existing and future indebtedness that is expressly subordinated to the 2026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is equal in right of payment with existing and future senior, unsecured indebtedness, senior in right of payment to such future guarantor’s existing and future indebtedness that is expressly subordinated to the 2026 Notes and effectively subordinated to such future guarantor’s existing and future secured indebtedness, to the extent of the value of the collateral securing that indebtedness.</w:t>
      </w:r>
    </w:p>
    <w:p>
      <w:pPr>
        <w:spacing w:after="0" w:line="1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2026 Notes will be redeemable, in whole or in part (subject to certain limitations described in the Indenture), at the Company’s option at any time, and from time to time, on or after December 15, 2024 and on or before the 40th scheduled trading day immediately before the maturity date, at a cash redemption price equal to the principal amount of the 2026 Notes to be redeemed, plus accrued and unpaid interest, if any, to, but excluding, the redemption date, but only if the last reported sale price per share of the Company’s common stock exceeds 130% of the conversion price on ( 1) each of at least 20 trading days, whether or not consecutive, during the 30 consecutive trading days ending on, and including, the trading day immediately before the date the Company sends the related redemption notice; and ( 2) the trading day immediately before the date it sends such notice.</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 2026 Notes will be redeemable, in whole or in part, at the Company’s option at any time, and from time to time, on or before the 40th scheduled trading day immediately before the maturity date, at a cash redemption price equal to the principal amount of the 2026 Notes to be redeemed, plus accrued and unpaid interest, if any, to, but excluding, the redemption date (subject to the right of a holder of 2026 Notes as of the close of business on a record date to receive the related interest payment on the corresponding interest payment date), if the Company completes the "Specified Divestiture" of (x) one or more of its manufacturing facilities located in the People’s Republic of China and/or (y) significant assets located in the People’s Republic of China which relate to the Company’s transceiver business and multi-channel optical sub-assembly products (or any substantially related assets), for aggregate consideration in cash to the Company of not less than the U.S. Dollar equivalent of $150,000,000 (measured at the time of completion).</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Calling any Convertible Note for redemption will constitute a “Make-whole fundamental change” (as defined in the Indenture) with respect to that Convertible Note, in which case the conversion rate applicable to the conversion of that Convertible Note will be increased in certain circumstances if it is converted after it is called for redemption.</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if the Specified Divestiture is completed, then each holder of 2026 Notes will have the right to require the Company to repurchase its 2026 Notes for cash on a date of the Company’s choosing, which must be a business day that is no more than 35, nor less than 20, business days after we send the related notice of Specified Divestiture. The repurchase price for a note tendered for such repurchase will be equal to the principal amount of the 2026 Notes to be repurchased, plus accrued and unpaid interest, if any, to, but excluding, the repurchase date (subject to the right of a holder of 2026 Notes as of the close of business on a record date to receive the related interest payment on the corresponding interest payment date).</w:t>
      </w:r>
    </w:p>
    <w:p>
      <w:pPr>
        <w:spacing w:after="0" w:line="210" w:lineRule="exact"/>
        <w:rPr>
          <w:sz w:val="20"/>
          <w:szCs w:val="20"/>
          <w:color w:val="auto"/>
        </w:rPr>
      </w:pPr>
    </w:p>
    <w:p>
      <w:pPr>
        <w:ind w:left="160" w:right="100" w:firstLine="648"/>
        <w:spacing w:after="0" w:line="266" w:lineRule="auto"/>
        <w:rPr>
          <w:sz w:val="20"/>
          <w:szCs w:val="20"/>
          <w:color w:val="auto"/>
        </w:rPr>
      </w:pPr>
      <w:r>
        <w:rPr>
          <w:rFonts w:ascii="Times New Roman" w:cs="Times New Roman" w:eastAsia="Times New Roman" w:hAnsi="Times New Roman"/>
          <w:sz w:val="18"/>
          <w:szCs w:val="18"/>
          <w:color w:val="auto"/>
        </w:rPr>
        <w:t>Moreover, if the Company undergoes a fundamental change, as described in the Indenture, holders of the 2026 Notes may require the Company to repurchase for cash all or part of their 2026 Notes at a repurchase price equal to 100% of the principal amount of the 2026 Notes to be repurchased, plus accrued and unpaid interest to, but excluding, the required repurchase date.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Additionally, the 2026 Notes are subject to customary events of default. No sinking fund is provided for the 2026 Notes.</w:t>
      </w:r>
    </w:p>
    <w:p>
      <w:pPr>
        <w:sectPr>
          <w:pgSz w:w="11900" w:h="16838" w:orient="portrait"/>
          <w:cols w:equalWidth="0" w:num="1">
            <w:col w:w="11240"/>
          </w:cols>
          <w:pgMar w:left="320" w:top="121" w:right="339" w:bottom="29" w:gutter="0" w:footer="0" w:header="0"/>
        </w:sectPr>
      </w:pPr>
    </w:p>
    <w:bookmarkStart w:id="84" w:name="page85"/>
    <w:bookmarkEnd w:id="84"/>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Debt with Conversion and Other Options. The Company determined that notes should be accounted for in their entirety as a liability.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interest expense information related to the 2024 Notes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4,039</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4,025</w:t>
            </w: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849</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r>
      <w:tr>
        <w:trPr>
          <w:trHeight w:val="20"/>
        </w:trPr>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cost</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4,888</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4,851</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shipping and tariff expenses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r>
      <w:tr>
        <w:trPr>
          <w:trHeight w:val="24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18,549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17,222</w:t>
            </w:r>
          </w:p>
        </w:tc>
      </w:tr>
      <w:tr>
        <w:trPr>
          <w:trHeight w:val="656"/>
        </w:trPr>
        <w:tc>
          <w:tcPr>
            <w:tcW w:w="6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N—OTHER INCOME AND EXPENSE</w:t>
            </w:r>
          </w:p>
        </w:tc>
        <w:tc>
          <w:tcPr>
            <w:tcW w:w="9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94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9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gain(loss)</w:t>
            </w:r>
          </w:p>
        </w:tc>
        <w:tc>
          <w:tcPr>
            <w:tcW w:w="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Loan forgiveness</w:t>
            </w:r>
          </w:p>
        </w:tc>
        <w:tc>
          <w:tcPr>
            <w:tcW w:w="9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6,229</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9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gain (loss), net</w:t>
            </w:r>
          </w:p>
        </w:tc>
        <w:tc>
          <w:tcPr>
            <w:tcW w:w="940" w:type="dxa"/>
            <w:vAlign w:val="bottom"/>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(5,871)</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8,156</w:t>
            </w:r>
          </w:p>
        </w:tc>
      </w:tr>
      <w:tr>
        <w:trPr>
          <w:trHeight w:val="20"/>
        </w:trPr>
        <w:tc>
          <w:tcPr>
            <w:tcW w:w="6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sources of the Company’s loss from operations before income taxes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(52,886)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(32,931)</w:t>
            </w:r>
          </w:p>
        </w:tc>
      </w:tr>
      <w:tr>
        <w:trPr>
          <w:trHeight w:val="20"/>
        </w:trPr>
        <w:tc>
          <w:tcPr>
            <w:tcW w:w="3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4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(56,039)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(66,396)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(54,160)</w:t>
            </w:r>
          </w:p>
        </w:tc>
      </w:tr>
      <w:tr>
        <w:trPr>
          <w:trHeight w:val="432"/>
        </w:trPr>
        <w:tc>
          <w:tcPr>
            <w:tcW w:w="3820" w:type="dxa"/>
            <w:vAlign w:val="bottom"/>
          </w:tcPr>
          <w:p>
            <w:pPr>
              <w:spacing w:after="0"/>
              <w:rPr>
                <w:sz w:val="24"/>
                <w:szCs w:val="24"/>
                <w:color w:val="auto"/>
              </w:rPr>
            </w:pPr>
          </w:p>
        </w:tc>
        <w:tc>
          <w:tcPr>
            <w:tcW w:w="340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F- 23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58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 expense (benefit) for the years ended December 31, was as follows (in thousands):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49,469</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47,901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4,599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8,717</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3,966</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842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86,507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73,518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(78,124)</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(69,680)</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(6,992)</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(2,441)</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842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(8,383)</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(3,838)</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 U.S. net operating loss carry forward of approximately $112 million, $32.7 million of which, if unused, expires between 2026 and 2032 and $79.3 million of which, can be carried forward indefinitely. The Company has U.S. and state research and development tax credits of</w:t>
      </w:r>
    </w:p>
    <w:p>
      <w:pPr>
        <w:ind w:right="260"/>
        <w:spacing w:after="0" w:line="252" w:lineRule="auto"/>
        <w:rPr>
          <w:sz w:val="20"/>
          <w:szCs w:val="20"/>
          <w:color w:val="auto"/>
        </w:rPr>
      </w:pPr>
      <w:r>
        <w:rPr>
          <w:rFonts w:ascii="Times New Roman" w:cs="Times New Roman" w:eastAsia="Times New Roman" w:hAnsi="Times New Roman"/>
          <w:sz w:val="18"/>
          <w:szCs w:val="18"/>
          <w:color w:val="auto"/>
        </w:rPr>
        <w:t>$11 million, which, if unused, expire between 2028 and 2043. In addition, the Company has foreign tax credits of $4.6 million, which, if unused, will expire in 2028. Utilization of U.S. net operating losses and tax credit carry forwards are subject to an annual limitation due to the ownership change limitations set forth in Internal Revenue Code Section 382. As of December 31, 2023, the Company had Taiwan net operating loss carry forwards of approximately $73.7 million and China net operating loss carry forwards of approximately $66.9 million. The carryforward period for the Taiwan net operating loss carry forwards is ten years, and the expiration period begins 2028. The carryforward period for China net operating loss carry forwards is ten years, and the expiration period begins 2029.</w:t>
      </w:r>
    </w:p>
    <w:p>
      <w:pPr>
        <w:spacing w:after="0" w:line="19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2023. Such objective evidence limits the ability to consider other subjective evidence, such as our projections for future growth.</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the basis of this evaluation, as of December 31, 2023 and December 31, 2022, a valuation allowance of $78.1 million and $69.7 million,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 in the deferred tax valuation allowance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57,721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43,462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charged to expense/(income)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14,196</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charged to currency translation adjustment</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09"/>
        </w:trPr>
        <w:tc>
          <w:tcPr>
            <w:tcW w:w="5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78,124</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69,680</w:t>
            </w: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57,721</w:t>
            </w:r>
          </w:p>
        </w:tc>
        <w:tc>
          <w:tcPr>
            <w:tcW w:w="100" w:type="dxa"/>
            <w:vAlign w:val="bottom"/>
            <w:tcBorders>
              <w:top w:val="single" w:sz="8" w:color="CCEEFF"/>
            </w:tcBorders>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income tax rate of 21% for the years ended December 31, 2023, 2022 and 2021, respectively,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income tax rate follows (in thousands):</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taxes at statutory rate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(11,768)</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(13,943)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(11,374)</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 loan forgiveness</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Non-deductible/non-taxable items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2,568</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permanent differences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8,755</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13,822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debt</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other</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9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0"/>
        </w:trPr>
        <w:tc>
          <w:tcPr>
            <w:tcW w:w="3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in 2023 was higher than 2022 primarily due to state taxes and foreign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provision for income taxes in 2022 was lower than 2021 primarily due to state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However, Global Technology, Inc. has been recognized as a National high-tech enterprise since 2008 and entitled to a 15% reduced tax rate. In December 2023, Global Technology, Inc. again renewed its National high-tech enterprise certificate and therefore extended its three-year tax preferential status  until December 2026. This tax holiday reduced its 2023, 2022 and 2021 income tax provision by approximately $0.0 million, $0.0 million, and $0.0 million, respectively. This tax holiday reduced its fiscal 2023, 2022, and 2021 diluted earnings per share by approximately $0.00, $0.00, and $0.00 respectively. Effective January 1, 2016, China expanded the scope of the National high-tech enterprise to include additional deductions for qualifying research and development.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2022 and 2021, the total amount of unrecognized tax benefit was $0.2 million, $0.2 million, and $0.2 million, respectively. The following is a tabular reconciliation of the total amounts of unrecognized tax benefits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29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29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4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94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F- 25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as income tax expense. Related to the unrecognized tax benefits noted above, it has not accrued penalties or interest during 2023 as a result of net operating losses. During 2022 or 2021, the Company also accrued no penalties or interest.</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The Company’s open tax years subject to examination in the U.S. federal and state jurisdictions are 2020 through 2023.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2018 forward for various foreign jurisdictions.</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 On December 27, 2020, the Taxpayer Certainty and Disaster Tax Relief Act of 2020 was enacted as part of the Consolidated Appropriations Act, 2021, followed by the American Rescue Plan Act on March 1, 2021. These laws, among many other provisions, expand and extend the Paycheck Protection Program (“PPP”), refundable employee retention tax credits previously made available under the CARES Act and allow a full deduction for business meals for the 2021 and 2022 tax years. During 2021, the Company recognized a tax benefit of $1.3 million on the non-taxable forgiveness of the</w:t>
      </w:r>
    </w:p>
    <w:p>
      <w:pPr>
        <w:spacing w:after="0" w:line="3" w:lineRule="exact"/>
        <w:rPr>
          <w:sz w:val="20"/>
          <w:szCs w:val="20"/>
          <w:color w:val="auto"/>
        </w:rPr>
      </w:pPr>
    </w:p>
    <w:p>
      <w:pPr>
        <w:ind w:right="520" w:firstLine="8"/>
        <w:spacing w:after="0" w:line="260" w:lineRule="auto"/>
        <w:tabs>
          <w:tab w:leader="none" w:pos="3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However, the legislation had no material impact to income tax expense on the Company’s financial statements as a result of our valuation allowance.</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and Science Act, (the “CHIPS Act”) was signed into law. Among other things, the CHIPS Act provides for refundable tax credits and certain other financial incentives to further investments in domestic manufacturing. There was no material impact of this Act in 2023, and the Company has determined that any future impacts will depend on the extent to which the Company expands its semiconductor manufacturing operations in accordance with the requirements of the Act.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legislation commonly known as the Inflation Reduction Act was signed into law. Among other things, the Inflation Reduction Act includes a 1% excise tax on corporate stock repurchases, applicable to repurchases after December 31, 2022, and also a new minimum tax based on book income. We do not currently expect the Inflation Reduction Act to have a material impact on our effective tax rate.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expects any earnings of foreign subsidiaries to be indefinitely invested outside the United States. As of December 31, 2023, however, the Company does not have any accumulated undistributed earnings generated by foreign subsidiaries and has estimated that its tax basis in foreign subsidiaries exceeds its book basis. The Company has concluded that no deferred tax asset (DTA) should be recorded because at the present time it does not expect that the temporary book-tax basis difference that would create this DTA will reverse in the foreseeable future.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9" w:lineRule="exact"/>
        <w:rPr>
          <w:sz w:val="20"/>
          <w:szCs w:val="20"/>
          <w:color w:val="auto"/>
        </w:rPr>
      </w:pPr>
    </w:p>
    <w:p>
      <w:pPr>
        <w:ind w:left="1300" w:hanging="320"/>
        <w:spacing w:after="0"/>
        <w:tabs>
          <w:tab w:leader="none" w:pos="1300" w:val="left"/>
        </w:tabs>
        <w:numPr>
          <w:ilvl w:val="0"/>
          <w:numId w:val="56"/>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color w:val="auto"/>
        </w:rPr>
        <w:t>the 2013 Equity Incentive Plan ("2013 Plan")</w:t>
      </w:r>
    </w:p>
    <w:p>
      <w:pPr>
        <w:spacing w:after="0" w:line="42" w:lineRule="exact"/>
        <w:rPr>
          <w:rFonts w:ascii="MS PGothic" w:cs="MS PGothic" w:eastAsia="MS PGothic" w:hAnsi="MS PGothic"/>
          <w:sz w:val="43"/>
          <w:szCs w:val="43"/>
          <w:color w:val="auto"/>
          <w:vertAlign w:val="subscript"/>
        </w:rPr>
      </w:pPr>
    </w:p>
    <w:p>
      <w:pPr>
        <w:ind w:left="1300" w:hanging="320"/>
        <w:spacing w:after="0" w:line="183" w:lineRule="auto"/>
        <w:tabs>
          <w:tab w:leader="none" w:pos="1300" w:val="left"/>
        </w:tabs>
        <w:numPr>
          <w:ilvl w:val="0"/>
          <w:numId w:val="56"/>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the 2021 Equity Incentive Plan ("2021 Plan")</w:t>
      </w:r>
    </w:p>
    <w:p>
      <w:pPr>
        <w:spacing w:after="0" w:line="43" w:lineRule="exact"/>
        <w:rPr>
          <w:rFonts w:ascii="MS PGothic" w:cs="MS PGothic" w:eastAsia="MS PGothic" w:hAnsi="MS PGothic"/>
          <w:sz w:val="28"/>
          <w:szCs w:val="28"/>
          <w:color w:val="auto"/>
          <w:vertAlign w:val="subscript"/>
        </w:rPr>
      </w:pPr>
    </w:p>
    <w:p>
      <w:pPr>
        <w:ind w:left="1300" w:hanging="320"/>
        <w:spacing w:after="0" w:line="183" w:lineRule="auto"/>
        <w:tabs>
          <w:tab w:leader="none" w:pos="1300" w:val="left"/>
        </w:tabs>
        <w:numPr>
          <w:ilvl w:val="0"/>
          <w:numId w:val="56"/>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the 2023 Inducement Plan ("Inducement Plan")</w:t>
      </w:r>
    </w:p>
    <w:p>
      <w:pPr>
        <w:spacing w:after="0" w:line="2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2013 Plan and generally become exercisable as to 25% of the shares on the first anniversary date following the date of grant and 12.5% on a semi-annual basis thereafter. All options expire ten years after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 Price</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 Date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except price data)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1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c>
          <w:tcPr>
            <w:tcW w:w="1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r>
      <w:tr>
        <w:trPr>
          <w:trHeight w:val="210"/>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3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December 31, 2023</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13.84</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7"/>
        </w:trPr>
        <w:tc>
          <w:tcPr>
            <w:tcW w:w="3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13.84</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there was no unrecognized stock option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Performance Based Incentive Plan</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approved to grant restricted performance stock units (“PSUs”) to senior executives as a part of our long-term equity compensation program starting from June 2021.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third anniversary of their grant, assuming achievement of the applicable performance criteria. We estimated the fair value of the PSUs using a Monte Carlo simulation model on the date of grant. Compensation expense is recognized ratably over the explicit service period. The Company recognized PSU expense for the twelve months ended December 31, 2023 and 2022 was $3 million and $1.7 million, respectively. The following is a summary of PSU activity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29,610</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29,610</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$6.6 million of unrecognized compensation expense related to these PSUs. This expense is expected to be recognized over 2.1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are issued to employees through a vesting plan and distribution schedule after employee remains with the Company for a particular length of time. The following is a total summary of RSU activity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2,692</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55,507</w:t>
            </w: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2,873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55,507</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$12.1 million of unrecognized compensation expense related to these RSUs. This expense is expected to be recognized over 2.41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applicable vesting term of the award and expense is adjusted as forfeitures occur.</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years ended December 31,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1,492</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1,110</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8,758</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7,948</w:t>
            </w:r>
          </w:p>
        </w:tc>
      </w:tr>
      <w:tr>
        <w:trPr>
          <w:trHeight w:val="20"/>
        </w:trPr>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8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11,884</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12,121</w:t>
            </w:r>
          </w:p>
        </w:tc>
      </w:tr>
      <w:tr>
        <w:trPr>
          <w:trHeight w:val="412"/>
        </w:trPr>
        <w:tc>
          <w:tcPr>
            <w:tcW w:w="43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F- 28</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027"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80,000,000 shares of common stock, all of which have been designated voting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5,000,000 shares of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5, 2023, the Company filed a Registration Statement on Form S- 3 with the Securities and Exchange Commission, which was declared effective on March 21, 2023, providing for the public offer and sale of certain securities of the Company from time to time, at our discretion, up to an aggregate amount of $185 million. Pursuant to Rule 415(a)( 6) under the Securities Act, the securities registered pursuant to this registration statement include unsold securities previously registered for sale pursuant to our previously filed Registration Statement on Form S- 3, which became effective on January 9, 2020.</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March 24, 2023, we entered into an Equity Distribution Agreement (the "Agreement") with Raymond James &amp; Associates (the "Sales Agent") pursuant to which the Company may issue and sell shares of the Company’s common stock, par value $0.001 per share (the "Shares") having an aggregate offering price of up to $35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provides that the Sales Agent will be entitled to compensation of up to 2% of the gross sales price of the Shares sold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Agent from time to time. The Company has also agreed to reimburse the Sales Agent for certain specified expenses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Shares under state blue sky laws and any filing with, and clearance of the offering by, the Financial Industry Regulatory Authority Inc.,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exceed $10,000 in the aggregate, and any associated application fees incurred. Additionally, if the Agreement is terminated under certain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 fails to sell a minimum amount of the Shares as set forth in the Agreement, then the Company has agreed to reimburse the Sales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reasonable out-of-pocket expenses, including the reasonable fees and disbursements of counsel incurred by the Sales Agent, up to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in the aggregate. The Company agreed to indemnify the Sales Agent against certain liabilities, including liabilities under the Securities Act,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payments that the Sales Agent may be required to make because of any of those liabilities.</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On September 12, 2023, we entered into Amendment No. 1 to the Agreement with the Sales Agent, to increase the aggregate offering price from $35 million to $70 million. In November, 2023, we completed sales under the ATM Offering.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details of the shares of common stock sold through the ATM Offering through December 31, 2023 are as follows (in thousands, except shares and weighted average per share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Per</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 Distribution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Distribution Agent</w:t>
            </w:r>
          </w:p>
        </w:tc>
        <w:tc>
          <w:tcPr>
            <w:tcW w:w="19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Agent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 2023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 2023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 2023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 2023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 2023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 2023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69,057</w:t>
            </w:r>
          </w:p>
        </w:tc>
        <w:tc>
          <w:tcPr>
            <w:tcW w:w="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320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F- 29</w:t>
            </w: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R—SEGMENT AND GEOGRAPHIC INFORMATION</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30,798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14,633</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143,528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164,144</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99,201</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43,320</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51,251</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97,731</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217,646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222,818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211,565</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75,283</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80,048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87,709</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47,668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50,777</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63,644</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91,050</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93,888</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108,509</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214,001</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224,713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259,862</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serves four primary markets, the internet data center, CATV, telecom and FTTH markets. Of the Company’s total revenues in 2023, the Company earned $141.2 million, or 64.9%, from the internet data center market, $59.9 million, or 27.5%, from the CATV market, $13.8 million, or 6.4%, from the telecom market and $0.1 million, or 0.0%, from the FTTH market. Of the Company’s total revenues in 2022, the Company earned $118.2 million, or 53.0%, from the CATV market, $77.1 million, or 34.6%, from the internet data center market, $24.7 million, or 11.1%, from the telecom market and $0.1 million, or 0.1%, from the FTTH market. Of the Company’s total revenues in 2021, the Company earned $94.3 million, or 44.6%, from the CATV market, $97.5 million, or 46.1%, from the internet data center market, $16.2 million, or 7.7%, from the telecom market and $2.7 million, or 1.2%, from the FTTH and Other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S—EMPLOYEE BENEFIT PLANS</w:t>
      </w:r>
    </w:p>
    <w:p>
      <w:pPr>
        <w:spacing w:after="0" w:line="229" w:lineRule="exact"/>
        <w:rPr>
          <w:sz w:val="20"/>
          <w:szCs w:val="20"/>
          <w:color w:val="auto"/>
        </w:rPr>
      </w:pPr>
    </w:p>
    <w:p>
      <w:pPr>
        <w:ind w:left="20" w:firstLine="648"/>
        <w:spacing w:after="0" w:line="261" w:lineRule="auto"/>
        <w:rPr>
          <w:sz w:val="20"/>
          <w:szCs w:val="20"/>
          <w:color w:val="auto"/>
        </w:rPr>
      </w:pPr>
      <w:r>
        <w:rPr>
          <w:rFonts w:ascii="Times New Roman" w:cs="Times New Roman" w:eastAsia="Times New Roman" w:hAnsi="Times New Roman"/>
          <w:sz w:val="18"/>
          <w:szCs w:val="18"/>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$1.7 million, $1.0 million, and $1.0 million for the years ended December 31, 2023, 2022 and 2021, respectively.</w:t>
      </w:r>
    </w:p>
    <w:p>
      <w:pPr>
        <w:spacing w:after="0" w:line="180" w:lineRule="exact"/>
        <w:rPr>
          <w:sz w:val="20"/>
          <w:szCs w:val="20"/>
          <w:color w:val="auto"/>
        </w:rPr>
      </w:pPr>
    </w:p>
    <w:p>
      <w:pPr>
        <w:ind w:left="20" w:right="40" w:firstLine="648"/>
        <w:spacing w:after="0" w:line="282" w:lineRule="auto"/>
        <w:rPr>
          <w:sz w:val="20"/>
          <w:szCs w:val="20"/>
          <w:color w:val="auto"/>
        </w:rPr>
      </w:pPr>
      <w:r>
        <w:rPr>
          <w:rFonts w:ascii="Times New Roman" w:cs="Times New Roman" w:eastAsia="Times New Roman" w:hAnsi="Times New Roman"/>
          <w:sz w:val="18"/>
          <w:szCs w:val="18"/>
          <w:color w:val="auto"/>
        </w:rPr>
        <w:t>Employees of Prime World’s Taiwan branch participate in a pension program under the Taiwan Labor Pension Act. Pension expense for the Prime World’s Taiwan branch was $0.5 million, $0.5 million, and $0.7 million for the years ended December 31, 2023, 2022 and 2021, respectively.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T—COMMITMENTS AND CONTINGENCIES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Employment Agreements and Consultancy Agreements</w:t>
      </w:r>
    </w:p>
    <w:p>
      <w:pPr>
        <w:spacing w:after="0" w:line="227"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and indemnification agreements with our CEO. The agreement provides that if his employment is terminated as a result of a change of control of the Company, or if his employment is terminated for certain other reasons set forth in the agreements, the Company will be required to pay a severance payment in an amount equal to his annual base salary, and other additional compensation due under the terms of the agreements.</w:t>
      </w:r>
    </w:p>
    <w:p>
      <w:pPr>
        <w:spacing w:after="0" w:line="180" w:lineRule="exact"/>
        <w:rPr>
          <w:sz w:val="20"/>
          <w:szCs w:val="20"/>
          <w:color w:val="auto"/>
        </w:rPr>
      </w:pPr>
    </w:p>
    <w:p>
      <w:pPr>
        <w:ind w:left="20"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employment and indemnification agreements with four other named executive officers. These agreements provide that if their employment is terminated as a result of a change of control of the Company, the Company will be required to pay a severance payment in an amount equal to their annual base salary and other additional compensation due under the terms of the agreements.</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left="20" w:right="2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filed by Yuhan Optoelectronic Technology (Shanghai) Co., Ltd.</w:t>
      </w:r>
    </w:p>
    <w:p>
      <w:pPr>
        <w:spacing w:after="0" w:line="229" w:lineRule="exact"/>
        <w:rPr>
          <w:sz w:val="20"/>
          <w:szCs w:val="20"/>
          <w:color w:val="auto"/>
        </w:rPr>
      </w:pPr>
    </w:p>
    <w:p>
      <w:pPr>
        <w:ind w:left="20"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12, 2023, the Company delivered notice of termination with respect to that certain Agreement for the Sale and Purchase of a New Company to be Established in Hong Kong Special Administrative Region of the People’s Republic of China (the “Purchase Agreement”), dated September 15, 2022, 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December 22, 2023, 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remain subject to regulatory approvals. On January 22, 2024, the Company filed its response, generally denying the Purchaser’s allegations and asserting counterclaims for recovery of a break-up fee. While the Company does not believe the Purchaser’s claims have merit and intends to vigorously defend this matter, it is not able to determine the outcome of this dispute or the likelihood or amount of the Company’s loss or recovery, if any, arising from this matter. If specific performance is granted by HKIAC, the transaction contemplated by the Purchase Agreement would still have to be approved by the Committee on Foreign Investment in the United States prior to its consummation. A hearing date for the arbitration has not been set.</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U—SUBSEQUENT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00" w:top="121" w:right="359" w:bottom="1440" w:gutter="0" w:footer="0" w:header="0"/>
        </w:sectPr>
      </w:pPr>
    </w:p>
    <w:bookmarkStart w:id="94" w:name="page95"/>
    <w:bookmarkEnd w:id="94"/>
    <w:p>
      <w:pPr>
        <w:ind w:left="10440"/>
        <w:spacing w:after="0"/>
        <w:rPr>
          <w:sz w:val="20"/>
          <w:szCs w:val="20"/>
          <w:color w:val="auto"/>
        </w:rPr>
      </w:pPr>
      <w:r>
        <w:rPr>
          <w:rFonts w:ascii="Times New Roman" w:cs="Times New Roman" w:eastAsia="Times New Roman" w:hAnsi="Times New Roman"/>
          <w:sz w:val="17"/>
          <w:szCs w:val="17"/>
          <w:color w:val="auto"/>
        </w:rPr>
        <w:t>Exhibit 4.7</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STOCK REGISTERED UNDER SECTION 12 OF THE EXCHANGE ACT OF 1934</w:t>
      </w:r>
    </w:p>
    <w:p>
      <w:pPr>
        <w:spacing w:after="0" w:line="229" w:lineRule="exact"/>
        <w:rPr>
          <w:sz w:val="20"/>
          <w:szCs w:val="20"/>
          <w:color w:val="auto"/>
        </w:rPr>
      </w:pPr>
    </w:p>
    <w:p>
      <w:pPr>
        <w:ind w:right="40" w:firstLine="648"/>
        <w:spacing w:after="0" w:line="226" w:lineRule="exact"/>
        <w:rPr>
          <w:sz w:val="20"/>
          <w:szCs w:val="20"/>
          <w:color w:val="auto"/>
        </w:rPr>
      </w:pPr>
      <w:r>
        <w:rPr>
          <w:rFonts w:ascii="Times New Roman" w:cs="Times New Roman" w:eastAsia="Times New Roman" w:hAnsi="Times New Roman"/>
          <w:sz w:val="18"/>
          <w:szCs w:val="18"/>
          <w:color w:val="auto"/>
        </w:rPr>
        <w:t>The following description of the Company’s Common Stock is based upon the Company’s Amended and Restated Certificate of Incorporation (“Restated Certificate of Incorporation”), the Company’s Amended and Restated Bylaws (“Bylaws”) and applicable provisions of law. We have summarized certain portions of the Restated Certificate of Incorporation and Bylaws below. The summary is not complete and is subject to, and is qualified in its entirety by express reference to, the provisions of our Restated Certificate of Incorporation and Bylaws, each of which is filed as an exhibit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which this Exhibit 4.7 is a part.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Shares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authorized capital shares consist of 80,000,000 shares of Common Stock, $0.001 par value per share (“Common Stock”), and 5,000,000 shares of preferred stock, $0.001 par value per share (“Preferred Stock”). The outstanding shares of our Common Stock are fully paid and nonassessable. No shares of Preferred Stock have been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of record for the election of directors and on all matters submitted to a vote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also entitled to receive dividends ratably, if any, as may be declared by our board of directors out of legally available funds, subject to any preferential dividend rights of any Preferred Stock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traded on The Nasdaq Global Market under the trading symbol “AAOI.”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Our Restated Certificate of Incorporation and Bylaws and Delaware Anti-Takeover Law</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accordance with our Restated Certificate of Incorporation, our board of directors is divided into three classes serving staggered three-year terms, with one class being elected each year. Our Restated certificate of incorporation also provides that directors may be removed only for cause and then only by the affirmative vote of the holders of 66 2/3%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our Bylaws.</w:t>
      </w:r>
    </w:p>
    <w:p>
      <w:pPr>
        <w:sectPr>
          <w:pgSz w:w="11900" w:h="16838" w:orient="portrait"/>
          <w:cols w:equalWidth="0" w:num="1">
            <w:col w:w="11240"/>
          </w:cols>
          <w:pgMar w:left="320" w:top="553" w:right="339" w:bottom="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Amendment to bylaws and certificate of incorporation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required by the Delaware General Corporation Law (the "DGCL"), any amendment of our Restated Certificate of Incorporation must first be approved by a majority of our board of directors and, if required by law or our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Restated Certificate of Incorporation must be approved by not less than 66 2/3% of the outstanding shares entitled to vote on the amendment, and not less than 66 2/3%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66 2/3%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or the Company's Restated Certificate of Incorporation or Bylaws, or (iv) any action asserting a claim against the Company governed by the internal affairs doctrine. The forum selection provision in our Restated Certificate of Incorporation does not apply to suits arising under the Securities Exchange Act of 1934 but does apply to other state and federal law claims including actions arising under the Securities Act of 1933 (although our stockholders will not be deemed to have waived our compliance with the federal securities laws and the rules and regulations thereunder). With respect to suits arising under the Securities Act of 1933, the enforceability of forum selection provisions has been challenged in legal proceedings, and it is possible that, in connection with any applicable action brought against the Company, a court could find the choice of forum provisions contained in the Restated Certificate of Incorporation to be inapplicable or unenforceable in such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Delaware General Corporation Law</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9" w:lineRule="exact"/>
        <w:rPr>
          <w:sz w:val="20"/>
          <w:szCs w:val="20"/>
          <w:color w:val="auto"/>
        </w:rPr>
      </w:pPr>
    </w:p>
    <w:p>
      <w:pPr>
        <w:ind w:left="660" w:right="10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ind w:left="660" w:right="140" w:hanging="328"/>
        <w:spacing w:after="0" w:line="250"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ectPr>
          <w:pgSz w:w="11900" w:h="16838" w:orient="portrait"/>
          <w:cols w:equalWidth="0" w:num="1">
            <w:col w:w="11220"/>
          </w:cols>
          <w:pgMar w:left="320" w:top="335" w:right="3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00"/>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23, 2024, with respect to the consolidated financial statements and internal control over financial reporting included in the Annual Report of Applied Optoelectronics, Inc. on Form 10-K for the year ended</w:t>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December 31, 2023. We consent to the incorporation by reference of said reports in the Registration Statements of Applied Optoelectronics Inc. on Form S-3 (File No. 333-269132) and on Forms S-8 (File No. 333-192407, File No. 333-217871, File No. 333-223347, File No. 333-230243, File No. 333-236831, File No. 333-253534, File No. 333-257009, File No. 333-253534, File No. 333-223347, File No. 333-230243, File No. 333-236831, File No. 333-217871, File No. 333-265711, File No. 333-272928, and File No. 333-273664).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160" w:firstLine="424"/>
        <w:spacing w:after="0" w:line="282" w:lineRule="auto"/>
        <w:tabs>
          <w:tab w:leader="none" w:pos="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24"/>
        <w:spacing w:after="0" w:line="282" w:lineRule="auto"/>
        <w:tabs>
          <w:tab w:leader="none" w:pos="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24"/>
        <w:spacing w:after="0" w:line="266" w:lineRule="auto"/>
        <w:tabs>
          <w:tab w:leader="none" w:pos="5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20" w:right="80" w:hanging="7"/>
        <w:spacing w:after="0" w:line="266"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20" w:right="300" w:hanging="7"/>
        <w:spacing w:after="0" w:line="266" w:lineRule="auto"/>
        <w:tabs>
          <w:tab w:leader="none" w:pos="6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right="880" w:hanging="7"/>
        <w:spacing w:after="0" w:line="312" w:lineRule="auto"/>
        <w:tabs>
          <w:tab w:leader="none" w:pos="65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420" w:right="320" w:hanging="7"/>
        <w:spacing w:after="0" w:line="266" w:lineRule="auto"/>
        <w:tabs>
          <w:tab w:leader="none" w:pos="6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60" w:firstLine="424"/>
        <w:spacing w:after="0" w:line="282" w:lineRule="auto"/>
        <w:tabs>
          <w:tab w:leader="none" w:pos="5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20" w:right="280" w:hanging="7"/>
        <w:spacing w:after="0" w:line="282" w:lineRule="auto"/>
        <w:tabs>
          <w:tab w:leader="none" w:pos="6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right="220" w:hanging="7"/>
        <w:spacing w:after="0" w:line="282" w:lineRule="auto"/>
        <w:tabs>
          <w:tab w:leader="none" w:pos="6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Optoelectronics, Inc.;</w:t>
      </w:r>
    </w:p>
    <w:p>
      <w:pPr>
        <w:spacing w:after="0" w:line="225" w:lineRule="exact"/>
        <w:rPr>
          <w:rFonts w:ascii="Times New Roman" w:cs="Times New Roman" w:eastAsia="Times New Roman" w:hAnsi="Times New Roman"/>
          <w:sz w:val="18"/>
          <w:szCs w:val="18"/>
          <w:color w:val="auto"/>
        </w:rPr>
      </w:pPr>
    </w:p>
    <w:p>
      <w:pPr>
        <w:ind w:right="160" w:firstLine="424"/>
        <w:spacing w:after="0" w:line="282" w:lineRule="auto"/>
        <w:tabs>
          <w:tab w:leader="none" w:pos="5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24"/>
        <w:spacing w:after="0" w:line="282" w:lineRule="auto"/>
        <w:tabs>
          <w:tab w:leader="none" w:pos="5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24"/>
        <w:spacing w:after="0" w:line="266" w:lineRule="auto"/>
        <w:tabs>
          <w:tab w:leader="none" w:pos="5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20" w:hanging="6"/>
        <w:spacing w:after="0" w:line="266" w:lineRule="auto"/>
        <w:tabs>
          <w:tab w:leader="none" w:pos="74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7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800" w:hanging="6"/>
        <w:spacing w:after="0" w:line="312" w:lineRule="auto"/>
        <w:tabs>
          <w:tab w:leader="none" w:pos="74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500" w:right="240" w:hanging="6"/>
        <w:spacing w:after="0" w:line="266" w:lineRule="auto"/>
        <w:tabs>
          <w:tab w:leader="none" w:pos="7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24"/>
        <w:spacing w:after="0" w:line="282" w:lineRule="auto"/>
        <w:tabs>
          <w:tab w:leader="none" w:pos="5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0" w:hanging="6"/>
        <w:spacing w:after="0" w:line="282" w:lineRule="auto"/>
        <w:tabs>
          <w:tab w:leader="none" w:pos="74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140" w:hanging="6"/>
        <w:spacing w:after="0" w:line="282" w:lineRule="auto"/>
        <w:tabs>
          <w:tab w:leader="none" w:pos="7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80" w:lineRule="exact"/>
        <w:rPr>
          <w:sz w:val="20"/>
          <w:szCs w:val="20"/>
          <w:color w:val="auto"/>
        </w:rPr>
      </w:pPr>
    </w:p>
    <w:p>
      <w:pPr>
        <w:ind w:right="120" w:firstLine="424"/>
        <w:spacing w:after="0" w:line="282" w:lineRule="auto"/>
        <w:tabs>
          <w:tab w:leader="none" w:pos="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2023,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424"/>
        <w:spacing w:after="0" w:line="282" w:lineRule="auto"/>
        <w:tabs>
          <w:tab w:leader="none" w:pos="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23rd day of February,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 Chih-Hsiang (Thompson) Lin</w:t>
            </w:r>
          </w:p>
        </w:tc>
        <w:tc>
          <w:tcPr>
            <w:tcW w:w="5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 Stefan J. Murry</w:t>
            </w:r>
          </w:p>
        </w:tc>
      </w:tr>
      <w:tr>
        <w:trPr>
          <w:trHeight w:val="191"/>
        </w:trPr>
        <w:tc>
          <w:tcPr>
            <w:tcW w:w="5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c>
          <w:tcPr>
            <w:tcW w:w="30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203" w:lineRule="exact"/>
        <w:rPr>
          <w:sz w:val="20"/>
          <w:szCs w:val="20"/>
          <w:color w:val="auto"/>
        </w:rPr>
      </w:pPr>
    </w:p>
    <w:p>
      <w:pPr>
        <w:ind w:left="1180" w:hanging="322"/>
        <w:spacing w:after="0"/>
        <w:tabs>
          <w:tab w:leader="none" w:pos="11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5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purpose of the Applied Optoelectronics, Inc. Incentive Compensation Recovery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to provide for the recovery of certain Incentive-Based Compensation in the event of an Accounting Restatement. This Policy is intended to comply with, and to be administered and interpreted consistent with,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b w:val="1"/>
          <w:bCs w:val="1"/>
          <w:color w:val="auto"/>
        </w:rPr>
        <w:t>Rule 10D-1</w:t>
      </w:r>
      <w:r>
        <w:rPr>
          <w:rFonts w:ascii="Times New Roman" w:cs="Times New Roman" w:eastAsia="Times New Roman" w:hAnsi="Times New Roman"/>
          <w:sz w:val="18"/>
          <w:szCs w:val="18"/>
          <w:color w:val="auto"/>
        </w:rPr>
        <w:t>”), and Listing Rule 5608 adopted by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Listing Standards</w:t>
      </w:r>
      <w:r>
        <w:rPr>
          <w:rFonts w:ascii="Times New Roman" w:cs="Times New Roman" w:eastAsia="Times New Roman" w:hAnsi="Times New Roman"/>
          <w:sz w:val="18"/>
          <w:szCs w:val="18"/>
          <w:color w:val="auto"/>
        </w:rPr>
        <w:t>”). Unless otherwise defined in this Policy, capitalized terms shall have the meanings set forth in Section 10 below.</w:t>
      </w:r>
    </w:p>
    <w:p>
      <w:pPr>
        <w:spacing w:after="0" w:line="179" w:lineRule="exact"/>
        <w:rPr>
          <w:sz w:val="20"/>
          <w:szCs w:val="20"/>
          <w:color w:val="auto"/>
        </w:rPr>
      </w:pPr>
    </w:p>
    <w:p>
      <w:pPr>
        <w:ind w:left="460" w:hanging="331"/>
        <w:spacing w:after="0"/>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Policy for Recovery of Erroneously Awarded Compensation</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event of an Accounting Restatement, it is the Company’s policy that it will recover reasonably promptly the amount of any Erroneously Awarded Compensation Received by an Executive Officer during the Recovery Period.</w:t>
      </w:r>
    </w:p>
    <w:p>
      <w:pPr>
        <w:spacing w:after="0" w:line="158" w:lineRule="exact"/>
        <w:rPr>
          <w:sz w:val="20"/>
          <w:szCs w:val="20"/>
          <w:color w:val="auto"/>
        </w:rPr>
      </w:pPr>
    </w:p>
    <w:p>
      <w:pPr>
        <w:ind w:left="800" w:hanging="320"/>
        <w:spacing w:after="0"/>
        <w:tabs>
          <w:tab w:leader="none" w:pos="8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252" w:lineRule="exact"/>
        <w:rPr>
          <w:sz w:val="20"/>
          <w:szCs w:val="20"/>
          <w:color w:val="auto"/>
        </w:rPr>
      </w:pPr>
    </w:p>
    <w:p>
      <w:pPr>
        <w:ind w:left="660" w:right="4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This Policy shall be administered by the Compensation Committee, except that the Board may determine to act as the administrator or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committee of the Board to act as the administrator with respect to any portion of this Policy other than Section 3.3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Administrator is authorized to interpret and construe this Policy and to make all determinations necessary, appropriate, or advisable for the administration of this Policy.</w:t>
      </w:r>
    </w:p>
    <w:p>
      <w:pPr>
        <w:spacing w:after="0" w:line="176" w:lineRule="exact"/>
        <w:rPr>
          <w:sz w:val="20"/>
          <w:szCs w:val="20"/>
          <w:color w:val="auto"/>
        </w:rPr>
      </w:pPr>
    </w:p>
    <w:p>
      <w:pPr>
        <w:ind w:left="660" w:right="8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Administrator is authorized to take appropriate steps to implement this Policy and may effect recovery hereunder by: (i) requiring payment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(ii) set-off, (iii) reducing compensation, or (iv) such other means or combination of means as the Administrator determines to be appropriate.</w:t>
      </w:r>
    </w:p>
    <w:p>
      <w:pPr>
        <w:spacing w:after="0" w:line="171" w:lineRule="exact"/>
        <w:rPr>
          <w:sz w:val="20"/>
          <w:szCs w:val="20"/>
          <w:color w:val="auto"/>
        </w:rPr>
      </w:pPr>
    </w:p>
    <w:p>
      <w:pPr>
        <w:ind w:left="660" w:right="20" w:hanging="3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The Company need not recover Erroneously Awarded Compensation if and to the extent that the Compensation Committee determines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recovery is impracticable and not required under Rule 10D-1 and the Listing Standards because: (i) the direct expense paid to a third party to assist in enforcing this Policy would exceed the amount to be recovered after making a reasonable attempt to recover or (ii) recovery would likely cause an otherwise tax-qualified broad-based retirement plan to fail the requirements of Section 401(a)(13) or Section 411(a) of the Internal Revenue Code of 1986, as amended, and regulations thereunder.</w:t>
      </w:r>
    </w:p>
    <w:p>
      <w:pPr>
        <w:spacing w:after="0" w:line="179" w:lineRule="exact"/>
        <w:rPr>
          <w:sz w:val="20"/>
          <w:szCs w:val="20"/>
          <w:color w:val="auto"/>
        </w:rPr>
      </w:pPr>
    </w:p>
    <w:p>
      <w:pPr>
        <w:ind w:left="660" w:right="32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Any determinations made by the Administrator under this Policy shall be final and binding on all affected individuals and need not be uniform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each Executive Officer covered by this Policy.</w:t>
      </w:r>
    </w:p>
    <w:p>
      <w:pPr>
        <w:spacing w:after="0" w:line="155" w:lineRule="exact"/>
        <w:rPr>
          <w:sz w:val="20"/>
          <w:szCs w:val="20"/>
          <w:color w:val="auto"/>
        </w:rPr>
      </w:pPr>
    </w:p>
    <w:p>
      <w:pPr>
        <w:ind w:left="500" w:hanging="317"/>
        <w:spacing w:after="0"/>
        <w:tabs>
          <w:tab w:leader="none" w:pos="5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Recovery Rights; Company Claims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right of recovery pursuant to this Policy is in addition to, and not in lieu of, any other remedies or rights of recovery that may be available to the Company under applicable law or pursuant to the terms of any other compensation recovery policy of the Company that may be in effect from time to time, including in any employment agreement, plan or award agreement, or similar agreement and any other legal remedies available to the Company. Nothing contained in this Policy and no recovery hereunder shall limit any claims, damages, or other legal remedies the Company may have against an individual arising out of or resulting from any actions or omissions by such individual.</w:t>
      </w:r>
    </w:p>
    <w:p>
      <w:pPr>
        <w:spacing w:after="0" w:line="179" w:lineRule="exact"/>
        <w:rPr>
          <w:sz w:val="20"/>
          <w:szCs w:val="20"/>
          <w:color w:val="auto"/>
        </w:rPr>
      </w:pPr>
    </w:p>
    <w:p>
      <w:pPr>
        <w:ind w:left="620" w:hanging="329"/>
        <w:spacing w:after="0"/>
        <w:tabs>
          <w:tab w:leader="none" w:pos="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and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federal securities laws.</w:t>
      </w:r>
    </w:p>
    <w:p>
      <w:pPr>
        <w:spacing w:after="0" w:line="221" w:lineRule="exact"/>
        <w:rPr>
          <w:sz w:val="20"/>
          <w:szCs w:val="20"/>
          <w:color w:val="auto"/>
        </w:rPr>
      </w:pPr>
    </w:p>
    <w:p>
      <w:pPr>
        <w:ind w:left="580" w:hanging="316"/>
        <w:spacing w:after="0"/>
        <w:tabs>
          <w:tab w:leader="none" w:pos="5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 Prohibition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Notwithstanding the terms of any indemnification or insurance policy or any contractual arrangement that may be interpreted to the contrary, the Company shall not indemnify any Executive Officer with respect to amount(s) recovered under this Policy or claims relating to the enforcement of this Policy, including any payment or reimbursement for the cost of third-party insurance purchased by such individual to fund potential clawback obligations hereunder.</w:t>
      </w:r>
    </w:p>
    <w:p>
      <w:pPr>
        <w:spacing w:after="0" w:line="176" w:lineRule="exact"/>
        <w:rPr>
          <w:sz w:val="20"/>
          <w:szCs w:val="20"/>
          <w:color w:val="auto"/>
        </w:rPr>
      </w:pPr>
    </w:p>
    <w:p>
      <w:pPr>
        <w:ind w:left="620" w:hanging="329"/>
        <w:spacing w:after="0"/>
        <w:tabs>
          <w:tab w:leader="none" w:pos="6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Termination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or the Compensation Committee may amend or terminate this Policy from time to time in its discretion as it deems appropriate and shall amend this policy as it deems necessary to comply with applicable law or any rules or standards adopted by a national securities exchange or association on which the Company’s securities are listed; provided, however, that no amendment or termination of this Policy shall be effective to the extent it would cause the Company to violate any federal securities laws, Securities and Exchange Commission rule or the rules or standards of any national securities exchange or association on which the Company’s securities are listed.</w:t>
      </w:r>
    </w:p>
    <w:p>
      <w:pPr>
        <w:spacing w:after="0" w:line="179" w:lineRule="exact"/>
        <w:rPr>
          <w:sz w:val="20"/>
          <w:szCs w:val="20"/>
          <w:color w:val="auto"/>
        </w:rPr>
      </w:pPr>
    </w:p>
    <w:p>
      <w:pPr>
        <w:ind w:left="1000" w:hanging="331"/>
        <w:spacing w:after="0"/>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individuals who are or were Executive Officers and their beneficiaries, heirs, executors, administrators, or other legal representatives.</w:t>
      </w:r>
    </w:p>
    <w:p>
      <w:pPr>
        <w:spacing w:after="0" w:line="158" w:lineRule="exact"/>
        <w:rPr>
          <w:sz w:val="20"/>
          <w:szCs w:val="20"/>
          <w:color w:val="auto"/>
        </w:rPr>
      </w:pPr>
    </w:p>
    <w:p>
      <w:pPr>
        <w:ind w:left="840" w:hanging="319"/>
        <w:spacing w:after="0"/>
        <w:tabs>
          <w:tab w:leader="none" w:pos="8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effective only for Incentive-Based Compensation Received by an Executive Officer on or after the Effective Date.</w:t>
      </w:r>
    </w:p>
    <w:p>
      <w:pPr>
        <w:spacing w:after="0" w:line="221"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ectPr>
          <w:pgSz w:w="11900" w:h="16838" w:orient="portrait"/>
          <w:cols w:equalWidth="0" w:num="1">
            <w:col w:w="11240"/>
          </w:cols>
          <w:pgMar w:left="320" w:top="117" w:right="339" w:bottom="0" w:gutter="0" w:footer="0" w:header="0"/>
        </w:sectPr>
      </w:pPr>
    </w:p>
    <w:bookmarkStart w:id="101" w:name="page102"/>
    <w:bookmarkEnd w:id="101"/>
    <w:p>
      <w:pPr>
        <w:ind w:left="700" w:right="280" w:hanging="363"/>
        <w:spacing w:after="0" w:line="262" w:lineRule="auto"/>
        <w:rPr>
          <w:sz w:val="20"/>
          <w:szCs w:val="20"/>
          <w:color w:val="auto"/>
        </w:rPr>
      </w:pPr>
      <w:r>
        <w:rPr>
          <w:rFonts w:ascii="Times New Roman" w:cs="Times New Roman" w:eastAsia="Times New Roman" w:hAnsi="Times New Roman"/>
          <w:sz w:val="18"/>
          <w:szCs w:val="18"/>
          <w:b w:val="1"/>
          <w:bCs w:val="1"/>
          <w:color w:val="auto"/>
        </w:rPr>
        <w:t>10.1.“Accounting Restatement</w:t>
      </w:r>
      <w:r>
        <w:rPr>
          <w:rFonts w:ascii="Times New Roman" w:cs="Times New Roman" w:eastAsia="Times New Roman" w:hAnsi="Times New Roman"/>
          <w:sz w:val="18"/>
          <w:szCs w:val="18"/>
          <w:color w:val="auto"/>
        </w:rPr>
        <w:t>” means an accounting restatement of the Company’s financial statements due to the Company’s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noncompliance with any financial reporting requirement under the securities laws, including any accounting restatement required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10.2.“Administrator</w:t>
      </w:r>
      <w:r>
        <w:rPr>
          <w:rFonts w:ascii="Times New Roman" w:cs="Times New Roman" w:eastAsia="Times New Roman" w:hAnsi="Times New Roman"/>
          <w:sz w:val="18"/>
          <w:szCs w:val="18"/>
          <w:color w:val="auto"/>
        </w:rPr>
        <w:t>” has the meaning set forth in Section 3.1 hereof.</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10.3.“Board</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10.4.“Company</w:t>
      </w:r>
      <w:r>
        <w:rPr>
          <w:rFonts w:ascii="Times New Roman" w:cs="Times New Roman" w:eastAsia="Times New Roman" w:hAnsi="Times New Roman"/>
          <w:sz w:val="18"/>
          <w:szCs w:val="18"/>
          <w:color w:val="auto"/>
        </w:rPr>
        <w:t>” means Applied Optoelectronics, Inc., a Delaware corporation, and its affiliates.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10.5.“Committee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10.6.“Effective Date</w:t>
      </w:r>
      <w:r>
        <w:rPr>
          <w:rFonts w:ascii="Times New Roman" w:cs="Times New Roman" w:eastAsia="Times New Roman" w:hAnsi="Times New Roman"/>
          <w:sz w:val="18"/>
          <w:szCs w:val="18"/>
          <w:color w:val="auto"/>
        </w:rPr>
        <w:t>” means October 2, 2023.</w:t>
      </w:r>
    </w:p>
    <w:p>
      <w:pPr>
        <w:spacing w:after="0" w:line="225" w:lineRule="exact"/>
        <w:rPr>
          <w:sz w:val="20"/>
          <w:szCs w:val="20"/>
          <w:color w:val="auto"/>
        </w:rPr>
      </w:pPr>
    </w:p>
    <w:p>
      <w:pPr>
        <w:ind w:left="700" w:right="100" w:hanging="363"/>
        <w:spacing w:after="0" w:line="256" w:lineRule="auto"/>
        <w:rPr>
          <w:sz w:val="20"/>
          <w:szCs w:val="20"/>
          <w:color w:val="auto"/>
        </w:rPr>
      </w:pPr>
      <w:r>
        <w:rPr>
          <w:rFonts w:ascii="Times New Roman" w:cs="Times New Roman" w:eastAsia="Times New Roman" w:hAnsi="Times New Roman"/>
          <w:sz w:val="18"/>
          <w:szCs w:val="18"/>
          <w:b w:val="1"/>
          <w:bCs w:val="1"/>
          <w:color w:val="auto"/>
        </w:rPr>
        <w:t>10.7.“Erroneously Awarded Compensation</w:t>
      </w:r>
      <w:r>
        <w:rPr>
          <w:rFonts w:ascii="Times New Roman" w:cs="Times New Roman" w:eastAsia="Times New Roman" w:hAnsi="Times New Roman"/>
          <w:sz w:val="18"/>
          <w:szCs w:val="18"/>
          <w:color w:val="auto"/>
        </w:rPr>
        <w:t>” means the amount, as determined by the Administrator, of Incentive-Based Compensation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Executive Officer that exceeds the amount of Incentive-Based Compensation that would have been received by the Executive Officer had it been determined based on the restated amounts. For Incentive-Based Compensation based on stock price or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the Administrator will determine the amount based on a reasonable estimate of the effect of the Accounting Restatement on the stock price or TSR upon which the Incentive-Based Compensation was received, and the Company will maintain documentation of the determination of that reasonable estimate and provide the documentation to Nasdaq. In all cases, the amount to be recovered will be calculated without regard to any taxes paid by the Executive Officer with respect to the Erroneously Awarded Compensation.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10.8.“Executive Officers</w:t>
      </w:r>
      <w:r>
        <w:rPr>
          <w:rFonts w:ascii="Times New Roman" w:cs="Times New Roman" w:eastAsia="Times New Roman" w:hAnsi="Times New Roman"/>
          <w:sz w:val="18"/>
          <w:szCs w:val="18"/>
          <w:color w:val="auto"/>
        </w:rPr>
        <w:t>” means the Company’s current and former executive officers as determined by the Administrator in accordance with</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Rule 10D-1 and the Listing Standards. Generally, Executive Officers include any executive officer designated by the Board as an “officer” under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Rule 16a-1(f) under the Exchange Act.</w:t>
      </w:r>
    </w:p>
    <w:p>
      <w:pPr>
        <w:spacing w:after="0" w:line="203" w:lineRule="exact"/>
        <w:rPr>
          <w:sz w:val="20"/>
          <w:szCs w:val="20"/>
          <w:color w:val="auto"/>
        </w:rPr>
      </w:pPr>
    </w:p>
    <w:p>
      <w:pPr>
        <w:ind w:left="700" w:right="40" w:hanging="363"/>
        <w:spacing w:after="0" w:line="262" w:lineRule="auto"/>
        <w:rPr>
          <w:sz w:val="20"/>
          <w:szCs w:val="20"/>
          <w:color w:val="auto"/>
        </w:rPr>
      </w:pPr>
      <w:r>
        <w:rPr>
          <w:rFonts w:ascii="Times New Roman" w:cs="Times New Roman" w:eastAsia="Times New Roman" w:hAnsi="Times New Roman"/>
          <w:sz w:val="18"/>
          <w:szCs w:val="18"/>
          <w:b w:val="1"/>
          <w:bCs w:val="1"/>
          <w:color w:val="auto"/>
        </w:rPr>
        <w:t>10.9.“Financial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the Company’s financial statements and any measure derived wholly or in part from such a measure, and (ii) any measure based wholly or in part on the Company’s stock price or total shareholder return. A Financial Reporting Measure need not be presented within the Company’s financial statements or included in a filing with the Securities and Exchange Commission.</w:t>
      </w:r>
    </w:p>
    <w:p>
      <w:pPr>
        <w:spacing w:after="0" w:line="176" w:lineRule="exact"/>
        <w:rPr>
          <w:sz w:val="20"/>
          <w:szCs w:val="20"/>
          <w:color w:val="auto"/>
        </w:rPr>
      </w:pPr>
    </w:p>
    <w:p>
      <w:pPr>
        <w:ind w:left="800" w:right="40" w:hanging="458"/>
        <w:spacing w:after="0" w:line="262" w:lineRule="auto"/>
        <w:rPr>
          <w:sz w:val="20"/>
          <w:szCs w:val="20"/>
          <w:color w:val="auto"/>
        </w:rPr>
      </w:pPr>
      <w:r>
        <w:rPr>
          <w:rFonts w:ascii="Times New Roman" w:cs="Times New Roman" w:eastAsia="Times New Roman" w:hAnsi="Times New Roman"/>
          <w:sz w:val="18"/>
          <w:szCs w:val="18"/>
          <w:b w:val="1"/>
          <w:bCs w:val="1"/>
          <w:color w:val="auto"/>
        </w:rPr>
        <w:t>10.10.“Incentive-Based Compensation</w:t>
      </w:r>
      <w:r>
        <w:rPr>
          <w:rFonts w:ascii="Times New Roman" w:cs="Times New Roman" w:eastAsia="Times New Roman" w:hAnsi="Times New Roman"/>
          <w:sz w:val="18"/>
          <w:szCs w:val="18"/>
          <w:color w:val="auto"/>
        </w:rPr>
        <w:t>” means any compensation granted, earned, or vested based in whole or in part on the Company’s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Financial Reporting Measure that was Received by an individual (i) on or after the Effective Date and after such individual began service as an Executive Officer, (ii) who served as an Executive Officer at any time during the performance period for the Incentive-Based Compensation and (iii) while the Company had a listed class of securities on a national securities exchange or association.</w:t>
      </w:r>
    </w:p>
    <w:p>
      <w:pPr>
        <w:spacing w:after="0" w:line="176" w:lineRule="exact"/>
        <w:rPr>
          <w:sz w:val="20"/>
          <w:szCs w:val="20"/>
          <w:color w:val="auto"/>
        </w:rPr>
      </w:pPr>
    </w:p>
    <w:p>
      <w:pPr>
        <w:ind w:left="780" w:right="280" w:hanging="44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10.11. </w:t>
      </w:r>
      <w:r>
        <w:rPr>
          <w:rFonts w:ascii="Times New Roman" w:cs="Times New Roman" w:eastAsia="Times New Roman" w:hAnsi="Times New Roman"/>
          <w:sz w:val="18"/>
          <w:szCs w:val="18"/>
          <w:color w:val="auto"/>
        </w:rPr>
        <w:t>Incentive-Based Compensation is deemed to be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 the Company’s fiscal period during which the Financial Reporting Measure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Incentive-Based Compensation award is attained, even if the payment or grant of such Incentive-Based Compensation occurs after the end of that period.</w:t>
      </w:r>
    </w:p>
    <w:p>
      <w:pPr>
        <w:spacing w:after="0" w:line="171" w:lineRule="exact"/>
        <w:rPr>
          <w:sz w:val="20"/>
          <w:szCs w:val="20"/>
          <w:color w:val="auto"/>
        </w:rPr>
      </w:pPr>
    </w:p>
    <w:p>
      <w:pPr>
        <w:ind w:left="800" w:right="80" w:hanging="458"/>
        <w:spacing w:after="0" w:line="257" w:lineRule="auto"/>
        <w:rPr>
          <w:sz w:val="20"/>
          <w:szCs w:val="20"/>
          <w:color w:val="auto"/>
        </w:rPr>
      </w:pPr>
      <w:r>
        <w:rPr>
          <w:rFonts w:ascii="Times New Roman" w:cs="Times New Roman" w:eastAsia="Times New Roman" w:hAnsi="Times New Roman"/>
          <w:sz w:val="18"/>
          <w:szCs w:val="18"/>
          <w:b w:val="1"/>
          <w:bCs w:val="1"/>
          <w:color w:val="auto"/>
        </w:rPr>
        <w:t>10.12.“Recovery Period</w:t>
      </w:r>
      <w:r>
        <w:rPr>
          <w:rFonts w:ascii="Times New Roman" w:cs="Times New Roman" w:eastAsia="Times New Roman" w:hAnsi="Times New Roman"/>
          <w:sz w:val="18"/>
          <w:szCs w:val="18"/>
          <w:color w:val="auto"/>
        </w:rPr>
        <w:t>” means the three completed fiscal years immediately preceding the date that the Company is required to prepare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Accounting Restatement and any “transition period” as described under Rule 10D-1 and the Listing Standards. For purposes of this Policy, the “</w:t>
      </w:r>
      <w:r>
        <w:rPr>
          <w:rFonts w:ascii="Times New Roman" w:cs="Times New Roman" w:eastAsia="Times New Roman" w:hAnsi="Times New Roman"/>
          <w:sz w:val="18"/>
          <w:szCs w:val="18"/>
          <w:b w:val="1"/>
          <w:bCs w:val="1"/>
          <w:color w:val="auto"/>
        </w:rPr>
        <w:t>date that the Company is required to prepare the applicable Accounting Restatement</w:t>
      </w:r>
      <w:r>
        <w:rPr>
          <w:rFonts w:ascii="Times New Roman" w:cs="Times New Roman" w:eastAsia="Times New Roman" w:hAnsi="Times New Roman"/>
          <w:sz w:val="18"/>
          <w:szCs w:val="18"/>
          <w:color w:val="auto"/>
        </w:rPr>
        <w:t>” is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11. Acknowledgement by Executive Officer</w:t>
      </w:r>
    </w:p>
    <w:p>
      <w:pPr>
        <w:spacing w:after="0" w:line="225"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color w:val="auto"/>
        </w:rPr>
        <w:t xml:space="preserve">Each Executive Officer shall sign and return to the Company an Acknowledgment Form substantially the form attached to this Policy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or in such other form determined by the Administrator, pursuant to which the Executive Officer agrees to be bound by, and comply with, the terms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 the undersigned, acknowledge and affirm that I have received and reviewed a copy of the Applied Optoelectronics, Inc. Incentive Compensation Recovery Policy, and agree that: (i) I am and will continue to be subject to the Applied Optoelectronics, Inc. Incentive Compensation Recovery Policy, as amended from time to time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(ii) the Policy will apply to me both during and after my employment with the Company, and (iii) I will abide by the terms of the Policy, including, without limitation, by promptly returning any Erroneously Awarded Compensation to the Company to the extent required by, and in a manner determined by the Administrator and permitted by, the Policy. In the event of any inconsistency between the Policy and the terms of any employment agreement or offer letter to which I am a party, or the terms of any compensation plan, program, or agreement under which any compensation has been granted, awarded, earned or paid, the terms of the Policy shall govern.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in this Acknowledgement Form shall have the meanings ascribed to such terms in the Policy.</w:t>
      </w:r>
    </w:p>
    <w:p>
      <w:pPr>
        <w:spacing w:after="0" w:line="22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7"/>
          <w:szCs w:val="17"/>
          <w:color w:val="auto"/>
        </w:rPr>
        <w:t>Signature</w:t>
      </w:r>
    </w:p>
    <w:p>
      <w:pPr>
        <w:spacing w:after="0" w:line="21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7"/>
          <w:szCs w:val="17"/>
          <w:color w:val="auto"/>
        </w:rPr>
        <w:t>Print Name</w:t>
      </w:r>
    </w:p>
    <w:p>
      <w:pPr>
        <w:spacing w:after="0" w:line="21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28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
    </w:lvl>
    <w:lvl w:ilvl="1">
      <w:lvlJc w:val="left"/>
      <w:lvlText w:val="(%2)"/>
      <w:numFmt w:val="decimal"/>
      <w:start w:val="2"/>
    </w:lvl>
  </w:abstractNum>
  <w:abstractNum w:abstractNumId="22">
    <w:nsid w:val="7644A45C"/>
    <w:multiLevelType w:val="hybridMultilevel"/>
    <w:lvl w:ilvl="0">
      <w:lvlJc w:val="left"/>
      <w:lvlText w:val="(%1)"/>
      <w:numFmt w:val="decimal"/>
      <w:start w:val="3"/>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2"/>
    </w:lvl>
  </w:abstractNum>
  <w:abstractNum w:abstractNumId="26">
    <w:nsid w:val="749ABB43"/>
    <w:multiLevelType w:val="hybridMultilevel"/>
    <w:lvl w:ilvl="0">
      <w:lvlJc w:val="left"/>
      <w:lvlText w:val="(%1)"/>
      <w:numFmt w:val="lowerRoman"/>
      <w:start w:val="2"/>
    </w:lvl>
  </w:abstractNum>
  <w:abstractNum w:abstractNumId="27">
    <w:nsid w:val="3DC240FB"/>
    <w:multiLevelType w:val="hybridMultilevel"/>
    <w:lvl w:ilvl="0">
      <w:lvlJc w:val="left"/>
      <w:lvlText w:val="%1."/>
      <w:numFmt w:val="lowerLetter"/>
      <w:start w:val="3"/>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
      <w:numFmt w:val="bullet"/>
      <w:start w:val="1"/>
    </w:lvl>
    <w:lvl w:ilvl="1">
      <w:lvlJc w:val="left"/>
      <w:lvlText w:val="%2"/>
      <w:numFmt w:val="decimal"/>
      <w:start w:val="104"/>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lvl w:ilvl="1">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2"/>
    </w:lvl>
  </w:abstractNum>
  <w:abstractNum w:abstractNumId="35">
    <w:nsid w:val="4F4EF005"/>
    <w:multiLevelType w:val="hybridMultilevel"/>
    <w:lvl w:ilvl="0">
      <w:lvlJc w:val="left"/>
      <w:lvlText w:val="%1."/>
      <w:numFmt w:val="decimal"/>
      <w:start w:val="3"/>
    </w:lvl>
  </w:abstractNum>
  <w:abstractNum w:abstractNumId="36">
    <w:nsid w:val="23F9C13C"/>
    <w:multiLevelType w:val="hybridMultilevel"/>
    <w:lvl w:ilvl="0">
      <w:lvlJc w:val="left"/>
      <w:lvlText w:val="%1."/>
      <w:numFmt w:val="decimal"/>
      <w:start w:val="4"/>
    </w:lvl>
  </w:abstractNum>
  <w:abstractNum w:abstractNumId="37">
    <w:nsid w:val="649BB77C"/>
    <w:multiLevelType w:val="hybridMultilevel"/>
    <w:lvl w:ilvl="0">
      <w:lvlJc w:val="left"/>
      <w:lvlText w:val="%1."/>
      <w:numFmt w:val="decimal"/>
      <w:start w:val="5"/>
    </w:lvl>
  </w:abstractNum>
  <w:abstractNum w:abstractNumId="38">
    <w:nsid w:val="275AC794"/>
    <w:multiLevelType w:val="hybridMultilevel"/>
    <w:lvl w:ilvl="0">
      <w:lvlJc w:val="left"/>
      <w:lvlText w:val="%1."/>
      <w:numFmt w:val="decimal"/>
      <w:start w:val="6"/>
    </w:lvl>
  </w:abstractNum>
  <w:abstractNum w:abstractNumId="39">
    <w:nsid w:val="39386575"/>
    <w:multiLevelType w:val="hybridMultilevel"/>
    <w:lvl w:ilvl="0">
      <w:lvlJc w:val="left"/>
      <w:lvlText w:val="%1."/>
      <w:numFmt w:val="decimal"/>
      <w:start w:val="8"/>
    </w:lvl>
  </w:abstractNum>
  <w:abstractNum w:abstractNumId="40">
    <w:nsid w:val="1CF10FD8"/>
    <w:multiLevelType w:val="hybridMultilevel"/>
    <w:lvl w:ilvl="0">
      <w:lvlJc w:val="left"/>
      <w:lvlText w:val="%1."/>
      <w:numFmt w:val="decimal"/>
      <w:start w:val="9"/>
    </w:lvl>
  </w:abstractNum>
  <w:abstractNum w:abstractNumId="41">
    <w:nsid w:val="180115BE"/>
    <w:multiLevelType w:val="hybridMultilevel"/>
    <w:lvl w:ilvl="0">
      <w:lvlJc w:val="left"/>
      <w:lvlText w:val="%1."/>
      <w:numFmt w:val="decimal"/>
      <w:start w:val="10"/>
    </w:lvl>
  </w:abstractNum>
  <w:abstractNum w:abstractNumId="42">
    <w:nsid w:val="235BA861"/>
    <w:multiLevelType w:val="hybridMultilevel"/>
    <w:lvl w:ilvl="0">
      <w:lvlJc w:val="left"/>
      <w:lvlText w:val="%1."/>
      <w:numFmt w:val="decimal"/>
      <w:start w:val="11"/>
    </w:lvl>
  </w:abstractNum>
  <w:abstractNum w:abstractNumId="43">
    <w:nsid w:val="47398C89"/>
    <w:multiLevelType w:val="hybridMultilevel"/>
    <w:lvl w:ilvl="0">
      <w:lvlJc w:val="left"/>
      <w:lvlText w:val="%1."/>
      <w:numFmt w:val="decimal"/>
      <w:start w:val="12"/>
    </w:lvl>
  </w:abstractNum>
  <w:abstractNum w:abstractNumId="44">
    <w:nsid w:val="354FE9F9"/>
    <w:multiLevelType w:val="hybridMultilevel"/>
    <w:lvl w:ilvl="0">
      <w:lvlJc w:val="left"/>
      <w:lvlText w:val="%1."/>
      <w:numFmt w:val="decimal"/>
      <w:start w:val="13"/>
    </w:lvl>
  </w:abstractNum>
  <w:abstractNum w:abstractNumId="45">
    <w:nsid w:val="15B5AF5C"/>
    <w:multiLevelType w:val="hybridMultilevel"/>
    <w:lvl w:ilvl="0">
      <w:lvlJc w:val="left"/>
      <w:lvlText w:val="%1."/>
      <w:numFmt w:val="decimal"/>
      <w:start w:val="14"/>
    </w:lvl>
  </w:abstractNum>
  <w:abstractNum w:abstractNumId="46">
    <w:nsid w:val="741226BB"/>
    <w:multiLevelType w:val="hybridMultilevel"/>
    <w:lvl w:ilvl="0">
      <w:lvlJc w:val="left"/>
      <w:lvlText w:val="%1."/>
      <w:numFmt w:val="decimal"/>
      <w:start w:val="15"/>
    </w:lvl>
  </w:abstractNum>
  <w:abstractNum w:abstractNumId="47">
    <w:nsid w:val="D34B6A8"/>
    <w:multiLevelType w:val="hybridMultilevel"/>
    <w:lvl w:ilvl="0">
      <w:lvlJc w:val="left"/>
      <w:lvlText w:val="%1."/>
      <w:numFmt w:val="decimal"/>
      <w:start w:val="16"/>
    </w:lvl>
  </w:abstractNum>
  <w:abstractNum w:abstractNumId="48">
    <w:nsid w:val="10233C99"/>
    <w:multiLevelType w:val="hybridMultilevel"/>
    <w:lvl w:ilvl="0">
      <w:lvlJc w:val="left"/>
      <w:lvlText w:val="%1."/>
      <w:numFmt w:val="decimal"/>
      <w:start w:val="18"/>
    </w:lvl>
  </w:abstractNum>
  <w:abstractNum w:abstractNumId="49">
    <w:nsid w:val="3F6AB60F"/>
    <w:multiLevelType w:val="hybridMultilevel"/>
    <w:lvl w:ilvl="0">
      <w:lvlJc w:val="left"/>
      <w:lvlText w:val="%1."/>
      <w:numFmt w:val="decimal"/>
      <w:start w:val="19"/>
    </w:lvl>
  </w:abstractNum>
  <w:abstractNum w:abstractNumId="50">
    <w:nsid w:val="61574095"/>
    <w:multiLevelType w:val="hybridMultilevel"/>
    <w:lvl w:ilvl="0">
      <w:lvlJc w:val="left"/>
      <w:lvlText w:val="%1."/>
      <w:numFmt w:val="decimal"/>
      <w:start w:val="20"/>
    </w:lvl>
  </w:abstractNum>
  <w:abstractNum w:abstractNumId="51">
    <w:nsid w:val="7E0C57B1"/>
    <w:multiLevelType w:val="hybridMultilevel"/>
    <w:lvl w:ilvl="0">
      <w:lvlJc w:val="left"/>
      <w:lvlText w:val="%1."/>
      <w:numFmt w:val="decimal"/>
      <w:start w:val="21"/>
    </w:lvl>
  </w:abstractNum>
  <w:abstractNum w:abstractNumId="52">
    <w:nsid w:val="77AE35EB"/>
    <w:multiLevelType w:val="hybridMultilevel"/>
    <w:lvl w:ilvl="0">
      <w:lvlJc w:val="left"/>
      <w:lvlText w:val="%1."/>
      <w:numFmt w:val="decimal"/>
      <w:start w:val="22"/>
    </w:lvl>
  </w:abstractNum>
  <w:abstractNum w:abstractNumId="53">
    <w:nsid w:val="579BE4F1"/>
    <w:multiLevelType w:val="hybridMultilevel"/>
    <w:lvl w:ilvl="0">
      <w:lvlJc w:val="left"/>
      <w:lvlText w:val="%1."/>
      <w:numFmt w:val="upperLetter"/>
      <w:start w:val="11"/>
    </w:lvl>
  </w:abstractNum>
  <w:abstractNum w:abstractNumId="54">
    <w:nsid w:val="310C50B3"/>
    <w:multiLevelType w:val="hybridMultilevel"/>
    <w:lvl w:ilvl="0">
      <w:lvlJc w:val="left"/>
      <w:lvlText w:val="%1"/>
      <w:numFmt w:val="upperLetter"/>
      <w:start w:val="68"/>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decimal"/>
      <w:start w:val="5"/>
    </w:lvl>
  </w:abstractNum>
  <w:abstractNum w:abstractNumId="60">
    <w:nsid w:val="1F48EAA1"/>
    <w:multiLevelType w:val="hybridMultilevel"/>
    <w:lvl w:ilvl="0">
      <w:lvlJc w:val="left"/>
      <w:lvlText w:val="(%1)"/>
      <w:numFmt w:val="lowerLetter"/>
      <w:start w:val="1"/>
    </w:lvl>
  </w:abstractNum>
  <w:abstractNum w:abstractNumId="61">
    <w:nsid w:val="1381823A"/>
    <w:multiLevelType w:val="hybridMultilevel"/>
    <w:lvl w:ilvl="0">
      <w:lvlJc w:val="left"/>
      <w:lvlText w:val="%1."/>
      <w:numFmt w:val="decimal"/>
      <w:start w:val="1"/>
    </w:lvl>
    <w:lvl w:ilvl="1">
      <w:lvlJc w:val="left"/>
      <w:lvlText w:val="(%2)"/>
      <w:numFmt w:val="lowerLetter"/>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2"/>
    </w:lvl>
  </w:abstractNum>
  <w:abstractNum w:abstractNumId="65">
    <w:nsid w:val="15014ACB"/>
    <w:multiLevelType w:val="hybridMultilevel"/>
    <w:lvl w:ilvl="0">
      <w:lvlJc w:val="left"/>
      <w:lvlText w:val="%1."/>
      <w:numFmt w:val="decimal"/>
      <w:start w:val="3"/>
    </w:lvl>
  </w:abstractNum>
  <w:abstractNum w:abstractNumId="66">
    <w:nsid w:val="5F5E7FD0"/>
    <w:multiLevelType w:val="hybridMultilevel"/>
    <w:lvl w:ilvl="0">
      <w:lvlJc w:val="left"/>
      <w:lvlText w:val="%1."/>
      <w:numFmt w:val="decimal"/>
      <w:start w:val="4"/>
    </w:lvl>
  </w:abstractNum>
  <w:abstractNum w:abstractNumId="67">
    <w:nsid w:val="98A3148"/>
    <w:multiLevelType w:val="hybridMultilevel"/>
    <w:lvl w:ilvl="0">
      <w:lvlJc w:val="left"/>
      <w:lvlText w:val="%1."/>
      <w:numFmt w:val="decimal"/>
      <w:start w:val="5"/>
    </w:lvl>
  </w:abstractNum>
  <w:abstractNum w:abstractNumId="68">
    <w:nsid w:val="799D0247"/>
    <w:multiLevelType w:val="hybridMultilevel"/>
    <w:lvl w:ilvl="0">
      <w:lvlJc w:val="left"/>
      <w:lvlText w:val="%1."/>
      <w:numFmt w:val="decimal"/>
      <w:start w:val="6"/>
    </w:lvl>
  </w:abstractNum>
  <w:abstractNum w:abstractNumId="69">
    <w:nsid w:val="6B94764"/>
    <w:multiLevelType w:val="hybridMultilevel"/>
    <w:lvl w:ilvl="0">
      <w:lvlJc w:val="left"/>
      <w:lvlText w:val="%1."/>
      <w:numFmt w:val="decimal"/>
      <w:start w:val="7"/>
    </w:lvl>
  </w:abstractNum>
  <w:abstractNum w:abstractNumId="70">
    <w:nsid w:val="42C296BD"/>
    <w:multiLevelType w:val="hybridMultilevel"/>
    <w:lvl w:ilvl="0">
      <w:lvlJc w:val="left"/>
      <w:lvlText w:val="%1."/>
      <w:numFmt w:val="decimal"/>
      <w:start w:val="8"/>
    </w:lvl>
  </w:abstractNum>
  <w:abstractNum w:abstractNumId="71">
    <w:nsid w:val="168E121F"/>
    <w:multiLevelType w:val="hybridMultilevel"/>
    <w:lvl w:ilvl="0">
      <w:lvlJc w:val="left"/>
      <w:lvlText w:val="%1."/>
      <w:numFmt w:val="decimal"/>
      <w:start w:val="9"/>
    </w:lvl>
  </w:abstractNum>
  <w:abstractNum w:abstractNumId="72">
    <w:nsid w:val="1EBA5D2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8" Type="http://schemas.openxmlformats.org/officeDocument/2006/relationships/image" Target="media/image53.png"/><Relationship Id="rId99" Type="http://schemas.openxmlformats.org/officeDocument/2006/relationships/image" Target="media/image54.png"/><Relationship Id="rId108" Type="http://schemas.openxmlformats.org/officeDocument/2006/relationships/image" Target="media/image55.png"/><Relationship Id="rId109" Type="http://schemas.openxmlformats.org/officeDocument/2006/relationships/image" Target="media/image56.png"/><Relationship Id="rId112" Type="http://schemas.openxmlformats.org/officeDocument/2006/relationships/image" Target="media/image57.png"/><Relationship Id="rId118" Type="http://schemas.openxmlformats.org/officeDocument/2006/relationships/image" Target="media/image58.png"/><Relationship Id="rId119" Type="http://schemas.openxmlformats.org/officeDocument/2006/relationships/image" Target="media/image59.png"/><Relationship Id="rId120" Type="http://schemas.openxmlformats.org/officeDocument/2006/relationships/image" Target="media/image60.png"/><Relationship Id="rId121" Type="http://schemas.openxmlformats.org/officeDocument/2006/relationships/image" Target="media/image61.png"/><Relationship Id="rId122" Type="http://schemas.openxmlformats.org/officeDocument/2006/relationships/image" Target="media/image62.png"/><Relationship Id="rId123" Type="http://schemas.openxmlformats.org/officeDocument/2006/relationships/image" Target="media/image63.png"/><Relationship Id="rId124" Type="http://schemas.openxmlformats.org/officeDocument/2006/relationships/image" Target="media/image64.png"/><Relationship Id="rId125" Type="http://schemas.openxmlformats.org/officeDocument/2006/relationships/image" Target="media/image65.png"/><Relationship Id="rId126" Type="http://schemas.openxmlformats.org/officeDocument/2006/relationships/image" Target="media/image66.png"/><Relationship Id="rId127" Type="http://schemas.openxmlformats.org/officeDocument/2006/relationships/image" Target="media/image67.png"/><Relationship Id="rId128" Type="http://schemas.openxmlformats.org/officeDocument/2006/relationships/image" Target="media/image68.png"/><Relationship Id="rId129" Type="http://schemas.openxmlformats.org/officeDocument/2006/relationships/image" Target="media/image69.png"/><Relationship Id="rId130" Type="http://schemas.openxmlformats.org/officeDocument/2006/relationships/image" Target="media/image70.png"/><Relationship Id="rId131" Type="http://schemas.openxmlformats.org/officeDocument/2006/relationships/image" Target="media/image71.png"/><Relationship Id="rId132" Type="http://schemas.openxmlformats.org/officeDocument/2006/relationships/image" Target="media/image72.png"/><Relationship Id="rId133" Type="http://schemas.openxmlformats.org/officeDocument/2006/relationships/image" Target="media/image73.png"/><Relationship Id="rId134" Type="http://schemas.openxmlformats.org/officeDocument/2006/relationships/image" Target="media/image74.png"/><Relationship Id="rId135" Type="http://schemas.openxmlformats.org/officeDocument/2006/relationships/image" Target="media/image75.png"/><Relationship Id="rId136" Type="http://schemas.openxmlformats.org/officeDocument/2006/relationships/image" Target="media/image76.png"/><Relationship Id="rId137" Type="http://schemas.openxmlformats.org/officeDocument/2006/relationships/image" Target="media/image77.png"/><Relationship Id="rId13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60" Type="http://schemas.openxmlformats.org/officeDocument/2006/relationships/hyperlink" Target="http://www.sec.gov/Archives/edgar/data/1158114/000110465922100456/tm2225831d1_ex2-1.htm" TargetMode="External"/><Relationship Id="rId61" Type="http://schemas.openxmlformats.org/officeDocument/2006/relationships/hyperlink" Target="http://www.sec.gov/Archives/edgar/data/1158114/000101968713004306/aaoi_10q-ex0301.htm" TargetMode="External"/><Relationship Id="rId62" Type="http://schemas.openxmlformats.org/officeDocument/2006/relationships/hyperlink" Target="http://www.sec.gov/Archives/edgar/data/1158114/000168316823006330/appopto_ex0301.htm" TargetMode="External"/><Relationship Id="rId63" Type="http://schemas.openxmlformats.org/officeDocument/2006/relationships/hyperlink" Target="http://www.sec.gov/Archives/edgar/data/1158114/000101968713004306/aaoi_10q-ex0302.htm" TargetMode="External"/><Relationship Id="rId64" Type="http://schemas.openxmlformats.org/officeDocument/2006/relationships/hyperlink" Target="http://www.sec.gov/Archives/edgar/data/1158114/000110465916157015/a16-21428_1ex4d1.htm" TargetMode="External"/><Relationship Id="rId65" Type="http://schemas.openxmlformats.org/officeDocument/2006/relationships/hyperlink" Target="http://www.sec.gov/Archives/edgar/data/1158114/000110465919012900/a19-4821_4ex4d1.htm" TargetMode="External"/><Relationship Id="rId66" Type="http://schemas.openxmlformats.org/officeDocument/2006/relationships/hyperlink" Target="http://www.sec.gov/Archives/edgar/data/1158114/000110465923123656/tm2331117d2_ex4-1.htm" TargetMode="External"/><Relationship Id="rId67" Type="http://schemas.openxmlformats.org/officeDocument/2006/relationships/hyperlink" Target="http://www.sec.gov/Archives/edgar/data/1158114/000110465923123656/tm2331117d2_ex4-1.htm#ex-a" TargetMode="External"/><Relationship Id="rId68" Type="http://schemas.openxmlformats.org/officeDocument/2006/relationships/hyperlink" Target="http://www.sec.gov/Archives/edgar/data/1158114/000110465923123656/tm2331117d2_ex4-3.htm" TargetMode="External"/><Relationship Id="rId69" Type="http://schemas.openxmlformats.org/officeDocument/2006/relationships/hyperlink" Target="http://www.sec.gov/Archives/edgar/data/1158114/000104746913008409/a2216044zex-10_1.htm" TargetMode="External"/><Relationship Id="rId70" Type="http://schemas.openxmlformats.org/officeDocument/2006/relationships/hyperlink" Target="http://www.sec.gov/Archives/edgar/data/1158114/000155837017001556/aaoi-20161231ex10640a0a4.htm" TargetMode="External"/><Relationship Id="rId71" Type="http://schemas.openxmlformats.org/officeDocument/2006/relationships/hyperlink" Target="http://www.sec.gov/Archives/edgar/data/1158114/000104746913008409/a2216044zex-10_61.htm" TargetMode="External"/><Relationship Id="rId72" Type="http://schemas.openxmlformats.org/officeDocument/2006/relationships/hyperlink" Target="http://www.sec.gov/Archives/edgar/data/1158114/000104746913008409/a2216044zex-10_62.htm" TargetMode="External"/><Relationship Id="rId73" Type="http://schemas.openxmlformats.org/officeDocument/2006/relationships/hyperlink" Target="http://www.sec.gov/Archives/edgar/data/1158114/000104746913008409/a2216044zex-10_63.htm" TargetMode="External"/><Relationship Id="rId74" Type="http://schemas.openxmlformats.org/officeDocument/2006/relationships/hyperlink" Target="http://www.sec.gov/Archives/edgar/data/1158114/000104746913008409/a2216044zex-10_64.htm" TargetMode="External"/><Relationship Id="rId75" Type="http://schemas.openxmlformats.org/officeDocument/2006/relationships/hyperlink" Target="http://www.sec.gov/Archives/edgar/data/1158114/000168316821002352/aaoi_ex1001.htm" TargetMode="External"/><Relationship Id="rId76" Type="http://schemas.openxmlformats.org/officeDocument/2006/relationships/hyperlink" Target="http://www.sec.gov/Archives/edgar/data/1158114/000143774921018786/ex_270779.htm" TargetMode="External"/><Relationship Id="rId77" Type="http://schemas.openxmlformats.org/officeDocument/2006/relationships/hyperlink" Target="http://www.sec.gov/Archives/edgar/data/1158114/000143774921018786/ex_270780.htm" TargetMode="External"/><Relationship Id="rId79" Type="http://schemas.openxmlformats.org/officeDocument/2006/relationships/hyperlink" Target="http://www.sec.gov/Archives/edgar/data/1158114/000143774923031255/ex_589589.htm" TargetMode="External"/><Relationship Id="rId80" Type="http://schemas.openxmlformats.org/officeDocument/2006/relationships/hyperlink" Target="http://www.sec.gov/Archives/edgar/data/1158114/000104746913008409/a2216044zex-10_121.htm" TargetMode="External"/><Relationship Id="rId81" Type="http://schemas.openxmlformats.org/officeDocument/2006/relationships/hyperlink" Target="http://www.sec.gov/Archives/edgar/data/1158114/000101968716007125/applied_ex1020.htm" TargetMode="External"/><Relationship Id="rId82" Type="http://schemas.openxmlformats.org/officeDocument/2006/relationships/hyperlink" Target="http://www.sec.gov/Archives/edgar/data/1158114/000101968716007125/applied_ex1021.htm" TargetMode="External"/><Relationship Id="rId83" Type="http://schemas.openxmlformats.org/officeDocument/2006/relationships/hyperlink" Target="http://www.sec.gov/Archives/edgar/data/1158114/000101968716007125/applied_ex1022.htm" TargetMode="External"/><Relationship Id="rId84" Type="http://schemas.openxmlformats.org/officeDocument/2006/relationships/hyperlink" Target="http://www.sec.gov/Archives/edgar/data/1158114/000155837018001271/aaoi-20171231ex1098811b1.htm" TargetMode="External"/><Relationship Id="rId85" Type="http://schemas.openxmlformats.org/officeDocument/2006/relationships/hyperlink" Target="http://www.sec.gov/Archives/edgar/data/1158114/000168316818000488/appliedopto_ex1001.htm" TargetMode="External"/><Relationship Id="rId86" Type="http://schemas.openxmlformats.org/officeDocument/2006/relationships/hyperlink" Target="http://www.sec.gov/Archives/edgar/data/1158114/000168316818000488/appliedopto_ex1002.htm" TargetMode="External"/><Relationship Id="rId87" Type="http://schemas.openxmlformats.org/officeDocument/2006/relationships/hyperlink" Target="http://www.sec.gov/Archives/edgar/data/1158114/000155837018001271/aaoi-20171231ex10309e615.htm" TargetMode="External"/><Relationship Id="rId88" Type="http://schemas.openxmlformats.org/officeDocument/2006/relationships/hyperlink" Target="http://www.sec.gov/Archives/edgar/data/1158114/000155837018001271/aaoi-20171231ex103012e87.htm" TargetMode="External"/><Relationship Id="rId89" Type="http://schemas.openxmlformats.org/officeDocument/2006/relationships/hyperlink" Target="http://www.sec.gov/Archives/edgar/data/1158114/000155837018004322/aaoi-20180331ex105416272.htm" TargetMode="External"/><Relationship Id="rId90" Type="http://schemas.openxmlformats.org/officeDocument/2006/relationships/hyperlink" Target="http://www.sec.gov/Archives/edgar/data/1158114/000168316818003035/appliedopto_ex1001.htm" TargetMode="External"/><Relationship Id="rId91" Type="http://schemas.openxmlformats.org/officeDocument/2006/relationships/hyperlink" Target="http://www.sec.gov/Archives/edgar/data/1158114/000110465919012900/a19-4821_4ex10d1.htm" TargetMode="External"/><Relationship Id="rId92" Type="http://schemas.openxmlformats.org/officeDocument/2006/relationships/hyperlink" Target="http://www.sec.gov/Archives/edgar/data/1158114/000168316819001379/applied_8k-1001.htm" TargetMode="External"/><Relationship Id="rId93" Type="http://schemas.openxmlformats.org/officeDocument/2006/relationships/hyperlink" Target="http://www.sec.gov/Archives/edgar/data/1158114/000168316819001485/aaoi_8k-ex1001.htm" TargetMode="External"/><Relationship Id="rId94" Type="http://schemas.openxmlformats.org/officeDocument/2006/relationships/hyperlink" Target="http://www.sec.gov/Archives/edgar/data/1158114/000168316819001485/aaoi_8k-ex1002.htm" TargetMode="External"/><Relationship Id="rId95" Type="http://schemas.openxmlformats.org/officeDocument/2006/relationships/hyperlink" Target="http://www.sec.gov/Archives/edgar/data/1158114/000168316819001761/appliedopto_ex1001.htm" TargetMode="External"/><Relationship Id="rId96" Type="http://schemas.openxmlformats.org/officeDocument/2006/relationships/hyperlink" Target="http://www.sec.gov/Archives/edgar/data/1158114/000168316819001761/appliedopto_ex1002.htm" TargetMode="External"/><Relationship Id="rId97" Type="http://schemas.openxmlformats.org/officeDocument/2006/relationships/hyperlink" Target="http://www.sec.gov/Archives/edgar/data/1158114/000168316819003720/aaoi_ex1001.htm" TargetMode="External"/><Relationship Id="rId98" Type="http://schemas.openxmlformats.org/officeDocument/2006/relationships/hyperlink" Target="http://www.sec.gov/Archives/edgar/data/1158114/000168316820001257/appliedopto_ex1001.htm" TargetMode="External"/><Relationship Id="rId100" Type="http://schemas.openxmlformats.org/officeDocument/2006/relationships/hyperlink" Target="http://www.sec.gov/Archives/edgar/data/1158114/000168316822004284/applied_ex1001.htm" TargetMode="External"/><Relationship Id="rId101" Type="http://schemas.openxmlformats.org/officeDocument/2006/relationships/hyperlink" Target="http://www.sec.gov/Archives/edgar/data/1158114/000168316822004284/applied_ex1002.htm" TargetMode="External"/><Relationship Id="rId102" Type="http://schemas.openxmlformats.org/officeDocument/2006/relationships/hyperlink" Target="http://www.sec.gov/Archives/edgar/data/1158114/000110465922100456/tm2225831d1_ex10-1.htm" TargetMode="External"/><Relationship Id="rId103" Type="http://schemas.openxmlformats.org/officeDocument/2006/relationships/hyperlink" Target="http://www.sec.gov/Archives/edgar/data/1158114/000110465922100456/tm2225831d1_ex10-2.htm" TargetMode="External"/><Relationship Id="rId104" Type="http://schemas.openxmlformats.org/officeDocument/2006/relationships/hyperlink" Target="http://www.sec.gov/Archives/edgar/data/1158114/000110465922100456/tm2225831d1_ex10-3.htm" TargetMode="External"/><Relationship Id="rId105" Type="http://schemas.openxmlformats.org/officeDocument/2006/relationships/hyperlink" Target="http://www.sec.gov/Archives/edgar/data/1158114/000110465922100456/tm2225831d1_ex10-4.htm" TargetMode="External"/><Relationship Id="rId106" Type="http://schemas.openxmlformats.org/officeDocument/2006/relationships/hyperlink" Target="http://www.sec.gov/Archives/edgar/data/1158114/000168316822007949/applied_ex1001.htm" TargetMode="External"/><Relationship Id="rId107" Type="http://schemas.openxmlformats.org/officeDocument/2006/relationships/hyperlink" Target="http://www.sec.gov/Archives/edgar/data/1158114/000168316823002885/aaoi_ex1001.htm" TargetMode="External"/><Relationship Id="rId110" Type="http://schemas.openxmlformats.org/officeDocument/2006/relationships/hyperlink" Target="http://www.sec.gov/Archives/edgar/data/1158114/000168316823004130/applied_ex1001.htm" TargetMode="External"/><Relationship Id="rId111" Type="http://schemas.openxmlformats.org/officeDocument/2006/relationships/hyperlink" Target="http://www.sec.gov/Archives/edgar/data/1158114/000168316823004319/aaoi_ex1001.htm" TargetMode="External"/><Relationship Id="rId113" Type="http://schemas.openxmlformats.org/officeDocument/2006/relationships/hyperlink" Target="http://www.sec.gov/Archives/edgar/data/1158114/000110465923122604/tm2331918d1_ex10-1.htm" TargetMode="External"/><Relationship Id="rId114" Type="http://schemas.openxmlformats.org/officeDocument/2006/relationships/hyperlink" Target="http://www.sec.gov/Archives/edgar/data/1158114/000110465923123656/tm2331117d2_ex10-1.htm" TargetMode="External"/><Relationship Id="rId115" Type="http://schemas.openxmlformats.org/officeDocument/2006/relationships/hyperlink" Target="http://www.sec.gov/Archives/edgar/data/1158114/000168316823009111/appliedopto_ex1001.htm" TargetMode="External"/><Relationship Id="rId116" Type="http://schemas.openxmlformats.org/officeDocument/2006/relationships/hyperlink" Target="http://www.sec.gov/Archives/edgar/data/1158114/000168316823009111/appliedopto_ex1002.htm" TargetMode="External"/><Relationship Id="rId117" Type="http://schemas.openxmlformats.org/officeDocument/2006/relationships/hyperlink" Target="http://www.sec.gov/Archives/edgar/data/1158114/000104746913008409/a2216044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2024-02-23T15:15:54Z</dcterms:created>
  <dcterms:modified xsi:type="dcterms:W3CDTF">2024-02-23T15:15:54Z</dcterms:modified>
</cp:coreProperties>
</file>